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E7C25" w14:textId="77777777" w:rsidR="001147F5" w:rsidRPr="001147F5" w:rsidRDefault="001147F5" w:rsidP="001147F5">
      <w:pPr>
        <w:spacing w:line="360" w:lineRule="auto"/>
        <w:jc w:val="right"/>
        <w:rPr>
          <w:rFonts w:eastAsia="Calibri"/>
          <w:bCs/>
          <w:sz w:val="20"/>
          <w:szCs w:val="20"/>
          <w:lang w:val="es-ES" w:eastAsia="en-US"/>
        </w:rPr>
      </w:pPr>
      <w:r w:rsidRPr="001147F5">
        <w:rPr>
          <w:rFonts w:eastAsia="Calibri"/>
          <w:bCs/>
          <w:sz w:val="20"/>
          <w:szCs w:val="20"/>
          <w:lang w:val="es-ES" w:eastAsia="en-US"/>
        </w:rPr>
        <w:t>Artículo de investigación</w:t>
      </w:r>
    </w:p>
    <w:p w14:paraId="71AD7DDE" w14:textId="77777777" w:rsidR="001147F5" w:rsidRPr="001147F5" w:rsidRDefault="001147F5" w:rsidP="001147F5">
      <w:pPr>
        <w:spacing w:line="360" w:lineRule="auto"/>
        <w:jc w:val="right"/>
        <w:rPr>
          <w:rFonts w:eastAsia="Calibri"/>
          <w:b/>
          <w:lang w:val="es-ES" w:eastAsia="en-US"/>
        </w:rPr>
      </w:pPr>
    </w:p>
    <w:p w14:paraId="27C2931A" w14:textId="77777777" w:rsidR="001147F5" w:rsidRPr="001147F5" w:rsidRDefault="001147F5" w:rsidP="001147F5">
      <w:pPr>
        <w:spacing w:line="360" w:lineRule="auto"/>
        <w:jc w:val="center"/>
        <w:rPr>
          <w:rFonts w:eastAsia="Calibri"/>
          <w:b/>
          <w:sz w:val="28"/>
          <w:szCs w:val="28"/>
          <w:lang w:val="es-ES" w:eastAsia="en-US"/>
        </w:rPr>
      </w:pPr>
      <w:r w:rsidRPr="001147F5">
        <w:rPr>
          <w:rFonts w:eastAsia="Calibri"/>
          <w:b/>
          <w:sz w:val="28"/>
          <w:szCs w:val="28"/>
          <w:lang w:val="es-ES" w:eastAsia="en-US"/>
        </w:rPr>
        <w:t>Características de los pacientes con choque hemorrágico traumático</w:t>
      </w:r>
    </w:p>
    <w:p w14:paraId="6E92242F" w14:textId="77777777" w:rsidR="001147F5" w:rsidRPr="001147F5" w:rsidRDefault="001147F5" w:rsidP="001147F5">
      <w:pPr>
        <w:spacing w:line="360" w:lineRule="auto"/>
        <w:jc w:val="center"/>
        <w:rPr>
          <w:rFonts w:eastAsia="Calibri"/>
          <w:sz w:val="28"/>
          <w:szCs w:val="28"/>
          <w:lang w:val="en" w:eastAsia="en-US"/>
        </w:rPr>
      </w:pPr>
      <w:r w:rsidRPr="001147F5">
        <w:rPr>
          <w:rFonts w:eastAsia="Calibri"/>
          <w:sz w:val="28"/>
          <w:szCs w:val="28"/>
          <w:lang w:val="en" w:eastAsia="en-US"/>
        </w:rPr>
        <w:t>Characteristics of patients with traumatic hemorrhagic shock</w:t>
      </w:r>
    </w:p>
    <w:p w14:paraId="778313CF" w14:textId="77777777" w:rsidR="001147F5" w:rsidRPr="001147F5" w:rsidRDefault="001147F5" w:rsidP="001147F5">
      <w:pPr>
        <w:spacing w:line="360" w:lineRule="auto"/>
        <w:rPr>
          <w:rFonts w:eastAsia="Calibri"/>
          <w:lang w:val="en" w:eastAsia="en-US"/>
        </w:rPr>
      </w:pPr>
    </w:p>
    <w:p w14:paraId="7A9BEC66"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Manuel Felipe Valdés </w:t>
      </w:r>
      <w:proofErr w:type="spellStart"/>
      <w:r w:rsidRPr="001147F5">
        <w:rPr>
          <w:rFonts w:eastAsia="Calibri"/>
          <w:lang w:val="es-ES" w:eastAsia="en-US"/>
        </w:rPr>
        <w:t>Rodríguez</w:t>
      </w:r>
      <w:r w:rsidRPr="001147F5">
        <w:rPr>
          <w:rFonts w:eastAsia="Calibri"/>
          <w:vertAlign w:val="superscript"/>
          <w:lang w:val="es-ES" w:eastAsia="en-US"/>
        </w:rPr>
        <w:t>1</w:t>
      </w:r>
      <w:proofErr w:type="spellEnd"/>
      <w:r w:rsidRPr="001147F5">
        <w:rPr>
          <w:rFonts w:eastAsia="Calibri"/>
          <w:lang w:val="es-ES" w:eastAsia="en-US"/>
        </w:rPr>
        <w:t xml:space="preserve">* </w:t>
      </w:r>
      <w:hyperlink r:id="rId7" w:history="1">
        <w:r w:rsidRPr="001147F5">
          <w:rPr>
            <w:rFonts w:eastAsia="Calibri"/>
            <w:color w:val="0000FF"/>
            <w:u w:val="single"/>
            <w:lang w:val="es-ES" w:eastAsia="en-US"/>
          </w:rPr>
          <w:t>https://orcid.org/0000-0002-1310-6512</w:t>
        </w:r>
      </w:hyperlink>
      <w:r w:rsidRPr="001147F5">
        <w:rPr>
          <w:rFonts w:eastAsia="Calibri"/>
          <w:lang w:val="es-ES" w:eastAsia="en-US"/>
        </w:rPr>
        <w:t xml:space="preserve"> </w:t>
      </w:r>
    </w:p>
    <w:p w14:paraId="4AC8FD2A" w14:textId="77777777" w:rsidR="001147F5" w:rsidRPr="001147F5" w:rsidRDefault="001147F5" w:rsidP="001147F5">
      <w:pPr>
        <w:spacing w:line="360" w:lineRule="auto"/>
        <w:rPr>
          <w:rFonts w:eastAsia="Calibri"/>
          <w:lang w:val="es-ES" w:eastAsia="en-US"/>
        </w:rPr>
      </w:pPr>
      <w:proofErr w:type="spellStart"/>
      <w:r w:rsidRPr="001147F5">
        <w:rPr>
          <w:rFonts w:eastAsia="Calibri"/>
          <w:lang w:val="es-ES" w:eastAsia="en-US"/>
        </w:rPr>
        <w:t>Berto</w:t>
      </w:r>
      <w:proofErr w:type="spellEnd"/>
      <w:r w:rsidRPr="001147F5">
        <w:rPr>
          <w:rFonts w:eastAsia="Calibri"/>
          <w:lang w:val="es-ES" w:eastAsia="en-US"/>
        </w:rPr>
        <w:t xml:space="preserve"> Delis Conde </w:t>
      </w:r>
      <w:proofErr w:type="spellStart"/>
      <w:r w:rsidRPr="001147F5">
        <w:rPr>
          <w:rFonts w:eastAsia="Calibri"/>
          <w:lang w:val="es-ES" w:eastAsia="en-US"/>
        </w:rPr>
        <w:t>Fernández</w:t>
      </w:r>
      <w:r w:rsidRPr="001147F5">
        <w:rPr>
          <w:rFonts w:eastAsia="Calibri"/>
          <w:vertAlign w:val="superscript"/>
          <w:lang w:val="es-ES" w:eastAsia="en-US"/>
        </w:rPr>
        <w:t>1</w:t>
      </w:r>
      <w:proofErr w:type="spellEnd"/>
      <w:r w:rsidRPr="001147F5">
        <w:rPr>
          <w:rFonts w:eastAsia="Calibri"/>
          <w:lang w:val="es-ES" w:eastAsia="en-US"/>
        </w:rPr>
        <w:t xml:space="preserve"> </w:t>
      </w:r>
      <w:hyperlink r:id="rId8" w:history="1">
        <w:r w:rsidRPr="001147F5">
          <w:rPr>
            <w:rFonts w:eastAsia="Calibri"/>
            <w:color w:val="0000FF"/>
            <w:u w:val="single"/>
            <w:lang w:val="es-ES" w:eastAsia="en-US"/>
          </w:rPr>
          <w:t>https://orcid.org/0000-0001-6779-8131</w:t>
        </w:r>
      </w:hyperlink>
      <w:r w:rsidRPr="001147F5">
        <w:rPr>
          <w:rFonts w:eastAsia="Calibri"/>
          <w:lang w:val="es-ES" w:eastAsia="en-US"/>
        </w:rPr>
        <w:t xml:space="preserve"> </w:t>
      </w:r>
    </w:p>
    <w:p w14:paraId="1BA514B1"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Juana del Pilar Rodríguez </w:t>
      </w:r>
      <w:proofErr w:type="spellStart"/>
      <w:r w:rsidRPr="001147F5">
        <w:rPr>
          <w:rFonts w:eastAsia="Calibri"/>
          <w:lang w:val="es-ES" w:eastAsia="en-US"/>
        </w:rPr>
        <w:t>Concepción</w:t>
      </w:r>
      <w:r w:rsidRPr="001147F5">
        <w:rPr>
          <w:rFonts w:eastAsia="Calibri"/>
          <w:vertAlign w:val="superscript"/>
          <w:lang w:val="es-ES" w:eastAsia="en-US"/>
        </w:rPr>
        <w:t>1</w:t>
      </w:r>
      <w:proofErr w:type="spellEnd"/>
      <w:r w:rsidRPr="001147F5">
        <w:rPr>
          <w:rFonts w:eastAsia="Calibri"/>
          <w:lang w:val="es-ES" w:eastAsia="en-US"/>
        </w:rPr>
        <w:t xml:space="preserve"> </w:t>
      </w:r>
      <w:hyperlink r:id="rId9" w:history="1">
        <w:r w:rsidRPr="001147F5">
          <w:rPr>
            <w:rFonts w:eastAsia="Calibri"/>
            <w:color w:val="0000FF"/>
            <w:u w:val="single"/>
            <w:lang w:val="es-ES" w:eastAsia="en-US"/>
          </w:rPr>
          <w:t>https://orcid.org/0000-0002-4684-9822</w:t>
        </w:r>
      </w:hyperlink>
      <w:r w:rsidRPr="001147F5">
        <w:rPr>
          <w:rFonts w:eastAsia="Calibri"/>
          <w:lang w:val="es-ES" w:eastAsia="en-US"/>
        </w:rPr>
        <w:t xml:space="preserve"> </w:t>
      </w:r>
    </w:p>
    <w:p w14:paraId="27179B60"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Julio Roberto Betancourt </w:t>
      </w:r>
      <w:proofErr w:type="spellStart"/>
      <w:r w:rsidRPr="001147F5">
        <w:rPr>
          <w:rFonts w:eastAsia="Calibri"/>
          <w:lang w:val="es-ES" w:eastAsia="en-US"/>
        </w:rPr>
        <w:t>Cervantes</w:t>
      </w:r>
      <w:r w:rsidRPr="001147F5">
        <w:rPr>
          <w:rFonts w:eastAsia="Calibri"/>
          <w:vertAlign w:val="superscript"/>
          <w:lang w:val="es-ES" w:eastAsia="en-US"/>
        </w:rPr>
        <w:t>2</w:t>
      </w:r>
      <w:proofErr w:type="spellEnd"/>
      <w:r w:rsidRPr="001147F5">
        <w:rPr>
          <w:rFonts w:eastAsia="Calibri"/>
          <w:lang w:val="es-ES" w:eastAsia="en-US"/>
        </w:rPr>
        <w:t xml:space="preserve"> </w:t>
      </w:r>
      <w:hyperlink r:id="rId10" w:history="1">
        <w:r w:rsidRPr="001147F5">
          <w:rPr>
            <w:rFonts w:eastAsia="Calibri"/>
            <w:color w:val="0000FF"/>
            <w:u w:val="single"/>
            <w:lang w:val="es-ES" w:eastAsia="en-US"/>
          </w:rPr>
          <w:t>https://orcid.org/0000-0001-8515-8226</w:t>
        </w:r>
      </w:hyperlink>
      <w:r w:rsidRPr="001147F5">
        <w:rPr>
          <w:rFonts w:eastAsia="Calibri"/>
          <w:lang w:val="es-ES" w:eastAsia="en-US"/>
        </w:rPr>
        <w:t xml:space="preserve"> </w:t>
      </w:r>
    </w:p>
    <w:p w14:paraId="4FB079E1"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Eduardo Miguel Velázquez </w:t>
      </w:r>
      <w:proofErr w:type="spellStart"/>
      <w:r w:rsidRPr="001147F5">
        <w:rPr>
          <w:rFonts w:eastAsia="Calibri"/>
          <w:lang w:val="es-ES" w:eastAsia="en-US"/>
        </w:rPr>
        <w:t>Chinea</w:t>
      </w:r>
      <w:r w:rsidRPr="001147F5">
        <w:rPr>
          <w:rFonts w:eastAsia="Calibri"/>
          <w:vertAlign w:val="superscript"/>
          <w:lang w:val="es-ES" w:eastAsia="en-US"/>
        </w:rPr>
        <w:t>1</w:t>
      </w:r>
      <w:proofErr w:type="spellEnd"/>
      <w:r w:rsidRPr="001147F5">
        <w:rPr>
          <w:rFonts w:eastAsia="Calibri"/>
          <w:lang w:val="es-ES" w:eastAsia="en-US"/>
        </w:rPr>
        <w:t xml:space="preserve"> </w:t>
      </w:r>
      <w:hyperlink r:id="rId11" w:history="1">
        <w:r w:rsidRPr="001147F5">
          <w:rPr>
            <w:rFonts w:eastAsia="Calibri"/>
            <w:color w:val="0000FF"/>
            <w:u w:val="single"/>
            <w:lang w:val="es-ES" w:eastAsia="en-US"/>
          </w:rPr>
          <w:t>https://orcid.org/0000-0003-3456-9759</w:t>
        </w:r>
      </w:hyperlink>
      <w:r w:rsidRPr="001147F5">
        <w:rPr>
          <w:rFonts w:eastAsia="Calibri"/>
          <w:lang w:val="es-ES" w:eastAsia="en-US"/>
        </w:rPr>
        <w:t xml:space="preserve"> </w:t>
      </w:r>
    </w:p>
    <w:p w14:paraId="40409BEF"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Aramis Manuel Valdés </w:t>
      </w:r>
      <w:proofErr w:type="spellStart"/>
      <w:r w:rsidRPr="001147F5">
        <w:rPr>
          <w:rFonts w:eastAsia="Calibri"/>
          <w:lang w:val="es-ES" w:eastAsia="en-US"/>
        </w:rPr>
        <w:t>Rodríguez</w:t>
      </w:r>
      <w:r w:rsidRPr="001147F5">
        <w:rPr>
          <w:rFonts w:eastAsia="Calibri"/>
          <w:vertAlign w:val="superscript"/>
          <w:lang w:val="es-ES" w:eastAsia="en-US"/>
        </w:rPr>
        <w:t>3</w:t>
      </w:r>
      <w:proofErr w:type="spellEnd"/>
      <w:r w:rsidRPr="001147F5">
        <w:rPr>
          <w:rFonts w:eastAsia="Calibri"/>
          <w:lang w:val="es-ES" w:eastAsia="en-US"/>
        </w:rPr>
        <w:t xml:space="preserve"> </w:t>
      </w:r>
      <w:hyperlink r:id="rId12" w:history="1">
        <w:r w:rsidRPr="001147F5">
          <w:rPr>
            <w:rFonts w:eastAsia="Calibri"/>
            <w:color w:val="0000FF"/>
            <w:u w:val="single"/>
            <w:lang w:val="es-ES" w:eastAsia="en-US"/>
          </w:rPr>
          <w:t>https://orcid.org/0000-0003-4624-5954</w:t>
        </w:r>
      </w:hyperlink>
      <w:r w:rsidRPr="001147F5">
        <w:rPr>
          <w:rFonts w:eastAsia="Calibri"/>
          <w:lang w:val="es-ES" w:eastAsia="en-US"/>
        </w:rPr>
        <w:t xml:space="preserve"> </w:t>
      </w:r>
    </w:p>
    <w:p w14:paraId="09AAE895" w14:textId="77777777" w:rsidR="001147F5" w:rsidRPr="001147F5" w:rsidRDefault="001147F5" w:rsidP="001147F5">
      <w:pPr>
        <w:spacing w:line="360" w:lineRule="auto"/>
        <w:rPr>
          <w:rFonts w:eastAsia="Calibri"/>
          <w:lang w:val="es-ES" w:eastAsia="en-US"/>
        </w:rPr>
      </w:pPr>
    </w:p>
    <w:p w14:paraId="7CA95DEA" w14:textId="77777777" w:rsidR="001147F5" w:rsidRPr="001147F5" w:rsidRDefault="001147F5" w:rsidP="001147F5">
      <w:pPr>
        <w:spacing w:line="360" w:lineRule="auto"/>
        <w:rPr>
          <w:rFonts w:eastAsia="Calibri"/>
          <w:lang w:val="es-ES" w:eastAsia="en-US"/>
        </w:rPr>
      </w:pPr>
      <w:proofErr w:type="spellStart"/>
      <w:r w:rsidRPr="001147F5">
        <w:rPr>
          <w:rFonts w:eastAsia="Calibri"/>
          <w:vertAlign w:val="superscript"/>
          <w:lang w:val="es-ES" w:eastAsia="en-US"/>
        </w:rPr>
        <w:t>1</w:t>
      </w:r>
      <w:r w:rsidRPr="001147F5">
        <w:rPr>
          <w:rFonts w:eastAsia="Calibri"/>
          <w:lang w:val="es-ES" w:eastAsia="en-US"/>
        </w:rPr>
        <w:t>Hospital</w:t>
      </w:r>
      <w:proofErr w:type="spellEnd"/>
      <w:r w:rsidRPr="001147F5">
        <w:rPr>
          <w:rFonts w:eastAsia="Calibri"/>
          <w:lang w:val="es-ES" w:eastAsia="en-US"/>
        </w:rPr>
        <w:t xml:space="preserve"> General Provincial “Camilo Cienfuegos". Sancti Spíritus, Cuba.</w:t>
      </w:r>
    </w:p>
    <w:p w14:paraId="0884C648" w14:textId="77777777" w:rsidR="001147F5" w:rsidRPr="001147F5" w:rsidRDefault="001147F5" w:rsidP="001147F5">
      <w:pPr>
        <w:spacing w:line="360" w:lineRule="auto"/>
        <w:rPr>
          <w:rFonts w:eastAsia="Calibri"/>
          <w:lang w:val="es-ES" w:eastAsia="en-US"/>
        </w:rPr>
      </w:pPr>
      <w:proofErr w:type="spellStart"/>
      <w:r w:rsidRPr="001147F5">
        <w:rPr>
          <w:rFonts w:eastAsia="Calibri"/>
          <w:vertAlign w:val="superscript"/>
          <w:lang w:val="es-ES" w:eastAsia="en-US"/>
        </w:rPr>
        <w:t>2</w:t>
      </w:r>
      <w:r w:rsidRPr="001147F5">
        <w:rPr>
          <w:rFonts w:eastAsia="Calibri"/>
          <w:lang w:val="es-ES" w:eastAsia="en-US"/>
        </w:rPr>
        <w:t>Hospital</w:t>
      </w:r>
      <w:proofErr w:type="spellEnd"/>
      <w:r w:rsidRPr="001147F5">
        <w:rPr>
          <w:rFonts w:eastAsia="Calibri"/>
          <w:lang w:val="es-ES" w:eastAsia="en-US"/>
        </w:rPr>
        <w:t xml:space="preserve"> Militar “</w:t>
      </w:r>
      <w:proofErr w:type="gramStart"/>
      <w:r w:rsidRPr="001147F5">
        <w:rPr>
          <w:rFonts w:eastAsia="Calibri"/>
          <w:lang w:val="es-ES" w:eastAsia="en-US"/>
        </w:rPr>
        <w:t>Comandante</w:t>
      </w:r>
      <w:proofErr w:type="gramEnd"/>
      <w:r w:rsidRPr="001147F5">
        <w:rPr>
          <w:rFonts w:eastAsia="Calibri"/>
          <w:lang w:val="es-ES" w:eastAsia="en-US"/>
        </w:rPr>
        <w:t xml:space="preserve"> Manuel Fajardo Rivero”. Santa Clara, Villa Clara, Cuba.</w:t>
      </w:r>
    </w:p>
    <w:p w14:paraId="68B77DC3" w14:textId="77777777" w:rsidR="001147F5" w:rsidRPr="001147F5" w:rsidRDefault="001147F5" w:rsidP="001147F5">
      <w:pPr>
        <w:spacing w:line="360" w:lineRule="auto"/>
        <w:rPr>
          <w:rFonts w:eastAsia="Calibri"/>
          <w:lang w:val="es-ES" w:eastAsia="en-US"/>
        </w:rPr>
      </w:pPr>
      <w:proofErr w:type="spellStart"/>
      <w:r w:rsidRPr="001147F5">
        <w:rPr>
          <w:rFonts w:eastAsia="Calibri"/>
          <w:vertAlign w:val="superscript"/>
          <w:lang w:val="es-ES" w:eastAsia="en-US"/>
        </w:rPr>
        <w:t>3</w:t>
      </w:r>
      <w:r w:rsidRPr="001147F5">
        <w:rPr>
          <w:rFonts w:eastAsia="Calibri"/>
          <w:lang w:val="es-ES" w:eastAsia="en-US"/>
        </w:rPr>
        <w:t>Universidad</w:t>
      </w:r>
      <w:proofErr w:type="spellEnd"/>
      <w:r w:rsidRPr="001147F5">
        <w:rPr>
          <w:rFonts w:eastAsia="Calibri"/>
          <w:lang w:val="es-ES" w:eastAsia="en-US"/>
        </w:rPr>
        <w:t xml:space="preserve"> de Ciencias Médicas de Sancti Spíritus. Sancti Spíritus, Cuba.</w:t>
      </w:r>
    </w:p>
    <w:p w14:paraId="6260983A" w14:textId="77777777" w:rsidR="001147F5" w:rsidRPr="001147F5" w:rsidRDefault="001147F5" w:rsidP="001147F5">
      <w:pPr>
        <w:spacing w:line="360" w:lineRule="auto"/>
        <w:rPr>
          <w:rFonts w:eastAsia="Calibri"/>
          <w:lang w:val="es-ES" w:eastAsia="en-US"/>
        </w:rPr>
      </w:pPr>
    </w:p>
    <w:p w14:paraId="2EBCC29C"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*Autor para la correspondencia. Correo electrónico: </w:t>
      </w:r>
      <w:hyperlink r:id="rId13" w:history="1">
        <w:r w:rsidRPr="001147F5">
          <w:rPr>
            <w:rFonts w:eastAsia="Calibri"/>
            <w:color w:val="0000FF"/>
            <w:u w:val="single"/>
            <w:lang w:val="es-ES" w:eastAsia="en-US"/>
          </w:rPr>
          <w:t>manuelfelipe@infomed.sld.cu</w:t>
        </w:r>
      </w:hyperlink>
      <w:r w:rsidRPr="001147F5">
        <w:rPr>
          <w:rFonts w:eastAsia="Calibri"/>
          <w:lang w:val="es-ES" w:eastAsia="en-US"/>
        </w:rPr>
        <w:t xml:space="preserve"> </w:t>
      </w:r>
    </w:p>
    <w:p w14:paraId="1A82B6D6" w14:textId="77777777" w:rsidR="001147F5" w:rsidRPr="001147F5" w:rsidRDefault="001147F5" w:rsidP="001147F5">
      <w:pPr>
        <w:spacing w:line="360" w:lineRule="auto"/>
        <w:rPr>
          <w:rFonts w:eastAsia="Calibri"/>
          <w:lang w:val="es-ES" w:eastAsia="en-US"/>
        </w:rPr>
      </w:pPr>
    </w:p>
    <w:p w14:paraId="23ACF341" w14:textId="77777777" w:rsidR="001147F5" w:rsidRPr="001147F5" w:rsidRDefault="001147F5" w:rsidP="001147F5">
      <w:pPr>
        <w:spacing w:line="360" w:lineRule="auto"/>
        <w:jc w:val="both"/>
        <w:rPr>
          <w:rFonts w:eastAsia="Calibri"/>
          <w:b/>
          <w:lang w:val="es-ES" w:eastAsia="en-US"/>
        </w:rPr>
      </w:pPr>
      <w:r w:rsidRPr="001147F5">
        <w:rPr>
          <w:rFonts w:eastAsia="Calibri"/>
          <w:b/>
          <w:lang w:val="es-ES" w:eastAsia="en-US"/>
        </w:rPr>
        <w:t>RESUMEN</w:t>
      </w:r>
    </w:p>
    <w:p w14:paraId="3CFCD157" w14:textId="77777777" w:rsidR="001147F5" w:rsidRPr="001147F5" w:rsidRDefault="001147F5" w:rsidP="001147F5">
      <w:pPr>
        <w:spacing w:line="360" w:lineRule="auto"/>
        <w:jc w:val="both"/>
        <w:rPr>
          <w:rFonts w:eastAsia="Calibri"/>
          <w:lang w:val="es-ES" w:eastAsia="en-US"/>
        </w:rPr>
      </w:pPr>
      <w:r w:rsidRPr="001147F5">
        <w:rPr>
          <w:rFonts w:eastAsia="Calibri"/>
          <w:b/>
          <w:lang w:val="es-ES" w:eastAsia="en-US"/>
        </w:rPr>
        <w:t>Introducción:</w:t>
      </w:r>
      <w:r w:rsidRPr="001147F5">
        <w:rPr>
          <w:rFonts w:eastAsia="Calibri"/>
          <w:lang w:val="es-ES" w:eastAsia="en-US"/>
        </w:rPr>
        <w:t xml:space="preserve"> El choque hemorrágico traumático es una de las principales causas de muerte en pacientes con trauma grave. </w:t>
      </w:r>
    </w:p>
    <w:p w14:paraId="49F7D072" w14:textId="77777777" w:rsidR="001147F5" w:rsidRPr="001147F5" w:rsidRDefault="001147F5" w:rsidP="001147F5">
      <w:pPr>
        <w:spacing w:line="360" w:lineRule="auto"/>
        <w:jc w:val="both"/>
        <w:rPr>
          <w:rFonts w:eastAsia="Calibri"/>
          <w:lang w:val="es-ES" w:eastAsia="en-US"/>
        </w:rPr>
      </w:pPr>
      <w:r w:rsidRPr="001147F5">
        <w:rPr>
          <w:rFonts w:eastAsia="Calibri"/>
          <w:b/>
          <w:lang w:val="es-ES" w:eastAsia="en-US"/>
        </w:rPr>
        <w:t xml:space="preserve">Objetivo: </w:t>
      </w:r>
      <w:r w:rsidRPr="001147F5">
        <w:rPr>
          <w:rFonts w:eastAsia="Calibri"/>
          <w:lang w:val="es-ES" w:eastAsia="en-US"/>
        </w:rPr>
        <w:t>Describir las características de los pacientes con choque hemorrágico traumático.</w:t>
      </w:r>
    </w:p>
    <w:p w14:paraId="43047716" w14:textId="77777777" w:rsidR="001147F5" w:rsidRPr="001147F5" w:rsidRDefault="001147F5" w:rsidP="001147F5">
      <w:pPr>
        <w:spacing w:line="360" w:lineRule="auto"/>
        <w:jc w:val="both"/>
        <w:rPr>
          <w:rFonts w:eastAsia="Calibri"/>
          <w:lang w:val="es-ES" w:eastAsia="en-US"/>
        </w:rPr>
      </w:pPr>
      <w:r w:rsidRPr="001147F5">
        <w:rPr>
          <w:rFonts w:eastAsia="Calibri"/>
          <w:b/>
          <w:lang w:val="es-ES" w:eastAsia="en-US"/>
        </w:rPr>
        <w:t xml:space="preserve">Métodos: </w:t>
      </w:r>
      <w:r w:rsidRPr="001147F5">
        <w:rPr>
          <w:rFonts w:eastAsia="Calibri"/>
          <w:lang w:val="es-ES" w:eastAsia="en-US"/>
        </w:rPr>
        <w:t>Estudio observacional, descriptivo, transversal, que incluyó 207 pacientes con choque hemorrágico traumático. Para la descripción de las características de los pacientes se consideraron variables sociodemográficas, clínicas y quirúrgicas. Se realizó un análisis de frecuencias, con un nivel de significación de p&lt; 0,05 y para las variables cuantitativas se estimó la media, desviación típica.</w:t>
      </w:r>
    </w:p>
    <w:p w14:paraId="1D596062" w14:textId="77777777" w:rsidR="001147F5" w:rsidRPr="001147F5" w:rsidRDefault="001147F5" w:rsidP="001147F5">
      <w:pPr>
        <w:spacing w:line="360" w:lineRule="auto"/>
        <w:jc w:val="both"/>
        <w:rPr>
          <w:rFonts w:eastAsia="Calibri"/>
          <w:lang w:val="es-ES" w:eastAsia="en-US"/>
        </w:rPr>
      </w:pPr>
      <w:r w:rsidRPr="001147F5">
        <w:rPr>
          <w:rFonts w:eastAsia="Calibri"/>
          <w:b/>
          <w:lang w:val="es-ES" w:eastAsia="en-US"/>
        </w:rPr>
        <w:t xml:space="preserve">Resultados: </w:t>
      </w:r>
      <w:r w:rsidRPr="001147F5">
        <w:rPr>
          <w:rFonts w:eastAsia="Calibri"/>
          <w:lang w:val="es-ES" w:eastAsia="en-US"/>
        </w:rPr>
        <w:t>Hubo predominio del sexo masculino (85 % de los pacientes), con una edad media de 43,7 </w:t>
      </w:r>
      <w:r w:rsidRPr="001147F5">
        <w:rPr>
          <w:rFonts w:eastAsia="Calibri"/>
          <w:szCs w:val="22"/>
          <w:lang w:val="es-ES" w:eastAsia="en-US"/>
        </w:rPr>
        <w:t>± 15,7 años</w:t>
      </w:r>
      <w:r w:rsidRPr="001147F5">
        <w:rPr>
          <w:rFonts w:eastAsia="Calibri"/>
          <w:lang w:val="es-ES" w:eastAsia="en-US"/>
        </w:rPr>
        <w:t xml:space="preserve">. El 42,5 % (p= 0,000) de los pacientes eran hipertensos. Predominaron los accidentes </w:t>
      </w:r>
      <w:r w:rsidRPr="001147F5">
        <w:rPr>
          <w:rFonts w:eastAsia="Calibri"/>
          <w:lang w:val="es-ES" w:eastAsia="en-US"/>
        </w:rPr>
        <w:lastRenderedPageBreak/>
        <w:t xml:space="preserve">de tránsito (63,2 %), los traumas contusos (57,5 %) y politraumatizados (42,5 %). La acidosis metabólica estuvo presente en 66,7 % (p= 0,000) de los pacientes. La media del tiempo entre ingreso y tratamiento definitivo fue de 3,52 ± 1,19 horas El tratamiento médico quirúrgico de control de daño se aplicó en el 2,9 % y 5,4 % de los pacientes respectivamente. La muerte precoz fue de 30 %. </w:t>
      </w:r>
    </w:p>
    <w:p w14:paraId="08D35DD5" w14:textId="77777777" w:rsidR="001147F5" w:rsidRPr="001147F5" w:rsidRDefault="001147F5" w:rsidP="001147F5">
      <w:pPr>
        <w:spacing w:line="360" w:lineRule="auto"/>
        <w:jc w:val="both"/>
        <w:rPr>
          <w:rFonts w:eastAsia="Calibri"/>
          <w:lang w:val="es-ES" w:eastAsia="en-US"/>
        </w:rPr>
      </w:pPr>
      <w:r w:rsidRPr="001147F5">
        <w:rPr>
          <w:rFonts w:eastAsia="Calibri"/>
          <w:b/>
          <w:lang w:val="es-ES" w:eastAsia="en-US"/>
        </w:rPr>
        <w:t xml:space="preserve">Conclusiones: </w:t>
      </w:r>
      <w:r w:rsidRPr="001147F5">
        <w:rPr>
          <w:rFonts w:eastAsia="Calibri"/>
          <w:lang w:val="es-ES" w:eastAsia="en-US"/>
        </w:rPr>
        <w:t xml:space="preserve">Predominaron los pacientes masculinos, menores de 60 años, las complicaciones precoces que tuvieron significación estadística y el tiempo entre ingreso y comienzo del tratamiento definitivo de 3 horas y más. El tratamiento médico quirúrgico de control de daño no se aplicó con frecuencia y la muerte precoz fue elevada. </w:t>
      </w:r>
    </w:p>
    <w:p w14:paraId="2FC359C5" w14:textId="77777777" w:rsidR="001147F5" w:rsidRPr="001147F5" w:rsidRDefault="001147F5" w:rsidP="001147F5">
      <w:pPr>
        <w:spacing w:line="360" w:lineRule="auto"/>
        <w:jc w:val="both"/>
        <w:rPr>
          <w:rFonts w:eastAsia="Calibri"/>
          <w:b/>
          <w:lang w:val="es-ES" w:eastAsia="en-US"/>
        </w:rPr>
      </w:pPr>
      <w:r w:rsidRPr="001147F5">
        <w:rPr>
          <w:rFonts w:eastAsia="Calibri"/>
          <w:b/>
          <w:lang w:val="es-ES" w:eastAsia="en-US"/>
        </w:rPr>
        <w:t xml:space="preserve">Palabras clave: </w:t>
      </w:r>
      <w:r w:rsidRPr="001147F5">
        <w:rPr>
          <w:rFonts w:eastAsia="Calibri"/>
          <w:lang w:val="es-ES" w:eastAsia="en-US"/>
        </w:rPr>
        <w:t>trauma grave;</w:t>
      </w:r>
      <w:r w:rsidRPr="001147F5">
        <w:rPr>
          <w:rFonts w:eastAsia="Calibri"/>
          <w:b/>
          <w:lang w:val="es-ES" w:eastAsia="en-US"/>
        </w:rPr>
        <w:t xml:space="preserve"> </w:t>
      </w:r>
      <w:r w:rsidRPr="001147F5">
        <w:rPr>
          <w:rFonts w:eastAsia="Calibri"/>
          <w:lang w:val="es-ES" w:eastAsia="en-US"/>
        </w:rPr>
        <w:t>choque hemorrágico traumático; mortalidad.</w:t>
      </w:r>
    </w:p>
    <w:p w14:paraId="7457A68A" w14:textId="77777777" w:rsidR="001147F5" w:rsidRPr="001147F5" w:rsidRDefault="001147F5" w:rsidP="001147F5">
      <w:pPr>
        <w:spacing w:line="360" w:lineRule="auto"/>
        <w:jc w:val="both"/>
        <w:rPr>
          <w:rFonts w:eastAsia="Calibri"/>
          <w:b/>
          <w:lang w:val="es-ES" w:eastAsia="en-US"/>
        </w:rPr>
      </w:pPr>
    </w:p>
    <w:p w14:paraId="619D0360" w14:textId="77777777" w:rsidR="001147F5" w:rsidRPr="001147F5" w:rsidRDefault="001147F5" w:rsidP="001147F5">
      <w:pPr>
        <w:spacing w:line="360" w:lineRule="auto"/>
        <w:jc w:val="both"/>
        <w:rPr>
          <w:rFonts w:eastAsia="Calibri"/>
          <w:b/>
          <w:lang w:val="en-US" w:eastAsia="en-US"/>
        </w:rPr>
      </w:pPr>
      <w:r w:rsidRPr="001147F5">
        <w:rPr>
          <w:rFonts w:eastAsia="Calibri"/>
          <w:b/>
          <w:lang w:val="en-US" w:eastAsia="en-US"/>
        </w:rPr>
        <w:t>ABSTRACT</w:t>
      </w:r>
    </w:p>
    <w:p w14:paraId="5F9774D5" w14:textId="77777777" w:rsidR="001147F5" w:rsidRPr="001147F5" w:rsidRDefault="001147F5" w:rsidP="001147F5">
      <w:pPr>
        <w:spacing w:line="360" w:lineRule="auto"/>
        <w:jc w:val="both"/>
        <w:rPr>
          <w:rFonts w:eastAsia="Calibri"/>
          <w:lang w:val="en-US" w:eastAsia="en-US"/>
        </w:rPr>
      </w:pPr>
      <w:r w:rsidRPr="001147F5">
        <w:rPr>
          <w:rFonts w:eastAsia="Calibri"/>
          <w:b/>
          <w:lang w:val="en-US" w:eastAsia="en-US"/>
        </w:rPr>
        <w:t>Introduction:</w:t>
      </w:r>
      <w:r w:rsidRPr="001147F5">
        <w:rPr>
          <w:rFonts w:eastAsia="Calibri"/>
          <w:lang w:val="en-US" w:eastAsia="en-US"/>
        </w:rPr>
        <w:t xml:space="preserve"> Traumatic hemorrhagic shock is one of the main causes of death in patients with severe trauma. </w:t>
      </w:r>
    </w:p>
    <w:p w14:paraId="5069EBFD" w14:textId="77777777" w:rsidR="001147F5" w:rsidRPr="001147F5" w:rsidRDefault="001147F5" w:rsidP="001147F5">
      <w:pPr>
        <w:spacing w:line="360" w:lineRule="auto"/>
        <w:jc w:val="both"/>
        <w:rPr>
          <w:rFonts w:eastAsia="Calibri"/>
          <w:lang w:val="en-US" w:eastAsia="en-US"/>
        </w:rPr>
      </w:pPr>
      <w:r w:rsidRPr="001147F5">
        <w:rPr>
          <w:rFonts w:eastAsia="Calibri"/>
          <w:b/>
          <w:lang w:val="en-US" w:eastAsia="en-US"/>
        </w:rPr>
        <w:t>Objective:</w:t>
      </w:r>
      <w:r w:rsidRPr="001147F5">
        <w:rPr>
          <w:rFonts w:eastAsia="Calibri"/>
          <w:lang w:val="en-US" w:eastAsia="en-US"/>
        </w:rPr>
        <w:t xml:space="preserve"> To describe the characteristics of patients with traumatic hemorrhagic shock. </w:t>
      </w:r>
    </w:p>
    <w:p w14:paraId="0A8F363C" w14:textId="77777777" w:rsidR="001147F5" w:rsidRPr="001147F5" w:rsidRDefault="001147F5" w:rsidP="001147F5">
      <w:pPr>
        <w:spacing w:line="360" w:lineRule="auto"/>
        <w:jc w:val="both"/>
        <w:rPr>
          <w:rFonts w:eastAsia="Calibri"/>
          <w:lang w:val="en-US" w:eastAsia="en-US"/>
        </w:rPr>
      </w:pPr>
      <w:r w:rsidRPr="001147F5">
        <w:rPr>
          <w:rFonts w:eastAsia="Calibri"/>
          <w:b/>
          <w:lang w:val="en-US" w:eastAsia="en-US"/>
        </w:rPr>
        <w:t>Methods:</w:t>
      </w:r>
      <w:r w:rsidRPr="001147F5">
        <w:rPr>
          <w:rFonts w:eastAsia="Calibri"/>
          <w:lang w:val="en-US" w:eastAsia="en-US"/>
        </w:rPr>
        <w:t xml:space="preserve"> Observational, descriptive, cross-sectional study, which included 207 patients with traumatic hemorrhagic shock. To describe the characteristics of the patients, sociodemographic, clinical, and surgical variables were considered. A frequency analysis was performed, with a significance level of p&lt;0.05 and for the quantitative variables the mean and standard deviation were estimated. </w:t>
      </w:r>
    </w:p>
    <w:p w14:paraId="33204FCC" w14:textId="77777777" w:rsidR="001147F5" w:rsidRPr="001147F5" w:rsidRDefault="001147F5" w:rsidP="001147F5">
      <w:pPr>
        <w:spacing w:line="360" w:lineRule="auto"/>
        <w:jc w:val="both"/>
        <w:rPr>
          <w:rFonts w:eastAsia="Calibri"/>
          <w:lang w:val="en-US" w:eastAsia="en-US"/>
        </w:rPr>
      </w:pPr>
      <w:r w:rsidRPr="001147F5">
        <w:rPr>
          <w:rFonts w:eastAsia="Calibri"/>
          <w:b/>
          <w:lang w:val="en-US" w:eastAsia="en-US"/>
        </w:rPr>
        <w:t>Results:</w:t>
      </w:r>
      <w:r w:rsidRPr="001147F5">
        <w:rPr>
          <w:rFonts w:eastAsia="Calibri"/>
          <w:lang w:val="en-US" w:eastAsia="en-US"/>
        </w:rPr>
        <w:t xml:space="preserve"> There was a predominance of the male sex (85% of the patients), with a mean age of 43.7 ± 15.7 years. 42.5% (p= 0.000) of the patients were hypertensive. Traffic accidents (63.2%), blunt trauma (57.5%) and polytraumatized (42.5%) predominated. Metabolic acidosis was present in 66.7% (p= 0.000) of the patients. The mean time between admission and definitive treatment was 3.52 ± 1.19 hours. Surgical medical treatment for damage control was applied in 2.9% and 5.4% of the patients, respectively. Early death was 30%. </w:t>
      </w:r>
    </w:p>
    <w:p w14:paraId="79A22131" w14:textId="77777777" w:rsidR="001147F5" w:rsidRPr="001147F5" w:rsidRDefault="001147F5" w:rsidP="001147F5">
      <w:pPr>
        <w:spacing w:line="360" w:lineRule="auto"/>
        <w:jc w:val="both"/>
        <w:rPr>
          <w:rFonts w:eastAsia="Calibri"/>
          <w:lang w:val="en-US" w:eastAsia="en-US"/>
        </w:rPr>
      </w:pPr>
      <w:r w:rsidRPr="001147F5">
        <w:rPr>
          <w:rFonts w:eastAsia="Calibri"/>
          <w:b/>
          <w:lang w:val="en-US" w:eastAsia="en-US"/>
        </w:rPr>
        <w:t>Conclusions:</w:t>
      </w:r>
      <w:r w:rsidRPr="001147F5">
        <w:rPr>
          <w:rFonts w:eastAsia="Calibri"/>
          <w:lang w:val="en-US" w:eastAsia="en-US"/>
        </w:rPr>
        <w:t xml:space="preserve"> There was a predominance of male patients, under 60 years of age, more, and early complications that had statistical significance and the time between admission and the start of definitive treatment of 3 hours. Damage control surgical medical treatment was not frequently applied and early death was high. </w:t>
      </w:r>
    </w:p>
    <w:p w14:paraId="5BE05E11" w14:textId="77777777" w:rsidR="001147F5" w:rsidRPr="001147F5" w:rsidRDefault="001147F5" w:rsidP="001147F5">
      <w:pPr>
        <w:spacing w:line="360" w:lineRule="auto"/>
        <w:jc w:val="both"/>
        <w:rPr>
          <w:rFonts w:eastAsia="Calibri"/>
          <w:lang w:val="en-US" w:eastAsia="en-US"/>
        </w:rPr>
      </w:pPr>
      <w:r w:rsidRPr="001147F5">
        <w:rPr>
          <w:rFonts w:eastAsia="Calibri"/>
          <w:b/>
          <w:lang w:val="en-US" w:eastAsia="en-US"/>
        </w:rPr>
        <w:lastRenderedPageBreak/>
        <w:t>Keywords:</w:t>
      </w:r>
      <w:r w:rsidRPr="001147F5">
        <w:rPr>
          <w:rFonts w:eastAsia="Calibri"/>
          <w:lang w:val="en-US" w:eastAsia="en-US"/>
        </w:rPr>
        <w:t xml:space="preserve"> severe trauma; traumatic hemorrhagic shock; mortality.</w:t>
      </w:r>
    </w:p>
    <w:p w14:paraId="4985A963" w14:textId="77777777" w:rsidR="001147F5" w:rsidRPr="001147F5" w:rsidRDefault="001147F5" w:rsidP="001147F5">
      <w:pPr>
        <w:spacing w:line="360" w:lineRule="auto"/>
        <w:jc w:val="both"/>
        <w:rPr>
          <w:rFonts w:eastAsia="Calibri"/>
          <w:lang w:val="en-US" w:eastAsia="en-US"/>
        </w:rPr>
      </w:pPr>
    </w:p>
    <w:p w14:paraId="27C0146E" w14:textId="77777777" w:rsidR="001147F5" w:rsidRPr="001147F5" w:rsidRDefault="001147F5" w:rsidP="001147F5">
      <w:pPr>
        <w:spacing w:line="360" w:lineRule="auto"/>
        <w:jc w:val="both"/>
        <w:rPr>
          <w:rFonts w:eastAsia="Calibri"/>
          <w:lang w:val="en-US" w:eastAsia="en-US"/>
        </w:rPr>
      </w:pPr>
    </w:p>
    <w:p w14:paraId="0EDC9528"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Recibido: 14/10/2022</w:t>
      </w:r>
    </w:p>
    <w:p w14:paraId="3F52E72A"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Aprobado: 11/02/2023</w:t>
      </w:r>
    </w:p>
    <w:p w14:paraId="6A7B029C" w14:textId="77777777" w:rsidR="001147F5" w:rsidRPr="001147F5" w:rsidRDefault="001147F5" w:rsidP="001147F5">
      <w:pPr>
        <w:spacing w:line="360" w:lineRule="auto"/>
        <w:jc w:val="center"/>
        <w:rPr>
          <w:rFonts w:eastAsia="Calibri"/>
          <w:lang w:val="es-ES" w:eastAsia="en-US"/>
        </w:rPr>
      </w:pPr>
    </w:p>
    <w:p w14:paraId="0C1FF809" w14:textId="77777777" w:rsidR="001147F5" w:rsidRPr="001147F5" w:rsidRDefault="001147F5" w:rsidP="001147F5">
      <w:pPr>
        <w:spacing w:line="360" w:lineRule="auto"/>
        <w:jc w:val="center"/>
        <w:rPr>
          <w:rFonts w:eastAsia="Calibri"/>
          <w:b/>
          <w:lang w:val="es-ES" w:eastAsia="en-US"/>
        </w:rPr>
      </w:pPr>
    </w:p>
    <w:p w14:paraId="417B312F" w14:textId="77777777" w:rsidR="001147F5" w:rsidRPr="001147F5" w:rsidRDefault="001147F5" w:rsidP="001147F5">
      <w:pPr>
        <w:spacing w:line="360" w:lineRule="auto"/>
        <w:jc w:val="center"/>
        <w:rPr>
          <w:rFonts w:eastAsia="Calibri"/>
          <w:b/>
          <w:sz w:val="32"/>
          <w:szCs w:val="32"/>
          <w:lang w:val="es-ES" w:eastAsia="en-US"/>
        </w:rPr>
      </w:pPr>
      <w:r w:rsidRPr="001147F5">
        <w:rPr>
          <w:rFonts w:eastAsia="Calibri"/>
          <w:b/>
          <w:sz w:val="32"/>
          <w:szCs w:val="32"/>
          <w:lang w:val="es-ES" w:eastAsia="en-US"/>
        </w:rPr>
        <w:t>INTRODUCCIÓN</w:t>
      </w:r>
    </w:p>
    <w:p w14:paraId="2E1AAF98"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t xml:space="preserve">El trauma grave causa una de cada 10 muertes a nivel global, provoca 5,8 millones de fallecidos anuales; para el 2030 las cifras pueden llegar a 8 millones. Es la primera causa de muerte en personas de 1 a 44 años de edad, entre los principales mecanismos de lesión se describen los accidentes de tránsito, suicidios y </w:t>
      </w:r>
      <w:proofErr w:type="gramStart"/>
      <w:r w:rsidRPr="001147F5">
        <w:rPr>
          <w:rFonts w:eastAsia="Calibri"/>
          <w:lang w:val="es-ES" w:eastAsia="en-US"/>
        </w:rPr>
        <w:t>homicidios.</w:t>
      </w:r>
      <w:r w:rsidRPr="001147F5">
        <w:rPr>
          <w:rFonts w:eastAsia="Calibri"/>
          <w:vertAlign w:val="superscript"/>
          <w:lang w:val="es-ES" w:eastAsia="en-US"/>
        </w:rPr>
        <w:t>(</w:t>
      </w:r>
      <w:proofErr w:type="gramEnd"/>
      <w:r w:rsidRPr="001147F5">
        <w:rPr>
          <w:rFonts w:eastAsia="Calibri"/>
          <w:vertAlign w:val="superscript"/>
          <w:lang w:val="es-ES" w:eastAsia="en-US"/>
        </w:rPr>
        <w:t>1,2,3,4,5)</w:t>
      </w:r>
      <w:r w:rsidRPr="001147F5">
        <w:rPr>
          <w:rFonts w:eastAsia="Calibri"/>
          <w:lang w:val="es-ES" w:eastAsia="en-US"/>
        </w:rPr>
        <w:t xml:space="preserve"> </w:t>
      </w:r>
    </w:p>
    <w:p w14:paraId="50CF13B0"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t xml:space="preserve">En Cuba, el trauma grave, tiene un impacto negativo en el sistema de salud, los accidentes representan la quinta causa de muerte, se reporta en el año 2017 un accidente de tránsito cada 47 minutos, un lesionado cada 1 hora y un fallecido cada 12 </w:t>
      </w:r>
      <w:proofErr w:type="gramStart"/>
      <w:r w:rsidRPr="001147F5">
        <w:rPr>
          <w:rFonts w:eastAsia="Calibri"/>
          <w:lang w:val="es-ES" w:eastAsia="en-US"/>
        </w:rPr>
        <w:t>horas.</w:t>
      </w:r>
      <w:r w:rsidRPr="001147F5">
        <w:rPr>
          <w:rFonts w:eastAsia="Calibri"/>
          <w:vertAlign w:val="superscript"/>
          <w:lang w:val="es-ES" w:eastAsia="en-US"/>
        </w:rPr>
        <w:t>(</w:t>
      </w:r>
      <w:proofErr w:type="gramEnd"/>
      <w:r w:rsidRPr="001147F5">
        <w:rPr>
          <w:rFonts w:eastAsia="Calibri"/>
          <w:vertAlign w:val="superscript"/>
          <w:lang w:val="es-ES" w:eastAsia="en-US"/>
        </w:rPr>
        <w:t>4)</w:t>
      </w:r>
      <w:r w:rsidRPr="001147F5">
        <w:rPr>
          <w:rFonts w:eastAsia="Calibri"/>
          <w:lang w:val="es-ES" w:eastAsia="en-US"/>
        </w:rPr>
        <w:t xml:space="preserve"> En el año 2019 la tasa bruta de mortalidad por accidentes fue de 48,4 por 100 000 habitantes y en Sancti Spíritus de 60,2 por 100 000 habitantes.</w:t>
      </w:r>
      <w:r w:rsidRPr="001147F5">
        <w:rPr>
          <w:rFonts w:eastAsia="Calibri"/>
          <w:vertAlign w:val="superscript"/>
          <w:lang w:val="es-ES" w:eastAsia="en-US"/>
        </w:rPr>
        <w:t xml:space="preserve">(6) </w:t>
      </w:r>
    </w:p>
    <w:p w14:paraId="33332CFE"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La comunidad científica define al trauma grave como la asociación de varias afecciones traumáticas en las que se interrelacionan lesiones que originan dificultades para el diagnóstico y el tratamiento</w:t>
      </w:r>
      <w:r w:rsidRPr="001147F5">
        <w:rPr>
          <w:rFonts w:eastAsia="Calibri"/>
          <w:vertAlign w:val="superscript"/>
          <w:lang w:val="es-ES" w:eastAsia="en-US"/>
        </w:rPr>
        <w:fldChar w:fldCharType="begin"/>
      </w:r>
      <w:r w:rsidRPr="001147F5">
        <w:rPr>
          <w:rFonts w:eastAsia="Calibri"/>
          <w:vertAlign w:val="superscript"/>
          <w:lang w:val="es-ES" w:eastAsia="en-US"/>
        </w:rPr>
        <w:instrText xml:space="preserve"> ADDIN EN.CITE &lt;EndNote&gt;&lt;Cite&gt;&lt;Author&gt;Soler Vaillant R&lt;/Author&gt;&lt;RecNum&gt;7&lt;/RecNum&gt;&lt;DisplayText&gt;(1)&lt;/DisplayText&gt;&lt;record&gt;&lt;rec-number&gt;7&lt;/rec-number&gt;&lt;foreign-keys&gt;&lt;key app="EN" db-id="v5fszz599fw9wbeesds5rpzezz9ff5p959r2"&gt;7&lt;/key&gt;&lt;/foreign-keys&gt;&lt;ref-type name="Journal Article"&gt;17&lt;/ref-type&gt;&lt;contributors&gt;&lt;authors&gt;&lt;author&gt;Soler Vaillant R,&lt;/author&gt;&lt;/authors&gt;&lt;/contributors&gt;&lt;titles&gt;&lt;title&gt; Lesiones graves por traumatismo. La Habana: Ecimed, 2017. Disponible en: http://www.bvscuba.sld.cu/libro/cirugia-tomo-vi-lesiones-graves-por-traumatismos/&lt;/title&gt;&lt;/titles&gt;&lt;dates&gt;&lt;/dates&gt;&lt;urls&gt;&lt;related-urls&gt;&lt;url&gt;2017&lt;/url&gt;&lt;/related-urls&gt;&lt;/urls&gt;&lt;/record&gt;&lt;/Cite&gt;&lt;/EndNote&gt;</w:instrText>
      </w:r>
      <w:r w:rsidRPr="001147F5">
        <w:rPr>
          <w:rFonts w:eastAsia="Calibri"/>
          <w:vertAlign w:val="superscript"/>
          <w:lang w:val="es-ES" w:eastAsia="en-US"/>
        </w:rPr>
        <w:fldChar w:fldCharType="separate"/>
      </w:r>
      <w:r w:rsidRPr="001147F5">
        <w:rPr>
          <w:rFonts w:eastAsia="Calibri"/>
          <w:noProof/>
          <w:vertAlign w:val="superscript"/>
          <w:lang w:val="es-ES" w:eastAsia="en-US"/>
        </w:rPr>
        <w:t>(</w:t>
      </w:r>
      <w:hyperlink w:anchor="_ENREF_1" w:tooltip="Soler Vaillant R,  #7" w:history="1">
        <w:r w:rsidRPr="001147F5">
          <w:rPr>
            <w:rFonts w:eastAsia="Calibri"/>
            <w:noProof/>
            <w:vertAlign w:val="superscript"/>
            <w:lang w:val="es-ES" w:eastAsia="en-US"/>
          </w:rPr>
          <w:t>1</w:t>
        </w:r>
      </w:hyperlink>
      <w:r w:rsidRPr="001147F5">
        <w:rPr>
          <w:rFonts w:eastAsia="Calibri"/>
          <w:noProof/>
          <w:vertAlign w:val="superscript"/>
          <w:lang w:val="es-ES" w:eastAsia="en-US"/>
        </w:rPr>
        <w:t>)</w:t>
      </w:r>
      <w:r w:rsidRPr="001147F5">
        <w:rPr>
          <w:rFonts w:eastAsia="Calibri"/>
          <w:vertAlign w:val="superscript"/>
          <w:lang w:val="es-ES" w:eastAsia="en-US"/>
        </w:rPr>
        <w:fldChar w:fldCharType="end"/>
      </w:r>
      <w:r w:rsidRPr="001147F5">
        <w:rPr>
          <w:rFonts w:eastAsia="Calibri"/>
          <w:vertAlign w:val="superscript"/>
          <w:lang w:val="es-ES" w:eastAsia="en-US"/>
        </w:rPr>
        <w:t xml:space="preserve"> </w:t>
      </w:r>
      <w:r w:rsidRPr="001147F5">
        <w:rPr>
          <w:rFonts w:eastAsia="Calibri"/>
          <w:lang w:val="es-ES" w:eastAsia="en-US"/>
        </w:rPr>
        <w:t>o el daño físico debido a la exposición del cuerpo humano a diferentes niveles de energía, en una magnitud que excede el umbral de tolerancia fisiológica con el deterioro del normal funcionamiento debido a la hipoxia tisular.</w:t>
      </w:r>
      <w:r w:rsidRPr="001147F5">
        <w:rPr>
          <w:rFonts w:eastAsia="Calibri"/>
          <w:vertAlign w:val="superscript"/>
          <w:lang w:val="es-ES" w:eastAsia="en-US"/>
        </w:rPr>
        <w:t xml:space="preserve">(4) </w:t>
      </w:r>
    </w:p>
    <w:p w14:paraId="4D51CEE2"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El choque hemorrágico traumático es una forma de choque hipovolémico, derivado de una pérdida importante de sangre, que causa hipoperfusión tisular y por consiguiente hipoxia celular, debido a un </w:t>
      </w:r>
      <w:proofErr w:type="gramStart"/>
      <w:r w:rsidRPr="001147F5">
        <w:rPr>
          <w:rFonts w:eastAsia="Calibri"/>
          <w:lang w:val="es-ES" w:eastAsia="en-US"/>
        </w:rPr>
        <w:t>trauma,</w:t>
      </w:r>
      <w:r w:rsidRPr="001147F5">
        <w:rPr>
          <w:rFonts w:eastAsia="Calibri"/>
          <w:vertAlign w:val="superscript"/>
          <w:lang w:val="es-ES" w:eastAsia="en-US"/>
        </w:rPr>
        <w:t>(</w:t>
      </w:r>
      <w:proofErr w:type="gramEnd"/>
      <w:r w:rsidRPr="001147F5">
        <w:rPr>
          <w:rFonts w:eastAsia="Calibri"/>
          <w:vertAlign w:val="superscript"/>
          <w:lang w:val="es-ES" w:eastAsia="en-US"/>
        </w:rPr>
        <w:t>7,8,9)</w:t>
      </w:r>
      <w:r w:rsidRPr="001147F5">
        <w:rPr>
          <w:rFonts w:eastAsia="Calibri"/>
          <w:lang w:val="es-ES" w:eastAsia="en-US"/>
        </w:rPr>
        <w:t xml:space="preserve"> es el tipo de choque que se observa con mayor frecuencia y es una importante causa de muerte en pacientes con trauma grave.</w:t>
      </w:r>
      <w:r w:rsidRPr="001147F5">
        <w:rPr>
          <w:rFonts w:eastAsia="Calibri"/>
          <w:vertAlign w:val="superscript"/>
          <w:lang w:val="es-ES" w:eastAsia="en-US"/>
        </w:rPr>
        <w:t>(10)</w:t>
      </w:r>
      <w:r w:rsidRPr="001147F5">
        <w:rPr>
          <w:rFonts w:eastAsia="Calibri"/>
          <w:lang w:val="es-ES" w:eastAsia="en-US"/>
        </w:rPr>
        <w:t xml:space="preserve"> Del total de muertes anuales secundarias a hemorragia, 1,5 millones tienen como causa principal al trauma.</w:t>
      </w:r>
      <w:r w:rsidRPr="001147F5">
        <w:rPr>
          <w:rFonts w:eastAsia="Calibri"/>
          <w:vertAlign w:val="superscript"/>
          <w:lang w:val="es-ES" w:eastAsia="en-US"/>
        </w:rPr>
        <w:t>(8)</w:t>
      </w:r>
      <w:r w:rsidRPr="001147F5">
        <w:rPr>
          <w:rFonts w:eastAsia="Calibri"/>
          <w:lang w:val="es-ES" w:eastAsia="en-US"/>
        </w:rPr>
        <w:t xml:space="preserve"> </w:t>
      </w:r>
    </w:p>
    <w:p w14:paraId="567AA04C"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En los EE. UU. el trauma grave intencional es la tercera causa de muerte, del 42 % al 52 % de los fallecidos se debe a trauma craneoencefálico (</w:t>
      </w:r>
      <w:proofErr w:type="spellStart"/>
      <w:r w:rsidRPr="001147F5">
        <w:rPr>
          <w:rFonts w:eastAsia="Calibri"/>
          <w:lang w:val="es-ES" w:eastAsia="en-US"/>
        </w:rPr>
        <w:t>TCE</w:t>
      </w:r>
      <w:proofErr w:type="spellEnd"/>
      <w:r w:rsidRPr="001147F5">
        <w:rPr>
          <w:rFonts w:eastAsia="Calibri"/>
          <w:lang w:val="es-ES" w:eastAsia="en-US"/>
        </w:rPr>
        <w:t xml:space="preserve">) grave y del 30 % al 39 % a choque hemorrágico </w:t>
      </w:r>
      <w:r w:rsidRPr="001147F5">
        <w:rPr>
          <w:rFonts w:eastAsia="Calibri"/>
          <w:lang w:val="es-ES" w:eastAsia="en-US"/>
        </w:rPr>
        <w:lastRenderedPageBreak/>
        <w:t xml:space="preserve">traumático, las muertes ocurren en las primeras 24 horas en el 46 % de los pacientes con </w:t>
      </w:r>
      <w:proofErr w:type="spellStart"/>
      <w:r w:rsidRPr="001147F5">
        <w:rPr>
          <w:rFonts w:eastAsia="Calibri"/>
          <w:lang w:val="es-ES" w:eastAsia="en-US"/>
        </w:rPr>
        <w:t>TCE</w:t>
      </w:r>
      <w:proofErr w:type="spellEnd"/>
      <w:r w:rsidRPr="001147F5">
        <w:rPr>
          <w:rFonts w:eastAsia="Calibri"/>
          <w:lang w:val="es-ES" w:eastAsia="en-US"/>
        </w:rPr>
        <w:t xml:space="preserve"> graves y en el 83 % de los pacientes con choque hemorrágico traumático, con una media de tiempo entre 29 horas y 2 horas </w:t>
      </w:r>
      <w:proofErr w:type="gramStart"/>
      <w:r w:rsidRPr="001147F5">
        <w:rPr>
          <w:rFonts w:eastAsia="Calibri"/>
          <w:lang w:val="es-ES" w:eastAsia="en-US"/>
        </w:rPr>
        <w:t>respectivamente.</w:t>
      </w:r>
      <w:r w:rsidRPr="001147F5">
        <w:rPr>
          <w:rFonts w:eastAsia="Calibri"/>
          <w:vertAlign w:val="superscript"/>
          <w:lang w:val="es-ES" w:eastAsia="en-US"/>
        </w:rPr>
        <w:t>(</w:t>
      </w:r>
      <w:proofErr w:type="gramEnd"/>
      <w:r w:rsidRPr="001147F5">
        <w:rPr>
          <w:rFonts w:eastAsia="Calibri"/>
          <w:vertAlign w:val="superscript"/>
          <w:lang w:val="es-ES" w:eastAsia="en-US"/>
        </w:rPr>
        <w:t>11)</w:t>
      </w:r>
    </w:p>
    <w:p w14:paraId="3964688A"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En la última década se ha elevado la calidad de la atención traumatológica, pero del 30 % al 40 % de las muertes precoces se deben a la combinación de choque hemorrágico traumático y coagulopatía aguda, el 24 % de estas muertes pueden estar relacionadas con un tratamiento inicial inadecuado, considerada esta situación clínica como una de las principales causas de muerte evitable en esta </w:t>
      </w:r>
      <w:proofErr w:type="gramStart"/>
      <w:r w:rsidRPr="001147F5">
        <w:rPr>
          <w:rFonts w:eastAsia="Calibri"/>
          <w:lang w:val="es-ES" w:eastAsia="en-US"/>
        </w:rPr>
        <w:t>enfermedad.</w:t>
      </w:r>
      <w:r w:rsidRPr="001147F5">
        <w:rPr>
          <w:rFonts w:eastAsia="Calibri"/>
          <w:vertAlign w:val="superscript"/>
          <w:lang w:val="es-ES" w:eastAsia="en-US"/>
        </w:rPr>
        <w:t>(</w:t>
      </w:r>
      <w:proofErr w:type="gramEnd"/>
      <w:r w:rsidRPr="001147F5">
        <w:rPr>
          <w:rFonts w:eastAsia="Calibri"/>
          <w:vertAlign w:val="superscript"/>
          <w:lang w:val="es-ES" w:eastAsia="en-US"/>
        </w:rPr>
        <w:t>1,2,3,4,12)</w:t>
      </w:r>
    </w:p>
    <w:p w14:paraId="5C0B434F"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La evidencia científica ha demostrado que la pronta detención del sangrado, una cirugía abreviada y la prevención de la pérdida de calor corporal son puntos clave para disminuir la mortalidad de los pacientes con choque hemorrágico </w:t>
      </w:r>
      <w:proofErr w:type="gramStart"/>
      <w:r w:rsidRPr="001147F5">
        <w:rPr>
          <w:rFonts w:eastAsia="Calibri"/>
          <w:lang w:val="es-ES" w:eastAsia="en-US"/>
        </w:rPr>
        <w:t>traumático.</w:t>
      </w:r>
      <w:r w:rsidRPr="001147F5">
        <w:rPr>
          <w:rFonts w:eastAsia="Calibri"/>
          <w:vertAlign w:val="superscript"/>
          <w:lang w:val="es-ES" w:eastAsia="en-US"/>
        </w:rPr>
        <w:t>(</w:t>
      </w:r>
      <w:proofErr w:type="gramEnd"/>
      <w:r w:rsidRPr="001147F5">
        <w:rPr>
          <w:rFonts w:eastAsia="Calibri"/>
          <w:vertAlign w:val="superscript"/>
          <w:lang w:val="es-ES" w:eastAsia="en-US"/>
        </w:rPr>
        <w:t>13,14)</w:t>
      </w:r>
    </w:p>
    <w:p w14:paraId="37220AFC"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La creciente problemática global relacionada con el choque hemorrágico traumático y la falta de estrategias efectivas para reducir el impacto negativo de la hemorragia potencialmente mortal, han sido reconocidas como una brecha de la </w:t>
      </w:r>
      <w:proofErr w:type="gramStart"/>
      <w:r w:rsidRPr="001147F5">
        <w:rPr>
          <w:rFonts w:eastAsia="Calibri"/>
          <w:lang w:val="es-ES" w:eastAsia="en-US"/>
        </w:rPr>
        <w:t>ciencia.</w:t>
      </w:r>
      <w:r w:rsidRPr="001147F5">
        <w:rPr>
          <w:rFonts w:eastAsia="Calibri"/>
          <w:vertAlign w:val="superscript"/>
          <w:lang w:val="es-ES" w:eastAsia="en-US"/>
        </w:rPr>
        <w:t>(</w:t>
      </w:r>
      <w:proofErr w:type="gramEnd"/>
      <w:r w:rsidRPr="001147F5">
        <w:rPr>
          <w:rFonts w:eastAsia="Calibri"/>
          <w:vertAlign w:val="superscript"/>
          <w:lang w:val="es-ES" w:eastAsia="en-US"/>
        </w:rPr>
        <w:t>12)</w:t>
      </w:r>
      <w:r w:rsidRPr="001147F5">
        <w:rPr>
          <w:rFonts w:eastAsia="Calibri"/>
          <w:lang w:val="es-ES" w:eastAsia="en-US"/>
        </w:rPr>
        <w:t xml:space="preserve"> </w:t>
      </w:r>
    </w:p>
    <w:p w14:paraId="300C44DB"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El objetivo de esta investigación es describir las características de los pacientes con choque hemorrágico traumático.</w:t>
      </w:r>
    </w:p>
    <w:p w14:paraId="61BA6132" w14:textId="77777777" w:rsidR="001147F5" w:rsidRPr="001147F5" w:rsidRDefault="001147F5" w:rsidP="001147F5">
      <w:pPr>
        <w:spacing w:line="360" w:lineRule="auto"/>
        <w:rPr>
          <w:rFonts w:eastAsia="Calibri"/>
          <w:b/>
          <w:lang w:val="es-ES" w:eastAsia="en-US"/>
        </w:rPr>
      </w:pPr>
    </w:p>
    <w:p w14:paraId="462F9A9F" w14:textId="77777777" w:rsidR="001147F5" w:rsidRPr="001147F5" w:rsidRDefault="001147F5" w:rsidP="001147F5">
      <w:pPr>
        <w:spacing w:line="360" w:lineRule="auto"/>
        <w:jc w:val="center"/>
        <w:rPr>
          <w:rFonts w:eastAsia="Calibri"/>
          <w:b/>
          <w:lang w:val="es-ES" w:eastAsia="en-US"/>
        </w:rPr>
      </w:pPr>
    </w:p>
    <w:p w14:paraId="2B4BAF56" w14:textId="77777777" w:rsidR="001147F5" w:rsidRPr="001147F5" w:rsidRDefault="001147F5" w:rsidP="001147F5">
      <w:pPr>
        <w:spacing w:line="360" w:lineRule="auto"/>
        <w:jc w:val="center"/>
        <w:rPr>
          <w:rFonts w:eastAsia="Calibri"/>
          <w:b/>
          <w:sz w:val="32"/>
          <w:szCs w:val="32"/>
          <w:lang w:val="es-ES" w:eastAsia="en-US"/>
        </w:rPr>
      </w:pPr>
      <w:r w:rsidRPr="001147F5">
        <w:rPr>
          <w:rFonts w:eastAsia="Calibri"/>
          <w:b/>
          <w:sz w:val="32"/>
          <w:szCs w:val="32"/>
          <w:lang w:val="es-ES" w:eastAsia="en-US"/>
        </w:rPr>
        <w:t>MÉTODOS</w:t>
      </w:r>
    </w:p>
    <w:p w14:paraId="11924D76"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Se realizó un estudio observacional, descriptivo de corte transversal, en el Hospital General Provincial “Camilo Cienfuegos”, de Sancti Spíritus. </w:t>
      </w:r>
    </w:p>
    <w:p w14:paraId="34B26BD4"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Se estudió una serie de casos conformada por 207 pacientes que requirieron ingreso hospitalario por presentar choque hemorrágico traumático, en el periodo comprendido entre el 1 de enero del 2012 al 31 de diciembre del 2017.</w:t>
      </w:r>
    </w:p>
    <w:p w14:paraId="3BDF7431"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Se tuvo en cuenta, como criterios de inclusión, a los pacientes ingresados con el diagnóstico de choque hemorrágico traumático, de 19 años y más, con criterio quirúrgico. Se excluyeron los pacientes con choque hemorrágico traumático de causa neuroquirúrgica, ortopédica y los que fallecieron de forma inmediata posterior al ingreso hospitalario. </w:t>
      </w:r>
    </w:p>
    <w:p w14:paraId="06793CEB"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Las variables empleadas en el estudio fueron:</w:t>
      </w:r>
    </w:p>
    <w:p w14:paraId="7422B0ED" w14:textId="77777777" w:rsidR="001147F5" w:rsidRPr="001147F5" w:rsidRDefault="001147F5" w:rsidP="001147F5">
      <w:pPr>
        <w:spacing w:line="360" w:lineRule="auto"/>
        <w:jc w:val="both"/>
        <w:rPr>
          <w:rFonts w:eastAsia="Calibri"/>
          <w:lang w:val="es-ES" w:eastAsia="en-US"/>
        </w:rPr>
      </w:pPr>
    </w:p>
    <w:p w14:paraId="71EA5EB8"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Edad: agrupada según años cumplidos, en menos de 60 años y 60 años y más.</w:t>
      </w:r>
    </w:p>
    <w:p w14:paraId="4740A4F7"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 xml:space="preserve">Sexo. </w:t>
      </w:r>
    </w:p>
    <w:p w14:paraId="160575C5"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Antecedentes de enfermedades crónicas: para los antecedentes patológicos personales de enfermedades crónicas no transmisibles; se clasificó en presencia (sí) o ausencia (no) en las siguientes enfermedades: hipertensión arterial (HTA</w:t>
      </w:r>
      <w:proofErr w:type="gramStart"/>
      <w:r w:rsidRPr="001147F5">
        <w:rPr>
          <w:rFonts w:eastAsia="Calibri"/>
          <w:lang w:val="es-ES" w:eastAsia="en-US"/>
        </w:rPr>
        <w:t>),</w:t>
      </w:r>
      <w:r w:rsidRPr="001147F5">
        <w:rPr>
          <w:rFonts w:eastAsia="Calibri"/>
          <w:vertAlign w:val="superscript"/>
          <w:lang w:val="es-ES" w:eastAsia="en-US"/>
        </w:rPr>
        <w:t>(</w:t>
      </w:r>
      <w:proofErr w:type="gramEnd"/>
      <w:r w:rsidRPr="001147F5">
        <w:rPr>
          <w:rFonts w:eastAsia="Calibri"/>
          <w:vertAlign w:val="superscript"/>
          <w:lang w:val="es-ES" w:eastAsia="en-US"/>
        </w:rPr>
        <w:t>15)</w:t>
      </w:r>
      <w:r w:rsidRPr="001147F5">
        <w:rPr>
          <w:rFonts w:eastAsia="Calibri"/>
          <w:lang w:val="es-ES" w:eastAsia="en-US"/>
        </w:rPr>
        <w:t xml:space="preserve"> diabetes mellitus,</w:t>
      </w:r>
      <w:r w:rsidRPr="001147F5">
        <w:rPr>
          <w:rFonts w:eastAsia="Calibri"/>
          <w:vertAlign w:val="superscript"/>
          <w:lang w:val="es-ES" w:eastAsia="en-US"/>
        </w:rPr>
        <w:t>(16)</w:t>
      </w:r>
      <w:r w:rsidRPr="001147F5">
        <w:rPr>
          <w:rFonts w:eastAsia="Calibri"/>
          <w:lang w:val="es-ES" w:eastAsia="en-US"/>
        </w:rPr>
        <w:t xml:space="preserve"> cardiopatía isquémica,</w:t>
      </w:r>
      <w:r w:rsidRPr="001147F5">
        <w:rPr>
          <w:rFonts w:eastAsia="Calibri"/>
          <w:vertAlign w:val="superscript"/>
          <w:lang w:val="es-ES" w:eastAsia="en-US"/>
        </w:rPr>
        <w:t>(17)</w:t>
      </w:r>
      <w:r w:rsidRPr="001147F5">
        <w:rPr>
          <w:rFonts w:eastAsia="Calibri"/>
          <w:lang w:val="es-ES" w:eastAsia="en-US"/>
        </w:rPr>
        <w:t xml:space="preserve"> enfermedad pulmonar obstructiva crónica (EPOC),</w:t>
      </w:r>
      <w:r w:rsidRPr="001147F5">
        <w:rPr>
          <w:rFonts w:eastAsia="Calibri"/>
          <w:vertAlign w:val="superscript"/>
          <w:lang w:val="es-ES" w:eastAsia="en-US"/>
        </w:rPr>
        <w:t>(18)</w:t>
      </w:r>
      <w:r w:rsidRPr="001147F5">
        <w:rPr>
          <w:rFonts w:eastAsia="Calibri"/>
          <w:lang w:val="es-ES" w:eastAsia="en-US"/>
        </w:rPr>
        <w:t xml:space="preserve"> insuficiencia renal crónica,</w:t>
      </w:r>
      <w:r w:rsidRPr="001147F5">
        <w:rPr>
          <w:rFonts w:eastAsia="Calibri"/>
          <w:vertAlign w:val="superscript"/>
          <w:lang w:val="es-ES" w:eastAsia="en-US"/>
        </w:rPr>
        <w:t>(19)</w:t>
      </w:r>
      <w:r w:rsidRPr="001147F5">
        <w:rPr>
          <w:rFonts w:eastAsia="Calibri"/>
          <w:lang w:val="es-ES" w:eastAsia="en-US"/>
        </w:rPr>
        <w:t xml:space="preserve"> hepatopatía crónica,</w:t>
      </w:r>
      <w:r w:rsidRPr="001147F5">
        <w:rPr>
          <w:rFonts w:eastAsia="Calibri"/>
          <w:vertAlign w:val="superscript"/>
          <w:lang w:val="es-ES" w:eastAsia="en-US"/>
        </w:rPr>
        <w:t>(19)</w:t>
      </w:r>
      <w:r w:rsidRPr="001147F5">
        <w:rPr>
          <w:rFonts w:eastAsia="Calibri"/>
          <w:lang w:val="es-ES" w:eastAsia="en-US"/>
        </w:rPr>
        <w:t xml:space="preserve"> y enfermedades neurológicas.</w:t>
      </w:r>
      <w:r w:rsidRPr="001147F5">
        <w:rPr>
          <w:rFonts w:eastAsia="Calibri"/>
          <w:vertAlign w:val="superscript"/>
          <w:lang w:val="es-ES" w:eastAsia="en-US"/>
        </w:rPr>
        <w:t>(19)</w:t>
      </w:r>
      <w:r w:rsidRPr="001147F5">
        <w:rPr>
          <w:rFonts w:eastAsia="Calibri"/>
          <w:lang w:val="es-ES" w:eastAsia="en-US"/>
        </w:rPr>
        <w:t xml:space="preserve"> </w:t>
      </w:r>
    </w:p>
    <w:p w14:paraId="6A83B877"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 xml:space="preserve">Mecanismo lesional: cada mecanismo lesional se consideró por su presencia (sí) o ausencia (no); es la circunstancia y el mecanismo que ocasionó el trauma: accidente de </w:t>
      </w:r>
      <w:proofErr w:type="gramStart"/>
      <w:r w:rsidRPr="001147F5">
        <w:rPr>
          <w:rFonts w:eastAsia="Calibri"/>
          <w:lang w:val="es-ES" w:eastAsia="en-US"/>
        </w:rPr>
        <w:t>tránsito,</w:t>
      </w:r>
      <w:r w:rsidRPr="001147F5">
        <w:rPr>
          <w:rFonts w:eastAsia="Calibri"/>
          <w:vertAlign w:val="superscript"/>
          <w:lang w:val="es-ES" w:eastAsia="en-US"/>
        </w:rPr>
        <w:t>(</w:t>
      </w:r>
      <w:proofErr w:type="gramEnd"/>
      <w:r w:rsidRPr="001147F5">
        <w:rPr>
          <w:rFonts w:eastAsia="Calibri"/>
          <w:vertAlign w:val="superscript"/>
          <w:lang w:val="es-ES" w:eastAsia="en-US"/>
        </w:rPr>
        <w:t>20)</w:t>
      </w:r>
      <w:r w:rsidRPr="001147F5">
        <w:rPr>
          <w:rFonts w:eastAsia="Calibri"/>
          <w:lang w:val="es-ES" w:eastAsia="en-US"/>
        </w:rPr>
        <w:t xml:space="preserve"> herida por arma de fuego,</w:t>
      </w:r>
      <w:r w:rsidRPr="001147F5">
        <w:rPr>
          <w:rFonts w:eastAsia="Calibri"/>
          <w:vertAlign w:val="superscript"/>
          <w:lang w:val="es-ES" w:eastAsia="en-US"/>
        </w:rPr>
        <w:t>(1,2)</w:t>
      </w:r>
      <w:r w:rsidRPr="001147F5">
        <w:rPr>
          <w:rFonts w:eastAsia="Calibri"/>
          <w:lang w:val="es-ES" w:eastAsia="en-US"/>
        </w:rPr>
        <w:t xml:space="preserve"> lesión por objeto cortopunzante,</w:t>
      </w:r>
      <w:r w:rsidRPr="001147F5">
        <w:rPr>
          <w:rFonts w:eastAsia="Calibri"/>
          <w:vertAlign w:val="superscript"/>
          <w:lang w:val="es-ES" w:eastAsia="en-US"/>
        </w:rPr>
        <w:t>(21)</w:t>
      </w:r>
      <w:r w:rsidRPr="001147F5">
        <w:rPr>
          <w:rFonts w:eastAsia="Calibri"/>
          <w:lang w:val="es-ES" w:eastAsia="en-US"/>
        </w:rPr>
        <w:t xml:space="preserve"> caída</w:t>
      </w:r>
      <w:r w:rsidRPr="001147F5">
        <w:rPr>
          <w:rFonts w:eastAsia="Calibri"/>
          <w:vertAlign w:val="superscript"/>
          <w:lang w:val="es-ES" w:eastAsia="en-US"/>
        </w:rPr>
        <w:t>(20)</w:t>
      </w:r>
      <w:r w:rsidRPr="001147F5">
        <w:rPr>
          <w:rFonts w:eastAsia="Calibri"/>
          <w:lang w:val="es-ES" w:eastAsia="en-US"/>
        </w:rPr>
        <w:t xml:space="preserve"> y lesión por objeto romo.</w:t>
      </w:r>
      <w:r w:rsidRPr="001147F5">
        <w:rPr>
          <w:rFonts w:eastAsia="Calibri"/>
          <w:vertAlign w:val="superscript"/>
          <w:lang w:val="es-ES" w:eastAsia="en-US"/>
        </w:rPr>
        <w:t>(1,2)</w:t>
      </w:r>
    </w:p>
    <w:p w14:paraId="5A48AC62"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 xml:space="preserve">Tipo de trauma: mecanismo de interacción del agente agresor con el traumatizado y se clasificó por presencia (sí) o ausencia (no), para trauma </w:t>
      </w:r>
      <w:proofErr w:type="gramStart"/>
      <w:r w:rsidRPr="001147F5">
        <w:rPr>
          <w:rFonts w:eastAsia="Calibri"/>
          <w:lang w:val="es-ES" w:eastAsia="en-US"/>
        </w:rPr>
        <w:t>contuso</w:t>
      </w:r>
      <w:r w:rsidRPr="001147F5">
        <w:rPr>
          <w:rFonts w:eastAsia="Calibri"/>
          <w:vertAlign w:val="superscript"/>
          <w:lang w:val="es-ES" w:eastAsia="en-US"/>
        </w:rPr>
        <w:t>(</w:t>
      </w:r>
      <w:proofErr w:type="gramEnd"/>
      <w:r w:rsidRPr="001147F5">
        <w:rPr>
          <w:rFonts w:eastAsia="Calibri"/>
          <w:vertAlign w:val="superscript"/>
          <w:lang w:val="es-ES" w:eastAsia="en-US"/>
        </w:rPr>
        <w:t>1,2)</w:t>
      </w:r>
      <w:r w:rsidRPr="001147F5">
        <w:rPr>
          <w:rFonts w:eastAsia="Calibri"/>
          <w:lang w:val="es-ES" w:eastAsia="en-US"/>
        </w:rPr>
        <w:t xml:space="preserve"> y trauma penetrante.</w:t>
      </w:r>
      <w:r w:rsidRPr="001147F5">
        <w:rPr>
          <w:rFonts w:eastAsia="Calibri"/>
          <w:vertAlign w:val="superscript"/>
          <w:lang w:val="es-ES" w:eastAsia="en-US"/>
        </w:rPr>
        <w:t>(1,2)</w:t>
      </w:r>
    </w:p>
    <w:p w14:paraId="310A0ECF"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 xml:space="preserve">Localización topográfica: localización anatómica del trauma, ya sea contuso o penetrante, que cause hemorragia; para cada localización se definió si estaba involucrada (sí) o no (no) cada localización: </w:t>
      </w:r>
      <w:proofErr w:type="gramStart"/>
      <w:r w:rsidRPr="001147F5">
        <w:rPr>
          <w:rFonts w:eastAsia="Calibri"/>
          <w:lang w:val="es-ES" w:eastAsia="en-US"/>
        </w:rPr>
        <w:t>cuello,</w:t>
      </w:r>
      <w:r w:rsidRPr="001147F5">
        <w:rPr>
          <w:rFonts w:eastAsia="Calibri"/>
          <w:vertAlign w:val="superscript"/>
          <w:lang w:val="es-ES" w:eastAsia="en-US"/>
        </w:rPr>
        <w:t>(</w:t>
      </w:r>
      <w:proofErr w:type="gramEnd"/>
      <w:r w:rsidRPr="001147F5">
        <w:rPr>
          <w:rFonts w:eastAsia="Calibri"/>
          <w:vertAlign w:val="superscript"/>
          <w:lang w:val="es-ES" w:eastAsia="en-US"/>
        </w:rPr>
        <w:t>2)</w:t>
      </w:r>
      <w:r w:rsidRPr="001147F5">
        <w:rPr>
          <w:rFonts w:eastAsia="Calibri"/>
          <w:lang w:val="es-ES" w:eastAsia="en-US"/>
        </w:rPr>
        <w:t xml:space="preserve"> tórax,</w:t>
      </w:r>
      <w:r w:rsidRPr="001147F5">
        <w:rPr>
          <w:rFonts w:eastAsia="Calibri"/>
          <w:vertAlign w:val="superscript"/>
          <w:lang w:val="es-ES" w:eastAsia="en-US"/>
        </w:rPr>
        <w:t>(2)</w:t>
      </w:r>
      <w:r w:rsidRPr="001147F5">
        <w:rPr>
          <w:rFonts w:eastAsia="Calibri"/>
          <w:lang w:val="es-ES" w:eastAsia="en-US"/>
        </w:rPr>
        <w:t xml:space="preserve"> abdomen,</w:t>
      </w:r>
      <w:r w:rsidRPr="001147F5">
        <w:rPr>
          <w:rFonts w:eastAsia="Calibri"/>
          <w:vertAlign w:val="superscript"/>
          <w:lang w:val="es-ES" w:eastAsia="en-US"/>
        </w:rPr>
        <w:t>(2)</w:t>
      </w:r>
      <w:r w:rsidRPr="001147F5">
        <w:rPr>
          <w:rFonts w:eastAsia="Calibri"/>
          <w:lang w:val="es-ES" w:eastAsia="en-US"/>
        </w:rPr>
        <w:t xml:space="preserve"> pelvis,</w:t>
      </w:r>
      <w:r w:rsidRPr="001147F5">
        <w:rPr>
          <w:rFonts w:eastAsia="Calibri"/>
          <w:vertAlign w:val="superscript"/>
          <w:lang w:val="es-ES" w:eastAsia="en-US"/>
        </w:rPr>
        <w:t>(2)</w:t>
      </w:r>
      <w:r w:rsidRPr="001147F5">
        <w:rPr>
          <w:rFonts w:eastAsia="Calibri"/>
          <w:lang w:val="es-ES" w:eastAsia="en-US"/>
        </w:rPr>
        <w:t xml:space="preserve"> o politraumatizado.</w:t>
      </w:r>
      <w:r w:rsidRPr="001147F5">
        <w:rPr>
          <w:rFonts w:eastAsia="Calibri"/>
          <w:vertAlign w:val="superscript"/>
          <w:lang w:val="es-ES" w:eastAsia="en-US"/>
        </w:rPr>
        <w:t>(4)</w:t>
      </w:r>
      <w:r w:rsidRPr="001147F5">
        <w:rPr>
          <w:rFonts w:eastAsia="Calibri"/>
          <w:lang w:val="es-ES" w:eastAsia="en-US"/>
        </w:rPr>
        <w:t xml:space="preserve"> </w:t>
      </w:r>
    </w:p>
    <w:p w14:paraId="69E6E18E"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 xml:space="preserve">Complicaciones precoces: complicaciones relacionadas con el choque hemorrágico traumático, definidos por su presencia (sí) o ausencia (no), para la coagulopatía </w:t>
      </w:r>
      <w:proofErr w:type="gramStart"/>
      <w:r w:rsidRPr="001147F5">
        <w:rPr>
          <w:rFonts w:eastAsia="Calibri"/>
          <w:lang w:val="es-ES" w:eastAsia="en-US"/>
        </w:rPr>
        <w:t>aguda,</w:t>
      </w:r>
      <w:r w:rsidRPr="001147F5">
        <w:rPr>
          <w:rFonts w:eastAsia="Calibri"/>
          <w:vertAlign w:val="superscript"/>
          <w:lang w:val="es-ES" w:eastAsia="en-US"/>
        </w:rPr>
        <w:t>(</w:t>
      </w:r>
      <w:proofErr w:type="gramEnd"/>
      <w:r w:rsidRPr="001147F5">
        <w:rPr>
          <w:rFonts w:eastAsia="Calibri"/>
          <w:vertAlign w:val="superscript"/>
          <w:lang w:val="es-ES" w:eastAsia="en-US"/>
        </w:rPr>
        <w:t>2,22)</w:t>
      </w:r>
      <w:r w:rsidRPr="001147F5">
        <w:rPr>
          <w:rFonts w:eastAsia="Calibri"/>
          <w:lang w:val="es-ES" w:eastAsia="en-US"/>
        </w:rPr>
        <w:t xml:space="preserve"> hipotermia</w:t>
      </w:r>
      <w:r w:rsidRPr="001147F5">
        <w:rPr>
          <w:rFonts w:eastAsia="Calibri"/>
          <w:vertAlign w:val="superscript"/>
          <w:lang w:val="es-ES" w:eastAsia="en-US"/>
        </w:rPr>
        <w:t>(23)</w:t>
      </w:r>
      <w:r w:rsidRPr="001147F5">
        <w:rPr>
          <w:rFonts w:eastAsia="Calibri"/>
          <w:lang w:val="es-ES" w:eastAsia="en-US"/>
        </w:rPr>
        <w:t xml:space="preserve"> y acidosis metabólica.</w:t>
      </w:r>
      <w:r w:rsidRPr="001147F5">
        <w:rPr>
          <w:rFonts w:eastAsia="Calibri"/>
          <w:vertAlign w:val="superscript"/>
          <w:lang w:val="es-ES" w:eastAsia="en-US"/>
        </w:rPr>
        <w:t>(2)</w:t>
      </w:r>
      <w:r w:rsidRPr="001147F5">
        <w:rPr>
          <w:rFonts w:eastAsia="Calibri"/>
          <w:lang w:val="es-ES" w:eastAsia="en-US"/>
        </w:rPr>
        <w:t xml:space="preserve"> </w:t>
      </w:r>
    </w:p>
    <w:p w14:paraId="5967F3EE"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 xml:space="preserve">Tiempo entre ingreso hospitalario y comienzo del tratamiento definitivo: tiempo en horas transcurrido desde el ingreso hospitalario hasta el comienzo del tratamiento definitivo, agrupado en menos de 3 horas y 3 horas y más. </w:t>
      </w:r>
    </w:p>
    <w:p w14:paraId="0405C828"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Tratamiento médico de reanimación de control de daños:</w:t>
      </w:r>
      <w:r w:rsidRPr="001147F5">
        <w:rPr>
          <w:rFonts w:eastAsia="Calibri"/>
          <w:vertAlign w:val="superscript"/>
          <w:lang w:val="es-ES" w:eastAsia="en-US"/>
        </w:rPr>
        <w:t>(2)</w:t>
      </w:r>
      <w:r w:rsidRPr="001147F5">
        <w:rPr>
          <w:rFonts w:eastAsia="Calibri"/>
          <w:lang w:val="es-ES" w:eastAsia="en-US"/>
        </w:rPr>
        <w:t xml:space="preserve"> tratamiento relacionado con la administración de fluidoterapia restrictiva, para mantener una hipotensión permisiva y reanimación hemostática, clasificado en sí o no. </w:t>
      </w:r>
    </w:p>
    <w:p w14:paraId="6CDC6013" w14:textId="77777777" w:rsidR="001147F5" w:rsidRPr="001147F5" w:rsidRDefault="001147F5" w:rsidP="009E44BA">
      <w:pPr>
        <w:numPr>
          <w:ilvl w:val="0"/>
          <w:numId w:val="11"/>
        </w:numPr>
        <w:spacing w:line="360" w:lineRule="auto"/>
        <w:ind w:left="714" w:hanging="357"/>
        <w:contextualSpacing/>
        <w:jc w:val="both"/>
        <w:rPr>
          <w:rFonts w:eastAsia="Calibri"/>
          <w:lang w:val="es-ES" w:eastAsia="en-US"/>
        </w:rPr>
      </w:pPr>
      <w:r w:rsidRPr="001147F5">
        <w:rPr>
          <w:rFonts w:eastAsia="Calibri"/>
          <w:lang w:val="es-ES" w:eastAsia="en-US"/>
        </w:rPr>
        <w:t>Tratamiento quirúrgico de cirugía de control de daño:</w:t>
      </w:r>
      <w:r w:rsidRPr="001147F5">
        <w:rPr>
          <w:rFonts w:eastAsia="Calibri"/>
          <w:vertAlign w:val="superscript"/>
          <w:lang w:val="es-ES" w:eastAsia="en-US"/>
        </w:rPr>
        <w:t>(2)</w:t>
      </w:r>
      <w:r w:rsidRPr="001147F5">
        <w:rPr>
          <w:rFonts w:eastAsia="Calibri"/>
          <w:lang w:val="es-ES" w:eastAsia="en-US"/>
        </w:rPr>
        <w:t xml:space="preserve"> cirugía abreviada para priorizar la reparación de las lesiones que causan daño vital, clasificado en sí o no. </w:t>
      </w:r>
    </w:p>
    <w:p w14:paraId="5D5EA5EC" w14:textId="77777777" w:rsidR="001147F5" w:rsidRPr="001147F5" w:rsidRDefault="001147F5" w:rsidP="009E44BA">
      <w:pPr>
        <w:numPr>
          <w:ilvl w:val="0"/>
          <w:numId w:val="11"/>
        </w:numPr>
        <w:spacing w:line="360" w:lineRule="auto"/>
        <w:ind w:left="714" w:hanging="357"/>
        <w:contextualSpacing/>
        <w:jc w:val="both"/>
        <w:rPr>
          <w:rFonts w:eastAsia="Calibri"/>
          <w:vertAlign w:val="superscript"/>
          <w:lang w:val="es-ES" w:eastAsia="en-US"/>
        </w:rPr>
      </w:pPr>
      <w:r w:rsidRPr="001147F5">
        <w:rPr>
          <w:rFonts w:eastAsia="Calibri"/>
          <w:lang w:val="es-ES" w:eastAsia="en-US"/>
        </w:rPr>
        <w:lastRenderedPageBreak/>
        <w:t>Muerte precoz:</w:t>
      </w:r>
      <w:r w:rsidRPr="001147F5">
        <w:rPr>
          <w:rFonts w:eastAsia="Calibri"/>
          <w:vertAlign w:val="superscript"/>
          <w:lang w:val="es-ES" w:eastAsia="en-US"/>
        </w:rPr>
        <w:t>(24)</w:t>
      </w:r>
      <w:r w:rsidRPr="001147F5">
        <w:rPr>
          <w:rFonts w:eastAsia="Calibri"/>
          <w:lang w:val="es-ES" w:eastAsia="en-US"/>
        </w:rPr>
        <w:t xml:space="preserve"> muerte ocurrida durante las primeras 24 horas del trauma, como consecuencia del choque hemorrágico traumático, clasificado en sí o no.</w:t>
      </w:r>
    </w:p>
    <w:p w14:paraId="131033AA" w14:textId="77777777" w:rsidR="001147F5" w:rsidRPr="001147F5" w:rsidRDefault="001147F5" w:rsidP="001147F5">
      <w:pPr>
        <w:spacing w:line="360" w:lineRule="auto"/>
        <w:jc w:val="both"/>
        <w:rPr>
          <w:rFonts w:eastAsia="Calibri"/>
          <w:lang w:val="es-ES" w:eastAsia="en-US"/>
        </w:rPr>
      </w:pPr>
    </w:p>
    <w:p w14:paraId="6F9ACDEE"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Los datos de las variables fueron extraídos de las historias clínicas, informes operatorios, historia de anestesia, protocolos de necropsia y la base de datos del departamento de estadísticas del centro, se transcribieron a una hoja de cálculo de Excel y se analizaron en el programa estadístico SPSS v. 21. </w:t>
      </w:r>
    </w:p>
    <w:p w14:paraId="20DB271D"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Se realizó una descripción de todas las variables (cualitativas y cuantitativas) y se resumieron en frecuencias y porcentajes, se calculó el test </w:t>
      </w:r>
      <w:r w:rsidRPr="001147F5">
        <w:rPr>
          <w:rFonts w:eastAsia="Calibri"/>
          <w:i/>
          <w:iCs/>
          <w:lang w:val="es-ES" w:eastAsia="en-US"/>
        </w:rPr>
        <w:t>ji</w:t>
      </w:r>
      <w:r w:rsidRPr="001147F5">
        <w:rPr>
          <w:rFonts w:eastAsia="Calibri"/>
          <w:lang w:val="es-ES" w:eastAsia="en-US"/>
        </w:rPr>
        <w:t xml:space="preserve"> cuadrado y se adoptó un nivel de significación estadística del 95 % (p &lt; 0,05), que permitió evaluar la posible asociación entre las variables, se obtuvieron la media, desviación típica de las variables cuantitativas </w:t>
      </w:r>
    </w:p>
    <w:p w14:paraId="12783C8F"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La investigación fue aprobada por el Comité de Ética del Hospital General Provincial “Camilo Cienfuegos”, de Sancti Spíritus. Se siguieron los principios de la declaración de Helsinki para investigaciones en humanos.</w:t>
      </w:r>
      <w:r w:rsidRPr="001147F5">
        <w:rPr>
          <w:rFonts w:eastAsia="Calibri"/>
          <w:vertAlign w:val="superscript"/>
          <w:lang w:val="es-ES" w:eastAsia="en-US"/>
        </w:rPr>
        <w:fldChar w:fldCharType="begin"/>
      </w:r>
      <w:r w:rsidRPr="001147F5">
        <w:rPr>
          <w:rFonts w:eastAsia="Calibri"/>
          <w:vertAlign w:val="superscript"/>
          <w:lang w:val="es-ES" w:eastAsia="en-US"/>
        </w:rPr>
        <w:instrText xml:space="preserve"> ADDIN EN.CITE &lt;EndNote&gt;&lt;Cite&gt;&lt;Author&gt;166-Cantín M&lt;/Author&gt;&lt;RecNum&gt;172&lt;/RecNum&gt;&lt;DisplayText&gt;(22)&lt;/DisplayText&gt;&lt;record&gt;&lt;rec-number&gt;172&lt;/rec-number&gt;&lt;foreign-keys&gt;&lt;key app="EN" db-id="esvxwdpwzxf5e8ewersx5fabfrwpzz095rwx"&gt;172&lt;/key&gt;&lt;/foreign-keys&gt;&lt;ref-type name="Journal Article"&gt;17&lt;/ref-type&gt;&lt;contributors&gt;&lt;authors&gt;&lt;author&gt;166-Cantín M,&lt;/author&gt;&lt;/authors&gt;&lt;/contributors&gt;&lt;titles&gt;&lt;title&gt; Asociación Médica Mundial. Declaración de Helsinki: Principios éticos para las investigaciones médicas en seres humanos. Revisando su última versión. Int J Med Surg Sci [internet]. 2014 [citado 15 de febrero de 2019]; 1(4):339-46. Disponible en: http://www.ijmss.org/wpcontent/uploads/2015/05/art_8_14.pdf&lt;/title&gt;&lt;/titles&gt;&lt;dates&gt;&lt;/dates&gt;&lt;urls&gt;&lt;related-urls&gt;&lt;url&gt;2014&lt;/url&gt;&lt;/related-urls&gt;&lt;/urls&gt;&lt;/record&gt;&lt;/Cite&gt;&lt;/EndNote&gt;</w:instrText>
      </w:r>
      <w:r w:rsidRPr="001147F5">
        <w:rPr>
          <w:rFonts w:eastAsia="Calibri"/>
          <w:vertAlign w:val="superscript"/>
          <w:lang w:val="es-ES" w:eastAsia="en-US"/>
        </w:rPr>
        <w:fldChar w:fldCharType="separate"/>
      </w:r>
      <w:r w:rsidRPr="001147F5">
        <w:rPr>
          <w:rFonts w:eastAsia="Calibri"/>
          <w:noProof/>
          <w:vertAlign w:val="superscript"/>
          <w:lang w:val="es-ES" w:eastAsia="en-US"/>
        </w:rPr>
        <w:t>(25)</w:t>
      </w:r>
      <w:r w:rsidRPr="001147F5">
        <w:rPr>
          <w:rFonts w:eastAsia="Calibri"/>
          <w:vertAlign w:val="superscript"/>
          <w:lang w:val="es-ES" w:eastAsia="en-US"/>
        </w:rPr>
        <w:fldChar w:fldCharType="end"/>
      </w:r>
    </w:p>
    <w:p w14:paraId="29B7F631" w14:textId="77777777" w:rsidR="001147F5" w:rsidRPr="001147F5" w:rsidRDefault="001147F5" w:rsidP="001147F5">
      <w:pPr>
        <w:spacing w:line="360" w:lineRule="auto"/>
        <w:jc w:val="center"/>
        <w:rPr>
          <w:rFonts w:eastAsia="Calibri"/>
          <w:b/>
          <w:lang w:val="es-ES" w:eastAsia="en-US"/>
        </w:rPr>
      </w:pPr>
    </w:p>
    <w:p w14:paraId="116C9124" w14:textId="77777777" w:rsidR="001147F5" w:rsidRPr="001147F5" w:rsidRDefault="001147F5" w:rsidP="001147F5">
      <w:pPr>
        <w:spacing w:line="360" w:lineRule="auto"/>
        <w:jc w:val="center"/>
        <w:rPr>
          <w:rFonts w:eastAsia="Calibri"/>
          <w:b/>
          <w:lang w:val="es-ES" w:eastAsia="en-US"/>
        </w:rPr>
      </w:pPr>
    </w:p>
    <w:p w14:paraId="0D08D5AB" w14:textId="77777777" w:rsidR="001147F5" w:rsidRPr="001147F5" w:rsidRDefault="001147F5" w:rsidP="001147F5">
      <w:pPr>
        <w:spacing w:line="360" w:lineRule="auto"/>
        <w:jc w:val="center"/>
        <w:rPr>
          <w:rFonts w:eastAsia="Calibri"/>
          <w:b/>
          <w:sz w:val="32"/>
          <w:szCs w:val="32"/>
          <w:lang w:val="es-ES" w:eastAsia="en-US"/>
        </w:rPr>
      </w:pPr>
      <w:r w:rsidRPr="001147F5">
        <w:rPr>
          <w:rFonts w:eastAsia="Calibri"/>
          <w:b/>
          <w:sz w:val="32"/>
          <w:szCs w:val="32"/>
          <w:lang w:val="es-ES" w:eastAsia="en-US"/>
        </w:rPr>
        <w:t>RESULTADOS</w:t>
      </w:r>
    </w:p>
    <w:p w14:paraId="26F9AE74"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En la tabla </w:t>
      </w:r>
      <w:proofErr w:type="spellStart"/>
      <w:r w:rsidRPr="001147F5">
        <w:rPr>
          <w:rFonts w:eastAsia="Calibri"/>
          <w:lang w:val="es-ES" w:eastAsia="en-US"/>
        </w:rPr>
        <w:t>1A</w:t>
      </w:r>
      <w:proofErr w:type="spellEnd"/>
      <w:r w:rsidRPr="001147F5">
        <w:rPr>
          <w:rFonts w:eastAsia="Calibri"/>
          <w:lang w:val="es-ES" w:eastAsia="en-US"/>
        </w:rPr>
        <w:t xml:space="preserve"> se muestran las características de los pacientes. Del sexo masculino resultaron 176 (85 %) y 172 (83 %) con menos de 60 años, la edad media fue de 43,7 </w:t>
      </w:r>
      <w:r w:rsidRPr="001147F5">
        <w:rPr>
          <w:rFonts w:eastAsia="Calibri"/>
          <w:szCs w:val="22"/>
          <w:lang w:val="es-ES" w:eastAsia="en-US"/>
        </w:rPr>
        <w:t>± 15,7 años, (Fig. 1)</w:t>
      </w:r>
      <w:r w:rsidRPr="001147F5">
        <w:rPr>
          <w:rFonts w:eastAsia="Calibri"/>
          <w:lang w:val="es-ES" w:eastAsia="en-US"/>
        </w:rPr>
        <w:t>. En las enfermedades crónicas predominó la hipertensión arterial (88; 42,5 %, p= 0,000), la diabetes mellitus (24; 11,6 %) y la EPOC (28; 13,5 %, p= </w:t>
      </w:r>
      <w:r w:rsidRPr="001147F5">
        <w:rPr>
          <w:rFonts w:eastAsia="Calibri"/>
          <w:szCs w:val="20"/>
          <w:lang w:val="es-ES" w:eastAsia="en-US"/>
        </w:rPr>
        <w:t>0,001</w:t>
      </w:r>
      <w:r w:rsidRPr="001147F5">
        <w:rPr>
          <w:rFonts w:eastAsia="Calibri"/>
          <w:lang w:val="es-ES" w:eastAsia="en-US"/>
        </w:rPr>
        <w:t xml:space="preserve">). El mecanismo lesional que prevaleció fueron los accidentes de tránsito (131; 63,2 %), por trauma contuso (119; 57,5 %) y pacientes politraumatizados (88; 42,5 %), resultados que no tuvieron significación estadística. La complicación precoz que se observó con mayor frecuencia fue la acidosis metabólica (138; 66,7 %, p= 0,000). Predominó el tiempo entre el ingreso hospitalario y comienzo del tratamiento definitivo de 3 horas y más (150; 72,4 %), con una media de 3,52 </w:t>
      </w:r>
      <w:r w:rsidRPr="001147F5">
        <w:rPr>
          <w:rFonts w:eastAsia="Calibri"/>
          <w:szCs w:val="22"/>
          <w:lang w:val="es-ES" w:eastAsia="en-US"/>
        </w:rPr>
        <w:t>± 1,19 horas (Fig. 2)</w:t>
      </w:r>
      <w:r w:rsidRPr="001147F5">
        <w:rPr>
          <w:rFonts w:eastAsia="Calibri"/>
          <w:lang w:val="es-ES" w:eastAsia="en-US"/>
        </w:rPr>
        <w:t xml:space="preserve">. La modalidad de tratamiento médico se aplicó al 2,9 % y quirúrgico al 5,4 % de los pacientes (tabla </w:t>
      </w:r>
      <w:proofErr w:type="spellStart"/>
      <w:r w:rsidRPr="001147F5">
        <w:rPr>
          <w:rFonts w:eastAsia="Calibri"/>
          <w:lang w:val="es-ES" w:eastAsia="en-US"/>
        </w:rPr>
        <w:t>1B</w:t>
      </w:r>
      <w:proofErr w:type="spellEnd"/>
      <w:r w:rsidRPr="001147F5">
        <w:rPr>
          <w:rFonts w:eastAsia="Calibri"/>
          <w:lang w:val="es-ES" w:eastAsia="en-US"/>
        </w:rPr>
        <w:t xml:space="preserve">). </w:t>
      </w:r>
    </w:p>
    <w:p w14:paraId="53A66DDC" w14:textId="77777777" w:rsidR="001147F5" w:rsidRPr="001147F5" w:rsidRDefault="001147F5" w:rsidP="001147F5">
      <w:pPr>
        <w:spacing w:line="360" w:lineRule="auto"/>
        <w:jc w:val="both"/>
        <w:rPr>
          <w:rFonts w:eastAsia="Calibri"/>
          <w:lang w:val="es-ES" w:eastAsia="en-US"/>
        </w:rPr>
      </w:pPr>
    </w:p>
    <w:p w14:paraId="0F93D2A5" w14:textId="77777777" w:rsidR="009E44BA" w:rsidRDefault="009E44BA">
      <w:pPr>
        <w:rPr>
          <w:rFonts w:eastAsia="Calibri"/>
          <w:b/>
          <w:bCs/>
          <w:color w:val="000000"/>
          <w:sz w:val="22"/>
          <w:szCs w:val="22"/>
          <w:lang w:val="es-ES" w:eastAsia="en-US"/>
        </w:rPr>
      </w:pPr>
      <w:r>
        <w:rPr>
          <w:rFonts w:eastAsia="Calibri"/>
          <w:b/>
          <w:bCs/>
          <w:color w:val="000000"/>
          <w:sz w:val="22"/>
          <w:szCs w:val="22"/>
          <w:lang w:val="es-ES" w:eastAsia="en-US"/>
        </w:rPr>
        <w:br w:type="page"/>
      </w:r>
    </w:p>
    <w:p w14:paraId="32D162F8" w14:textId="2884F410" w:rsidR="001147F5" w:rsidRPr="001147F5" w:rsidRDefault="001147F5" w:rsidP="001147F5">
      <w:pPr>
        <w:spacing w:line="360" w:lineRule="auto"/>
        <w:jc w:val="center"/>
        <w:rPr>
          <w:rFonts w:eastAsia="Calibri"/>
          <w:bCs/>
          <w:color w:val="000000"/>
          <w:sz w:val="22"/>
          <w:szCs w:val="22"/>
          <w:lang w:val="es-ES" w:eastAsia="en-US"/>
        </w:rPr>
      </w:pPr>
      <w:r w:rsidRPr="001147F5">
        <w:rPr>
          <w:rFonts w:eastAsia="Calibri"/>
          <w:b/>
          <w:bCs/>
          <w:color w:val="000000"/>
          <w:sz w:val="22"/>
          <w:szCs w:val="22"/>
          <w:lang w:val="es-ES" w:eastAsia="en-US"/>
        </w:rPr>
        <w:lastRenderedPageBreak/>
        <w:t xml:space="preserve">Tabla </w:t>
      </w:r>
      <w:proofErr w:type="spellStart"/>
      <w:r w:rsidRPr="001147F5">
        <w:rPr>
          <w:rFonts w:eastAsia="Calibri"/>
          <w:b/>
          <w:bCs/>
          <w:color w:val="000000"/>
          <w:sz w:val="22"/>
          <w:szCs w:val="22"/>
          <w:lang w:val="es-ES" w:eastAsia="en-US"/>
        </w:rPr>
        <w:t>1A</w:t>
      </w:r>
      <w:proofErr w:type="spellEnd"/>
      <w:r w:rsidRPr="001147F5">
        <w:rPr>
          <w:rFonts w:eastAsia="Calibri"/>
          <w:b/>
          <w:bCs/>
          <w:color w:val="000000"/>
          <w:sz w:val="22"/>
          <w:szCs w:val="22"/>
          <w:lang w:val="es-ES" w:eastAsia="en-US"/>
        </w:rPr>
        <w:t xml:space="preserve"> -</w:t>
      </w:r>
      <w:r w:rsidRPr="001147F5">
        <w:rPr>
          <w:rFonts w:eastAsia="Calibri"/>
          <w:bCs/>
          <w:color w:val="000000"/>
          <w:sz w:val="22"/>
          <w:szCs w:val="22"/>
          <w:lang w:val="es-ES" w:eastAsia="en-US"/>
        </w:rPr>
        <w:t xml:space="preserve"> Características de los pacientes con choque hemorrágico traumático (n= 207)</w:t>
      </w:r>
    </w:p>
    <w:p w14:paraId="25CE99F7" w14:textId="508B8978" w:rsidR="001147F5" w:rsidRPr="001147F5" w:rsidRDefault="001147F5" w:rsidP="001147F5">
      <w:pPr>
        <w:spacing w:line="360" w:lineRule="auto"/>
        <w:ind w:right="49"/>
        <w:jc w:val="center"/>
        <w:rPr>
          <w:rFonts w:eastAsia="Calibri"/>
          <w:color w:val="000000"/>
          <w:sz w:val="16"/>
          <w:szCs w:val="16"/>
          <w:lang w:val="es-ES" w:eastAsia="en-US"/>
        </w:rPr>
      </w:pPr>
      <w:r w:rsidRPr="001147F5">
        <w:rPr>
          <w:rFonts w:eastAsia="Calibri"/>
          <w:noProof/>
          <w:color w:val="000000"/>
          <w:sz w:val="16"/>
          <w:szCs w:val="16"/>
          <w:lang w:val="es-ES" w:eastAsia="en-US"/>
        </w:rPr>
        <w:drawing>
          <wp:inline distT="0" distB="0" distL="0" distR="0" wp14:anchorId="2A7736F5" wp14:editId="69F0A8E0">
            <wp:extent cx="6334125" cy="2809875"/>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4125" cy="2809875"/>
                    </a:xfrm>
                    <a:prstGeom prst="rect">
                      <a:avLst/>
                    </a:prstGeom>
                    <a:noFill/>
                    <a:ln>
                      <a:noFill/>
                    </a:ln>
                  </pic:spPr>
                </pic:pic>
              </a:graphicData>
            </a:graphic>
          </wp:inline>
        </w:drawing>
      </w:r>
    </w:p>
    <w:p w14:paraId="01F5525B" w14:textId="77777777" w:rsidR="001147F5" w:rsidRPr="001147F5" w:rsidRDefault="001147F5" w:rsidP="001147F5">
      <w:pPr>
        <w:spacing w:line="360" w:lineRule="auto"/>
        <w:ind w:right="49"/>
        <w:jc w:val="center"/>
        <w:rPr>
          <w:rFonts w:eastAsia="Calibri"/>
          <w:b/>
          <w:bCs/>
          <w:color w:val="000000"/>
          <w:lang w:val="es-ES" w:eastAsia="en-US"/>
        </w:rPr>
      </w:pPr>
      <w:r w:rsidRPr="001147F5">
        <w:rPr>
          <w:rFonts w:eastAsia="Calibri"/>
          <w:color w:val="000000"/>
          <w:sz w:val="16"/>
          <w:szCs w:val="16"/>
          <w:lang w:val="es-ES" w:eastAsia="en-US"/>
        </w:rPr>
        <w:t>Porcentaje calculado en base a la columna.</w:t>
      </w:r>
    </w:p>
    <w:p w14:paraId="3B651452" w14:textId="77777777" w:rsidR="001147F5" w:rsidRPr="001147F5" w:rsidRDefault="001147F5" w:rsidP="001147F5">
      <w:pPr>
        <w:spacing w:line="360" w:lineRule="auto"/>
        <w:ind w:right="49"/>
        <w:jc w:val="both"/>
        <w:rPr>
          <w:rFonts w:eastAsia="Calibri"/>
          <w:b/>
          <w:bCs/>
          <w:color w:val="000000"/>
          <w:szCs w:val="22"/>
          <w:lang w:val="es-ES" w:eastAsia="en-US"/>
        </w:rPr>
      </w:pPr>
    </w:p>
    <w:p w14:paraId="22BDAFE5" w14:textId="77777777" w:rsidR="009E44BA" w:rsidRDefault="009E44BA">
      <w:pPr>
        <w:rPr>
          <w:rFonts w:eastAsia="Calibri"/>
          <w:b/>
          <w:bCs/>
          <w:color w:val="000000"/>
          <w:sz w:val="22"/>
          <w:szCs w:val="22"/>
          <w:lang w:val="es-ES" w:eastAsia="en-US"/>
        </w:rPr>
      </w:pPr>
      <w:bookmarkStart w:id="0" w:name="_Hlk129350408"/>
      <w:r>
        <w:rPr>
          <w:rFonts w:eastAsia="Calibri"/>
          <w:b/>
          <w:bCs/>
          <w:color w:val="000000"/>
          <w:sz w:val="22"/>
          <w:szCs w:val="22"/>
          <w:lang w:val="es-ES" w:eastAsia="en-US"/>
        </w:rPr>
        <w:br w:type="page"/>
      </w:r>
    </w:p>
    <w:p w14:paraId="5DA1E843" w14:textId="38795BA6" w:rsidR="001147F5" w:rsidRPr="001147F5" w:rsidRDefault="001147F5" w:rsidP="001147F5">
      <w:pPr>
        <w:spacing w:line="360" w:lineRule="auto"/>
        <w:ind w:right="49"/>
        <w:jc w:val="center"/>
        <w:rPr>
          <w:rFonts w:eastAsia="Calibri"/>
          <w:b/>
          <w:bCs/>
          <w:color w:val="000000"/>
          <w:sz w:val="22"/>
          <w:szCs w:val="22"/>
          <w:lang w:val="es-ES" w:eastAsia="en-US"/>
        </w:rPr>
      </w:pPr>
      <w:r w:rsidRPr="001147F5">
        <w:rPr>
          <w:rFonts w:eastAsia="Calibri"/>
          <w:b/>
          <w:bCs/>
          <w:color w:val="000000"/>
          <w:sz w:val="22"/>
          <w:szCs w:val="22"/>
          <w:lang w:val="es-ES" w:eastAsia="en-US"/>
        </w:rPr>
        <w:lastRenderedPageBreak/>
        <w:t xml:space="preserve">Tabla </w:t>
      </w:r>
      <w:proofErr w:type="spellStart"/>
      <w:r w:rsidRPr="001147F5">
        <w:rPr>
          <w:rFonts w:eastAsia="Calibri"/>
          <w:b/>
          <w:bCs/>
          <w:color w:val="000000"/>
          <w:sz w:val="22"/>
          <w:szCs w:val="22"/>
          <w:lang w:val="es-ES" w:eastAsia="en-US"/>
        </w:rPr>
        <w:t>1B</w:t>
      </w:r>
      <w:proofErr w:type="spellEnd"/>
      <w:r w:rsidRPr="001147F5">
        <w:rPr>
          <w:rFonts w:eastAsia="Calibri"/>
          <w:b/>
          <w:bCs/>
          <w:color w:val="000000"/>
          <w:sz w:val="22"/>
          <w:szCs w:val="22"/>
          <w:lang w:val="es-ES" w:eastAsia="en-US"/>
        </w:rPr>
        <w:t xml:space="preserve"> -</w:t>
      </w:r>
      <w:r w:rsidRPr="001147F5">
        <w:rPr>
          <w:rFonts w:eastAsia="Calibri"/>
          <w:bCs/>
          <w:color w:val="000000"/>
          <w:sz w:val="22"/>
          <w:szCs w:val="22"/>
          <w:lang w:val="es-ES" w:eastAsia="en-US"/>
        </w:rPr>
        <w:t xml:space="preserve"> Características de los pacientes con choque hemorrágico traumático (n= 207)</w:t>
      </w:r>
    </w:p>
    <w:p w14:paraId="27584D86" w14:textId="01711363" w:rsidR="001147F5" w:rsidRPr="001147F5" w:rsidRDefault="001147F5" w:rsidP="001147F5">
      <w:pPr>
        <w:spacing w:line="360" w:lineRule="auto"/>
        <w:ind w:right="49"/>
        <w:jc w:val="center"/>
        <w:rPr>
          <w:rFonts w:ascii="Verdana" w:eastAsia="Calibri" w:hAnsi="Verdana"/>
          <w:color w:val="000000"/>
          <w:sz w:val="20"/>
          <w:szCs w:val="20"/>
          <w:lang w:val="es-ES" w:eastAsia="en-US"/>
        </w:rPr>
      </w:pPr>
      <w:r w:rsidRPr="001147F5">
        <w:rPr>
          <w:rFonts w:ascii="Verdana" w:eastAsia="Calibri" w:hAnsi="Verdana"/>
          <w:noProof/>
          <w:color w:val="000000"/>
          <w:sz w:val="20"/>
          <w:szCs w:val="20"/>
          <w:lang w:val="es-ES" w:eastAsia="en-US"/>
        </w:rPr>
        <w:drawing>
          <wp:inline distT="0" distB="0" distL="0" distR="0" wp14:anchorId="3A842FBE" wp14:editId="75240217">
            <wp:extent cx="6086475" cy="5295900"/>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6475" cy="5295900"/>
                    </a:xfrm>
                    <a:prstGeom prst="rect">
                      <a:avLst/>
                    </a:prstGeom>
                    <a:noFill/>
                    <a:ln>
                      <a:noFill/>
                    </a:ln>
                  </pic:spPr>
                </pic:pic>
              </a:graphicData>
            </a:graphic>
          </wp:inline>
        </w:drawing>
      </w:r>
    </w:p>
    <w:p w14:paraId="01A2D8D6" w14:textId="77777777" w:rsidR="001147F5" w:rsidRPr="001147F5" w:rsidRDefault="001147F5" w:rsidP="001147F5">
      <w:pPr>
        <w:spacing w:line="360" w:lineRule="auto"/>
        <w:ind w:right="49"/>
        <w:jc w:val="center"/>
        <w:rPr>
          <w:rFonts w:eastAsia="Calibri"/>
          <w:color w:val="000000"/>
          <w:sz w:val="16"/>
          <w:szCs w:val="16"/>
          <w:lang w:val="es-ES" w:eastAsia="en-US"/>
        </w:rPr>
      </w:pPr>
      <w:r w:rsidRPr="001147F5">
        <w:rPr>
          <w:rFonts w:eastAsia="Calibri"/>
          <w:color w:val="000000"/>
          <w:sz w:val="16"/>
          <w:szCs w:val="16"/>
          <w:lang w:val="es-ES" w:eastAsia="en-US"/>
        </w:rPr>
        <w:t>Porcentaje calculado en base a la columna.</w:t>
      </w:r>
    </w:p>
    <w:bookmarkEnd w:id="0"/>
    <w:p w14:paraId="5F654456" w14:textId="77777777" w:rsidR="001147F5" w:rsidRPr="001147F5" w:rsidRDefault="001147F5" w:rsidP="001147F5">
      <w:pPr>
        <w:spacing w:line="360" w:lineRule="auto"/>
        <w:ind w:right="49"/>
        <w:jc w:val="both"/>
        <w:rPr>
          <w:rFonts w:eastAsia="Calibri"/>
          <w:b/>
          <w:bCs/>
          <w:color w:val="000000"/>
          <w:lang w:val="es-ES" w:eastAsia="en-US"/>
        </w:rPr>
      </w:pPr>
    </w:p>
    <w:p w14:paraId="4AFB72BB" w14:textId="6211ADB2" w:rsidR="001147F5" w:rsidRDefault="001147F5" w:rsidP="001147F5">
      <w:pPr>
        <w:spacing w:line="360" w:lineRule="auto"/>
        <w:ind w:right="49"/>
        <w:jc w:val="center"/>
        <w:rPr>
          <w:rFonts w:eastAsia="Calibri"/>
          <w:b/>
          <w:bCs/>
          <w:color w:val="000000"/>
          <w:lang w:val="es-ES" w:eastAsia="en-US"/>
        </w:rPr>
      </w:pPr>
      <w:r w:rsidRPr="001147F5">
        <w:rPr>
          <w:rFonts w:eastAsia="Calibri"/>
          <w:b/>
          <w:noProof/>
          <w:color w:val="000000"/>
          <w:lang w:val="es-ES" w:eastAsia="en-US"/>
        </w:rPr>
        <w:lastRenderedPageBreak/>
        <w:drawing>
          <wp:inline distT="0" distB="0" distL="0" distR="0" wp14:anchorId="7C286496" wp14:editId="349530F0">
            <wp:extent cx="3943350" cy="287655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3350" cy="2876550"/>
                    </a:xfrm>
                    <a:prstGeom prst="rect">
                      <a:avLst/>
                    </a:prstGeom>
                    <a:noFill/>
                    <a:ln>
                      <a:noFill/>
                    </a:ln>
                  </pic:spPr>
                </pic:pic>
              </a:graphicData>
            </a:graphic>
          </wp:inline>
        </w:drawing>
      </w:r>
    </w:p>
    <w:p w14:paraId="2B6D4CEC" w14:textId="77777777" w:rsidR="001147F5" w:rsidRPr="001147F5" w:rsidRDefault="001147F5" w:rsidP="001147F5">
      <w:pPr>
        <w:spacing w:line="360" w:lineRule="auto"/>
        <w:ind w:right="49"/>
        <w:jc w:val="center"/>
        <w:rPr>
          <w:rFonts w:eastAsia="Calibri"/>
          <w:bCs/>
          <w:color w:val="000000"/>
          <w:sz w:val="22"/>
          <w:szCs w:val="22"/>
          <w:lang w:val="es-ES" w:eastAsia="en-US"/>
        </w:rPr>
      </w:pPr>
      <w:r w:rsidRPr="001147F5">
        <w:rPr>
          <w:rFonts w:eastAsia="Calibri"/>
          <w:b/>
          <w:bCs/>
          <w:color w:val="000000"/>
          <w:sz w:val="22"/>
          <w:szCs w:val="22"/>
          <w:lang w:val="es-ES" w:eastAsia="en-US"/>
        </w:rPr>
        <w:t xml:space="preserve">Fig. 1 - </w:t>
      </w:r>
      <w:r w:rsidRPr="001147F5">
        <w:rPr>
          <w:rFonts w:eastAsia="Calibri"/>
          <w:bCs/>
          <w:color w:val="000000"/>
          <w:sz w:val="22"/>
          <w:szCs w:val="22"/>
          <w:lang w:val="es-ES" w:eastAsia="en-US"/>
        </w:rPr>
        <w:t>Media y desviación típica de la edad de los pacientes con choque hemorrágico traumático.</w:t>
      </w:r>
    </w:p>
    <w:p w14:paraId="1B2CBD2C" w14:textId="77777777" w:rsidR="001147F5" w:rsidRPr="001147F5" w:rsidRDefault="001147F5" w:rsidP="001147F5">
      <w:pPr>
        <w:spacing w:line="360" w:lineRule="auto"/>
        <w:ind w:right="49"/>
        <w:jc w:val="both"/>
        <w:rPr>
          <w:rFonts w:eastAsia="Calibri"/>
          <w:color w:val="000000"/>
          <w:lang w:val="es-ES" w:eastAsia="en-US"/>
        </w:rPr>
      </w:pPr>
    </w:p>
    <w:p w14:paraId="1E6206BF" w14:textId="2C41F520" w:rsidR="001147F5" w:rsidRPr="001147F5" w:rsidRDefault="001147F5" w:rsidP="001147F5">
      <w:pPr>
        <w:spacing w:line="360" w:lineRule="auto"/>
        <w:ind w:right="49"/>
        <w:jc w:val="center"/>
        <w:rPr>
          <w:rFonts w:eastAsia="Calibri"/>
          <w:color w:val="000000"/>
          <w:lang w:val="es-ES" w:eastAsia="en-US"/>
        </w:rPr>
      </w:pPr>
      <w:r w:rsidRPr="001147F5">
        <w:rPr>
          <w:rFonts w:eastAsia="Calibri"/>
          <w:noProof/>
          <w:color w:val="000000"/>
          <w:lang w:val="es-ES" w:eastAsia="en-US"/>
        </w:rPr>
        <w:drawing>
          <wp:inline distT="0" distB="0" distL="0" distR="0" wp14:anchorId="34A7C328" wp14:editId="292930CD">
            <wp:extent cx="3990975" cy="3371850"/>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975" cy="3371850"/>
                    </a:xfrm>
                    <a:prstGeom prst="rect">
                      <a:avLst/>
                    </a:prstGeom>
                    <a:noFill/>
                    <a:ln>
                      <a:noFill/>
                    </a:ln>
                  </pic:spPr>
                </pic:pic>
              </a:graphicData>
            </a:graphic>
          </wp:inline>
        </w:drawing>
      </w:r>
    </w:p>
    <w:p w14:paraId="31A984FC" w14:textId="77777777" w:rsidR="001147F5" w:rsidRPr="001147F5" w:rsidRDefault="001147F5" w:rsidP="001147F5">
      <w:pPr>
        <w:spacing w:line="360" w:lineRule="auto"/>
        <w:ind w:right="49"/>
        <w:jc w:val="center"/>
        <w:rPr>
          <w:rFonts w:eastAsia="Calibri"/>
          <w:bCs/>
          <w:color w:val="000000"/>
          <w:sz w:val="22"/>
          <w:szCs w:val="22"/>
          <w:lang w:val="es-ES" w:eastAsia="en-US"/>
        </w:rPr>
      </w:pPr>
      <w:r w:rsidRPr="001147F5">
        <w:rPr>
          <w:rFonts w:eastAsia="Calibri"/>
          <w:b/>
          <w:bCs/>
          <w:color w:val="000000"/>
          <w:sz w:val="22"/>
          <w:szCs w:val="22"/>
          <w:lang w:val="es-ES" w:eastAsia="en-US"/>
        </w:rPr>
        <w:t xml:space="preserve">Fig. 2 - </w:t>
      </w:r>
      <w:r w:rsidRPr="001147F5">
        <w:rPr>
          <w:rFonts w:eastAsia="Calibri"/>
          <w:bCs/>
          <w:color w:val="000000"/>
          <w:sz w:val="22"/>
          <w:szCs w:val="22"/>
          <w:lang w:val="es-ES" w:eastAsia="en-US"/>
        </w:rPr>
        <w:t>Media y desviación típica del tiempo entre ingreso hospitalario y comienzo del tratamiento definitivo de los pacientes con choque hemorrágico traumático.</w:t>
      </w:r>
    </w:p>
    <w:p w14:paraId="4F5F88D8" w14:textId="77777777" w:rsidR="001147F5" w:rsidRPr="001147F5" w:rsidRDefault="001147F5" w:rsidP="001147F5">
      <w:pPr>
        <w:spacing w:line="360" w:lineRule="auto"/>
        <w:ind w:right="49"/>
        <w:jc w:val="both"/>
        <w:rPr>
          <w:rFonts w:eastAsia="Calibri"/>
          <w:bCs/>
          <w:color w:val="000000"/>
          <w:lang w:val="es-ES" w:eastAsia="en-US"/>
        </w:rPr>
      </w:pPr>
    </w:p>
    <w:p w14:paraId="1F11A362" w14:textId="77777777" w:rsidR="001147F5" w:rsidRPr="001147F5" w:rsidRDefault="001147F5" w:rsidP="001147F5">
      <w:pPr>
        <w:spacing w:line="360" w:lineRule="auto"/>
        <w:ind w:right="49"/>
        <w:jc w:val="both"/>
        <w:rPr>
          <w:rFonts w:eastAsia="Calibri"/>
          <w:bCs/>
          <w:color w:val="000000"/>
          <w:lang w:val="es-ES" w:eastAsia="en-US"/>
        </w:rPr>
      </w:pPr>
      <w:r w:rsidRPr="001147F5">
        <w:rPr>
          <w:rFonts w:eastAsia="Calibri"/>
          <w:bCs/>
          <w:color w:val="000000"/>
          <w:lang w:val="es-ES" w:eastAsia="en-US"/>
        </w:rPr>
        <w:t xml:space="preserve">La </w:t>
      </w:r>
      <w:r w:rsidRPr="001147F5">
        <w:rPr>
          <w:rFonts w:eastAsia="Calibri"/>
          <w:color w:val="000000"/>
          <w:lang w:val="es-ES" w:eastAsia="en-US"/>
        </w:rPr>
        <w:t>figura 3</w:t>
      </w:r>
      <w:r w:rsidRPr="001147F5">
        <w:rPr>
          <w:rFonts w:eastAsia="Calibri"/>
          <w:bCs/>
          <w:color w:val="000000"/>
          <w:lang w:val="es-ES" w:eastAsia="en-US"/>
        </w:rPr>
        <w:t xml:space="preserve"> muestra la mortalidad precoz de los pacientes ingresados por choque hemorrágico traumático en el periodo de estudio. Esta variable alcanzó cifras de 62 (30 %) pacientes.</w:t>
      </w:r>
    </w:p>
    <w:p w14:paraId="02B5A313" w14:textId="77777777" w:rsidR="001147F5" w:rsidRPr="001147F5" w:rsidRDefault="001147F5" w:rsidP="001147F5">
      <w:pPr>
        <w:spacing w:line="360" w:lineRule="auto"/>
        <w:ind w:right="49"/>
        <w:jc w:val="both"/>
        <w:rPr>
          <w:rFonts w:eastAsia="Calibri"/>
          <w:color w:val="000000"/>
          <w:lang w:val="es-ES" w:eastAsia="en-US"/>
        </w:rPr>
      </w:pPr>
    </w:p>
    <w:p w14:paraId="0D3DB36C" w14:textId="1D1C0FE8" w:rsidR="001147F5" w:rsidRPr="001147F5" w:rsidRDefault="001147F5" w:rsidP="001147F5">
      <w:pPr>
        <w:spacing w:line="360" w:lineRule="auto"/>
        <w:jc w:val="center"/>
        <w:rPr>
          <w:rFonts w:eastAsia="Calibri"/>
          <w:b/>
          <w:bCs/>
          <w:color w:val="000000"/>
          <w:lang w:val="es-ES" w:eastAsia="en-US"/>
        </w:rPr>
      </w:pPr>
      <w:r w:rsidRPr="001147F5">
        <w:rPr>
          <w:rFonts w:eastAsia="Calibri"/>
          <w:b/>
          <w:noProof/>
          <w:color w:val="000000"/>
          <w:lang w:val="es-ES" w:eastAsia="en-US"/>
        </w:rPr>
        <w:drawing>
          <wp:inline distT="0" distB="0" distL="0" distR="0" wp14:anchorId="22F6A854" wp14:editId="3799AA03">
            <wp:extent cx="5048250" cy="5257800"/>
            <wp:effectExtent l="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0" cy="5257800"/>
                    </a:xfrm>
                    <a:prstGeom prst="rect">
                      <a:avLst/>
                    </a:prstGeom>
                    <a:noFill/>
                    <a:ln>
                      <a:noFill/>
                    </a:ln>
                  </pic:spPr>
                </pic:pic>
              </a:graphicData>
            </a:graphic>
          </wp:inline>
        </w:drawing>
      </w:r>
    </w:p>
    <w:p w14:paraId="1318ED76" w14:textId="77777777" w:rsidR="001147F5" w:rsidRPr="001147F5" w:rsidRDefault="001147F5" w:rsidP="001147F5">
      <w:pPr>
        <w:spacing w:line="360" w:lineRule="auto"/>
        <w:jc w:val="center"/>
        <w:rPr>
          <w:rFonts w:eastAsia="Calibri"/>
          <w:bCs/>
          <w:color w:val="000000"/>
          <w:sz w:val="22"/>
          <w:szCs w:val="22"/>
          <w:lang w:val="es-ES" w:eastAsia="en-US"/>
        </w:rPr>
      </w:pPr>
      <w:r w:rsidRPr="001147F5">
        <w:rPr>
          <w:rFonts w:eastAsia="Calibri"/>
          <w:b/>
          <w:bCs/>
          <w:color w:val="000000"/>
          <w:sz w:val="22"/>
          <w:szCs w:val="22"/>
          <w:lang w:val="es-ES" w:eastAsia="en-US"/>
        </w:rPr>
        <w:t xml:space="preserve">Fig. 3 - </w:t>
      </w:r>
      <w:r w:rsidRPr="001147F5">
        <w:rPr>
          <w:rFonts w:eastAsia="Calibri"/>
          <w:bCs/>
          <w:color w:val="000000"/>
          <w:sz w:val="22"/>
          <w:szCs w:val="22"/>
          <w:lang w:val="es-ES" w:eastAsia="en-US"/>
        </w:rPr>
        <w:t>Mortalidad precoz de los pacientes con choque hemorrágico traumático.</w:t>
      </w:r>
    </w:p>
    <w:p w14:paraId="3E5A8D51" w14:textId="77777777" w:rsidR="001147F5" w:rsidRPr="001147F5" w:rsidRDefault="001147F5" w:rsidP="001147F5">
      <w:pPr>
        <w:spacing w:line="360" w:lineRule="auto"/>
        <w:jc w:val="center"/>
        <w:rPr>
          <w:rFonts w:eastAsia="Calibri"/>
          <w:bCs/>
          <w:color w:val="000000"/>
          <w:lang w:val="es-ES" w:eastAsia="en-US"/>
        </w:rPr>
      </w:pPr>
    </w:p>
    <w:p w14:paraId="32EC35A1" w14:textId="77777777" w:rsidR="001147F5" w:rsidRPr="001147F5" w:rsidRDefault="001147F5" w:rsidP="001147F5">
      <w:pPr>
        <w:spacing w:line="360" w:lineRule="auto"/>
        <w:jc w:val="center"/>
        <w:rPr>
          <w:rFonts w:eastAsia="Calibri"/>
          <w:bCs/>
          <w:color w:val="000000"/>
          <w:lang w:val="es-ES" w:eastAsia="en-US"/>
        </w:rPr>
      </w:pPr>
    </w:p>
    <w:p w14:paraId="3CBBA87A" w14:textId="77777777" w:rsidR="004252C3" w:rsidRDefault="004252C3">
      <w:pPr>
        <w:rPr>
          <w:rFonts w:eastAsia="Calibri"/>
          <w:b/>
          <w:sz w:val="32"/>
          <w:szCs w:val="32"/>
          <w:lang w:val="es-ES" w:eastAsia="en-US"/>
        </w:rPr>
      </w:pPr>
      <w:r>
        <w:rPr>
          <w:rFonts w:eastAsia="Calibri"/>
          <w:b/>
          <w:sz w:val="32"/>
          <w:szCs w:val="32"/>
          <w:lang w:val="es-ES" w:eastAsia="en-US"/>
        </w:rPr>
        <w:br w:type="page"/>
      </w:r>
    </w:p>
    <w:p w14:paraId="2AD23183" w14:textId="3CC06A52" w:rsidR="001147F5" w:rsidRPr="001147F5" w:rsidRDefault="001147F5" w:rsidP="001147F5">
      <w:pPr>
        <w:spacing w:line="360" w:lineRule="auto"/>
        <w:jc w:val="center"/>
        <w:rPr>
          <w:rFonts w:eastAsia="Calibri"/>
          <w:b/>
          <w:sz w:val="32"/>
          <w:szCs w:val="32"/>
          <w:lang w:val="es-ES" w:eastAsia="en-US"/>
        </w:rPr>
      </w:pPr>
      <w:r w:rsidRPr="001147F5">
        <w:rPr>
          <w:rFonts w:eastAsia="Calibri"/>
          <w:b/>
          <w:sz w:val="32"/>
          <w:szCs w:val="32"/>
          <w:lang w:val="es-ES" w:eastAsia="en-US"/>
        </w:rPr>
        <w:lastRenderedPageBreak/>
        <w:t>DISCUSIÓN</w:t>
      </w:r>
    </w:p>
    <w:p w14:paraId="5CC24821"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La descripción de las características de los pacientes con </w:t>
      </w:r>
      <w:r w:rsidRPr="001147F5">
        <w:rPr>
          <w:rFonts w:eastAsia="Calibri"/>
          <w:bCs/>
          <w:color w:val="000000"/>
          <w:lang w:val="es-ES" w:eastAsia="en-US"/>
        </w:rPr>
        <w:t>choque hemorrágico traumático</w:t>
      </w:r>
      <w:r w:rsidRPr="001147F5">
        <w:rPr>
          <w:rFonts w:eastAsia="Calibri"/>
          <w:lang w:val="es-ES" w:eastAsia="en-US"/>
        </w:rPr>
        <w:t xml:space="preserve"> en la provincia de Sancti Spíritus entre enero del 2012 y diciembre del 2017 permitió una primera aproximación al problema de salud en el territorio. </w:t>
      </w:r>
      <w:r w:rsidRPr="001147F5">
        <w:rPr>
          <w:rFonts w:eastAsia="Calibri"/>
          <w:bCs/>
          <w:color w:val="000000"/>
          <w:lang w:val="es-ES" w:eastAsia="en-US"/>
        </w:rPr>
        <w:t xml:space="preserve">En la investigación se observó un predominio del sexo masculino y el grupo etario menor de 60 años, elementos que coinciden con múltiples investigaciones que reportan la alta incidencia del </w:t>
      </w:r>
      <w:r w:rsidRPr="001147F5">
        <w:rPr>
          <w:rFonts w:eastAsia="Calibri"/>
          <w:lang w:val="es-ES" w:eastAsia="en-US"/>
        </w:rPr>
        <w:t>choque hemorrágico traumático</w:t>
      </w:r>
      <w:r w:rsidRPr="001147F5">
        <w:rPr>
          <w:rFonts w:eastAsia="Calibri"/>
          <w:bCs/>
          <w:color w:val="000000"/>
          <w:lang w:val="es-ES" w:eastAsia="en-US"/>
        </w:rPr>
        <w:t xml:space="preserve"> en pacientes jóvenes, menores de 45 años, masculinos y en edad productiva; además existe un alto índice de </w:t>
      </w:r>
      <w:proofErr w:type="gramStart"/>
      <w:r w:rsidRPr="001147F5">
        <w:rPr>
          <w:rFonts w:eastAsia="Calibri"/>
          <w:bCs/>
          <w:color w:val="000000"/>
          <w:lang w:val="es-ES" w:eastAsia="en-US"/>
        </w:rPr>
        <w:t>letalidad.</w:t>
      </w:r>
      <w:r w:rsidRPr="001147F5">
        <w:rPr>
          <w:rFonts w:eastAsia="Calibri"/>
          <w:vertAlign w:val="superscript"/>
          <w:lang w:val="es-ES" w:eastAsia="en-US"/>
        </w:rPr>
        <w:t>(</w:t>
      </w:r>
      <w:proofErr w:type="gramEnd"/>
      <w:r w:rsidRPr="001147F5">
        <w:rPr>
          <w:rFonts w:eastAsia="Calibri"/>
          <w:vertAlign w:val="superscript"/>
          <w:lang w:val="es-ES" w:eastAsia="en-US"/>
        </w:rPr>
        <w:t>1,2,14)</w:t>
      </w:r>
    </w:p>
    <w:p w14:paraId="2455F627"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bCs/>
          <w:color w:val="000000"/>
          <w:lang w:val="es-ES" w:eastAsia="en-US"/>
        </w:rPr>
        <w:t xml:space="preserve">Hay que destacar que la incidencia del choque hemorrágico traumático en pacientes geriátricos ha aumentado en las últimas décadas. El 25 % de los pacientes con criterios de ingreso hospitalario debido a </w:t>
      </w:r>
      <w:r w:rsidRPr="001147F5">
        <w:rPr>
          <w:rFonts w:eastAsia="Calibri"/>
          <w:lang w:val="es-ES" w:eastAsia="en-US"/>
        </w:rPr>
        <w:t xml:space="preserve">choque hemorrágico traumático </w:t>
      </w:r>
      <w:r w:rsidRPr="001147F5">
        <w:rPr>
          <w:rFonts w:eastAsia="Calibri"/>
          <w:bCs/>
          <w:color w:val="000000"/>
          <w:lang w:val="es-ES" w:eastAsia="en-US"/>
        </w:rPr>
        <w:t xml:space="preserve">tienen 65 años o más, para el 2050 estas cifras pueden llegar al 40 %. En este grupo etario el mecanismo lesional puede ser de baja energía y el cuadro clínico, en ocasiones, no se correlaciona con la gravedad del trauma, situación que favorece el incremento de la mortalidad en estos </w:t>
      </w:r>
      <w:proofErr w:type="gramStart"/>
      <w:r w:rsidRPr="001147F5">
        <w:rPr>
          <w:rFonts w:eastAsia="Calibri"/>
          <w:bCs/>
          <w:color w:val="000000"/>
          <w:lang w:val="es-ES" w:eastAsia="en-US"/>
        </w:rPr>
        <w:t>pacientes.</w:t>
      </w:r>
      <w:r w:rsidRPr="001147F5">
        <w:rPr>
          <w:rFonts w:eastAsia="Calibri"/>
          <w:vertAlign w:val="superscript"/>
          <w:lang w:val="es-ES" w:eastAsia="en-US"/>
        </w:rPr>
        <w:t>(</w:t>
      </w:r>
      <w:proofErr w:type="gramEnd"/>
      <w:r w:rsidRPr="001147F5">
        <w:rPr>
          <w:rFonts w:eastAsia="Calibri"/>
          <w:vertAlign w:val="superscript"/>
          <w:lang w:val="es-ES" w:eastAsia="en-US"/>
        </w:rPr>
        <w:t>1,2,4,14)</w:t>
      </w:r>
    </w:p>
    <w:p w14:paraId="10D0F9AE" w14:textId="77777777" w:rsidR="001147F5" w:rsidRPr="001147F5" w:rsidRDefault="001147F5" w:rsidP="001147F5">
      <w:pPr>
        <w:spacing w:line="360" w:lineRule="auto"/>
        <w:jc w:val="both"/>
        <w:rPr>
          <w:rFonts w:eastAsia="Calibri"/>
          <w:bCs/>
          <w:color w:val="000000"/>
          <w:lang w:val="es-ES" w:eastAsia="en-US"/>
        </w:rPr>
      </w:pPr>
      <w:r w:rsidRPr="001147F5">
        <w:rPr>
          <w:rFonts w:eastAsia="Calibri"/>
          <w:bCs/>
          <w:color w:val="000000"/>
          <w:lang w:val="es-ES" w:eastAsia="en-US"/>
        </w:rPr>
        <w:t xml:space="preserve">Las enfermedades crónicas incrementan el porcentaje de muertes en pacientes con choque hemorrágico traumático, situación que se vio reflejada en el presente estudio, la literatura </w:t>
      </w:r>
      <w:proofErr w:type="gramStart"/>
      <w:r w:rsidRPr="001147F5">
        <w:rPr>
          <w:rFonts w:eastAsia="Calibri"/>
          <w:bCs/>
          <w:color w:val="000000"/>
          <w:lang w:val="es-ES" w:eastAsia="en-US"/>
        </w:rPr>
        <w:t>reporta</w:t>
      </w:r>
      <w:r w:rsidRPr="001147F5">
        <w:rPr>
          <w:rFonts w:eastAsia="Calibri"/>
          <w:bCs/>
          <w:color w:val="000000"/>
          <w:vertAlign w:val="superscript"/>
          <w:lang w:val="es-ES" w:eastAsia="en-US"/>
        </w:rPr>
        <w:t>(</w:t>
      </w:r>
      <w:proofErr w:type="gramEnd"/>
      <w:r w:rsidRPr="001147F5">
        <w:rPr>
          <w:rFonts w:eastAsia="Calibri"/>
          <w:bCs/>
          <w:color w:val="000000"/>
          <w:vertAlign w:val="superscript"/>
          <w:lang w:val="es-ES" w:eastAsia="en-US"/>
        </w:rPr>
        <w:t xml:space="preserve">26) </w:t>
      </w:r>
      <w:r w:rsidRPr="001147F5">
        <w:rPr>
          <w:rFonts w:eastAsia="Calibri"/>
          <w:bCs/>
          <w:color w:val="000000"/>
          <w:lang w:val="es-ES" w:eastAsia="en-US"/>
        </w:rPr>
        <w:t xml:space="preserve">que la hipertensión arterial influye en el mal pronóstico de estos pacientes, por provocar daño endotelial en las grandes, pequeñas arterias y arteriolas, además constituye el factor de riesgo más importante para otras enfermedades crónicas. La diabetes mellitus contribuye a la aparición de infecciones por deterioro inmunológico, se correlaciona más con las muertes tardías. La ingestión de anticoagulantes orales o antiagregantes plaquetarios define un subgrupo de pacientes traumatizados con mayor riesgo de </w:t>
      </w:r>
      <w:proofErr w:type="gramStart"/>
      <w:r w:rsidRPr="001147F5">
        <w:rPr>
          <w:rFonts w:eastAsia="Calibri"/>
          <w:bCs/>
          <w:color w:val="000000"/>
          <w:lang w:val="es-ES" w:eastAsia="en-US"/>
        </w:rPr>
        <w:t>muerte.</w:t>
      </w:r>
      <w:r w:rsidRPr="001147F5">
        <w:rPr>
          <w:rFonts w:eastAsia="Calibri"/>
          <w:vertAlign w:val="superscript"/>
          <w:lang w:val="es-ES" w:eastAsia="en-US"/>
        </w:rPr>
        <w:t>(</w:t>
      </w:r>
      <w:proofErr w:type="gramEnd"/>
      <w:r w:rsidRPr="001147F5">
        <w:rPr>
          <w:rFonts w:eastAsia="Calibri"/>
          <w:vertAlign w:val="superscript"/>
          <w:lang w:val="es-ES" w:eastAsia="en-US"/>
        </w:rPr>
        <w:t>4,26)</w:t>
      </w:r>
    </w:p>
    <w:p w14:paraId="3C0754F0" w14:textId="77777777" w:rsidR="001147F5" w:rsidRPr="001147F5" w:rsidRDefault="001147F5" w:rsidP="001147F5">
      <w:pPr>
        <w:spacing w:line="360" w:lineRule="auto"/>
        <w:jc w:val="both"/>
        <w:rPr>
          <w:rFonts w:eastAsia="Calibri"/>
          <w:bCs/>
          <w:color w:val="000000"/>
          <w:lang w:val="es-ES" w:eastAsia="en-US"/>
        </w:rPr>
      </w:pPr>
      <w:r w:rsidRPr="001147F5">
        <w:rPr>
          <w:rFonts w:eastAsia="Calibri"/>
          <w:bCs/>
          <w:color w:val="000000"/>
          <w:lang w:val="es-ES" w:eastAsia="en-US"/>
        </w:rPr>
        <w:t xml:space="preserve">El </w:t>
      </w:r>
      <w:r w:rsidRPr="001147F5">
        <w:rPr>
          <w:rFonts w:eastAsia="Calibri"/>
          <w:lang w:val="es-ES" w:eastAsia="en-US"/>
        </w:rPr>
        <w:t>choque hemorrágico traumático</w:t>
      </w:r>
      <w:r w:rsidRPr="001147F5">
        <w:rPr>
          <w:rFonts w:eastAsia="Calibri"/>
          <w:bCs/>
          <w:color w:val="000000"/>
          <w:lang w:val="es-ES" w:eastAsia="en-US"/>
        </w:rPr>
        <w:t xml:space="preserve"> con frecuencia suele ser el resultado de un alto impacto energético; no es sorprendente que los accidentes de tránsito predominen como el mecanismo lesional principal en el mundo, elemento que coincide con la presente investigación. En lugares donde la violencia interpersonal es habitual y las armas de fuego son de uso común, el trauma intencional es una causa importante de hospitalización y </w:t>
      </w:r>
      <w:proofErr w:type="gramStart"/>
      <w:r w:rsidRPr="001147F5">
        <w:rPr>
          <w:rFonts w:eastAsia="Calibri"/>
          <w:bCs/>
          <w:color w:val="000000"/>
          <w:lang w:val="es-ES" w:eastAsia="en-US"/>
        </w:rPr>
        <w:t>muerte.</w:t>
      </w:r>
      <w:r w:rsidRPr="001147F5">
        <w:rPr>
          <w:rFonts w:eastAsia="Calibri"/>
          <w:vertAlign w:val="superscript"/>
          <w:lang w:val="es-ES" w:eastAsia="en-US"/>
        </w:rPr>
        <w:t>(</w:t>
      </w:r>
      <w:proofErr w:type="gramEnd"/>
      <w:r w:rsidRPr="001147F5">
        <w:rPr>
          <w:rFonts w:eastAsia="Calibri"/>
          <w:vertAlign w:val="superscript"/>
          <w:lang w:val="es-ES" w:eastAsia="en-US"/>
        </w:rPr>
        <w:t>1,2,4)</w:t>
      </w:r>
    </w:p>
    <w:p w14:paraId="00525508"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Los accidentes de tránsito originan anualmente el 35 % de los fallecidos en el mundo; para el 2030 se prevén cifras de 2 millones de fallecidos por esta </w:t>
      </w:r>
      <w:proofErr w:type="gramStart"/>
      <w:r w:rsidRPr="001147F5">
        <w:rPr>
          <w:rFonts w:eastAsia="Calibri"/>
          <w:lang w:val="es-ES" w:eastAsia="en-US"/>
        </w:rPr>
        <w:t>causa.</w:t>
      </w:r>
      <w:r w:rsidRPr="001147F5">
        <w:rPr>
          <w:rFonts w:eastAsia="Calibri"/>
          <w:vertAlign w:val="superscript"/>
          <w:lang w:val="es-ES" w:eastAsia="en-US"/>
        </w:rPr>
        <w:t>(</w:t>
      </w:r>
      <w:proofErr w:type="gramEnd"/>
      <w:r w:rsidRPr="001147F5">
        <w:rPr>
          <w:rFonts w:eastAsia="Calibri"/>
          <w:vertAlign w:val="superscript"/>
          <w:lang w:val="es-ES" w:eastAsia="en-US"/>
        </w:rPr>
        <w:t>27,28)</w:t>
      </w:r>
    </w:p>
    <w:p w14:paraId="7194BF36" w14:textId="77777777" w:rsidR="001147F5" w:rsidRPr="001147F5" w:rsidRDefault="001147F5" w:rsidP="001147F5">
      <w:pPr>
        <w:spacing w:line="360" w:lineRule="auto"/>
        <w:jc w:val="both"/>
        <w:rPr>
          <w:rFonts w:eastAsia="Calibri"/>
          <w:bCs/>
          <w:color w:val="000000"/>
          <w:vertAlign w:val="superscript"/>
          <w:lang w:val="es-ES" w:eastAsia="en-US"/>
        </w:rPr>
      </w:pPr>
      <w:r w:rsidRPr="001147F5">
        <w:rPr>
          <w:rFonts w:eastAsia="Calibri"/>
          <w:bCs/>
          <w:color w:val="000000"/>
          <w:lang w:val="es-ES" w:eastAsia="en-US"/>
        </w:rPr>
        <w:lastRenderedPageBreak/>
        <w:t xml:space="preserve">La incidencia del tipo de trauma es variable, depende del mecanismo lesional que predomine. En la presente investigación el trauma contuso tuvo mayor incidencia, en correspondencia con los accidentes de tránsito. Los pacientes con </w:t>
      </w:r>
      <w:r w:rsidRPr="001147F5">
        <w:rPr>
          <w:rFonts w:eastAsia="Calibri"/>
          <w:lang w:val="es-ES" w:eastAsia="en-US"/>
        </w:rPr>
        <w:t>choque hemorrágico traumático</w:t>
      </w:r>
      <w:r w:rsidRPr="001147F5">
        <w:rPr>
          <w:rFonts w:eastAsia="Calibri"/>
          <w:bCs/>
          <w:color w:val="000000"/>
          <w:lang w:val="es-ES" w:eastAsia="en-US"/>
        </w:rPr>
        <w:t xml:space="preserve"> debido a traumas penetrantes pueden morir en 60 minutos, al asociarse a hemorragias masivas; los traumas contusos tienen menor influencia en las muertes inmediatas, porque la hemorragia puede ser de menor </w:t>
      </w:r>
      <w:proofErr w:type="gramStart"/>
      <w:r w:rsidRPr="001147F5">
        <w:rPr>
          <w:rFonts w:eastAsia="Calibri"/>
          <w:bCs/>
          <w:color w:val="000000"/>
          <w:lang w:val="es-ES" w:eastAsia="en-US"/>
        </w:rPr>
        <w:t>cuantía.</w:t>
      </w:r>
      <w:r w:rsidRPr="001147F5">
        <w:rPr>
          <w:rFonts w:eastAsia="Calibri"/>
          <w:vertAlign w:val="superscript"/>
          <w:lang w:val="es-ES" w:eastAsia="en-US"/>
        </w:rPr>
        <w:t>(</w:t>
      </w:r>
      <w:proofErr w:type="gramEnd"/>
      <w:r w:rsidRPr="001147F5">
        <w:rPr>
          <w:rFonts w:eastAsia="Calibri"/>
          <w:vertAlign w:val="superscript"/>
          <w:lang w:val="es-ES" w:eastAsia="en-US"/>
        </w:rPr>
        <w:t>1,2,4,14)</w:t>
      </w:r>
    </w:p>
    <w:p w14:paraId="72787A5E" w14:textId="77777777" w:rsidR="001147F5" w:rsidRPr="001147F5" w:rsidRDefault="001147F5" w:rsidP="001147F5">
      <w:pPr>
        <w:spacing w:line="360" w:lineRule="auto"/>
        <w:jc w:val="both"/>
        <w:rPr>
          <w:rFonts w:eastAsia="Calibri"/>
          <w:bCs/>
          <w:color w:val="000000"/>
          <w:lang w:val="es-ES" w:eastAsia="en-US"/>
        </w:rPr>
      </w:pPr>
      <w:r w:rsidRPr="001147F5">
        <w:rPr>
          <w:rFonts w:eastAsia="Calibri"/>
          <w:bCs/>
          <w:color w:val="000000"/>
          <w:lang w:val="es-ES" w:eastAsia="en-US"/>
        </w:rPr>
        <w:t xml:space="preserve">Los politraumatizados se asocian con frecuencia a choque hemorrágico traumático y a muerte </w:t>
      </w:r>
      <w:proofErr w:type="gramStart"/>
      <w:r w:rsidRPr="001147F5">
        <w:rPr>
          <w:rFonts w:eastAsia="Calibri"/>
          <w:bCs/>
          <w:color w:val="000000"/>
          <w:lang w:val="es-ES" w:eastAsia="en-US"/>
        </w:rPr>
        <w:t>precoz,</w:t>
      </w:r>
      <w:r w:rsidRPr="001147F5">
        <w:rPr>
          <w:rFonts w:eastAsia="Calibri"/>
          <w:vertAlign w:val="superscript"/>
          <w:lang w:val="es-ES" w:eastAsia="en-US"/>
        </w:rPr>
        <w:t>(</w:t>
      </w:r>
      <w:proofErr w:type="gramEnd"/>
      <w:r w:rsidRPr="001147F5">
        <w:rPr>
          <w:rFonts w:eastAsia="Calibri"/>
          <w:vertAlign w:val="superscript"/>
          <w:lang w:val="es-ES" w:eastAsia="en-US"/>
        </w:rPr>
        <w:t xml:space="preserve">1,2,4,14) </w:t>
      </w:r>
      <w:r w:rsidRPr="001147F5">
        <w:rPr>
          <w:rFonts w:eastAsia="Calibri"/>
          <w:bCs/>
          <w:color w:val="000000"/>
          <w:lang w:val="es-ES" w:eastAsia="en-US"/>
        </w:rPr>
        <w:t xml:space="preserve">situación que coincide con la actual investigación. </w:t>
      </w:r>
      <w:r w:rsidRPr="001147F5">
        <w:rPr>
          <w:rFonts w:eastAsia="Calibri"/>
          <w:bCs/>
          <w:i/>
          <w:color w:val="000000"/>
          <w:lang w:val="es-ES" w:eastAsia="en-US"/>
        </w:rPr>
        <w:t xml:space="preserve">Martínez F </w:t>
      </w:r>
      <w:r w:rsidRPr="001147F5">
        <w:rPr>
          <w:rFonts w:eastAsia="Calibri"/>
          <w:bCs/>
          <w:iCs/>
          <w:color w:val="000000"/>
          <w:lang w:val="es-ES" w:eastAsia="en-US"/>
        </w:rPr>
        <w:t xml:space="preserve">y </w:t>
      </w:r>
      <w:proofErr w:type="gramStart"/>
      <w:r w:rsidRPr="001147F5">
        <w:rPr>
          <w:rFonts w:eastAsia="Calibri"/>
          <w:bCs/>
          <w:iCs/>
          <w:color w:val="000000"/>
          <w:lang w:val="es-ES" w:eastAsia="en-US"/>
        </w:rPr>
        <w:t>otros</w:t>
      </w:r>
      <w:r w:rsidRPr="001147F5">
        <w:rPr>
          <w:rFonts w:eastAsia="Calibri"/>
          <w:bCs/>
          <w:color w:val="000000"/>
          <w:vertAlign w:val="superscript"/>
          <w:lang w:val="es-ES" w:eastAsia="en-US"/>
        </w:rPr>
        <w:t>(</w:t>
      </w:r>
      <w:proofErr w:type="gramEnd"/>
      <w:r w:rsidRPr="001147F5">
        <w:rPr>
          <w:rFonts w:eastAsia="Calibri"/>
          <w:bCs/>
          <w:color w:val="000000"/>
          <w:vertAlign w:val="superscript"/>
          <w:lang w:val="es-ES" w:eastAsia="en-US"/>
        </w:rPr>
        <w:t>29)</w:t>
      </w:r>
      <w:r w:rsidRPr="001147F5">
        <w:rPr>
          <w:rFonts w:eastAsia="Calibri"/>
          <w:bCs/>
          <w:color w:val="000000"/>
          <w:lang w:val="es-ES" w:eastAsia="en-US"/>
        </w:rPr>
        <w:t xml:space="preserve"> demuestran mayor mortalidad en pacientes con asociación de lesiones hemorrágicas graves. Otras localizaciones topográficas del trauma son en tórax y abdomen, responsables del 25 % y el 10 % del total de muertes respectivamente.</w:t>
      </w:r>
      <w:r w:rsidRPr="001147F5">
        <w:rPr>
          <w:rFonts w:eastAsia="Calibri"/>
          <w:bCs/>
          <w:color w:val="000000"/>
          <w:vertAlign w:val="superscript"/>
          <w:lang w:val="es-ES" w:eastAsia="en-US"/>
        </w:rPr>
        <w:fldChar w:fldCharType="begin"/>
      </w:r>
      <w:r w:rsidRPr="001147F5">
        <w:rPr>
          <w:rFonts w:eastAsia="Calibri"/>
          <w:bCs/>
          <w:color w:val="000000"/>
          <w:vertAlign w:val="superscript"/>
          <w:lang w:val="es-ES" w:eastAsia="en-US"/>
        </w:rPr>
        <w:instrText xml:space="preserve"> ADDIN EN.CITE &lt;EndNote&gt;&lt;Cite&gt;&lt;Author&gt;206-Larrea Fabra ME&lt;/Author&gt;&lt;RecNum&gt;212&lt;/RecNum&gt;&lt;DisplayText&gt;(27)&lt;/DisplayText&gt;&lt;record&gt;&lt;rec-number&gt;212&lt;/rec-number&gt;&lt;foreign-keys&gt;&lt;key app="EN" db-id="esvxwdpwzxf5e8ewersx5fabfrwpzz095rwx"&gt;212&lt;/key&gt;&lt;/foreign-keys&gt;&lt;ref-type name="Journal Article"&gt;17&lt;/ref-type&gt;&lt;contributors&gt;&lt;authors&gt;&lt;author&gt;206-Larrea Fabra ME,&lt;/author&gt;&lt;/authors&gt;&lt;/contributors&gt;&lt;titles&gt;&lt;title&gt; Trauma torácico y abdominal: caracterización: consideraciones para un mejor diagnóstico y tratamiento. La Habana : Editorial Universitaria. 2015 :586. ISBN 978-959-16253. Disponible en: https://europepmc.org/article/med/8540137 &lt;/title&gt;&lt;/titles&gt;&lt;dates&gt;&lt;/dates&gt;&lt;urls&gt;&lt;related-urls&gt;&lt;url&gt;2015&lt;/url&gt;&lt;/related-urls&gt;&lt;/urls&gt;&lt;/record&gt;&lt;/Cite&gt;&lt;/EndNote&gt;</w:instrText>
      </w:r>
      <w:r w:rsidRPr="001147F5">
        <w:rPr>
          <w:rFonts w:eastAsia="Calibri"/>
          <w:bCs/>
          <w:color w:val="000000"/>
          <w:vertAlign w:val="superscript"/>
          <w:lang w:val="es-ES" w:eastAsia="en-US"/>
        </w:rPr>
        <w:fldChar w:fldCharType="separate"/>
      </w:r>
      <w:r w:rsidRPr="001147F5">
        <w:rPr>
          <w:rFonts w:eastAsia="Calibri"/>
          <w:bCs/>
          <w:noProof/>
          <w:color w:val="000000"/>
          <w:vertAlign w:val="superscript"/>
          <w:lang w:val="es-ES" w:eastAsia="en-US"/>
        </w:rPr>
        <w:t>(30)</w:t>
      </w:r>
      <w:r w:rsidRPr="001147F5">
        <w:rPr>
          <w:rFonts w:eastAsia="Calibri"/>
          <w:bCs/>
          <w:color w:val="000000"/>
          <w:vertAlign w:val="superscript"/>
          <w:lang w:val="es-ES" w:eastAsia="en-US"/>
        </w:rPr>
        <w:fldChar w:fldCharType="end"/>
      </w:r>
      <w:r w:rsidRPr="001147F5">
        <w:rPr>
          <w:rFonts w:eastAsia="Calibri"/>
          <w:bCs/>
          <w:color w:val="000000"/>
          <w:lang w:val="es-ES" w:eastAsia="en-US"/>
        </w:rPr>
        <w:t xml:space="preserve"> </w:t>
      </w:r>
    </w:p>
    <w:p w14:paraId="12FB6B33"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Múltiples </w:t>
      </w:r>
      <w:proofErr w:type="gramStart"/>
      <w:r w:rsidRPr="001147F5">
        <w:rPr>
          <w:rFonts w:eastAsia="Calibri"/>
          <w:lang w:val="es-ES" w:eastAsia="en-US"/>
        </w:rPr>
        <w:t>estudios</w:t>
      </w:r>
      <w:r w:rsidRPr="001147F5">
        <w:rPr>
          <w:rFonts w:eastAsia="Calibri"/>
          <w:vertAlign w:val="superscript"/>
          <w:lang w:val="es-ES" w:eastAsia="en-US"/>
        </w:rPr>
        <w:t>(</w:t>
      </w:r>
      <w:proofErr w:type="gramEnd"/>
      <w:r w:rsidRPr="001147F5">
        <w:rPr>
          <w:rFonts w:eastAsia="Calibri"/>
          <w:vertAlign w:val="superscript"/>
          <w:lang w:val="es-ES" w:eastAsia="en-US"/>
        </w:rPr>
        <w:t xml:space="preserve">1,2,3,4,5) </w:t>
      </w:r>
      <w:r w:rsidRPr="001147F5">
        <w:rPr>
          <w:rFonts w:eastAsia="Calibri"/>
          <w:lang w:val="es-ES" w:eastAsia="en-US"/>
        </w:rPr>
        <w:t xml:space="preserve"> sostienen que el 80 % de las muertes por </w:t>
      </w:r>
      <w:r w:rsidRPr="001147F5">
        <w:rPr>
          <w:rFonts w:eastAsia="Calibri"/>
          <w:bCs/>
          <w:color w:val="000000"/>
          <w:lang w:val="es-ES" w:eastAsia="en-US"/>
        </w:rPr>
        <w:t xml:space="preserve">choque hemorrágico traumático </w:t>
      </w:r>
      <w:r w:rsidRPr="001147F5">
        <w:rPr>
          <w:rFonts w:eastAsia="Calibri"/>
          <w:lang w:val="es-ES" w:eastAsia="en-US"/>
        </w:rPr>
        <w:t>ocurren en las primeras 24 horas, por la presencia de complicaciones precoces y choque irreversible.</w:t>
      </w:r>
      <w:r w:rsidRPr="001147F5">
        <w:rPr>
          <w:rFonts w:eastAsia="Calibri"/>
          <w:vertAlign w:val="superscript"/>
          <w:lang w:val="es-ES" w:eastAsia="en-US"/>
        </w:rPr>
        <w:t xml:space="preserve"> </w:t>
      </w:r>
      <w:r w:rsidRPr="001147F5">
        <w:rPr>
          <w:rFonts w:eastAsia="Calibri"/>
          <w:lang w:val="es-ES" w:eastAsia="en-US"/>
        </w:rPr>
        <w:t xml:space="preserve">En el actual estudio se observó un número considerable de pacientes con complicaciones precoces. El análisis multivariado realizado por </w:t>
      </w:r>
      <w:r w:rsidRPr="001147F5">
        <w:rPr>
          <w:rFonts w:eastAsia="Calibri"/>
          <w:i/>
          <w:lang w:val="es-ES" w:eastAsia="en-US"/>
        </w:rPr>
        <w:t xml:space="preserve">Labrada </w:t>
      </w:r>
      <w:proofErr w:type="spellStart"/>
      <w:r w:rsidRPr="001147F5">
        <w:rPr>
          <w:rFonts w:eastAsia="Calibri"/>
          <w:i/>
          <w:lang w:val="es-ES" w:eastAsia="en-US"/>
        </w:rPr>
        <w:t>Despaigne</w:t>
      </w:r>
      <w:proofErr w:type="spellEnd"/>
      <w:r w:rsidRPr="001147F5">
        <w:rPr>
          <w:rFonts w:eastAsia="Calibri"/>
          <w:i/>
          <w:lang w:val="es-ES" w:eastAsia="en-US"/>
        </w:rPr>
        <w:t xml:space="preserve"> </w:t>
      </w:r>
      <w:r w:rsidRPr="001147F5">
        <w:rPr>
          <w:rFonts w:eastAsia="Calibri"/>
          <w:iCs/>
          <w:lang w:val="es-ES" w:eastAsia="en-US"/>
        </w:rPr>
        <w:t xml:space="preserve">y </w:t>
      </w:r>
      <w:proofErr w:type="gramStart"/>
      <w:r w:rsidRPr="001147F5">
        <w:rPr>
          <w:rFonts w:eastAsia="Calibri"/>
          <w:iCs/>
          <w:lang w:val="es-ES" w:eastAsia="en-US"/>
        </w:rPr>
        <w:t>otros</w:t>
      </w:r>
      <w:r w:rsidRPr="001147F5">
        <w:rPr>
          <w:rFonts w:eastAsia="Calibri"/>
          <w:lang w:val="es-ES" w:eastAsia="en-US"/>
        </w:rPr>
        <w:t>,</w:t>
      </w:r>
      <w:r w:rsidRPr="001147F5">
        <w:rPr>
          <w:rFonts w:eastAsia="Calibri"/>
          <w:bCs/>
          <w:color w:val="000000"/>
          <w:vertAlign w:val="superscript"/>
          <w:lang w:val="es-ES" w:eastAsia="en-US"/>
        </w:rPr>
        <w:t>(</w:t>
      </w:r>
      <w:proofErr w:type="gramEnd"/>
      <w:r w:rsidRPr="001147F5">
        <w:rPr>
          <w:rFonts w:eastAsia="Calibri"/>
          <w:bCs/>
          <w:color w:val="000000"/>
          <w:vertAlign w:val="superscript"/>
          <w:lang w:val="es-ES" w:eastAsia="en-US"/>
        </w:rPr>
        <w:t xml:space="preserve">26) </w:t>
      </w:r>
      <w:r w:rsidRPr="001147F5">
        <w:rPr>
          <w:rFonts w:eastAsia="Calibri"/>
          <w:lang w:val="es-ES" w:eastAsia="en-US"/>
        </w:rPr>
        <w:t xml:space="preserve">confirma que la presencia de complicaciones por traumas, al ingreso, fue un predictor independiente de muerte; en un estudio analítico realizado por </w:t>
      </w:r>
      <w:r w:rsidRPr="001147F5">
        <w:rPr>
          <w:rFonts w:eastAsia="Calibri"/>
          <w:i/>
          <w:lang w:val="es-ES" w:eastAsia="en-US"/>
        </w:rPr>
        <w:t xml:space="preserve">Valdés Rodríguez </w:t>
      </w:r>
      <w:r w:rsidRPr="001147F5">
        <w:rPr>
          <w:rFonts w:eastAsia="Calibri"/>
          <w:iCs/>
          <w:lang w:val="es-ES" w:eastAsia="en-US"/>
        </w:rPr>
        <w:t>y otros</w:t>
      </w:r>
      <w:r w:rsidRPr="001147F5">
        <w:rPr>
          <w:rFonts w:eastAsia="Calibri"/>
          <w:lang w:val="es-ES" w:eastAsia="en-US"/>
        </w:rPr>
        <w:t>,</w:t>
      </w:r>
      <w:r w:rsidRPr="001147F5">
        <w:rPr>
          <w:rFonts w:eastAsia="Calibri"/>
          <w:vertAlign w:val="superscript"/>
          <w:lang w:val="es-ES" w:eastAsia="en-US"/>
        </w:rPr>
        <w:t>(31)</w:t>
      </w:r>
      <w:r w:rsidRPr="001147F5">
        <w:rPr>
          <w:rFonts w:eastAsia="Calibri"/>
          <w:lang w:val="es-ES" w:eastAsia="en-US"/>
        </w:rPr>
        <w:t xml:space="preserve"> obtuvo un árbol de decisión mediante el método </w:t>
      </w:r>
      <w:proofErr w:type="spellStart"/>
      <w:r w:rsidRPr="001147F5">
        <w:rPr>
          <w:rFonts w:eastAsia="Calibri"/>
          <w:lang w:val="es-ES" w:eastAsia="en-US"/>
        </w:rPr>
        <w:t>Chaid</w:t>
      </w:r>
      <w:proofErr w:type="spellEnd"/>
      <w:r w:rsidRPr="001147F5">
        <w:rPr>
          <w:rFonts w:eastAsia="Calibri"/>
          <w:lang w:val="es-ES" w:eastAsia="en-US"/>
        </w:rPr>
        <w:t xml:space="preserve"> exhaustivo, que demuestra la influencia de las complicaciones precoces en la mortalidad precoz de estos pacientes.</w:t>
      </w:r>
    </w:p>
    <w:p w14:paraId="524C5187"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t xml:space="preserve">El tratamiento de la hipotermia es un componente clave para lograr una adecuada evolución del paciente portador de choque hemorrágico traumático. La temperatura central menor de 35 </w:t>
      </w:r>
      <w:proofErr w:type="spellStart"/>
      <w:r w:rsidRPr="001147F5">
        <w:rPr>
          <w:rFonts w:eastAsia="Calibri"/>
          <w:vertAlign w:val="superscript"/>
          <w:lang w:val="es-ES" w:eastAsia="en-US"/>
        </w:rPr>
        <w:t>o</w:t>
      </w:r>
      <w:r w:rsidRPr="001147F5">
        <w:rPr>
          <w:rFonts w:eastAsia="Calibri"/>
          <w:lang w:val="es-ES" w:eastAsia="en-US"/>
        </w:rPr>
        <w:t>C</w:t>
      </w:r>
      <w:proofErr w:type="spellEnd"/>
      <w:r w:rsidRPr="001147F5">
        <w:rPr>
          <w:rFonts w:eastAsia="Calibri"/>
          <w:lang w:val="es-ES" w:eastAsia="en-US"/>
        </w:rPr>
        <w:t xml:space="preserve"> es un predictor de mortalidad, más aún si se asocia a coagulopatía aguda y acidosis </w:t>
      </w:r>
      <w:proofErr w:type="gramStart"/>
      <w:r w:rsidRPr="001147F5">
        <w:rPr>
          <w:rFonts w:eastAsia="Calibri"/>
          <w:lang w:val="es-ES" w:eastAsia="en-US"/>
        </w:rPr>
        <w:t>metabólica.</w:t>
      </w:r>
      <w:r w:rsidRPr="001147F5">
        <w:rPr>
          <w:rFonts w:eastAsia="Calibri"/>
          <w:vertAlign w:val="superscript"/>
          <w:lang w:val="es-ES" w:eastAsia="en-US"/>
        </w:rPr>
        <w:t>(</w:t>
      </w:r>
      <w:proofErr w:type="gramEnd"/>
      <w:r w:rsidRPr="001147F5">
        <w:rPr>
          <w:rFonts w:eastAsia="Calibri"/>
          <w:vertAlign w:val="superscript"/>
          <w:lang w:val="es-ES" w:eastAsia="en-US"/>
        </w:rPr>
        <w:t>1,2,3,4,5)</w:t>
      </w:r>
    </w:p>
    <w:p w14:paraId="54E08541"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Al ingreso hospitalario, un tercio de los pacientes con </w:t>
      </w:r>
      <w:r w:rsidRPr="001147F5">
        <w:rPr>
          <w:rFonts w:eastAsia="Calibri"/>
          <w:bCs/>
          <w:color w:val="000000"/>
          <w:lang w:val="es-ES" w:eastAsia="en-US"/>
        </w:rPr>
        <w:t>choque hemorrágico traumático</w:t>
      </w:r>
      <w:r w:rsidRPr="001147F5">
        <w:rPr>
          <w:rFonts w:eastAsia="Calibri"/>
          <w:lang w:val="es-ES" w:eastAsia="en-US"/>
        </w:rPr>
        <w:t xml:space="preserve"> muestran signos de </w:t>
      </w:r>
      <w:proofErr w:type="gramStart"/>
      <w:r w:rsidRPr="001147F5">
        <w:rPr>
          <w:rFonts w:eastAsia="Calibri"/>
          <w:lang w:val="es-ES" w:eastAsia="en-US"/>
        </w:rPr>
        <w:t>coagulopatía.</w:t>
      </w:r>
      <w:r w:rsidRPr="001147F5">
        <w:rPr>
          <w:rFonts w:eastAsia="Calibri"/>
          <w:vertAlign w:val="superscript"/>
          <w:lang w:val="es-ES" w:eastAsia="en-US"/>
        </w:rPr>
        <w:t>(</w:t>
      </w:r>
      <w:proofErr w:type="gramEnd"/>
      <w:r w:rsidRPr="001147F5">
        <w:rPr>
          <w:rFonts w:eastAsia="Calibri"/>
          <w:vertAlign w:val="superscript"/>
          <w:lang w:val="es-ES" w:eastAsia="en-US"/>
        </w:rPr>
        <w:t xml:space="preserve">1,2,3,4,5) </w:t>
      </w:r>
      <w:r w:rsidRPr="001147F5">
        <w:rPr>
          <w:rFonts w:eastAsia="Calibri"/>
          <w:lang w:val="es-ES" w:eastAsia="en-US"/>
        </w:rPr>
        <w:t xml:space="preserve">En la presente investigación, la mitad de los pacientes presentaron coagulopatía aguda. </w:t>
      </w:r>
    </w:p>
    <w:p w14:paraId="4464E6F4"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t xml:space="preserve">La gravedad del trastorno de la coagulación está influenciada por factores ambientales, terapéuticos y por propios del paciente, como edad, antecedentes genéticos, antecedentes de enfermedades crónicas, medicación con anticoagulantes orales y la administración de </w:t>
      </w:r>
      <w:proofErr w:type="gramStart"/>
      <w:r w:rsidRPr="001147F5">
        <w:rPr>
          <w:rFonts w:eastAsia="Calibri"/>
          <w:lang w:val="es-ES" w:eastAsia="en-US"/>
        </w:rPr>
        <w:t>cristaloides.</w:t>
      </w:r>
      <w:r w:rsidRPr="001147F5">
        <w:rPr>
          <w:rFonts w:eastAsia="Calibri"/>
          <w:vertAlign w:val="superscript"/>
          <w:lang w:val="es-ES" w:eastAsia="en-US"/>
        </w:rPr>
        <w:t>(</w:t>
      </w:r>
      <w:proofErr w:type="gramEnd"/>
      <w:r w:rsidRPr="001147F5">
        <w:rPr>
          <w:rFonts w:eastAsia="Calibri"/>
          <w:vertAlign w:val="superscript"/>
          <w:lang w:val="es-ES" w:eastAsia="en-US"/>
        </w:rPr>
        <w:t>1,2,3,4,5)</w:t>
      </w:r>
    </w:p>
    <w:p w14:paraId="6DFCFE66"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lastRenderedPageBreak/>
        <w:t xml:space="preserve">La acidosis metabólica es un marcador de hipoxia tisular. Se ha demostrado que el incremento del nivel sérico de lactato al inicio del trauma está asociado a un aumento de la mortalidad. Su persistencia elevada o empeoramiento en las primeras 24 horas, es un predictor de mortalidad, incluso si el paciente está </w:t>
      </w:r>
      <w:proofErr w:type="spellStart"/>
      <w:r w:rsidRPr="001147F5">
        <w:rPr>
          <w:rFonts w:eastAsia="Calibri"/>
          <w:lang w:val="es-ES" w:eastAsia="en-US"/>
        </w:rPr>
        <w:t>hemodinámicamente</w:t>
      </w:r>
      <w:proofErr w:type="spellEnd"/>
      <w:r w:rsidRPr="001147F5">
        <w:rPr>
          <w:rFonts w:eastAsia="Calibri"/>
          <w:lang w:val="es-ES" w:eastAsia="en-US"/>
        </w:rPr>
        <w:t xml:space="preserve"> </w:t>
      </w:r>
      <w:proofErr w:type="gramStart"/>
      <w:r w:rsidRPr="001147F5">
        <w:rPr>
          <w:rFonts w:eastAsia="Calibri"/>
          <w:lang w:val="es-ES" w:eastAsia="en-US"/>
        </w:rPr>
        <w:t>estable.</w:t>
      </w:r>
      <w:r w:rsidRPr="001147F5">
        <w:rPr>
          <w:rFonts w:eastAsia="Calibri"/>
          <w:vertAlign w:val="superscript"/>
          <w:lang w:val="es-ES" w:eastAsia="en-US"/>
        </w:rPr>
        <w:t>(</w:t>
      </w:r>
      <w:proofErr w:type="gramEnd"/>
      <w:r w:rsidRPr="001147F5">
        <w:rPr>
          <w:rFonts w:eastAsia="Calibri"/>
          <w:vertAlign w:val="superscript"/>
          <w:lang w:val="es-ES" w:eastAsia="en-US"/>
        </w:rPr>
        <w:t>1,2,3,4,5)</w:t>
      </w:r>
    </w:p>
    <w:p w14:paraId="1DB86E24"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El tiempo entre ingreso y tratamiento definitivo que se constató en la actual investigación fue mayor que los reportados por otros </w:t>
      </w:r>
      <w:proofErr w:type="gramStart"/>
      <w:r w:rsidRPr="001147F5">
        <w:rPr>
          <w:rFonts w:eastAsia="Calibri"/>
          <w:lang w:val="es-ES" w:eastAsia="en-US"/>
        </w:rPr>
        <w:t>estudios,</w:t>
      </w:r>
      <w:r w:rsidRPr="001147F5">
        <w:rPr>
          <w:rFonts w:eastAsia="Calibri"/>
          <w:vertAlign w:val="superscript"/>
          <w:lang w:val="es-ES" w:eastAsia="en-US"/>
        </w:rPr>
        <w:t>(</w:t>
      </w:r>
      <w:proofErr w:type="gramEnd"/>
      <w:r w:rsidRPr="001147F5">
        <w:rPr>
          <w:rFonts w:eastAsia="Calibri"/>
          <w:vertAlign w:val="superscript"/>
          <w:lang w:val="es-ES" w:eastAsia="en-US"/>
        </w:rPr>
        <w:t xml:space="preserve">32) </w:t>
      </w:r>
      <w:r w:rsidRPr="001147F5">
        <w:rPr>
          <w:rFonts w:eastAsia="Calibri"/>
          <w:lang w:val="es-ES" w:eastAsia="en-US"/>
        </w:rPr>
        <w:t xml:space="preserve">hecho que en opinión de los autores, se debió a la ausencia de protocolos de actuación y guías de prácticas clínicas, que permiten estandarizar este aspecto de importancia vital en la evolución de los pacientes con choque hemorrágico traumático. </w:t>
      </w:r>
    </w:p>
    <w:p w14:paraId="476621E3"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t xml:space="preserve">En pacientes con choque hemorrágico traumático se ha observado una evolución desfavorable y tendencia a muertes precoces si el proceso diagnóstico-terapéutico óptimo se realiza después en las 3 primeras horas de ocurrido el </w:t>
      </w:r>
      <w:proofErr w:type="gramStart"/>
      <w:r w:rsidRPr="001147F5">
        <w:rPr>
          <w:rFonts w:eastAsia="Calibri"/>
          <w:lang w:val="es-ES" w:eastAsia="en-US"/>
        </w:rPr>
        <w:t>trauma.</w:t>
      </w:r>
      <w:r w:rsidRPr="001147F5">
        <w:rPr>
          <w:rFonts w:eastAsia="Calibri"/>
          <w:vertAlign w:val="superscript"/>
          <w:lang w:val="es-ES" w:eastAsia="en-US"/>
        </w:rPr>
        <w:t>(</w:t>
      </w:r>
      <w:proofErr w:type="gramEnd"/>
      <w:r w:rsidRPr="001147F5">
        <w:rPr>
          <w:rFonts w:eastAsia="Calibri"/>
          <w:vertAlign w:val="superscript"/>
          <w:lang w:val="es-ES" w:eastAsia="en-US"/>
        </w:rPr>
        <w:t>1,2,4,32)</w:t>
      </w:r>
    </w:p>
    <w:p w14:paraId="342ECDE5" w14:textId="77777777" w:rsidR="001147F5" w:rsidRPr="001147F5" w:rsidRDefault="001147F5" w:rsidP="001147F5">
      <w:pPr>
        <w:spacing w:line="360" w:lineRule="auto"/>
        <w:jc w:val="both"/>
        <w:rPr>
          <w:rFonts w:eastAsia="Calibri"/>
          <w:lang w:val="es-ES" w:eastAsia="en-US"/>
        </w:rPr>
      </w:pPr>
      <w:r w:rsidRPr="001147F5">
        <w:rPr>
          <w:rFonts w:eastAsia="Calibri"/>
          <w:i/>
          <w:lang w:val="es-ES" w:eastAsia="en-US"/>
        </w:rPr>
        <w:t xml:space="preserve">Meyer </w:t>
      </w:r>
      <w:r w:rsidRPr="001147F5">
        <w:rPr>
          <w:rFonts w:eastAsia="Calibri"/>
          <w:iCs/>
          <w:lang w:val="es-ES" w:eastAsia="en-US"/>
        </w:rPr>
        <w:t xml:space="preserve">y </w:t>
      </w:r>
      <w:proofErr w:type="gramStart"/>
      <w:r w:rsidRPr="001147F5">
        <w:rPr>
          <w:rFonts w:eastAsia="Calibri"/>
          <w:iCs/>
          <w:lang w:val="es-ES" w:eastAsia="en-US"/>
        </w:rPr>
        <w:t>otros</w:t>
      </w:r>
      <w:r w:rsidRPr="001147F5">
        <w:rPr>
          <w:rFonts w:eastAsia="Calibri"/>
          <w:vertAlign w:val="superscript"/>
          <w:lang w:val="es-ES" w:eastAsia="en-US"/>
        </w:rPr>
        <w:t>(</w:t>
      </w:r>
      <w:proofErr w:type="gramEnd"/>
      <w:r w:rsidRPr="001147F5">
        <w:rPr>
          <w:rFonts w:eastAsia="Calibri"/>
          <w:vertAlign w:val="superscript"/>
          <w:lang w:val="es-ES" w:eastAsia="en-US"/>
        </w:rPr>
        <w:t xml:space="preserve">32) </w:t>
      </w:r>
      <w:r w:rsidRPr="001147F5">
        <w:rPr>
          <w:rFonts w:eastAsia="Calibri"/>
          <w:lang w:val="es-ES" w:eastAsia="en-US"/>
        </w:rPr>
        <w:t>describen un aumento del 5 % de las probabilidades de morir, por cada minuto de retraso en la administración de hemoderivados, desde el momento del ingreso de los pacientes, concluye que el tiempo de recepción del paciente en la unidad de trauma y el tiempo de administración de sangre son factores de riesgo que influyen en la mortalidad.</w:t>
      </w:r>
    </w:p>
    <w:p w14:paraId="029D8829"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En la presente investigación, la modalidad de tratamiento médico-quirúrgico de control de daño se utilizó en un porcentaje reducido de pacientes, debido principalmente a la ausencia de protocolos de actuación y guía de prácticas clínicas que recomienden este tipo de tratamiento. </w:t>
      </w:r>
    </w:p>
    <w:p w14:paraId="707D48AF" w14:textId="77777777" w:rsidR="001147F5" w:rsidRPr="001147F5" w:rsidRDefault="001147F5" w:rsidP="001147F5">
      <w:pPr>
        <w:spacing w:line="360" w:lineRule="auto"/>
        <w:jc w:val="both"/>
        <w:rPr>
          <w:rFonts w:eastAsia="Calibri"/>
          <w:vertAlign w:val="superscript"/>
          <w:lang w:val="es-ES" w:eastAsia="en-US"/>
        </w:rPr>
      </w:pPr>
      <w:r w:rsidRPr="001147F5">
        <w:rPr>
          <w:rFonts w:eastAsia="Calibri"/>
          <w:lang w:val="es-ES" w:eastAsia="en-US"/>
        </w:rPr>
        <w:t xml:space="preserve">Las prioridades de tratamiento hospitalario para el paciente con </w:t>
      </w:r>
      <w:r w:rsidRPr="001147F5">
        <w:rPr>
          <w:rFonts w:eastAsia="Calibri"/>
          <w:bCs/>
          <w:color w:val="000000"/>
          <w:lang w:val="es-ES" w:eastAsia="en-US"/>
        </w:rPr>
        <w:t>choque hemorrágico traumático</w:t>
      </w:r>
      <w:r w:rsidRPr="001147F5">
        <w:rPr>
          <w:rFonts w:eastAsia="Calibri"/>
          <w:lang w:val="es-ES" w:eastAsia="en-US"/>
        </w:rPr>
        <w:t xml:space="preserve">, deben basarse en un enfoque de reanimación, de control de daño, con el uso de fluidoterapia restrictiva, administración de proporciones preestablecidas de concentrado de eritrocitos, plasma, plaquetas y complementos farmacéuticos, como crioprecipitados, calcio y ácido tranexámico; cualquier demora en administrarlos se asocia con aumento de la </w:t>
      </w:r>
      <w:proofErr w:type="gramStart"/>
      <w:r w:rsidRPr="001147F5">
        <w:rPr>
          <w:rFonts w:eastAsia="Calibri"/>
          <w:lang w:val="es-ES" w:eastAsia="en-US"/>
        </w:rPr>
        <w:t>mortalidad.</w:t>
      </w:r>
      <w:r w:rsidRPr="001147F5">
        <w:rPr>
          <w:rFonts w:eastAsia="Calibri"/>
          <w:vertAlign w:val="superscript"/>
          <w:lang w:val="es-ES" w:eastAsia="en-US"/>
        </w:rPr>
        <w:t>(</w:t>
      </w:r>
      <w:proofErr w:type="gramEnd"/>
      <w:r w:rsidRPr="001147F5">
        <w:rPr>
          <w:rFonts w:eastAsia="Calibri"/>
          <w:vertAlign w:val="superscript"/>
          <w:lang w:val="es-ES" w:eastAsia="en-US"/>
        </w:rPr>
        <w:t>1,2,3,4,5)</w:t>
      </w:r>
    </w:p>
    <w:p w14:paraId="115A5FD5"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 xml:space="preserve">El 90 % de los pacientes con choque hemorrágico traumático que requieren laparotomía, toleran los procedimientos de reparación anatómica completos y se puede controlar la hemorragia en su totalidad, el 10 % restante, declarados en extremo críticos, se asocia con frecuencia a hemorragia masiva y complicaciones precoces y se benefician con cirugía de control de </w:t>
      </w:r>
      <w:proofErr w:type="gramStart"/>
      <w:r w:rsidRPr="001147F5">
        <w:rPr>
          <w:rFonts w:eastAsia="Calibri"/>
          <w:lang w:val="es-ES" w:eastAsia="en-US"/>
        </w:rPr>
        <w:t>daño.</w:t>
      </w:r>
      <w:r w:rsidRPr="001147F5">
        <w:rPr>
          <w:rFonts w:eastAsia="Calibri"/>
          <w:vertAlign w:val="superscript"/>
          <w:lang w:val="es-ES" w:eastAsia="en-US"/>
        </w:rPr>
        <w:t>(</w:t>
      </w:r>
      <w:proofErr w:type="gramEnd"/>
      <w:r w:rsidRPr="001147F5">
        <w:rPr>
          <w:rFonts w:eastAsia="Calibri"/>
          <w:vertAlign w:val="superscript"/>
          <w:lang w:val="es-ES" w:eastAsia="en-US"/>
        </w:rPr>
        <w:t>1,2,3,4,5)</w:t>
      </w:r>
    </w:p>
    <w:p w14:paraId="531B3B54"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lastRenderedPageBreak/>
        <w:t xml:space="preserve">La mortalidad precoz de pacientes con choque hemorrágico traumático en el presente estudio fue alta (30 %). Las cifras reportadas por </w:t>
      </w:r>
      <w:r w:rsidRPr="001147F5">
        <w:rPr>
          <w:rFonts w:eastAsia="Calibri"/>
          <w:i/>
          <w:lang w:val="es-ES" w:eastAsia="en-US"/>
        </w:rPr>
        <w:t xml:space="preserve">Escobar Suárez </w:t>
      </w:r>
      <w:r w:rsidRPr="001147F5">
        <w:rPr>
          <w:rFonts w:eastAsia="Calibri"/>
          <w:iCs/>
          <w:lang w:val="es-ES" w:eastAsia="en-US"/>
        </w:rPr>
        <w:t xml:space="preserve">y </w:t>
      </w:r>
      <w:proofErr w:type="gramStart"/>
      <w:r w:rsidRPr="001147F5">
        <w:rPr>
          <w:rFonts w:eastAsia="Calibri"/>
          <w:iCs/>
          <w:lang w:val="es-ES" w:eastAsia="en-US"/>
        </w:rPr>
        <w:t>otros</w:t>
      </w:r>
      <w:r w:rsidRPr="001147F5">
        <w:rPr>
          <w:rFonts w:eastAsia="Calibri"/>
          <w:lang w:val="es-ES" w:eastAsia="en-US"/>
        </w:rPr>
        <w:t>,</w:t>
      </w:r>
      <w:r w:rsidRPr="001147F5">
        <w:rPr>
          <w:rFonts w:eastAsia="Calibri"/>
          <w:vertAlign w:val="superscript"/>
          <w:lang w:val="es-ES" w:eastAsia="en-US"/>
        </w:rPr>
        <w:t>(</w:t>
      </w:r>
      <w:proofErr w:type="gramEnd"/>
      <w:r w:rsidRPr="001147F5">
        <w:rPr>
          <w:rFonts w:eastAsia="Calibri"/>
          <w:vertAlign w:val="superscript"/>
          <w:lang w:val="es-ES" w:eastAsia="en-US"/>
        </w:rPr>
        <w:t xml:space="preserve">33) </w:t>
      </w:r>
      <w:r w:rsidRPr="001147F5">
        <w:rPr>
          <w:rFonts w:eastAsia="Calibri"/>
          <w:lang w:val="es-ES" w:eastAsia="en-US"/>
        </w:rPr>
        <w:t>son elevadas, pero incluyen todo tipo de trauma y una estadía hospitalaria prolongada.</w:t>
      </w:r>
      <w:r w:rsidRPr="001147F5">
        <w:rPr>
          <w:rFonts w:eastAsia="Calibri"/>
          <w:vertAlign w:val="superscript"/>
          <w:lang w:val="es-ES" w:eastAsia="en-US"/>
        </w:rPr>
        <w:t xml:space="preserve"> </w:t>
      </w:r>
      <w:r w:rsidRPr="001147F5">
        <w:rPr>
          <w:rFonts w:eastAsia="Calibri"/>
          <w:i/>
          <w:lang w:val="es-ES" w:eastAsia="en-US"/>
        </w:rPr>
        <w:t xml:space="preserve">Cueto Medina </w:t>
      </w:r>
      <w:r w:rsidRPr="001147F5">
        <w:rPr>
          <w:rFonts w:eastAsia="Calibri"/>
          <w:iCs/>
          <w:lang w:val="es-ES" w:eastAsia="en-US"/>
        </w:rPr>
        <w:t xml:space="preserve">y </w:t>
      </w:r>
      <w:proofErr w:type="gramStart"/>
      <w:r w:rsidRPr="001147F5">
        <w:rPr>
          <w:rFonts w:eastAsia="Calibri"/>
          <w:iCs/>
          <w:lang w:val="es-ES" w:eastAsia="en-US"/>
        </w:rPr>
        <w:t>otros</w:t>
      </w:r>
      <w:r w:rsidRPr="001147F5">
        <w:rPr>
          <w:rFonts w:eastAsia="Calibri"/>
          <w:vertAlign w:val="superscript"/>
          <w:lang w:val="es-ES" w:eastAsia="en-US"/>
        </w:rPr>
        <w:t>(</w:t>
      </w:r>
      <w:proofErr w:type="gramEnd"/>
      <w:r w:rsidRPr="001147F5">
        <w:rPr>
          <w:rFonts w:eastAsia="Calibri"/>
          <w:vertAlign w:val="superscript"/>
          <w:lang w:val="es-ES" w:eastAsia="en-US"/>
        </w:rPr>
        <w:t xml:space="preserve">34) </w:t>
      </w:r>
      <w:r w:rsidRPr="001147F5">
        <w:rPr>
          <w:rFonts w:eastAsia="Calibri"/>
          <w:bCs/>
          <w:color w:val="000000"/>
          <w:lang w:val="es-ES" w:eastAsia="en-US"/>
        </w:rPr>
        <w:t xml:space="preserve">concluyen que el 14,5 % de los pacientes con trauma fallecen con choque hipovolémico, en las primeras 4 horas de ocurrido el trauma. </w:t>
      </w:r>
    </w:p>
    <w:p w14:paraId="56BFF442" w14:textId="77777777" w:rsidR="001147F5" w:rsidRPr="001147F5" w:rsidRDefault="001147F5" w:rsidP="001147F5">
      <w:pPr>
        <w:spacing w:line="360" w:lineRule="auto"/>
        <w:jc w:val="both"/>
        <w:rPr>
          <w:rFonts w:eastAsia="Calibri"/>
          <w:b/>
          <w:lang w:val="es-ES" w:eastAsia="en-US"/>
        </w:rPr>
      </w:pPr>
      <w:r w:rsidRPr="001147F5">
        <w:rPr>
          <w:rFonts w:eastAsia="Calibri"/>
          <w:lang w:val="es-ES" w:eastAsia="en-US"/>
        </w:rPr>
        <w:t>En la serie de casos estudiada predomina el sexo masculino, con menos de 60 años, un elevado número de pacientes con complicaciones precoces y el tiempo entre el ingreso y comienzo del tratamiento definitivo, de 3 horas y más. En un porcentaje reducido de los enfermos fue aplicada la modalidad de tratamiento médico-quirúrgico de control de daño y se observan altas cifras de muerte precoz.</w:t>
      </w:r>
    </w:p>
    <w:p w14:paraId="1D0A73A7" w14:textId="77777777" w:rsidR="001147F5" w:rsidRPr="001147F5" w:rsidRDefault="001147F5" w:rsidP="001147F5">
      <w:pPr>
        <w:spacing w:line="360" w:lineRule="auto"/>
        <w:jc w:val="center"/>
        <w:rPr>
          <w:rFonts w:eastAsia="Calibri"/>
          <w:b/>
          <w:lang w:val="es-ES" w:eastAsia="en-US"/>
        </w:rPr>
      </w:pPr>
    </w:p>
    <w:p w14:paraId="350381D2" w14:textId="77777777" w:rsidR="001147F5" w:rsidRPr="001147F5" w:rsidRDefault="001147F5" w:rsidP="001147F5">
      <w:pPr>
        <w:spacing w:line="360" w:lineRule="auto"/>
        <w:jc w:val="center"/>
        <w:rPr>
          <w:rFonts w:eastAsia="Calibri"/>
          <w:b/>
          <w:lang w:val="es-ES" w:eastAsia="en-US"/>
        </w:rPr>
      </w:pPr>
    </w:p>
    <w:p w14:paraId="629818F3" w14:textId="77777777" w:rsidR="001147F5" w:rsidRPr="001147F5" w:rsidRDefault="001147F5" w:rsidP="001147F5">
      <w:pPr>
        <w:spacing w:line="360" w:lineRule="auto"/>
        <w:jc w:val="center"/>
        <w:rPr>
          <w:rFonts w:eastAsia="Calibri"/>
          <w:b/>
          <w:sz w:val="32"/>
          <w:szCs w:val="32"/>
          <w:lang w:val="es-ES" w:eastAsia="en-US"/>
        </w:rPr>
      </w:pPr>
      <w:r w:rsidRPr="001147F5">
        <w:rPr>
          <w:rFonts w:eastAsia="Calibri"/>
          <w:b/>
          <w:sz w:val="32"/>
          <w:szCs w:val="32"/>
          <w:lang w:val="es-ES" w:eastAsia="en-US"/>
        </w:rPr>
        <w:t xml:space="preserve">REFERENCIAS BIBLIOGRÁFICAS </w:t>
      </w:r>
    </w:p>
    <w:p w14:paraId="0001FCF2"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1. Soler Vaillant R. Lesiones graves por traumatismo. Tomo 6. La Habana: </w:t>
      </w:r>
      <w:proofErr w:type="spellStart"/>
      <w:r w:rsidRPr="001147F5">
        <w:rPr>
          <w:rFonts w:eastAsia="Calibri"/>
          <w:lang w:val="es-ES" w:eastAsia="en-US"/>
        </w:rPr>
        <w:t>Ecimed</w:t>
      </w:r>
      <w:proofErr w:type="spellEnd"/>
      <w:r w:rsidRPr="001147F5">
        <w:rPr>
          <w:rFonts w:eastAsia="Calibri"/>
          <w:lang w:val="es-ES" w:eastAsia="en-US"/>
        </w:rPr>
        <w:t xml:space="preserve">; 2017. [acceso: 11/02/2019]. Disponible en: </w:t>
      </w:r>
      <w:hyperlink r:id="rId19" w:history="1">
        <w:r w:rsidRPr="001147F5">
          <w:rPr>
            <w:rFonts w:eastAsia="Calibri"/>
            <w:color w:val="0000FF"/>
            <w:u w:val="single"/>
            <w:lang w:val="es-ES" w:eastAsia="en-US"/>
          </w:rPr>
          <w:t>http://www.bvscuba.sld.cu/libro/cirugia-tomo-vi-lesiones-graves-por-traumatismos/</w:t>
        </w:r>
      </w:hyperlink>
      <w:r w:rsidRPr="001147F5">
        <w:rPr>
          <w:rFonts w:eastAsia="Calibri"/>
          <w:lang w:val="es-ES" w:eastAsia="en-US"/>
        </w:rPr>
        <w:t xml:space="preserve"> </w:t>
      </w:r>
    </w:p>
    <w:p w14:paraId="67517B25"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2. Soler Vaillant R, Mederos Curbelo </w:t>
      </w:r>
      <w:proofErr w:type="spellStart"/>
      <w:r w:rsidRPr="001147F5">
        <w:rPr>
          <w:rFonts w:eastAsia="Calibri"/>
          <w:lang w:val="es-ES" w:eastAsia="en-US"/>
        </w:rPr>
        <w:t>ON</w:t>
      </w:r>
      <w:proofErr w:type="spellEnd"/>
      <w:r w:rsidRPr="001147F5">
        <w:rPr>
          <w:rFonts w:eastAsia="Calibri"/>
          <w:lang w:val="es-ES" w:eastAsia="en-US"/>
        </w:rPr>
        <w:t xml:space="preserve">. Manual de atención al lesionado. La Habana: Editorial Ciencias Médicas; 2021 </w:t>
      </w:r>
      <w:r w:rsidRPr="001147F5">
        <w:rPr>
          <w:lang w:val="es-ES" w:eastAsia="es-ES"/>
        </w:rPr>
        <w:t>[acceso: 18/02/2022].</w:t>
      </w:r>
      <w:r w:rsidRPr="001147F5">
        <w:rPr>
          <w:rFonts w:eastAsia="Calibri"/>
          <w:lang w:val="es-ES" w:eastAsia="en-US"/>
        </w:rPr>
        <w:t xml:space="preserve"> Disponible en: </w:t>
      </w:r>
      <w:hyperlink r:id="rId20" w:history="1">
        <w:r w:rsidRPr="001147F5">
          <w:rPr>
            <w:rFonts w:eastAsia="Calibri"/>
            <w:color w:val="0000FF"/>
            <w:u w:val="single"/>
            <w:lang w:val="es-ES" w:eastAsia="en-US"/>
          </w:rPr>
          <w:t>http://www.bvscuba.sld.cu/libro/manual-de-atencion-al-lesionado</w:t>
        </w:r>
      </w:hyperlink>
      <w:r w:rsidRPr="001147F5">
        <w:rPr>
          <w:rFonts w:eastAsia="Calibri"/>
          <w:lang w:val="es-ES" w:eastAsia="en-US"/>
        </w:rPr>
        <w:t xml:space="preserve"> </w:t>
      </w:r>
    </w:p>
    <w:p w14:paraId="3BEE333A" w14:textId="77777777" w:rsidR="001147F5" w:rsidRPr="001147F5" w:rsidRDefault="001147F5" w:rsidP="001147F5">
      <w:pPr>
        <w:spacing w:line="360" w:lineRule="auto"/>
        <w:rPr>
          <w:rFonts w:eastAsia="Calibri"/>
          <w:lang w:val="es-ES" w:eastAsia="en-US"/>
        </w:rPr>
      </w:pPr>
      <w:r w:rsidRPr="001147F5">
        <w:rPr>
          <w:rFonts w:eastAsia="Calibri"/>
          <w:lang w:val="en-GB" w:eastAsia="en-US"/>
        </w:rPr>
        <w:t xml:space="preserve">3. </w:t>
      </w:r>
      <w:proofErr w:type="spellStart"/>
      <w:r w:rsidRPr="001147F5">
        <w:rPr>
          <w:rFonts w:eastAsia="Calibri"/>
          <w:lang w:val="en-GB" w:eastAsia="en-US"/>
        </w:rPr>
        <w:t>Spahn</w:t>
      </w:r>
      <w:proofErr w:type="spellEnd"/>
      <w:r w:rsidRPr="001147F5">
        <w:rPr>
          <w:rFonts w:eastAsia="Calibri"/>
          <w:lang w:val="en-GB" w:eastAsia="en-US"/>
        </w:rPr>
        <w:t xml:space="preserve"> DR, Bouillon B, Cerny V, </w:t>
      </w:r>
      <w:proofErr w:type="spellStart"/>
      <w:r w:rsidRPr="001147F5">
        <w:rPr>
          <w:rFonts w:eastAsia="Calibri"/>
          <w:lang w:val="en-GB" w:eastAsia="en-US"/>
        </w:rPr>
        <w:t>Duranteau</w:t>
      </w:r>
      <w:proofErr w:type="spellEnd"/>
      <w:r w:rsidRPr="001147F5">
        <w:rPr>
          <w:rFonts w:eastAsia="Calibri"/>
          <w:lang w:val="en-GB" w:eastAsia="en-US"/>
        </w:rPr>
        <w:t xml:space="preserve"> J, </w:t>
      </w:r>
      <w:proofErr w:type="spellStart"/>
      <w:r w:rsidRPr="001147F5">
        <w:rPr>
          <w:rFonts w:eastAsia="Calibri"/>
          <w:lang w:val="en-GB" w:eastAsia="en-US"/>
        </w:rPr>
        <w:t>Filipescu</w:t>
      </w:r>
      <w:proofErr w:type="spellEnd"/>
      <w:r w:rsidRPr="001147F5">
        <w:rPr>
          <w:rFonts w:eastAsia="Calibri"/>
          <w:lang w:val="en-GB" w:eastAsia="en-US"/>
        </w:rPr>
        <w:t xml:space="preserve"> D. The European guideline on management of major bleeding and coagulopathy following trauma: fifth edition. </w:t>
      </w:r>
      <w:proofErr w:type="spellStart"/>
      <w:r w:rsidRPr="001147F5">
        <w:rPr>
          <w:rFonts w:eastAsia="Calibri"/>
          <w:lang w:val="es-ES" w:eastAsia="en-US"/>
        </w:rPr>
        <w:t>Crit</w:t>
      </w:r>
      <w:proofErr w:type="spellEnd"/>
      <w:r w:rsidRPr="001147F5">
        <w:rPr>
          <w:rFonts w:eastAsia="Calibri"/>
          <w:lang w:val="es-ES" w:eastAsia="en-US"/>
        </w:rPr>
        <w:t xml:space="preserve"> Care. 2019; 23(1):019-2347. </w:t>
      </w:r>
      <w:proofErr w:type="spellStart"/>
      <w:r w:rsidRPr="001147F5">
        <w:rPr>
          <w:rFonts w:eastAsia="Calibri"/>
          <w:lang w:val="es-ES" w:eastAsia="en-US"/>
        </w:rPr>
        <w:t>DOI</w:t>
      </w:r>
      <w:proofErr w:type="spellEnd"/>
      <w:r w:rsidRPr="001147F5">
        <w:rPr>
          <w:rFonts w:eastAsia="Calibri"/>
          <w:lang w:val="es-ES" w:eastAsia="en-US"/>
        </w:rPr>
        <w:t>: 10.1186/</w:t>
      </w:r>
      <w:proofErr w:type="spellStart"/>
      <w:r w:rsidRPr="001147F5">
        <w:rPr>
          <w:rFonts w:eastAsia="Calibri"/>
          <w:lang w:val="es-ES" w:eastAsia="en-US"/>
        </w:rPr>
        <w:t>s13054</w:t>
      </w:r>
      <w:proofErr w:type="spellEnd"/>
      <w:r w:rsidRPr="001147F5">
        <w:rPr>
          <w:rFonts w:eastAsia="Calibri"/>
          <w:lang w:val="es-ES" w:eastAsia="en-US"/>
        </w:rPr>
        <w:t xml:space="preserve">-019-2347-3 </w:t>
      </w:r>
    </w:p>
    <w:p w14:paraId="3C301847"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4. Caballero López A. Terapia intensiva. Urgencias traumáticas. Tomo 10. </w:t>
      </w:r>
      <w:proofErr w:type="spellStart"/>
      <w:r w:rsidRPr="001147F5">
        <w:rPr>
          <w:rFonts w:eastAsia="Calibri"/>
          <w:lang w:val="es-ES" w:eastAsia="en-US"/>
        </w:rPr>
        <w:t>3ra</w:t>
      </w:r>
      <w:proofErr w:type="spellEnd"/>
      <w:r w:rsidRPr="001147F5">
        <w:rPr>
          <w:rFonts w:eastAsia="Calibri"/>
          <w:lang w:val="es-ES" w:eastAsia="en-US"/>
        </w:rPr>
        <w:t xml:space="preserve"> Edición. La Habana: </w:t>
      </w:r>
      <w:proofErr w:type="spellStart"/>
      <w:r w:rsidRPr="001147F5">
        <w:rPr>
          <w:rFonts w:eastAsia="Calibri"/>
          <w:lang w:val="es-ES" w:eastAsia="en-US"/>
        </w:rPr>
        <w:t>Ecimed</w:t>
      </w:r>
      <w:proofErr w:type="spellEnd"/>
      <w:r w:rsidRPr="001147F5">
        <w:rPr>
          <w:rFonts w:eastAsia="Calibri"/>
          <w:lang w:val="es-ES" w:eastAsia="en-US"/>
        </w:rPr>
        <w:t xml:space="preserve">; 2020 </w:t>
      </w:r>
      <w:r w:rsidRPr="001147F5">
        <w:rPr>
          <w:lang w:val="es-ES" w:eastAsia="es-ES"/>
        </w:rPr>
        <w:t>[acceso: 05/04/2021]</w:t>
      </w:r>
      <w:r w:rsidRPr="001147F5">
        <w:rPr>
          <w:rFonts w:eastAsia="Calibri"/>
          <w:lang w:val="es-ES" w:eastAsia="en-US"/>
        </w:rPr>
        <w:t xml:space="preserve">. Disponible en: </w:t>
      </w:r>
      <w:hyperlink r:id="rId21" w:history="1">
        <w:r w:rsidRPr="001147F5">
          <w:rPr>
            <w:rFonts w:eastAsia="Calibri"/>
            <w:color w:val="0000FF"/>
            <w:u w:val="single"/>
            <w:lang w:val="es-ES" w:eastAsia="en-US"/>
          </w:rPr>
          <w:t>http://www.bvscuba.sld.cu/libro/terapia-intensiva-tomo-10-urgencias-traumaticas-tercera-edicion/</w:t>
        </w:r>
      </w:hyperlink>
      <w:r w:rsidRPr="001147F5">
        <w:rPr>
          <w:rFonts w:eastAsia="Calibri"/>
          <w:lang w:val="es-ES" w:eastAsia="en-US"/>
        </w:rPr>
        <w:t xml:space="preserve"> </w:t>
      </w:r>
    </w:p>
    <w:p w14:paraId="1C203E54" w14:textId="77777777" w:rsidR="001147F5" w:rsidRPr="001147F5" w:rsidRDefault="001147F5" w:rsidP="001147F5">
      <w:pPr>
        <w:spacing w:line="360" w:lineRule="auto"/>
        <w:rPr>
          <w:rFonts w:eastAsia="Calibri"/>
          <w:lang w:val="es-ES" w:eastAsia="en-US"/>
        </w:rPr>
      </w:pPr>
      <w:r w:rsidRPr="001147F5">
        <w:rPr>
          <w:rFonts w:eastAsia="Calibri"/>
          <w:lang w:val="en-GB" w:eastAsia="en-US"/>
        </w:rPr>
        <w:t xml:space="preserve">5. Henry S. </w:t>
      </w:r>
      <w:proofErr w:type="spellStart"/>
      <w:r w:rsidRPr="001147F5">
        <w:rPr>
          <w:rFonts w:eastAsia="Calibri"/>
          <w:lang w:val="en-GB" w:eastAsia="en-US"/>
        </w:rPr>
        <w:t>ATLS</w:t>
      </w:r>
      <w:proofErr w:type="spellEnd"/>
      <w:r w:rsidRPr="001147F5">
        <w:rPr>
          <w:rFonts w:eastAsia="Calibri"/>
          <w:lang w:val="en-GB" w:eastAsia="en-US"/>
        </w:rPr>
        <w:t xml:space="preserve"> Advanced Trauma Life Support. 10th edition. Chicago: American College of Surgeons;</w:t>
      </w:r>
      <w:r w:rsidRPr="001147F5">
        <w:rPr>
          <w:rFonts w:eastAsia="Calibri"/>
          <w:color w:val="FF0000"/>
          <w:lang w:val="en-GB" w:eastAsia="en-US"/>
        </w:rPr>
        <w:t xml:space="preserve"> </w:t>
      </w:r>
      <w:r w:rsidRPr="001147F5">
        <w:rPr>
          <w:rFonts w:eastAsia="Calibri"/>
          <w:lang w:val="en-GB" w:eastAsia="en-US"/>
        </w:rPr>
        <w:t xml:space="preserve">2018 </w:t>
      </w:r>
      <w:r w:rsidRPr="001147F5">
        <w:rPr>
          <w:lang w:val="en-GB" w:eastAsia="es-ES"/>
        </w:rPr>
        <w:t>[</w:t>
      </w:r>
      <w:proofErr w:type="spellStart"/>
      <w:r w:rsidRPr="001147F5">
        <w:rPr>
          <w:lang w:val="en-GB" w:eastAsia="es-ES"/>
        </w:rPr>
        <w:t>acceso</w:t>
      </w:r>
      <w:proofErr w:type="spellEnd"/>
      <w:r w:rsidRPr="001147F5">
        <w:rPr>
          <w:lang w:val="en-GB" w:eastAsia="es-ES"/>
        </w:rPr>
        <w:t>: 24/02/2020]</w:t>
      </w:r>
      <w:r w:rsidRPr="001147F5">
        <w:rPr>
          <w:rFonts w:eastAsia="Calibri"/>
          <w:lang w:val="en-US" w:eastAsia="en-US"/>
        </w:rPr>
        <w:t xml:space="preserve">. </w:t>
      </w:r>
      <w:r w:rsidRPr="001147F5">
        <w:rPr>
          <w:rFonts w:eastAsia="Calibri"/>
          <w:lang w:val="es-ES" w:eastAsia="en-US"/>
        </w:rPr>
        <w:t xml:space="preserve">Disponible en: </w:t>
      </w:r>
      <w:hyperlink r:id="rId22" w:history="1">
        <w:r w:rsidRPr="001147F5">
          <w:rPr>
            <w:rFonts w:eastAsia="Calibri"/>
            <w:color w:val="0000FF"/>
            <w:u w:val="single"/>
            <w:lang w:val="es-ES" w:eastAsia="en-US"/>
          </w:rPr>
          <w:t>https://www.docsity.com/pt/atls-advanced-trauma-life-support-10th-edition-2018/4905996/</w:t>
        </w:r>
      </w:hyperlink>
      <w:r w:rsidRPr="001147F5">
        <w:rPr>
          <w:rFonts w:eastAsia="Calibri"/>
          <w:lang w:val="es-ES" w:eastAsia="en-US"/>
        </w:rPr>
        <w:t xml:space="preserve"> </w:t>
      </w:r>
    </w:p>
    <w:p w14:paraId="1C03CA86" w14:textId="77777777" w:rsidR="001147F5" w:rsidRPr="001147F5" w:rsidRDefault="001147F5" w:rsidP="001147F5">
      <w:pPr>
        <w:spacing w:line="360" w:lineRule="auto"/>
        <w:rPr>
          <w:rFonts w:eastAsia="Calibri"/>
          <w:lang w:val="es-ES" w:eastAsia="en-US"/>
        </w:rPr>
      </w:pPr>
      <w:r w:rsidRPr="001147F5">
        <w:rPr>
          <w:rFonts w:eastAsia="Calibri"/>
          <w:lang w:val="es-ES" w:eastAsia="en-US"/>
        </w:rPr>
        <w:lastRenderedPageBreak/>
        <w:t xml:space="preserve">6. </w:t>
      </w:r>
      <w:proofErr w:type="spellStart"/>
      <w:r w:rsidRPr="001147F5">
        <w:rPr>
          <w:rFonts w:eastAsia="Calibri"/>
          <w:lang w:val="es-ES" w:eastAsia="en-US"/>
        </w:rPr>
        <w:t>Bess</w:t>
      </w:r>
      <w:proofErr w:type="spellEnd"/>
      <w:r w:rsidRPr="001147F5">
        <w:rPr>
          <w:rFonts w:eastAsia="Calibri"/>
          <w:lang w:val="es-ES" w:eastAsia="en-US"/>
        </w:rPr>
        <w:t xml:space="preserve"> </w:t>
      </w:r>
      <w:proofErr w:type="spellStart"/>
      <w:r w:rsidRPr="001147F5">
        <w:rPr>
          <w:rFonts w:eastAsia="Calibri"/>
          <w:lang w:val="es-ES" w:eastAsia="en-US"/>
        </w:rPr>
        <w:t>Constantén</w:t>
      </w:r>
      <w:proofErr w:type="spellEnd"/>
      <w:r w:rsidRPr="001147F5">
        <w:rPr>
          <w:rFonts w:eastAsia="Calibri"/>
          <w:lang w:val="es-ES" w:eastAsia="en-US"/>
        </w:rPr>
        <w:t xml:space="preserve"> S. Anuario Estadístico de Salud 2019. La Habana: Dirección de Registros Médicos y Estadísticas de Salud del Ministerio de Salud Pública de Cuba; 2020 </w:t>
      </w:r>
      <w:r w:rsidRPr="001147F5">
        <w:rPr>
          <w:lang w:val="es-ES" w:eastAsia="es-ES"/>
        </w:rPr>
        <w:t>[acceso: 23/06/2021].</w:t>
      </w:r>
      <w:r w:rsidRPr="001147F5">
        <w:rPr>
          <w:rFonts w:eastAsia="Calibri"/>
          <w:lang w:val="es-ES" w:eastAsia="en-US"/>
        </w:rPr>
        <w:t xml:space="preserve"> Disponible en: </w:t>
      </w:r>
      <w:hyperlink r:id="rId23" w:history="1">
        <w:r w:rsidRPr="001147F5">
          <w:rPr>
            <w:rFonts w:eastAsia="Calibri"/>
            <w:color w:val="0000FF"/>
            <w:u w:val="single"/>
            <w:lang w:val="es-ES" w:eastAsia="en-US"/>
          </w:rPr>
          <w:t>http://www.sld.cu/anuncio/2020/05/09/publicado-el-anuario-estadistico-de-salud-2019</w:t>
        </w:r>
      </w:hyperlink>
    </w:p>
    <w:p w14:paraId="587D3E63" w14:textId="77777777" w:rsidR="001147F5" w:rsidRPr="001147F5" w:rsidRDefault="001147F5" w:rsidP="001147F5">
      <w:pPr>
        <w:spacing w:line="360" w:lineRule="auto"/>
        <w:rPr>
          <w:rFonts w:eastAsia="Calibri"/>
          <w:lang w:val="en-GB" w:eastAsia="en-US"/>
        </w:rPr>
      </w:pPr>
      <w:r w:rsidRPr="001147F5">
        <w:rPr>
          <w:rFonts w:eastAsia="Calibri"/>
          <w:lang w:val="es-ES" w:eastAsia="en-US"/>
        </w:rPr>
        <w:t xml:space="preserve">7. Parra MV. Shock hemorrágico. Revista Médica Clínica Las Condes. </w:t>
      </w:r>
      <w:r w:rsidRPr="001147F5">
        <w:rPr>
          <w:rFonts w:eastAsia="Calibri"/>
          <w:lang w:val="en-US" w:eastAsia="en-US"/>
        </w:rPr>
        <w:t>2011; 22(3):255-64. DOI: 10.1016/</w:t>
      </w:r>
      <w:proofErr w:type="spellStart"/>
      <w:r w:rsidRPr="001147F5">
        <w:rPr>
          <w:rFonts w:eastAsia="Calibri"/>
          <w:lang w:val="en-US" w:eastAsia="en-US"/>
        </w:rPr>
        <w:t>S0716</w:t>
      </w:r>
      <w:proofErr w:type="spellEnd"/>
      <w:r w:rsidRPr="001147F5">
        <w:rPr>
          <w:rFonts w:eastAsia="Calibri"/>
          <w:lang w:val="en-US" w:eastAsia="en-US"/>
        </w:rPr>
        <w:t>-8640(11)70424-2</w:t>
      </w:r>
    </w:p>
    <w:p w14:paraId="57CF2F49" w14:textId="77777777" w:rsidR="001147F5" w:rsidRPr="001147F5" w:rsidRDefault="001147F5" w:rsidP="001147F5">
      <w:pPr>
        <w:spacing w:line="360" w:lineRule="auto"/>
        <w:rPr>
          <w:rFonts w:eastAsia="Calibri"/>
          <w:lang w:val="es-ES" w:eastAsia="en-US"/>
        </w:rPr>
      </w:pPr>
      <w:r w:rsidRPr="001147F5">
        <w:rPr>
          <w:rFonts w:eastAsia="Calibri"/>
          <w:lang w:val="en-GB" w:eastAsia="en-US"/>
        </w:rPr>
        <w:t xml:space="preserve">8. Cannon </w:t>
      </w:r>
      <w:proofErr w:type="spellStart"/>
      <w:r w:rsidRPr="001147F5">
        <w:rPr>
          <w:rFonts w:eastAsia="Calibri"/>
          <w:lang w:val="en-GB" w:eastAsia="en-US"/>
        </w:rPr>
        <w:t>JW</w:t>
      </w:r>
      <w:proofErr w:type="spellEnd"/>
      <w:r w:rsidRPr="001147F5">
        <w:rPr>
          <w:rFonts w:eastAsia="Calibri"/>
          <w:lang w:val="en-GB" w:eastAsia="en-US"/>
        </w:rPr>
        <w:t xml:space="preserve">. </w:t>
      </w:r>
      <w:proofErr w:type="spellStart"/>
      <w:r w:rsidRPr="001147F5">
        <w:rPr>
          <w:rFonts w:eastAsia="Calibri"/>
          <w:lang w:val="en-GB" w:eastAsia="en-US"/>
        </w:rPr>
        <w:t>Hemorrhagic</w:t>
      </w:r>
      <w:proofErr w:type="spellEnd"/>
      <w:r w:rsidRPr="001147F5">
        <w:rPr>
          <w:rFonts w:eastAsia="Calibri"/>
          <w:lang w:val="en-GB" w:eastAsia="en-US"/>
        </w:rPr>
        <w:t xml:space="preserve"> Shock. N </w:t>
      </w:r>
      <w:proofErr w:type="spellStart"/>
      <w:r w:rsidRPr="001147F5">
        <w:rPr>
          <w:rFonts w:eastAsia="Calibri"/>
          <w:lang w:val="en-GB" w:eastAsia="en-US"/>
        </w:rPr>
        <w:t>Engl</w:t>
      </w:r>
      <w:proofErr w:type="spellEnd"/>
      <w:r w:rsidRPr="001147F5">
        <w:rPr>
          <w:rFonts w:eastAsia="Calibri"/>
          <w:lang w:val="en-GB" w:eastAsia="en-US"/>
        </w:rPr>
        <w:t xml:space="preserve"> J Med. 2018; 378(4):370-379. </w:t>
      </w:r>
      <w:proofErr w:type="spellStart"/>
      <w:r w:rsidRPr="001147F5">
        <w:rPr>
          <w:rFonts w:eastAsia="Calibri"/>
          <w:lang w:val="es-ES" w:eastAsia="en-US"/>
        </w:rPr>
        <w:t>DOI</w:t>
      </w:r>
      <w:proofErr w:type="spellEnd"/>
      <w:r w:rsidRPr="001147F5">
        <w:rPr>
          <w:rFonts w:eastAsia="Calibri"/>
          <w:lang w:val="es-ES" w:eastAsia="en-US"/>
        </w:rPr>
        <w:t>: 10.1056/</w:t>
      </w:r>
      <w:proofErr w:type="spellStart"/>
      <w:r w:rsidRPr="001147F5">
        <w:rPr>
          <w:rFonts w:eastAsia="Calibri"/>
          <w:lang w:val="es-ES" w:eastAsia="en-US"/>
        </w:rPr>
        <w:t>NEJMra1705649</w:t>
      </w:r>
      <w:proofErr w:type="spellEnd"/>
      <w:r w:rsidRPr="001147F5">
        <w:rPr>
          <w:rFonts w:eastAsia="Calibri"/>
          <w:lang w:val="es-ES" w:eastAsia="en-US"/>
        </w:rPr>
        <w:t xml:space="preserve"> </w:t>
      </w:r>
    </w:p>
    <w:p w14:paraId="4255DCC2"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9. Sainz Rasilla T. Análisis de la resucitación del shock hemorrágico traumático grave [Tesis de grado]. Cantabria: Universidad de Cantabria; 2019. [acceso: 18/10/2021]. Disponible en: </w:t>
      </w:r>
      <w:hyperlink r:id="rId24" w:history="1">
        <w:r w:rsidRPr="001147F5">
          <w:rPr>
            <w:rFonts w:eastAsia="Calibri"/>
            <w:color w:val="0000FF"/>
            <w:u w:val="single"/>
            <w:lang w:val="es-ES" w:eastAsia="en-US"/>
          </w:rPr>
          <w:t>http://hdl.handle.net/10902/16557</w:t>
        </w:r>
      </w:hyperlink>
      <w:r w:rsidRPr="001147F5">
        <w:rPr>
          <w:rFonts w:eastAsia="Calibri"/>
          <w:lang w:val="es-ES" w:eastAsia="en-US"/>
        </w:rPr>
        <w:t xml:space="preserve"> </w:t>
      </w:r>
    </w:p>
    <w:p w14:paraId="7302E520" w14:textId="77777777" w:rsidR="001147F5" w:rsidRPr="001147F5" w:rsidRDefault="001147F5" w:rsidP="001147F5">
      <w:pPr>
        <w:spacing w:line="360" w:lineRule="auto"/>
        <w:rPr>
          <w:rFonts w:eastAsia="Calibri"/>
          <w:lang w:val="es-ES" w:eastAsia="en-US"/>
        </w:rPr>
      </w:pPr>
      <w:r w:rsidRPr="001147F5">
        <w:rPr>
          <w:rFonts w:eastAsia="Calibri"/>
          <w:lang w:val="en-GB" w:eastAsia="en-US"/>
        </w:rPr>
        <w:t xml:space="preserve">10. Hooper N, Armstrong TJ. </w:t>
      </w:r>
      <w:proofErr w:type="spellStart"/>
      <w:r w:rsidRPr="001147F5">
        <w:rPr>
          <w:rFonts w:eastAsia="Calibri"/>
          <w:lang w:val="en-GB" w:eastAsia="en-US"/>
        </w:rPr>
        <w:t>Hemorrhagic</w:t>
      </w:r>
      <w:proofErr w:type="spellEnd"/>
      <w:r w:rsidRPr="001147F5">
        <w:rPr>
          <w:rFonts w:eastAsia="Calibri"/>
          <w:lang w:val="en-GB" w:eastAsia="en-US"/>
        </w:rPr>
        <w:t xml:space="preserve"> Shock. Treasure Island (FL): </w:t>
      </w:r>
      <w:proofErr w:type="spellStart"/>
      <w:r w:rsidRPr="001147F5">
        <w:rPr>
          <w:rFonts w:eastAsia="Calibri"/>
          <w:lang w:val="en-GB" w:eastAsia="en-US"/>
        </w:rPr>
        <w:t>StatPearls</w:t>
      </w:r>
      <w:proofErr w:type="spellEnd"/>
      <w:r w:rsidRPr="001147F5">
        <w:rPr>
          <w:rFonts w:eastAsia="Calibri"/>
          <w:lang w:val="en-GB" w:eastAsia="en-US"/>
        </w:rPr>
        <w:t xml:space="preserve"> Publishing; 2022. </w:t>
      </w:r>
      <w:r w:rsidRPr="001147F5">
        <w:rPr>
          <w:lang w:val="es-ES" w:eastAsia="es-ES"/>
        </w:rPr>
        <w:t>[acceso: 11/07/2022]</w:t>
      </w:r>
      <w:r w:rsidRPr="001147F5">
        <w:rPr>
          <w:rFonts w:eastAsia="Calibri"/>
          <w:lang w:val="es-ES" w:eastAsia="en-US"/>
        </w:rPr>
        <w:t xml:space="preserve">. Disponible en: </w:t>
      </w:r>
      <w:hyperlink r:id="rId25" w:history="1">
        <w:r w:rsidRPr="001147F5">
          <w:rPr>
            <w:rFonts w:eastAsia="Calibri"/>
            <w:color w:val="0000FF"/>
            <w:u w:val="single"/>
            <w:lang w:val="es-ES" w:eastAsia="en-US"/>
          </w:rPr>
          <w:t>https://www.ncbi.nlm.nih.gov/books/NBK470382/</w:t>
        </w:r>
      </w:hyperlink>
      <w:r w:rsidRPr="001147F5">
        <w:rPr>
          <w:rFonts w:eastAsia="Calibri"/>
          <w:lang w:val="es-ES" w:eastAsia="en-US"/>
        </w:rPr>
        <w:t xml:space="preserve"> </w:t>
      </w:r>
    </w:p>
    <w:p w14:paraId="511CF6FB" w14:textId="77777777" w:rsidR="001147F5" w:rsidRPr="001147F5" w:rsidRDefault="001147F5" w:rsidP="001147F5">
      <w:pPr>
        <w:spacing w:line="360" w:lineRule="auto"/>
        <w:rPr>
          <w:rFonts w:eastAsia="Calibri"/>
          <w:lang w:val="en-GB" w:eastAsia="en-US"/>
        </w:rPr>
      </w:pPr>
      <w:r w:rsidRPr="001147F5">
        <w:rPr>
          <w:rFonts w:eastAsia="Calibri"/>
          <w:lang w:val="en-GB" w:eastAsia="en-US"/>
        </w:rPr>
        <w:t xml:space="preserve">11. </w:t>
      </w:r>
      <w:proofErr w:type="spellStart"/>
      <w:r w:rsidRPr="001147F5">
        <w:rPr>
          <w:rFonts w:eastAsia="Calibri"/>
          <w:lang w:val="en-GB" w:eastAsia="en-US"/>
        </w:rPr>
        <w:t>Oyeniyi</w:t>
      </w:r>
      <w:proofErr w:type="spellEnd"/>
      <w:r w:rsidRPr="001147F5">
        <w:rPr>
          <w:rFonts w:eastAsia="Calibri"/>
          <w:lang w:val="en-GB" w:eastAsia="en-US"/>
        </w:rPr>
        <w:t xml:space="preserve"> BT, Fox EE, </w:t>
      </w:r>
      <w:proofErr w:type="spellStart"/>
      <w:r w:rsidRPr="001147F5">
        <w:rPr>
          <w:rFonts w:eastAsia="Calibri"/>
          <w:lang w:val="en-GB" w:eastAsia="en-US"/>
        </w:rPr>
        <w:t>Scerbo</w:t>
      </w:r>
      <w:proofErr w:type="spellEnd"/>
      <w:r w:rsidRPr="001147F5">
        <w:rPr>
          <w:rFonts w:eastAsia="Calibri"/>
          <w:lang w:val="en-GB" w:eastAsia="en-US"/>
        </w:rPr>
        <w:t xml:space="preserve"> M, </w:t>
      </w:r>
      <w:proofErr w:type="spellStart"/>
      <w:r w:rsidRPr="001147F5">
        <w:rPr>
          <w:rFonts w:eastAsia="Calibri"/>
          <w:lang w:val="en-GB" w:eastAsia="en-US"/>
        </w:rPr>
        <w:t>Tomasek</w:t>
      </w:r>
      <w:proofErr w:type="spellEnd"/>
      <w:r w:rsidRPr="001147F5">
        <w:rPr>
          <w:rFonts w:eastAsia="Calibri"/>
          <w:lang w:val="en-GB" w:eastAsia="en-US"/>
        </w:rPr>
        <w:t xml:space="preserve"> JS, Wade CE, Holcomb JB. Trends in 1029 trauma deaths at a level 1 trauma </w:t>
      </w:r>
      <w:proofErr w:type="spellStart"/>
      <w:r w:rsidRPr="001147F5">
        <w:rPr>
          <w:rFonts w:eastAsia="Calibri"/>
          <w:lang w:val="en-GB" w:eastAsia="en-US"/>
        </w:rPr>
        <w:t>center</w:t>
      </w:r>
      <w:proofErr w:type="spellEnd"/>
      <w:r w:rsidRPr="001147F5">
        <w:rPr>
          <w:rFonts w:eastAsia="Calibri"/>
          <w:lang w:val="en-GB" w:eastAsia="en-US"/>
        </w:rPr>
        <w:t>: impact of a bleeding control bundle of care. Injury. 2017; 48(1):5-12. DOI: 10.1016/</w:t>
      </w:r>
      <w:proofErr w:type="spellStart"/>
      <w:r w:rsidRPr="001147F5">
        <w:rPr>
          <w:rFonts w:eastAsia="Calibri"/>
          <w:lang w:val="en-GB" w:eastAsia="en-US"/>
        </w:rPr>
        <w:t>j.injury.2016.10.037</w:t>
      </w:r>
      <w:proofErr w:type="spellEnd"/>
    </w:p>
    <w:p w14:paraId="5F3BECD9" w14:textId="77777777" w:rsidR="001147F5" w:rsidRPr="001147F5" w:rsidRDefault="001147F5" w:rsidP="001147F5">
      <w:pPr>
        <w:spacing w:line="360" w:lineRule="auto"/>
        <w:rPr>
          <w:rFonts w:eastAsia="Calibri"/>
          <w:lang w:val="en-GB" w:eastAsia="en-US"/>
        </w:rPr>
      </w:pPr>
      <w:r w:rsidRPr="001147F5">
        <w:rPr>
          <w:rFonts w:eastAsia="Calibri"/>
          <w:lang w:val="en-GB" w:eastAsia="en-US"/>
        </w:rPr>
        <w:t xml:space="preserve">12. Eastridge BJ, Holcomb JB, Shackelford S. Outcomes of traumatic </w:t>
      </w:r>
      <w:proofErr w:type="spellStart"/>
      <w:r w:rsidRPr="001147F5">
        <w:rPr>
          <w:rFonts w:eastAsia="Calibri"/>
          <w:lang w:val="en-GB" w:eastAsia="en-US"/>
        </w:rPr>
        <w:t>hemorrhagic</w:t>
      </w:r>
      <w:proofErr w:type="spellEnd"/>
      <w:r w:rsidRPr="001147F5">
        <w:rPr>
          <w:rFonts w:eastAsia="Calibri"/>
          <w:lang w:val="en-GB" w:eastAsia="en-US"/>
        </w:rPr>
        <w:t xml:space="preserve"> shock and the epidemiology of preventable death from injury. Transfusion. 2019; 59(2):1423-8. DOI: 10.111/</w:t>
      </w:r>
      <w:proofErr w:type="spellStart"/>
      <w:r w:rsidRPr="001147F5">
        <w:rPr>
          <w:rFonts w:eastAsia="Calibri"/>
          <w:lang w:val="en-GB" w:eastAsia="en-US"/>
        </w:rPr>
        <w:t>trf.15161</w:t>
      </w:r>
      <w:proofErr w:type="spellEnd"/>
    </w:p>
    <w:p w14:paraId="18FA2FBB" w14:textId="77777777" w:rsidR="001147F5" w:rsidRPr="001147F5" w:rsidRDefault="001147F5" w:rsidP="001147F5">
      <w:pPr>
        <w:spacing w:line="360" w:lineRule="auto"/>
        <w:rPr>
          <w:rFonts w:eastAsia="Calibri"/>
          <w:lang w:val="en-GB" w:eastAsia="en-US"/>
        </w:rPr>
      </w:pPr>
      <w:r w:rsidRPr="001147F5">
        <w:rPr>
          <w:rFonts w:eastAsia="Calibri"/>
          <w:lang w:val="en-GB" w:eastAsia="en-US"/>
        </w:rPr>
        <w:t xml:space="preserve">13. </w:t>
      </w:r>
      <w:proofErr w:type="spellStart"/>
      <w:r w:rsidRPr="001147F5">
        <w:rPr>
          <w:rFonts w:eastAsia="Calibri"/>
          <w:lang w:val="en-GB" w:eastAsia="en-US"/>
        </w:rPr>
        <w:t>Spinella</w:t>
      </w:r>
      <w:proofErr w:type="spellEnd"/>
      <w:r w:rsidRPr="001147F5">
        <w:rPr>
          <w:rFonts w:eastAsia="Calibri"/>
          <w:lang w:val="en-GB" w:eastAsia="en-US"/>
        </w:rPr>
        <w:t xml:space="preserve"> PC. Damage Control Resuscitation: Identification and Treatment of Life-Threatening </w:t>
      </w:r>
      <w:proofErr w:type="spellStart"/>
      <w:r w:rsidRPr="001147F5">
        <w:rPr>
          <w:rFonts w:eastAsia="Calibri"/>
          <w:lang w:val="en-GB" w:eastAsia="en-US"/>
        </w:rPr>
        <w:t>Hemorrhage</w:t>
      </w:r>
      <w:proofErr w:type="spellEnd"/>
      <w:r w:rsidRPr="001147F5">
        <w:rPr>
          <w:rFonts w:eastAsia="Calibri"/>
          <w:lang w:val="en-GB" w:eastAsia="en-US"/>
        </w:rPr>
        <w:t xml:space="preserve">. Washington: University in St Louis; 2019. </w:t>
      </w:r>
      <w:r w:rsidRPr="001147F5">
        <w:rPr>
          <w:lang w:val="en-GB" w:eastAsia="es-ES"/>
        </w:rPr>
        <w:t>[</w:t>
      </w:r>
      <w:proofErr w:type="spellStart"/>
      <w:r w:rsidRPr="001147F5">
        <w:rPr>
          <w:lang w:val="en-GB" w:eastAsia="es-ES"/>
        </w:rPr>
        <w:t>acceso</w:t>
      </w:r>
      <w:proofErr w:type="spellEnd"/>
      <w:r w:rsidRPr="001147F5">
        <w:rPr>
          <w:lang w:val="en-GB" w:eastAsia="es-ES"/>
        </w:rPr>
        <w:t>: 15/02/2020]</w:t>
      </w:r>
      <w:r w:rsidRPr="001147F5">
        <w:rPr>
          <w:rFonts w:eastAsia="Calibri"/>
          <w:lang w:val="en-GB" w:eastAsia="en-US"/>
        </w:rPr>
        <w:t xml:space="preserve">. Disponible </w:t>
      </w:r>
      <w:proofErr w:type="spellStart"/>
      <w:r w:rsidRPr="001147F5">
        <w:rPr>
          <w:rFonts w:eastAsia="Calibri"/>
          <w:lang w:val="en-GB" w:eastAsia="en-US"/>
        </w:rPr>
        <w:t>en</w:t>
      </w:r>
      <w:proofErr w:type="spellEnd"/>
      <w:r w:rsidRPr="001147F5">
        <w:rPr>
          <w:rFonts w:eastAsia="Calibri"/>
          <w:lang w:val="en-GB" w:eastAsia="en-US"/>
        </w:rPr>
        <w:t xml:space="preserve">: </w:t>
      </w:r>
      <w:hyperlink r:id="rId26" w:history="1">
        <w:r w:rsidRPr="001147F5">
          <w:rPr>
            <w:rFonts w:eastAsia="Calibri"/>
            <w:color w:val="0000FF"/>
            <w:u w:val="single"/>
            <w:lang w:val="en-GB" w:eastAsia="en-US"/>
          </w:rPr>
          <w:t>https://link.springer.com/book/10.1007/978-3-030-20820-2</w:t>
        </w:r>
      </w:hyperlink>
      <w:r w:rsidRPr="001147F5">
        <w:rPr>
          <w:rFonts w:eastAsia="Calibri"/>
          <w:lang w:val="en-GB" w:eastAsia="en-US"/>
        </w:rPr>
        <w:t xml:space="preserve"> </w:t>
      </w:r>
    </w:p>
    <w:p w14:paraId="5105C5D1" w14:textId="77777777" w:rsidR="001147F5" w:rsidRPr="001147F5" w:rsidRDefault="001147F5" w:rsidP="001147F5">
      <w:pPr>
        <w:spacing w:line="360" w:lineRule="auto"/>
        <w:rPr>
          <w:rFonts w:eastAsia="Calibri"/>
          <w:lang w:val="es-ES" w:eastAsia="en-US"/>
        </w:rPr>
      </w:pPr>
      <w:r w:rsidRPr="001147F5">
        <w:rPr>
          <w:rFonts w:eastAsia="Calibri"/>
          <w:lang w:val="en-US" w:eastAsia="en-US"/>
        </w:rPr>
        <w:t xml:space="preserve">14. </w:t>
      </w:r>
      <w:proofErr w:type="spellStart"/>
      <w:r w:rsidRPr="001147F5">
        <w:rPr>
          <w:rFonts w:eastAsia="Calibri"/>
          <w:lang w:val="en-GB" w:eastAsia="en-US"/>
        </w:rPr>
        <w:t>Vulliamy</w:t>
      </w:r>
      <w:proofErr w:type="spellEnd"/>
      <w:r w:rsidRPr="001147F5">
        <w:rPr>
          <w:rFonts w:eastAsia="Calibri"/>
          <w:lang w:val="en-GB" w:eastAsia="en-US"/>
        </w:rPr>
        <w:t xml:space="preserve"> P, </w:t>
      </w:r>
      <w:proofErr w:type="spellStart"/>
      <w:r w:rsidRPr="001147F5">
        <w:rPr>
          <w:rFonts w:eastAsia="Calibri"/>
          <w:lang w:val="en-GB" w:eastAsia="en-US"/>
        </w:rPr>
        <w:t>Thaventhiran</w:t>
      </w:r>
      <w:proofErr w:type="spellEnd"/>
      <w:r w:rsidRPr="001147F5">
        <w:rPr>
          <w:rFonts w:eastAsia="Calibri"/>
          <w:lang w:val="en-GB" w:eastAsia="en-US"/>
        </w:rPr>
        <w:t xml:space="preserve"> AJ, Davenport RA. What's new for trauma haemorrhage management? </w:t>
      </w:r>
      <w:r w:rsidRPr="001147F5">
        <w:rPr>
          <w:rFonts w:eastAsia="Calibri"/>
          <w:lang w:val="es-ES" w:eastAsia="en-US"/>
        </w:rPr>
        <w:t xml:space="preserve">British </w:t>
      </w:r>
      <w:proofErr w:type="spellStart"/>
      <w:r w:rsidRPr="001147F5">
        <w:rPr>
          <w:rFonts w:eastAsia="Calibri"/>
          <w:lang w:val="es-ES" w:eastAsia="en-US"/>
        </w:rPr>
        <w:t>Journal</w:t>
      </w:r>
      <w:proofErr w:type="spellEnd"/>
      <w:r w:rsidRPr="001147F5">
        <w:rPr>
          <w:rFonts w:eastAsia="Calibri"/>
          <w:lang w:val="es-ES" w:eastAsia="en-US"/>
        </w:rPr>
        <w:t xml:space="preserve"> </w:t>
      </w:r>
      <w:proofErr w:type="spellStart"/>
      <w:r w:rsidRPr="001147F5">
        <w:rPr>
          <w:rFonts w:eastAsia="Calibri"/>
          <w:lang w:val="es-ES" w:eastAsia="en-US"/>
        </w:rPr>
        <w:t>of</w:t>
      </w:r>
      <w:proofErr w:type="spellEnd"/>
      <w:r w:rsidRPr="001147F5">
        <w:rPr>
          <w:rFonts w:eastAsia="Calibri"/>
          <w:lang w:val="es-ES" w:eastAsia="en-US"/>
        </w:rPr>
        <w:t xml:space="preserve"> Hospital Medicine. 2019; 80(5):268-73. </w:t>
      </w:r>
      <w:proofErr w:type="spellStart"/>
      <w:r w:rsidRPr="001147F5">
        <w:rPr>
          <w:rFonts w:eastAsia="Calibri"/>
          <w:lang w:val="es-ES" w:eastAsia="en-US"/>
        </w:rPr>
        <w:t>DOI</w:t>
      </w:r>
      <w:proofErr w:type="spellEnd"/>
      <w:r w:rsidRPr="001147F5">
        <w:rPr>
          <w:rFonts w:eastAsia="Calibri"/>
          <w:lang w:val="es-ES" w:eastAsia="en-US"/>
        </w:rPr>
        <w:t>: 10.12968/</w:t>
      </w:r>
      <w:proofErr w:type="spellStart"/>
      <w:r w:rsidRPr="001147F5">
        <w:rPr>
          <w:rFonts w:eastAsia="Calibri"/>
          <w:lang w:val="es-ES" w:eastAsia="en-US"/>
        </w:rPr>
        <w:t>hmed.2019.80.5.268</w:t>
      </w:r>
      <w:proofErr w:type="spellEnd"/>
    </w:p>
    <w:p w14:paraId="6582B532"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15. Pérez Caballero MD, León Álvarez </w:t>
      </w:r>
      <w:proofErr w:type="spellStart"/>
      <w:r w:rsidRPr="001147F5">
        <w:rPr>
          <w:rFonts w:eastAsia="Calibri"/>
          <w:lang w:val="es-ES" w:eastAsia="en-US"/>
        </w:rPr>
        <w:t>JL</w:t>
      </w:r>
      <w:proofErr w:type="spellEnd"/>
      <w:r w:rsidRPr="001147F5">
        <w:rPr>
          <w:rFonts w:eastAsia="Calibri"/>
          <w:lang w:val="es-ES" w:eastAsia="en-US"/>
        </w:rPr>
        <w:t xml:space="preserve">, Dueñas Herrera A, Alfonzo Guerra JP, Navarro </w:t>
      </w:r>
      <w:proofErr w:type="spellStart"/>
      <w:r w:rsidRPr="001147F5">
        <w:rPr>
          <w:rFonts w:eastAsia="Calibri"/>
          <w:lang w:val="es-ES" w:eastAsia="en-US"/>
        </w:rPr>
        <w:t>Despaigne</w:t>
      </w:r>
      <w:proofErr w:type="spellEnd"/>
      <w:r w:rsidRPr="001147F5">
        <w:rPr>
          <w:rFonts w:eastAsia="Calibri"/>
          <w:lang w:val="es-ES" w:eastAsia="en-US"/>
        </w:rPr>
        <w:t xml:space="preserve"> DA, de la Noval García R, et al. Guía cubana de diagnóstico, evaluación y tratamiento de la hipertensión arterial. </w:t>
      </w:r>
      <w:proofErr w:type="spellStart"/>
      <w:r w:rsidRPr="001147F5">
        <w:rPr>
          <w:rFonts w:eastAsia="Calibri"/>
          <w:lang w:val="es-ES" w:eastAsia="en-US"/>
        </w:rPr>
        <w:t>Rev</w:t>
      </w:r>
      <w:proofErr w:type="spellEnd"/>
      <w:r w:rsidRPr="001147F5">
        <w:rPr>
          <w:rFonts w:eastAsia="Calibri"/>
          <w:lang w:val="es-ES" w:eastAsia="en-US"/>
        </w:rPr>
        <w:t xml:space="preserve"> Cuban </w:t>
      </w:r>
      <w:proofErr w:type="spellStart"/>
      <w:r w:rsidRPr="001147F5">
        <w:rPr>
          <w:rFonts w:eastAsia="Calibri"/>
          <w:lang w:val="es-ES" w:eastAsia="en-US"/>
        </w:rPr>
        <w:t>Med</w:t>
      </w:r>
      <w:proofErr w:type="spellEnd"/>
      <w:r w:rsidRPr="001147F5">
        <w:rPr>
          <w:rFonts w:eastAsia="Calibri"/>
          <w:lang w:val="es-ES" w:eastAsia="en-US"/>
        </w:rPr>
        <w:t>. 2017</w:t>
      </w:r>
      <w:r w:rsidRPr="001147F5">
        <w:rPr>
          <w:lang w:val="es-ES" w:eastAsia="es-ES"/>
        </w:rPr>
        <w:t xml:space="preserve"> [acceso: 24/04/2020]</w:t>
      </w:r>
      <w:r w:rsidRPr="001147F5">
        <w:rPr>
          <w:rFonts w:eastAsia="Calibri"/>
          <w:lang w:val="es-ES" w:eastAsia="en-US"/>
        </w:rPr>
        <w:t xml:space="preserve">; 56(4):242-321. Disponible en: </w:t>
      </w:r>
      <w:hyperlink r:id="rId27" w:history="1">
        <w:r w:rsidRPr="001147F5">
          <w:rPr>
            <w:rFonts w:eastAsia="Calibri"/>
            <w:color w:val="0000FF"/>
            <w:u w:val="single"/>
            <w:lang w:val="es-ES" w:eastAsia="en-US"/>
          </w:rPr>
          <w:t>http://scielo.sld.cu/pdf/med/v56n4/med01417.pdf</w:t>
        </w:r>
      </w:hyperlink>
      <w:r w:rsidRPr="001147F5">
        <w:rPr>
          <w:rFonts w:eastAsia="Calibri"/>
          <w:lang w:val="es-ES" w:eastAsia="en-US"/>
        </w:rPr>
        <w:t xml:space="preserve">  </w:t>
      </w:r>
    </w:p>
    <w:p w14:paraId="626E29EF" w14:textId="77777777" w:rsidR="001147F5" w:rsidRPr="001147F5" w:rsidRDefault="001147F5" w:rsidP="001147F5">
      <w:pPr>
        <w:spacing w:line="360" w:lineRule="auto"/>
        <w:rPr>
          <w:rFonts w:eastAsia="Calibri"/>
          <w:lang w:val="en-US" w:eastAsia="en-US"/>
        </w:rPr>
      </w:pPr>
      <w:r w:rsidRPr="001147F5">
        <w:rPr>
          <w:rFonts w:eastAsia="Calibri"/>
          <w:lang w:val="en-GB" w:eastAsia="en-US"/>
        </w:rPr>
        <w:lastRenderedPageBreak/>
        <w:t xml:space="preserve">16. American Diabetes Association. Standards of medical care in diabetes 2014. </w:t>
      </w:r>
      <w:r w:rsidRPr="001147F5">
        <w:rPr>
          <w:rFonts w:eastAsia="Calibri"/>
          <w:lang w:val="en-US" w:eastAsia="en-US"/>
        </w:rPr>
        <w:t>Diabetes care. 2015; 38(1):8-16. DOI: 10.2337/</w:t>
      </w:r>
      <w:proofErr w:type="spellStart"/>
      <w:r w:rsidRPr="001147F5">
        <w:rPr>
          <w:rFonts w:eastAsia="Calibri"/>
          <w:lang w:val="en-US" w:eastAsia="en-US"/>
        </w:rPr>
        <w:t>dc14-S014</w:t>
      </w:r>
      <w:proofErr w:type="spellEnd"/>
      <w:r w:rsidRPr="001147F5">
        <w:rPr>
          <w:rFonts w:eastAsia="Calibri"/>
          <w:lang w:val="en-US" w:eastAsia="en-US"/>
        </w:rPr>
        <w:t xml:space="preserve"> </w:t>
      </w:r>
    </w:p>
    <w:p w14:paraId="374BAFCF" w14:textId="77777777" w:rsidR="001147F5" w:rsidRPr="001147F5" w:rsidRDefault="001147F5" w:rsidP="001147F5">
      <w:pPr>
        <w:spacing w:line="360" w:lineRule="auto"/>
        <w:rPr>
          <w:rFonts w:eastAsia="Calibri"/>
          <w:lang w:val="en-GB" w:eastAsia="en-US"/>
        </w:rPr>
      </w:pPr>
      <w:r w:rsidRPr="001147F5">
        <w:rPr>
          <w:rFonts w:eastAsia="Calibri"/>
          <w:lang w:val="en-GB" w:eastAsia="en-US"/>
        </w:rPr>
        <w:t xml:space="preserve">17. </w:t>
      </w:r>
      <w:proofErr w:type="spellStart"/>
      <w:r w:rsidRPr="001147F5">
        <w:rPr>
          <w:rFonts w:eastAsia="Calibri"/>
          <w:lang w:val="en-GB" w:eastAsia="en-US"/>
        </w:rPr>
        <w:t>Thygesen</w:t>
      </w:r>
      <w:proofErr w:type="spellEnd"/>
      <w:r w:rsidRPr="001147F5">
        <w:rPr>
          <w:rFonts w:eastAsia="Calibri"/>
          <w:lang w:val="en-GB" w:eastAsia="en-US"/>
        </w:rPr>
        <w:t xml:space="preserve"> K, Alpert JS, Jaffe AS, </w:t>
      </w:r>
      <w:proofErr w:type="spellStart"/>
      <w:r w:rsidRPr="001147F5">
        <w:rPr>
          <w:rFonts w:eastAsia="Calibri"/>
          <w:lang w:val="en-GB" w:eastAsia="en-US"/>
        </w:rPr>
        <w:t>Chaitman</w:t>
      </w:r>
      <w:proofErr w:type="spellEnd"/>
      <w:r w:rsidRPr="001147F5">
        <w:rPr>
          <w:rFonts w:eastAsia="Calibri"/>
          <w:lang w:val="en-GB" w:eastAsia="en-US"/>
        </w:rPr>
        <w:t xml:space="preserve"> BR, </w:t>
      </w:r>
      <w:proofErr w:type="spellStart"/>
      <w:r w:rsidRPr="001147F5">
        <w:rPr>
          <w:rFonts w:eastAsia="Calibri"/>
          <w:lang w:val="en-GB" w:eastAsia="en-US"/>
        </w:rPr>
        <w:t>Bax</w:t>
      </w:r>
      <w:proofErr w:type="spellEnd"/>
      <w:r w:rsidRPr="001147F5">
        <w:rPr>
          <w:rFonts w:eastAsia="Calibri"/>
          <w:lang w:val="en-GB" w:eastAsia="en-US"/>
        </w:rPr>
        <w:t xml:space="preserve"> JJ, Morrow DA, et al. The Executive Group on behalf of the Joint European Society of Cardiology (ESC)/American College of Cardiology (ACC)/American Heart Association (AHA)/World Heart Federation (</w:t>
      </w:r>
      <w:proofErr w:type="spellStart"/>
      <w:r w:rsidRPr="001147F5">
        <w:rPr>
          <w:rFonts w:eastAsia="Calibri"/>
          <w:lang w:val="en-GB" w:eastAsia="en-US"/>
        </w:rPr>
        <w:t>WHF</w:t>
      </w:r>
      <w:proofErr w:type="spellEnd"/>
      <w:r w:rsidRPr="001147F5">
        <w:rPr>
          <w:rFonts w:eastAsia="Calibri"/>
          <w:lang w:val="en-GB" w:eastAsia="en-US"/>
        </w:rPr>
        <w:t xml:space="preserve">) Task Force for the Universal Definition of Myocardial Infarction. Fourth universal definition of myocardial infarction. Circulation. 2018; 138:618-51. </w:t>
      </w:r>
      <w:proofErr w:type="spellStart"/>
      <w:r w:rsidRPr="001147F5">
        <w:rPr>
          <w:rFonts w:eastAsia="Calibri"/>
          <w:lang w:val="en-GB" w:eastAsia="en-US"/>
        </w:rPr>
        <w:t>DOI:10.1161</w:t>
      </w:r>
      <w:proofErr w:type="spellEnd"/>
      <w:r w:rsidRPr="001147F5">
        <w:rPr>
          <w:rFonts w:eastAsia="Calibri"/>
          <w:lang w:val="en-GB" w:eastAsia="en-US"/>
        </w:rPr>
        <w:t>/</w:t>
      </w:r>
      <w:proofErr w:type="spellStart"/>
      <w:r w:rsidRPr="001147F5">
        <w:rPr>
          <w:rFonts w:eastAsia="Calibri"/>
          <w:lang w:val="en-GB" w:eastAsia="en-US"/>
        </w:rPr>
        <w:t>CIR.0000000000000617</w:t>
      </w:r>
      <w:proofErr w:type="spellEnd"/>
    </w:p>
    <w:p w14:paraId="6DA466F2" w14:textId="77777777" w:rsidR="001147F5" w:rsidRPr="001147F5" w:rsidRDefault="001147F5" w:rsidP="001147F5">
      <w:pPr>
        <w:spacing w:line="360" w:lineRule="auto"/>
        <w:rPr>
          <w:rFonts w:eastAsia="Calibri"/>
          <w:lang w:val="en-GB" w:eastAsia="en-US"/>
        </w:rPr>
      </w:pPr>
      <w:r w:rsidRPr="001147F5">
        <w:rPr>
          <w:rFonts w:eastAsia="Calibri"/>
          <w:lang w:val="en-GB" w:eastAsia="en-US"/>
        </w:rPr>
        <w:t>18. Neumeier A, Keith R. Clinical Guideline Highlights for the Hospitalist: The GOLD and NICE Guidelines for the Management of COPD. Journal of Hospital Medicine. 2020</w:t>
      </w:r>
      <w:r w:rsidRPr="001147F5">
        <w:rPr>
          <w:lang w:val="en-GB" w:eastAsia="es-ES"/>
        </w:rPr>
        <w:t xml:space="preserve"> [</w:t>
      </w:r>
      <w:proofErr w:type="spellStart"/>
      <w:r w:rsidRPr="001147F5">
        <w:rPr>
          <w:lang w:val="en-GB" w:eastAsia="es-ES"/>
        </w:rPr>
        <w:t>acceso</w:t>
      </w:r>
      <w:proofErr w:type="spellEnd"/>
      <w:r w:rsidRPr="001147F5">
        <w:rPr>
          <w:lang w:val="en-GB" w:eastAsia="es-ES"/>
        </w:rPr>
        <w:t>: 02/05/2021]</w:t>
      </w:r>
      <w:r w:rsidRPr="001147F5">
        <w:rPr>
          <w:rFonts w:eastAsia="Calibri"/>
          <w:lang w:val="en-GB" w:eastAsia="en-US"/>
        </w:rPr>
        <w:t xml:space="preserve">; 15(4):240-1. Disponible </w:t>
      </w:r>
      <w:proofErr w:type="spellStart"/>
      <w:r w:rsidRPr="001147F5">
        <w:rPr>
          <w:rFonts w:eastAsia="Calibri"/>
          <w:lang w:val="en-GB" w:eastAsia="en-US"/>
        </w:rPr>
        <w:t>en</w:t>
      </w:r>
      <w:proofErr w:type="spellEnd"/>
      <w:r w:rsidRPr="001147F5">
        <w:rPr>
          <w:rFonts w:eastAsia="Calibri"/>
          <w:lang w:val="en-GB" w:eastAsia="en-US"/>
        </w:rPr>
        <w:t xml:space="preserve">: </w:t>
      </w:r>
      <w:hyperlink r:id="rId28" w:history="1">
        <w:r w:rsidRPr="001147F5">
          <w:rPr>
            <w:rFonts w:eastAsia="Calibri"/>
            <w:color w:val="0000FF"/>
            <w:u w:val="single"/>
            <w:lang w:val="en-GB" w:eastAsia="en-US"/>
          </w:rPr>
          <w:t>https://pubmed.ncbi.nlm.nih.gov/32118561/</w:t>
        </w:r>
      </w:hyperlink>
      <w:r w:rsidRPr="001147F5">
        <w:rPr>
          <w:rFonts w:eastAsia="Calibri"/>
          <w:lang w:val="en-GB" w:eastAsia="en-US"/>
        </w:rPr>
        <w:t xml:space="preserve"> </w:t>
      </w:r>
    </w:p>
    <w:p w14:paraId="570E4E72" w14:textId="77777777" w:rsidR="001147F5" w:rsidRPr="001147F5" w:rsidRDefault="001147F5" w:rsidP="001147F5">
      <w:pPr>
        <w:spacing w:line="360" w:lineRule="auto"/>
        <w:rPr>
          <w:rFonts w:eastAsia="Calibri"/>
          <w:lang w:val="es-ES" w:eastAsia="en-US"/>
        </w:rPr>
      </w:pPr>
      <w:r w:rsidRPr="001147F5">
        <w:rPr>
          <w:rFonts w:eastAsia="Calibri"/>
          <w:lang w:val="en-GB" w:eastAsia="en-US"/>
        </w:rPr>
        <w:t xml:space="preserve">19. Goldman L, Schafer AI. </w:t>
      </w:r>
      <w:r w:rsidRPr="001147F5">
        <w:rPr>
          <w:rFonts w:eastAsia="Calibri"/>
          <w:lang w:val="es-ES" w:eastAsia="en-US"/>
        </w:rPr>
        <w:t xml:space="preserve">Goldman-Cecil. Tratado de Medicina Interna. 26 ed. España: Elsevier; 2021 </w:t>
      </w:r>
      <w:r w:rsidRPr="001147F5">
        <w:rPr>
          <w:lang w:val="es-ES" w:eastAsia="es-ES"/>
        </w:rPr>
        <w:t>[acceso: 02/07/2022]</w:t>
      </w:r>
      <w:r w:rsidRPr="001147F5">
        <w:rPr>
          <w:rFonts w:eastAsia="Calibri"/>
          <w:lang w:val="es-ES" w:eastAsia="en-US"/>
        </w:rPr>
        <w:t xml:space="preserve"> Disponible en: </w:t>
      </w:r>
      <w:hyperlink r:id="rId29" w:history="1">
        <w:r w:rsidRPr="001147F5">
          <w:rPr>
            <w:rFonts w:eastAsia="Calibri"/>
            <w:color w:val="0000FF"/>
            <w:u w:val="single"/>
            <w:lang w:val="es-ES" w:eastAsia="en-US"/>
          </w:rPr>
          <w:t>https://inspectioncopy.elsevier.com/6/es/book/details/9788491130338</w:t>
        </w:r>
      </w:hyperlink>
      <w:r w:rsidRPr="001147F5">
        <w:rPr>
          <w:rFonts w:eastAsia="Calibri"/>
          <w:lang w:val="es-ES" w:eastAsia="en-US"/>
        </w:rPr>
        <w:t xml:space="preserve"> </w:t>
      </w:r>
    </w:p>
    <w:p w14:paraId="5AE4410E" w14:textId="77777777" w:rsidR="001147F5" w:rsidRPr="001147F5" w:rsidRDefault="001147F5" w:rsidP="001147F5">
      <w:pPr>
        <w:spacing w:line="360" w:lineRule="auto"/>
        <w:rPr>
          <w:rFonts w:eastAsia="Calibri"/>
          <w:color w:val="0000FF"/>
          <w:u w:val="single"/>
          <w:lang w:val="es-ES" w:eastAsia="en-US"/>
        </w:rPr>
      </w:pPr>
      <w:r w:rsidRPr="001147F5">
        <w:rPr>
          <w:rFonts w:eastAsia="Calibri"/>
          <w:lang w:val="es-ES" w:eastAsia="en-US"/>
        </w:rPr>
        <w:t>20. Chico Fernández M, Molina Collado Z, Guerrero López F. Evaluación primaria, secundaria y reanimación inicial del paciente con enfermedad traumática grave. Tratado de Medicina Intensiva. España: Elsevier; 2017.</w:t>
      </w:r>
    </w:p>
    <w:p w14:paraId="01A0A788" w14:textId="77777777" w:rsidR="001147F5" w:rsidRPr="001147F5" w:rsidRDefault="001147F5" w:rsidP="001147F5">
      <w:pPr>
        <w:spacing w:line="360" w:lineRule="auto"/>
        <w:rPr>
          <w:rFonts w:eastAsia="Calibri"/>
          <w:lang w:val="en-US" w:eastAsia="en-US"/>
        </w:rPr>
      </w:pPr>
      <w:r w:rsidRPr="001147F5">
        <w:rPr>
          <w:rFonts w:eastAsia="Calibri"/>
          <w:lang w:val="es-ES" w:eastAsia="en-US"/>
        </w:rPr>
        <w:t xml:space="preserve">21. García Gutiérrez A, Pardo Gómez G. Cirugía. Tomo II. La Habana: Editorial Ciencias Médicas; 2006 </w:t>
      </w:r>
      <w:r w:rsidRPr="001147F5">
        <w:rPr>
          <w:lang w:val="es-ES" w:eastAsia="es-ES"/>
        </w:rPr>
        <w:t xml:space="preserve">[acceso: 02/07/2022]. </w:t>
      </w:r>
      <w:r w:rsidRPr="001147F5">
        <w:rPr>
          <w:rFonts w:eastAsia="Calibri"/>
          <w:lang w:val="en-US" w:eastAsia="en-US"/>
        </w:rPr>
        <w:t xml:space="preserve">Disponible </w:t>
      </w:r>
      <w:proofErr w:type="spellStart"/>
      <w:r w:rsidRPr="001147F5">
        <w:rPr>
          <w:rFonts w:eastAsia="Calibri"/>
          <w:lang w:val="en-US" w:eastAsia="en-US"/>
        </w:rPr>
        <w:t>en</w:t>
      </w:r>
      <w:proofErr w:type="spellEnd"/>
      <w:r w:rsidRPr="001147F5">
        <w:rPr>
          <w:rFonts w:eastAsia="Calibri"/>
          <w:lang w:val="en-US" w:eastAsia="en-US"/>
        </w:rPr>
        <w:t xml:space="preserve">: </w:t>
      </w:r>
      <w:hyperlink r:id="rId30" w:history="1">
        <w:r w:rsidRPr="001147F5">
          <w:rPr>
            <w:rFonts w:eastAsia="Calibri"/>
            <w:color w:val="0000FF"/>
            <w:u w:val="single"/>
            <w:lang w:val="en-US" w:eastAsia="en-US"/>
          </w:rPr>
          <w:t>http://www.ecimed.sld.cu/2006/01/01/908/2006</w:t>
        </w:r>
      </w:hyperlink>
      <w:r w:rsidRPr="001147F5">
        <w:rPr>
          <w:rFonts w:eastAsia="Calibri"/>
          <w:lang w:val="en-US" w:eastAsia="en-US"/>
        </w:rPr>
        <w:t xml:space="preserve"> </w:t>
      </w:r>
    </w:p>
    <w:p w14:paraId="0B47C009" w14:textId="77777777" w:rsidR="001147F5" w:rsidRPr="001147F5" w:rsidRDefault="001147F5" w:rsidP="001147F5">
      <w:pPr>
        <w:spacing w:line="360" w:lineRule="auto"/>
        <w:rPr>
          <w:rFonts w:eastAsia="Calibri"/>
          <w:lang w:val="es-ES" w:eastAsia="en-US"/>
        </w:rPr>
      </w:pPr>
      <w:r w:rsidRPr="001147F5">
        <w:rPr>
          <w:rFonts w:eastAsia="Calibri"/>
          <w:lang w:val="en-GB" w:eastAsia="en-US"/>
        </w:rPr>
        <w:t xml:space="preserve">22. Thorn S, </w:t>
      </w:r>
      <w:proofErr w:type="spellStart"/>
      <w:r w:rsidRPr="001147F5">
        <w:rPr>
          <w:rFonts w:eastAsia="Calibri"/>
          <w:lang w:val="en-GB" w:eastAsia="en-US"/>
        </w:rPr>
        <w:t>Tonglet</w:t>
      </w:r>
      <w:proofErr w:type="spellEnd"/>
      <w:r w:rsidRPr="001147F5">
        <w:rPr>
          <w:rFonts w:eastAsia="Calibri"/>
          <w:lang w:val="en-GB" w:eastAsia="en-US"/>
        </w:rPr>
        <w:t xml:space="preserve"> M, </w:t>
      </w:r>
      <w:proofErr w:type="spellStart"/>
      <w:r w:rsidRPr="001147F5">
        <w:rPr>
          <w:rFonts w:eastAsia="Calibri"/>
          <w:lang w:val="en-GB" w:eastAsia="en-US"/>
        </w:rPr>
        <w:t>Maegele</w:t>
      </w:r>
      <w:proofErr w:type="spellEnd"/>
      <w:r w:rsidRPr="001147F5">
        <w:rPr>
          <w:rFonts w:eastAsia="Calibri"/>
          <w:lang w:val="en-GB" w:eastAsia="en-US"/>
        </w:rPr>
        <w:t xml:space="preserve"> M, Gruen R, Mitra B. Validation of the COAST score for predicting acute traumatic coagulopathy: A retrospective single centre cohort study. </w:t>
      </w:r>
      <w:r w:rsidRPr="001147F5">
        <w:rPr>
          <w:rFonts w:eastAsia="Calibri"/>
          <w:lang w:val="es-ES" w:eastAsia="en-US"/>
        </w:rPr>
        <w:t xml:space="preserve">Trauma. 2019; 22(2):1-6. </w:t>
      </w:r>
      <w:proofErr w:type="spellStart"/>
      <w:r w:rsidRPr="001147F5">
        <w:rPr>
          <w:rFonts w:eastAsia="Calibri"/>
          <w:lang w:val="es-ES" w:eastAsia="en-US"/>
        </w:rPr>
        <w:t>DOI</w:t>
      </w:r>
      <w:proofErr w:type="spellEnd"/>
      <w:r w:rsidRPr="001147F5">
        <w:rPr>
          <w:rFonts w:eastAsia="Calibri"/>
          <w:lang w:val="es-ES" w:eastAsia="en-US"/>
        </w:rPr>
        <w:t xml:space="preserve">: 10.1177/1460408619838187 </w:t>
      </w:r>
    </w:p>
    <w:p w14:paraId="5A9ED284"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23. Chavala MA, </w:t>
      </w:r>
      <w:proofErr w:type="spellStart"/>
      <w:r w:rsidRPr="001147F5">
        <w:rPr>
          <w:rFonts w:eastAsia="Calibri"/>
          <w:lang w:val="es-ES" w:eastAsia="en-US"/>
        </w:rPr>
        <w:t>Gallardo</w:t>
      </w:r>
      <w:proofErr w:type="spellEnd"/>
      <w:r w:rsidRPr="001147F5">
        <w:rPr>
          <w:rFonts w:eastAsia="Calibri"/>
          <w:lang w:val="es-ES" w:eastAsia="en-US"/>
        </w:rPr>
        <w:t xml:space="preserve"> MA, Martínez IS, </w:t>
      </w:r>
      <w:proofErr w:type="spellStart"/>
      <w:r w:rsidRPr="001147F5">
        <w:rPr>
          <w:rFonts w:eastAsia="Calibri"/>
          <w:lang w:val="es-ES" w:eastAsia="en-US"/>
        </w:rPr>
        <w:t>Bayego</w:t>
      </w:r>
      <w:proofErr w:type="spellEnd"/>
      <w:r w:rsidRPr="001147F5">
        <w:rPr>
          <w:rFonts w:eastAsia="Calibri"/>
          <w:lang w:val="es-ES" w:eastAsia="en-US"/>
        </w:rPr>
        <w:t xml:space="preserve"> ES. Gestión de la hipotermia accidental: revisión narrativa. Medicina Intensiva. 2019; 43(9):556-68. </w:t>
      </w:r>
      <w:proofErr w:type="spellStart"/>
      <w:proofErr w:type="gramStart"/>
      <w:r w:rsidRPr="001147F5">
        <w:rPr>
          <w:rFonts w:eastAsia="Calibri"/>
          <w:lang w:val="es-ES" w:eastAsia="en-US"/>
        </w:rPr>
        <w:t>DOI:10.1016</w:t>
      </w:r>
      <w:proofErr w:type="spellEnd"/>
      <w:r w:rsidRPr="001147F5">
        <w:rPr>
          <w:rFonts w:eastAsia="Calibri"/>
          <w:lang w:val="es-ES" w:eastAsia="en-US"/>
        </w:rPr>
        <w:t>/</w:t>
      </w:r>
      <w:proofErr w:type="spellStart"/>
      <w:r w:rsidRPr="001147F5">
        <w:rPr>
          <w:rFonts w:eastAsia="Calibri"/>
          <w:lang w:val="es-ES" w:eastAsia="en-US"/>
        </w:rPr>
        <w:t>j.medin</w:t>
      </w:r>
      <w:proofErr w:type="gramEnd"/>
      <w:r w:rsidRPr="001147F5">
        <w:rPr>
          <w:rFonts w:eastAsia="Calibri"/>
          <w:lang w:val="es-ES" w:eastAsia="en-US"/>
        </w:rPr>
        <w:t>.2018.11.008</w:t>
      </w:r>
      <w:proofErr w:type="spellEnd"/>
      <w:r w:rsidRPr="001147F5">
        <w:rPr>
          <w:rFonts w:eastAsia="Calibri"/>
          <w:lang w:val="es-ES" w:eastAsia="en-US"/>
        </w:rPr>
        <w:t xml:space="preserve"> </w:t>
      </w:r>
    </w:p>
    <w:p w14:paraId="19FEEE9B"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24. </w:t>
      </w:r>
      <w:proofErr w:type="spellStart"/>
      <w:r w:rsidRPr="001147F5">
        <w:rPr>
          <w:rFonts w:eastAsia="Calibri"/>
          <w:lang w:val="es-ES" w:eastAsia="en-US"/>
        </w:rPr>
        <w:t>Servià</w:t>
      </w:r>
      <w:proofErr w:type="spellEnd"/>
      <w:r w:rsidRPr="001147F5">
        <w:rPr>
          <w:rFonts w:eastAsia="Calibri"/>
          <w:lang w:val="es-ES" w:eastAsia="en-US"/>
        </w:rPr>
        <w:t xml:space="preserve"> </w:t>
      </w:r>
      <w:proofErr w:type="spellStart"/>
      <w:r w:rsidRPr="001147F5">
        <w:rPr>
          <w:rFonts w:eastAsia="Calibri"/>
          <w:lang w:val="es-ES" w:eastAsia="en-US"/>
        </w:rPr>
        <w:t>Goixart</w:t>
      </w:r>
      <w:proofErr w:type="spellEnd"/>
      <w:r w:rsidRPr="001147F5">
        <w:rPr>
          <w:rFonts w:eastAsia="Calibri"/>
          <w:lang w:val="es-ES" w:eastAsia="en-US"/>
        </w:rPr>
        <w:t xml:space="preserve"> L. Paciente traumático ingresado en UCI: epidemiología y factores de riesgo de mortalidad [Tesis doctoral]. </w:t>
      </w:r>
      <w:proofErr w:type="spellStart"/>
      <w:r w:rsidRPr="001147F5">
        <w:rPr>
          <w:rFonts w:eastAsia="Calibri"/>
          <w:lang w:val="es-ES" w:eastAsia="en-US"/>
        </w:rPr>
        <w:t>Tdx</w:t>
      </w:r>
      <w:proofErr w:type="spellEnd"/>
      <w:r w:rsidRPr="001147F5">
        <w:rPr>
          <w:rFonts w:eastAsia="Calibri"/>
          <w:lang w:val="es-ES" w:eastAsia="en-US"/>
        </w:rPr>
        <w:t xml:space="preserve"> </w:t>
      </w:r>
      <w:proofErr w:type="spellStart"/>
      <w:r w:rsidRPr="001147F5">
        <w:rPr>
          <w:rFonts w:eastAsia="Calibri"/>
          <w:lang w:val="es-ES" w:eastAsia="en-US"/>
        </w:rPr>
        <w:t>cat</w:t>
      </w:r>
      <w:proofErr w:type="spellEnd"/>
      <w:r w:rsidRPr="001147F5">
        <w:rPr>
          <w:rFonts w:eastAsia="Calibri"/>
          <w:lang w:val="es-ES" w:eastAsia="en-US"/>
        </w:rPr>
        <w:t xml:space="preserve">: </w:t>
      </w:r>
      <w:proofErr w:type="spellStart"/>
      <w:r w:rsidRPr="001147F5">
        <w:rPr>
          <w:rFonts w:eastAsia="Calibri"/>
          <w:lang w:val="es-ES" w:eastAsia="en-US"/>
        </w:rPr>
        <w:t>Universitat</w:t>
      </w:r>
      <w:proofErr w:type="spellEnd"/>
      <w:r w:rsidRPr="001147F5">
        <w:rPr>
          <w:rFonts w:eastAsia="Calibri"/>
          <w:lang w:val="es-ES" w:eastAsia="en-US"/>
        </w:rPr>
        <w:t xml:space="preserve"> de Lleida; 2015 </w:t>
      </w:r>
      <w:r w:rsidRPr="001147F5">
        <w:rPr>
          <w:lang w:val="es-ES" w:eastAsia="es-ES"/>
        </w:rPr>
        <w:t>[acceso: 02/04/2021]</w:t>
      </w:r>
      <w:r w:rsidRPr="001147F5">
        <w:rPr>
          <w:rFonts w:eastAsia="Calibri"/>
          <w:lang w:val="es-ES" w:eastAsia="en-US"/>
        </w:rPr>
        <w:t xml:space="preserve">. Disponible en: </w:t>
      </w:r>
      <w:hyperlink r:id="rId31" w:history="1">
        <w:r w:rsidRPr="001147F5">
          <w:rPr>
            <w:rFonts w:eastAsia="Calibri"/>
            <w:color w:val="0000FF"/>
            <w:u w:val="single"/>
            <w:lang w:val="es-ES" w:eastAsia="en-US"/>
          </w:rPr>
          <w:t>http://hdl.handle.net/10803/378656</w:t>
        </w:r>
      </w:hyperlink>
    </w:p>
    <w:p w14:paraId="6414679B" w14:textId="77777777" w:rsidR="001147F5" w:rsidRPr="001147F5" w:rsidRDefault="001147F5" w:rsidP="001147F5">
      <w:pPr>
        <w:spacing w:line="360" w:lineRule="auto"/>
        <w:rPr>
          <w:rFonts w:eastAsia="Calibri"/>
          <w:lang w:val="en-GB" w:eastAsia="en-US"/>
        </w:rPr>
      </w:pPr>
      <w:r w:rsidRPr="001147F5">
        <w:rPr>
          <w:rFonts w:eastAsia="Calibri"/>
          <w:lang w:val="en-GB" w:eastAsia="en-US"/>
        </w:rPr>
        <w:lastRenderedPageBreak/>
        <w:t>25. Shrestha B, Dunn L. The declaration of Helsinki on medical research involving human subjects: A review of seventh revision. Journal of Nepal Health Research Council. 2019; 17(4):548-52. DOI: 10.33314/</w:t>
      </w:r>
      <w:proofErr w:type="spellStart"/>
      <w:proofErr w:type="gramStart"/>
      <w:r w:rsidRPr="001147F5">
        <w:rPr>
          <w:rFonts w:eastAsia="Calibri"/>
          <w:lang w:val="en-GB" w:eastAsia="en-US"/>
        </w:rPr>
        <w:t>jnhrc.v</w:t>
      </w:r>
      <w:proofErr w:type="gramEnd"/>
      <w:r w:rsidRPr="001147F5">
        <w:rPr>
          <w:rFonts w:eastAsia="Calibri"/>
          <w:lang w:val="en-GB" w:eastAsia="en-US"/>
        </w:rPr>
        <w:t>17i4.1042</w:t>
      </w:r>
      <w:proofErr w:type="spellEnd"/>
      <w:r w:rsidRPr="001147F5">
        <w:rPr>
          <w:rFonts w:eastAsia="Calibri"/>
          <w:lang w:val="en-GB" w:eastAsia="en-US"/>
        </w:rPr>
        <w:t xml:space="preserve"> </w:t>
      </w:r>
    </w:p>
    <w:p w14:paraId="7DD78118" w14:textId="77777777" w:rsidR="001147F5" w:rsidRPr="001147F5" w:rsidRDefault="001147F5" w:rsidP="001147F5">
      <w:pPr>
        <w:spacing w:line="360" w:lineRule="auto"/>
        <w:rPr>
          <w:rFonts w:eastAsia="Calibri"/>
          <w:lang w:val="es-ES" w:eastAsia="en-US"/>
        </w:rPr>
      </w:pPr>
      <w:r w:rsidRPr="001147F5">
        <w:rPr>
          <w:rFonts w:eastAsia="Calibri"/>
          <w:lang w:val="en-US" w:eastAsia="en-US"/>
        </w:rPr>
        <w:t xml:space="preserve">26. </w:t>
      </w:r>
      <w:proofErr w:type="spellStart"/>
      <w:r w:rsidRPr="001147F5">
        <w:rPr>
          <w:rFonts w:eastAsia="Calibri"/>
          <w:lang w:val="en-US" w:eastAsia="en-US"/>
        </w:rPr>
        <w:t>Labrada</w:t>
      </w:r>
      <w:proofErr w:type="spellEnd"/>
      <w:r w:rsidRPr="001147F5">
        <w:rPr>
          <w:rFonts w:eastAsia="Calibri"/>
          <w:lang w:val="en-US" w:eastAsia="en-US"/>
        </w:rPr>
        <w:t xml:space="preserve"> Despaigne A, Rodríguez DL, Martínez LL. </w:t>
      </w:r>
      <w:r w:rsidRPr="001147F5">
        <w:rPr>
          <w:rFonts w:eastAsia="Calibri"/>
          <w:lang w:val="es-ES" w:eastAsia="en-US"/>
        </w:rPr>
        <w:t xml:space="preserve">Factores de riesgo de mortalidad en pacientes politraumatizados. Revista Cubana de Anestesiología y Reanimación. 2018 </w:t>
      </w:r>
      <w:r w:rsidRPr="001147F5">
        <w:rPr>
          <w:lang w:val="es-ES" w:eastAsia="es-ES"/>
        </w:rPr>
        <w:t>[acceso: 02/04/2021]</w:t>
      </w:r>
      <w:r w:rsidRPr="001147F5">
        <w:rPr>
          <w:rFonts w:eastAsia="Calibri"/>
          <w:lang w:val="es-ES" w:eastAsia="en-US"/>
        </w:rPr>
        <w:t xml:space="preserve">; 17(3):1-13 Disponible en: </w:t>
      </w:r>
      <w:hyperlink r:id="rId32" w:history="1">
        <w:r w:rsidRPr="001147F5">
          <w:rPr>
            <w:rFonts w:eastAsia="Calibri"/>
            <w:color w:val="0000FF"/>
            <w:u w:val="single"/>
            <w:lang w:val="es-ES" w:eastAsia="en-US"/>
          </w:rPr>
          <w:t>https://www.medigraphic.com/cgi-bin/new/resumen.cgi?IDARTICULO=86864</w:t>
        </w:r>
      </w:hyperlink>
    </w:p>
    <w:p w14:paraId="4F80631D"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27. Bustamante Gómez Á. Manejo del shock hipovolémico en pacientes politraumatizados [Tesis de grado]. Cantabria: Universidad de Cantabria; 2019</w:t>
      </w:r>
      <w:r w:rsidRPr="001147F5">
        <w:rPr>
          <w:lang w:val="es-ES" w:eastAsia="es-ES"/>
        </w:rPr>
        <w:t xml:space="preserve"> [acceso: </w:t>
      </w:r>
      <w:smartTag w:uri="urn:schemas-microsoft-com:office:smarttags" w:element="date">
        <w:smartTagPr>
          <w:attr w:name="ls" w:val="trans"/>
          <w:attr w:name="Month" w:val="10"/>
          <w:attr w:name="Day" w:val="18"/>
          <w:attr w:name="Year" w:val="2021"/>
        </w:smartTagPr>
        <w:r w:rsidRPr="001147F5">
          <w:rPr>
            <w:lang w:val="es-ES" w:eastAsia="es-ES"/>
          </w:rPr>
          <w:t>18/10/2021</w:t>
        </w:r>
      </w:smartTag>
      <w:r w:rsidRPr="001147F5">
        <w:rPr>
          <w:lang w:val="es-ES" w:eastAsia="es-ES"/>
        </w:rPr>
        <w:t>]</w:t>
      </w:r>
      <w:r w:rsidRPr="001147F5">
        <w:rPr>
          <w:rFonts w:eastAsia="Calibri"/>
          <w:lang w:val="es-ES" w:eastAsia="en-US"/>
        </w:rPr>
        <w:t xml:space="preserve">. Disponible en: </w:t>
      </w:r>
      <w:hyperlink r:id="rId33" w:history="1">
        <w:r w:rsidRPr="001147F5">
          <w:rPr>
            <w:rFonts w:eastAsia="Calibri"/>
            <w:color w:val="0000FF"/>
            <w:u w:val="single"/>
            <w:lang w:val="es-ES" w:eastAsia="en-US"/>
          </w:rPr>
          <w:t>http://hdl.handle.net/10902/16473</w:t>
        </w:r>
      </w:hyperlink>
    </w:p>
    <w:p w14:paraId="0B6730DF"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28. Díaz de León M, </w:t>
      </w:r>
      <w:proofErr w:type="spellStart"/>
      <w:r w:rsidRPr="001147F5">
        <w:rPr>
          <w:rFonts w:eastAsia="Calibri"/>
          <w:lang w:val="es-ES" w:eastAsia="en-US"/>
        </w:rPr>
        <w:t>Basili</w:t>
      </w:r>
      <w:proofErr w:type="spellEnd"/>
      <w:r w:rsidRPr="001147F5">
        <w:rPr>
          <w:rFonts w:eastAsia="Calibri"/>
          <w:lang w:val="es-ES" w:eastAsia="en-US"/>
        </w:rPr>
        <w:t xml:space="preserve"> A, Cruz F, Briones J. Trauma. Un problema de salud en México. </w:t>
      </w:r>
      <w:proofErr w:type="spellStart"/>
      <w:r w:rsidRPr="001147F5">
        <w:rPr>
          <w:rFonts w:eastAsia="Calibri"/>
          <w:lang w:val="es-ES" w:eastAsia="en-US"/>
        </w:rPr>
        <w:t>1ra</w:t>
      </w:r>
      <w:proofErr w:type="spellEnd"/>
      <w:r w:rsidRPr="001147F5">
        <w:rPr>
          <w:rFonts w:eastAsia="Calibri"/>
          <w:lang w:val="es-ES" w:eastAsia="en-US"/>
        </w:rPr>
        <w:t xml:space="preserve"> Edición. México: Academia Nacional de Medicina de México Intersistemas </w:t>
      </w:r>
      <w:proofErr w:type="spellStart"/>
      <w:r w:rsidRPr="001147F5">
        <w:rPr>
          <w:rFonts w:eastAsia="Calibri"/>
          <w:lang w:val="es-ES" w:eastAsia="en-US"/>
        </w:rPr>
        <w:t>S.A</w:t>
      </w:r>
      <w:proofErr w:type="spellEnd"/>
      <w:r w:rsidRPr="001147F5">
        <w:rPr>
          <w:rFonts w:eastAsia="Calibri"/>
          <w:lang w:val="es-ES" w:eastAsia="en-US"/>
        </w:rPr>
        <w:t xml:space="preserve">; 2016. </w:t>
      </w:r>
      <w:r w:rsidRPr="001147F5">
        <w:rPr>
          <w:lang w:val="es-ES" w:eastAsia="es-ES"/>
        </w:rPr>
        <w:t>[acceso: 15/11/2019]</w:t>
      </w:r>
      <w:r w:rsidRPr="001147F5">
        <w:rPr>
          <w:rFonts w:eastAsia="Calibri"/>
          <w:lang w:val="es-ES" w:eastAsia="en-US"/>
        </w:rPr>
        <w:t xml:space="preserve">. Disponible en: </w:t>
      </w:r>
      <w:hyperlink r:id="rId34" w:history="1">
        <w:r w:rsidRPr="001147F5">
          <w:rPr>
            <w:rFonts w:eastAsia="Calibri"/>
            <w:color w:val="0000FF"/>
            <w:u w:val="single"/>
            <w:lang w:val="es-ES" w:eastAsia="en-US"/>
          </w:rPr>
          <w:t>https://www.anmm.org.mx/publicaciones/ultimas_publicaciones/TRAUMA.pdf</w:t>
        </w:r>
      </w:hyperlink>
      <w:r w:rsidRPr="001147F5">
        <w:rPr>
          <w:rFonts w:eastAsia="Calibri"/>
          <w:lang w:val="es-ES" w:eastAsia="en-US"/>
        </w:rPr>
        <w:t xml:space="preserve"> </w:t>
      </w:r>
    </w:p>
    <w:p w14:paraId="10CA8C9E"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29. Martínez F, </w:t>
      </w:r>
      <w:proofErr w:type="spellStart"/>
      <w:r w:rsidRPr="001147F5">
        <w:rPr>
          <w:rFonts w:eastAsia="Calibri"/>
          <w:lang w:val="es-ES" w:eastAsia="en-US"/>
        </w:rPr>
        <w:t>Alegret</w:t>
      </w:r>
      <w:proofErr w:type="spellEnd"/>
      <w:r w:rsidRPr="001147F5">
        <w:rPr>
          <w:rFonts w:eastAsia="Calibri"/>
          <w:lang w:val="es-ES" w:eastAsia="en-US"/>
        </w:rPr>
        <w:t xml:space="preserve"> N, Carol F, Laso </w:t>
      </w:r>
      <w:proofErr w:type="spellStart"/>
      <w:r w:rsidRPr="001147F5">
        <w:rPr>
          <w:rFonts w:eastAsia="Calibri"/>
          <w:lang w:val="es-ES" w:eastAsia="en-US"/>
        </w:rPr>
        <w:t>MJ</w:t>
      </w:r>
      <w:proofErr w:type="spellEnd"/>
      <w:r w:rsidRPr="001147F5">
        <w:rPr>
          <w:rFonts w:eastAsia="Calibri"/>
          <w:lang w:val="es-ES" w:eastAsia="en-US"/>
        </w:rPr>
        <w:t xml:space="preserve">, Zancajo J, García E, et al. </w:t>
      </w:r>
      <w:r w:rsidRPr="001147F5">
        <w:rPr>
          <w:rFonts w:eastAsia="Calibri"/>
          <w:lang w:val="en-GB" w:eastAsia="en-US"/>
        </w:rPr>
        <w:t xml:space="preserve">Pelvic fracture in the patient with multiple injuries: factors and lesions associated with mortality. </w:t>
      </w:r>
      <w:r w:rsidRPr="001147F5">
        <w:rPr>
          <w:rFonts w:eastAsia="Calibri"/>
          <w:lang w:val="es-ES" w:eastAsia="en-US"/>
        </w:rPr>
        <w:t xml:space="preserve">Emergencias. 2018 </w:t>
      </w:r>
      <w:r w:rsidRPr="001147F5">
        <w:rPr>
          <w:lang w:val="es-ES" w:eastAsia="es-ES"/>
        </w:rPr>
        <w:t>[acceso: 02/04/2021]</w:t>
      </w:r>
      <w:r w:rsidRPr="001147F5">
        <w:rPr>
          <w:rFonts w:eastAsia="Calibri"/>
          <w:lang w:val="es-ES" w:eastAsia="en-US"/>
        </w:rPr>
        <w:t xml:space="preserve">; 30(2):91-97. Disponible en: </w:t>
      </w:r>
      <w:hyperlink r:id="rId35" w:history="1">
        <w:r w:rsidRPr="001147F5">
          <w:rPr>
            <w:rFonts w:eastAsia="Calibri"/>
            <w:color w:val="0000FF"/>
            <w:u w:val="single"/>
            <w:lang w:val="es-ES" w:eastAsia="en-US"/>
          </w:rPr>
          <w:t>https://pubmed.ncbi.nlm.nih.gov/29547231</w:t>
        </w:r>
      </w:hyperlink>
      <w:r w:rsidRPr="001147F5">
        <w:rPr>
          <w:rFonts w:eastAsia="Calibri"/>
          <w:lang w:val="es-ES" w:eastAsia="en-US"/>
        </w:rPr>
        <w:t xml:space="preserve">  </w:t>
      </w:r>
    </w:p>
    <w:p w14:paraId="45814651"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30. Larrea Fabra ME. Trauma torácico y abdominal: caracterización: consideraciones para un mejor diagnóstico y tratamiento. La Habana: Editorial Universitaria; 2015. </w:t>
      </w:r>
      <w:r w:rsidRPr="001147F5">
        <w:rPr>
          <w:lang w:val="es-ES" w:eastAsia="es-ES"/>
        </w:rPr>
        <w:t>[acceso: 02/04/2021]</w:t>
      </w:r>
      <w:r w:rsidRPr="001147F5">
        <w:rPr>
          <w:rFonts w:eastAsia="Calibri"/>
          <w:lang w:val="es-ES" w:eastAsia="en-US"/>
        </w:rPr>
        <w:t xml:space="preserve">. Disponible en: </w:t>
      </w:r>
      <w:hyperlink r:id="rId36" w:history="1">
        <w:r w:rsidRPr="001147F5">
          <w:rPr>
            <w:rFonts w:eastAsia="Calibri"/>
            <w:color w:val="0000FF"/>
            <w:u w:val="single"/>
            <w:lang w:val="es-ES" w:eastAsia="en-US"/>
          </w:rPr>
          <w:t>https://europepmc.org/article/med/8540137</w:t>
        </w:r>
      </w:hyperlink>
    </w:p>
    <w:p w14:paraId="0B735EC1"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31. Valdés Rodríguez </w:t>
      </w:r>
      <w:proofErr w:type="spellStart"/>
      <w:r w:rsidRPr="001147F5">
        <w:rPr>
          <w:rFonts w:eastAsia="Calibri"/>
          <w:lang w:val="es-ES" w:eastAsia="en-US"/>
        </w:rPr>
        <w:t>MF</w:t>
      </w:r>
      <w:proofErr w:type="spellEnd"/>
      <w:r w:rsidRPr="001147F5">
        <w:rPr>
          <w:rFonts w:eastAsia="Calibri"/>
          <w:lang w:val="es-ES" w:eastAsia="en-US"/>
        </w:rPr>
        <w:t xml:space="preserve">, Rodríguez </w:t>
      </w:r>
      <w:proofErr w:type="spellStart"/>
      <w:r w:rsidRPr="001147F5">
        <w:rPr>
          <w:rFonts w:eastAsia="Calibri"/>
          <w:lang w:val="es-ES" w:eastAsia="en-US"/>
        </w:rPr>
        <w:t>Corvea</w:t>
      </w:r>
      <w:proofErr w:type="spellEnd"/>
      <w:r w:rsidRPr="001147F5">
        <w:rPr>
          <w:rFonts w:eastAsia="Calibri"/>
          <w:lang w:val="es-ES" w:eastAsia="en-US"/>
        </w:rPr>
        <w:t xml:space="preserve"> L, Conde Fernández BD, Orellana Meneses GA. Predictores de mortalidad precoz en pacientes con trauma complejo hemorrágico. </w:t>
      </w:r>
      <w:proofErr w:type="spellStart"/>
      <w:r w:rsidRPr="001147F5">
        <w:rPr>
          <w:rFonts w:eastAsia="Calibri"/>
          <w:lang w:val="es-ES" w:eastAsia="en-US"/>
        </w:rPr>
        <w:t>Gac</w:t>
      </w:r>
      <w:proofErr w:type="spellEnd"/>
      <w:r w:rsidRPr="001147F5">
        <w:rPr>
          <w:rFonts w:eastAsia="Calibri"/>
          <w:lang w:val="es-ES" w:eastAsia="en-US"/>
        </w:rPr>
        <w:t xml:space="preserve"> </w:t>
      </w:r>
      <w:proofErr w:type="spellStart"/>
      <w:r w:rsidRPr="001147F5">
        <w:rPr>
          <w:rFonts w:eastAsia="Calibri"/>
          <w:lang w:val="es-ES" w:eastAsia="en-US"/>
        </w:rPr>
        <w:t>méd</w:t>
      </w:r>
      <w:proofErr w:type="spellEnd"/>
      <w:r w:rsidRPr="001147F5">
        <w:rPr>
          <w:rFonts w:eastAsia="Calibri"/>
          <w:lang w:val="es-ES" w:eastAsia="en-US"/>
        </w:rPr>
        <w:t xml:space="preserve"> </w:t>
      </w:r>
      <w:proofErr w:type="spellStart"/>
      <w:r w:rsidRPr="001147F5">
        <w:rPr>
          <w:rFonts w:eastAsia="Calibri"/>
          <w:lang w:val="es-ES" w:eastAsia="en-US"/>
        </w:rPr>
        <w:t>espirit</w:t>
      </w:r>
      <w:proofErr w:type="spellEnd"/>
      <w:r w:rsidRPr="001147F5">
        <w:rPr>
          <w:rFonts w:eastAsia="Calibri"/>
          <w:lang w:val="es-ES" w:eastAsia="en-US"/>
        </w:rPr>
        <w:t xml:space="preserve">. 2022 </w:t>
      </w:r>
      <w:r w:rsidRPr="001147F5">
        <w:rPr>
          <w:lang w:val="es-ES" w:eastAsia="es-ES"/>
        </w:rPr>
        <w:t>[acceso: 20/09/2022]</w:t>
      </w:r>
      <w:r w:rsidRPr="001147F5">
        <w:rPr>
          <w:rFonts w:eastAsia="Calibri"/>
          <w:lang w:val="es-ES" w:eastAsia="en-US"/>
        </w:rPr>
        <w:t>; 24(2</w:t>
      </w:r>
      <w:proofErr w:type="gramStart"/>
      <w:r w:rsidRPr="001147F5">
        <w:rPr>
          <w:rFonts w:eastAsia="Calibri"/>
          <w:lang w:val="es-ES" w:eastAsia="en-US"/>
        </w:rPr>
        <w:t>):</w:t>
      </w:r>
      <w:r w:rsidRPr="001147F5">
        <w:rPr>
          <w:lang w:val="es-ES" w:eastAsia="es-ES"/>
        </w:rPr>
        <w:t>[</w:t>
      </w:r>
      <w:proofErr w:type="gramEnd"/>
      <w:r w:rsidRPr="001147F5">
        <w:rPr>
          <w:lang w:val="es-ES" w:eastAsia="es-ES"/>
        </w:rPr>
        <w:t xml:space="preserve">aprox. 14 </w:t>
      </w:r>
      <w:proofErr w:type="spellStart"/>
      <w:r w:rsidRPr="001147F5">
        <w:rPr>
          <w:lang w:val="es-ES" w:eastAsia="es-ES"/>
        </w:rPr>
        <w:t>pant</w:t>
      </w:r>
      <w:proofErr w:type="spellEnd"/>
      <w:r w:rsidRPr="001147F5">
        <w:rPr>
          <w:lang w:val="es-ES" w:eastAsia="es-ES"/>
        </w:rPr>
        <w:t>.]</w:t>
      </w:r>
      <w:r w:rsidRPr="001147F5">
        <w:rPr>
          <w:rFonts w:eastAsia="Calibri"/>
          <w:lang w:val="es-ES" w:eastAsia="en-US"/>
        </w:rPr>
        <w:t xml:space="preserve">. Disponible en: </w:t>
      </w:r>
      <w:hyperlink r:id="rId37" w:history="1">
        <w:r w:rsidRPr="001147F5">
          <w:rPr>
            <w:rFonts w:eastAsia="Calibri"/>
            <w:color w:val="0000FF"/>
            <w:u w:val="single"/>
            <w:lang w:val="es-ES" w:eastAsia="en-US"/>
          </w:rPr>
          <w:t>http://www.revgmespirituana.sld.cu/index.php/gme/article/view/24</w:t>
        </w:r>
      </w:hyperlink>
    </w:p>
    <w:p w14:paraId="6406D6F8" w14:textId="77777777" w:rsidR="001147F5" w:rsidRPr="001147F5" w:rsidRDefault="001147F5" w:rsidP="001147F5">
      <w:pPr>
        <w:spacing w:line="360" w:lineRule="auto"/>
        <w:rPr>
          <w:rFonts w:eastAsia="Calibri"/>
          <w:color w:val="0000FF"/>
          <w:u w:val="single"/>
          <w:lang w:val="es-ES" w:eastAsia="en-US"/>
        </w:rPr>
      </w:pPr>
      <w:r w:rsidRPr="001147F5">
        <w:rPr>
          <w:rFonts w:eastAsia="Calibri"/>
          <w:lang w:val="es-ES" w:eastAsia="en-US"/>
        </w:rPr>
        <w:t xml:space="preserve">32. Meyer DE, Vincent LA, Fox EE, </w:t>
      </w:r>
      <w:proofErr w:type="spellStart"/>
      <w:r w:rsidRPr="001147F5">
        <w:rPr>
          <w:rFonts w:eastAsia="Calibri"/>
          <w:lang w:val="es-ES" w:eastAsia="en-US"/>
        </w:rPr>
        <w:t>O’Keeffe</w:t>
      </w:r>
      <w:proofErr w:type="spellEnd"/>
      <w:r w:rsidRPr="001147F5">
        <w:rPr>
          <w:rFonts w:eastAsia="Calibri"/>
          <w:lang w:val="es-ES" w:eastAsia="en-US"/>
        </w:rPr>
        <w:t xml:space="preserve"> T, </w:t>
      </w:r>
      <w:proofErr w:type="spellStart"/>
      <w:r w:rsidRPr="001147F5">
        <w:rPr>
          <w:rFonts w:eastAsia="Calibri"/>
          <w:lang w:val="es-ES" w:eastAsia="en-US"/>
        </w:rPr>
        <w:t>Inaba</w:t>
      </w:r>
      <w:proofErr w:type="spellEnd"/>
      <w:r w:rsidRPr="001147F5">
        <w:rPr>
          <w:rFonts w:eastAsia="Calibri"/>
          <w:lang w:val="es-ES" w:eastAsia="en-US"/>
        </w:rPr>
        <w:t xml:space="preserve"> K, </w:t>
      </w:r>
      <w:proofErr w:type="spellStart"/>
      <w:r w:rsidRPr="001147F5">
        <w:rPr>
          <w:rFonts w:eastAsia="Calibri"/>
          <w:lang w:val="es-ES" w:eastAsia="en-US"/>
        </w:rPr>
        <w:t>Bulger</w:t>
      </w:r>
      <w:proofErr w:type="spellEnd"/>
      <w:r w:rsidRPr="001147F5">
        <w:rPr>
          <w:rFonts w:eastAsia="Calibri"/>
          <w:lang w:val="es-ES" w:eastAsia="en-US"/>
        </w:rPr>
        <w:t xml:space="preserve"> E, et al. </w:t>
      </w:r>
      <w:r w:rsidRPr="001147F5">
        <w:rPr>
          <w:rFonts w:eastAsia="Calibri"/>
          <w:lang w:val="en-GB" w:eastAsia="en-US"/>
        </w:rPr>
        <w:t xml:space="preserve">Every minute counts: time to delivery of initial Massive Transfusion Cooler and its impact on mortality. </w:t>
      </w:r>
      <w:r w:rsidRPr="001147F5">
        <w:rPr>
          <w:rFonts w:eastAsia="Calibri"/>
          <w:lang w:val="es-ES" w:eastAsia="en-US"/>
        </w:rPr>
        <w:t xml:space="preserve">J Trauma Acute Care </w:t>
      </w:r>
      <w:proofErr w:type="spellStart"/>
      <w:r w:rsidRPr="001147F5">
        <w:rPr>
          <w:rFonts w:eastAsia="Calibri"/>
          <w:lang w:val="es-ES" w:eastAsia="en-US"/>
        </w:rPr>
        <w:t>Surg</w:t>
      </w:r>
      <w:proofErr w:type="spellEnd"/>
      <w:r w:rsidRPr="001147F5">
        <w:rPr>
          <w:rFonts w:eastAsia="Calibri"/>
          <w:lang w:val="es-ES" w:eastAsia="en-US"/>
        </w:rPr>
        <w:t xml:space="preserve">. 2017; 83(1):19-24. </w:t>
      </w:r>
      <w:proofErr w:type="spellStart"/>
      <w:r w:rsidRPr="001147F5">
        <w:rPr>
          <w:rFonts w:eastAsia="Calibri"/>
          <w:lang w:val="es-ES" w:eastAsia="en-US"/>
        </w:rPr>
        <w:t>DOI</w:t>
      </w:r>
      <w:proofErr w:type="spellEnd"/>
      <w:r w:rsidRPr="001147F5">
        <w:rPr>
          <w:rFonts w:eastAsia="Calibri"/>
          <w:lang w:val="es-ES" w:eastAsia="en-US"/>
        </w:rPr>
        <w:t>: 10.1097/</w:t>
      </w:r>
      <w:proofErr w:type="spellStart"/>
      <w:r w:rsidRPr="001147F5">
        <w:rPr>
          <w:rFonts w:eastAsia="Calibri"/>
          <w:lang w:val="es-ES" w:eastAsia="en-US"/>
        </w:rPr>
        <w:t>TA.0000000000001531</w:t>
      </w:r>
      <w:proofErr w:type="spellEnd"/>
      <w:r w:rsidRPr="001147F5">
        <w:rPr>
          <w:rFonts w:eastAsia="Calibri"/>
          <w:lang w:val="es-ES" w:eastAsia="en-US"/>
        </w:rPr>
        <w:t xml:space="preserve">  </w:t>
      </w:r>
    </w:p>
    <w:p w14:paraId="7571E585" w14:textId="77777777" w:rsidR="001147F5" w:rsidRPr="001147F5" w:rsidRDefault="001147F5" w:rsidP="001147F5">
      <w:pPr>
        <w:spacing w:line="360" w:lineRule="auto"/>
        <w:rPr>
          <w:rFonts w:eastAsia="Calibri"/>
          <w:lang w:val="es-ES" w:eastAsia="en-US"/>
        </w:rPr>
      </w:pPr>
      <w:r w:rsidRPr="001147F5">
        <w:rPr>
          <w:rFonts w:eastAsia="Calibri"/>
          <w:lang w:val="es-ES" w:eastAsia="en-US"/>
        </w:rPr>
        <w:lastRenderedPageBreak/>
        <w:t xml:space="preserve">33. Escobar Suárez CA, Terán Bejarano </w:t>
      </w:r>
      <w:proofErr w:type="spellStart"/>
      <w:r w:rsidRPr="001147F5">
        <w:rPr>
          <w:rFonts w:eastAsia="Calibri"/>
          <w:lang w:val="es-ES" w:eastAsia="en-US"/>
        </w:rPr>
        <w:t>MJ</w:t>
      </w:r>
      <w:proofErr w:type="spellEnd"/>
      <w:r w:rsidRPr="001147F5">
        <w:rPr>
          <w:rFonts w:eastAsia="Calibri"/>
          <w:lang w:val="es-ES" w:eastAsia="en-US"/>
        </w:rPr>
        <w:t xml:space="preserve">, Orozco Noboa </w:t>
      </w:r>
      <w:proofErr w:type="spellStart"/>
      <w:r w:rsidRPr="001147F5">
        <w:rPr>
          <w:rFonts w:eastAsia="Calibri"/>
          <w:lang w:val="es-ES" w:eastAsia="en-US"/>
        </w:rPr>
        <w:t>MF</w:t>
      </w:r>
      <w:proofErr w:type="spellEnd"/>
      <w:r w:rsidRPr="001147F5">
        <w:rPr>
          <w:rFonts w:eastAsia="Calibri"/>
          <w:lang w:val="es-ES" w:eastAsia="en-US"/>
        </w:rPr>
        <w:t xml:space="preserve">, </w:t>
      </w:r>
      <w:proofErr w:type="spellStart"/>
      <w:r w:rsidRPr="001147F5">
        <w:rPr>
          <w:rFonts w:eastAsia="Calibri"/>
          <w:lang w:val="es-ES" w:eastAsia="en-US"/>
        </w:rPr>
        <w:t>Yupangui</w:t>
      </w:r>
      <w:proofErr w:type="spellEnd"/>
      <w:r w:rsidRPr="001147F5">
        <w:rPr>
          <w:rFonts w:eastAsia="Calibri"/>
          <w:lang w:val="es-ES" w:eastAsia="en-US"/>
        </w:rPr>
        <w:t xml:space="preserve"> Tenesaca </w:t>
      </w:r>
      <w:proofErr w:type="spellStart"/>
      <w:r w:rsidRPr="001147F5">
        <w:rPr>
          <w:rFonts w:eastAsia="Calibri"/>
          <w:lang w:val="es-ES" w:eastAsia="en-US"/>
        </w:rPr>
        <w:t>DQ</w:t>
      </w:r>
      <w:proofErr w:type="spellEnd"/>
      <w:r w:rsidRPr="001147F5">
        <w:rPr>
          <w:rFonts w:eastAsia="Calibri"/>
          <w:lang w:val="es-ES" w:eastAsia="en-US"/>
        </w:rPr>
        <w:t xml:space="preserve">, Rea </w:t>
      </w:r>
      <w:proofErr w:type="spellStart"/>
      <w:r w:rsidRPr="001147F5">
        <w:rPr>
          <w:rFonts w:eastAsia="Calibri"/>
          <w:lang w:val="es-ES" w:eastAsia="en-US"/>
        </w:rPr>
        <w:t>Quinllay</w:t>
      </w:r>
      <w:proofErr w:type="spellEnd"/>
      <w:r w:rsidRPr="001147F5">
        <w:rPr>
          <w:rFonts w:eastAsia="Calibri"/>
          <w:lang w:val="es-ES" w:eastAsia="en-US"/>
        </w:rPr>
        <w:t xml:space="preserve"> </w:t>
      </w:r>
      <w:proofErr w:type="spellStart"/>
      <w:r w:rsidRPr="001147F5">
        <w:rPr>
          <w:rFonts w:eastAsia="Calibri"/>
          <w:lang w:val="es-ES" w:eastAsia="en-US"/>
        </w:rPr>
        <w:t>JR</w:t>
      </w:r>
      <w:proofErr w:type="spellEnd"/>
      <w:r w:rsidRPr="001147F5">
        <w:rPr>
          <w:rFonts w:eastAsia="Calibri"/>
          <w:lang w:val="es-ES" w:eastAsia="en-US"/>
        </w:rPr>
        <w:t xml:space="preserve">, Lozano Caicedo JE, et al. Score revisado de trauma como predictor de mortalidad en accidentes de tránsito. </w:t>
      </w:r>
      <w:proofErr w:type="spellStart"/>
      <w:r w:rsidRPr="001147F5">
        <w:rPr>
          <w:rFonts w:eastAsia="Calibri"/>
          <w:lang w:val="es-ES" w:eastAsia="en-US"/>
        </w:rPr>
        <w:t>Mediciencias</w:t>
      </w:r>
      <w:proofErr w:type="spellEnd"/>
      <w:r w:rsidRPr="001147F5">
        <w:rPr>
          <w:rFonts w:eastAsia="Calibri"/>
          <w:lang w:val="es-ES" w:eastAsia="en-US"/>
        </w:rPr>
        <w:t xml:space="preserve"> UTA. 2019; 3(4):65-70. </w:t>
      </w:r>
      <w:proofErr w:type="spellStart"/>
      <w:r w:rsidRPr="001147F5">
        <w:rPr>
          <w:rFonts w:eastAsia="Calibri"/>
          <w:lang w:val="es-ES" w:eastAsia="en-US"/>
        </w:rPr>
        <w:t>DOI</w:t>
      </w:r>
      <w:proofErr w:type="spellEnd"/>
      <w:r w:rsidRPr="001147F5">
        <w:rPr>
          <w:rFonts w:eastAsia="Calibri"/>
          <w:lang w:val="es-ES" w:eastAsia="en-US"/>
        </w:rPr>
        <w:t>: 10.31243/</w:t>
      </w:r>
      <w:proofErr w:type="spellStart"/>
      <w:r w:rsidRPr="001147F5">
        <w:rPr>
          <w:rFonts w:eastAsia="Calibri"/>
          <w:lang w:val="es-ES" w:eastAsia="en-US"/>
        </w:rPr>
        <w:t>mdc.uta.v3i4.156.2019</w:t>
      </w:r>
      <w:proofErr w:type="spellEnd"/>
      <w:r w:rsidRPr="001147F5">
        <w:rPr>
          <w:rFonts w:eastAsia="Calibri"/>
          <w:lang w:val="es-ES" w:eastAsia="en-US"/>
        </w:rPr>
        <w:t xml:space="preserve"> </w:t>
      </w:r>
    </w:p>
    <w:p w14:paraId="2D7F2211" w14:textId="77777777" w:rsidR="001147F5" w:rsidRPr="001147F5" w:rsidRDefault="001147F5" w:rsidP="001147F5">
      <w:pPr>
        <w:spacing w:line="360" w:lineRule="auto"/>
        <w:rPr>
          <w:rFonts w:eastAsia="Calibri"/>
          <w:lang w:val="es-ES" w:eastAsia="en-US"/>
        </w:rPr>
      </w:pPr>
      <w:r w:rsidRPr="001147F5">
        <w:rPr>
          <w:rFonts w:eastAsia="Calibri"/>
          <w:lang w:val="es-ES" w:eastAsia="en-US"/>
        </w:rPr>
        <w:t xml:space="preserve">34. Cueto Medina A, Parellada Blanco J, Hernández Pedroso W, Gómez Sánchez A. Comportamiento de los índices pronósticos y la mortalidad por accidentes de tránsito en el </w:t>
      </w:r>
      <w:proofErr w:type="spellStart"/>
      <w:r w:rsidRPr="001147F5">
        <w:rPr>
          <w:rFonts w:eastAsia="Calibri"/>
          <w:lang w:val="es-ES" w:eastAsia="en-US"/>
        </w:rPr>
        <w:t>ISMM</w:t>
      </w:r>
      <w:proofErr w:type="spellEnd"/>
      <w:r w:rsidRPr="001147F5">
        <w:rPr>
          <w:rFonts w:eastAsia="Calibri"/>
          <w:lang w:val="es-ES" w:eastAsia="en-US"/>
        </w:rPr>
        <w:t xml:space="preserve"> en el período 2004-2005. </w:t>
      </w:r>
      <w:proofErr w:type="spellStart"/>
      <w:r w:rsidRPr="001147F5">
        <w:rPr>
          <w:rFonts w:eastAsia="Calibri"/>
          <w:lang w:val="es-ES" w:eastAsia="en-US"/>
        </w:rPr>
        <w:t>Rev</w:t>
      </w:r>
      <w:proofErr w:type="spellEnd"/>
      <w:r w:rsidRPr="001147F5">
        <w:rPr>
          <w:rFonts w:eastAsia="Calibri"/>
          <w:lang w:val="es-ES" w:eastAsia="en-US"/>
        </w:rPr>
        <w:t xml:space="preserve"> </w:t>
      </w:r>
      <w:proofErr w:type="spellStart"/>
      <w:r w:rsidRPr="001147F5">
        <w:rPr>
          <w:rFonts w:eastAsia="Calibri"/>
          <w:lang w:val="es-ES" w:eastAsia="en-US"/>
        </w:rPr>
        <w:t>Cub</w:t>
      </w:r>
      <w:proofErr w:type="spellEnd"/>
      <w:r w:rsidRPr="001147F5">
        <w:rPr>
          <w:rFonts w:eastAsia="Calibri"/>
          <w:lang w:val="es-ES" w:eastAsia="en-US"/>
        </w:rPr>
        <w:t xml:space="preserve"> </w:t>
      </w:r>
      <w:proofErr w:type="spellStart"/>
      <w:r w:rsidRPr="001147F5">
        <w:rPr>
          <w:rFonts w:eastAsia="Calibri"/>
          <w:lang w:val="es-ES" w:eastAsia="en-US"/>
        </w:rPr>
        <w:t>Med</w:t>
      </w:r>
      <w:proofErr w:type="spellEnd"/>
      <w:r w:rsidRPr="001147F5">
        <w:rPr>
          <w:rFonts w:eastAsia="Calibri"/>
          <w:lang w:val="es-ES" w:eastAsia="en-US"/>
        </w:rPr>
        <w:t xml:space="preserve"> </w:t>
      </w:r>
      <w:proofErr w:type="spellStart"/>
      <w:r w:rsidRPr="001147F5">
        <w:rPr>
          <w:rFonts w:eastAsia="Calibri"/>
          <w:lang w:val="es-ES" w:eastAsia="en-US"/>
        </w:rPr>
        <w:t>Int</w:t>
      </w:r>
      <w:proofErr w:type="spellEnd"/>
      <w:r w:rsidRPr="001147F5">
        <w:rPr>
          <w:rFonts w:eastAsia="Calibri"/>
          <w:lang w:val="es-ES" w:eastAsia="en-US"/>
        </w:rPr>
        <w:t xml:space="preserve"> </w:t>
      </w:r>
      <w:proofErr w:type="spellStart"/>
      <w:r w:rsidRPr="001147F5">
        <w:rPr>
          <w:rFonts w:eastAsia="Calibri"/>
          <w:lang w:val="es-ES" w:eastAsia="en-US"/>
        </w:rPr>
        <w:t>Emerg</w:t>
      </w:r>
      <w:proofErr w:type="spellEnd"/>
      <w:r w:rsidRPr="001147F5">
        <w:rPr>
          <w:rFonts w:eastAsia="Calibri"/>
          <w:lang w:val="es-ES" w:eastAsia="en-US"/>
        </w:rPr>
        <w:t xml:space="preserve">. 2008 </w:t>
      </w:r>
      <w:r w:rsidRPr="001147F5">
        <w:rPr>
          <w:lang w:val="es-ES" w:eastAsia="es-ES"/>
        </w:rPr>
        <w:t>[acceso: 02/04/2020]</w:t>
      </w:r>
      <w:r w:rsidRPr="001147F5">
        <w:rPr>
          <w:rFonts w:eastAsia="Calibri"/>
          <w:lang w:val="es-ES" w:eastAsia="en-US"/>
        </w:rPr>
        <w:t xml:space="preserve">; 7(1):965-74. Disponible en: </w:t>
      </w:r>
      <w:r w:rsidRPr="001147F5">
        <w:rPr>
          <w:rFonts w:eastAsia="Calibri"/>
          <w:color w:val="0000FF"/>
          <w:u w:val="single"/>
          <w:lang w:val="es-ES" w:eastAsia="en-US"/>
        </w:rPr>
        <w:t xml:space="preserve">https://pesquisa.bvsalud.org/portal/resource/pt/cum-35579 </w:t>
      </w:r>
      <w:r w:rsidRPr="001147F5">
        <w:rPr>
          <w:rFonts w:eastAsia="Calibri"/>
          <w:lang w:val="es-ES" w:eastAsia="en-US"/>
        </w:rPr>
        <w:t xml:space="preserve"> </w:t>
      </w:r>
    </w:p>
    <w:p w14:paraId="014ABEAC" w14:textId="77777777" w:rsidR="001147F5" w:rsidRPr="001147F5" w:rsidRDefault="001147F5" w:rsidP="001147F5">
      <w:pPr>
        <w:spacing w:line="360" w:lineRule="auto"/>
        <w:jc w:val="both"/>
        <w:rPr>
          <w:rFonts w:eastAsia="Calibri"/>
          <w:lang w:val="es-ES" w:eastAsia="en-US"/>
        </w:rPr>
      </w:pPr>
    </w:p>
    <w:p w14:paraId="2B816D74" w14:textId="77777777" w:rsidR="001147F5" w:rsidRPr="001147F5" w:rsidRDefault="001147F5" w:rsidP="001147F5">
      <w:pPr>
        <w:spacing w:line="360" w:lineRule="auto"/>
        <w:jc w:val="both"/>
        <w:rPr>
          <w:rFonts w:eastAsia="Calibri"/>
          <w:b/>
          <w:lang w:val="es-ES" w:eastAsia="en-US"/>
        </w:rPr>
      </w:pPr>
    </w:p>
    <w:p w14:paraId="1F50D1FC" w14:textId="77777777" w:rsidR="001147F5" w:rsidRPr="001147F5" w:rsidRDefault="001147F5" w:rsidP="001147F5">
      <w:pPr>
        <w:spacing w:line="360" w:lineRule="auto"/>
        <w:jc w:val="center"/>
        <w:rPr>
          <w:rFonts w:eastAsia="Calibri"/>
          <w:lang w:val="es-ES" w:eastAsia="en-US"/>
        </w:rPr>
      </w:pPr>
      <w:r w:rsidRPr="001147F5">
        <w:rPr>
          <w:rFonts w:eastAsia="Calibri"/>
          <w:b/>
          <w:lang w:val="es-ES" w:eastAsia="en-US"/>
        </w:rPr>
        <w:t>Conflicto de interés</w:t>
      </w:r>
    </w:p>
    <w:p w14:paraId="7A948387" w14:textId="77777777" w:rsidR="001147F5" w:rsidRPr="001147F5" w:rsidRDefault="001147F5" w:rsidP="001147F5">
      <w:pPr>
        <w:spacing w:line="360" w:lineRule="auto"/>
        <w:jc w:val="both"/>
        <w:rPr>
          <w:rFonts w:eastAsia="Calibri"/>
          <w:lang w:val="es-ES" w:eastAsia="en-US"/>
        </w:rPr>
      </w:pPr>
      <w:r w:rsidRPr="001147F5">
        <w:rPr>
          <w:rFonts w:eastAsia="Calibri"/>
          <w:lang w:val="es-ES" w:eastAsia="en-US"/>
        </w:rPr>
        <w:t>Los autores declaran no tener conflicto de interés en esta investigación.</w:t>
      </w:r>
    </w:p>
    <w:p w14:paraId="2E86C579" w14:textId="77777777" w:rsidR="001147F5" w:rsidRPr="001147F5" w:rsidRDefault="001147F5" w:rsidP="001147F5">
      <w:pPr>
        <w:spacing w:line="360" w:lineRule="auto"/>
        <w:jc w:val="both"/>
        <w:rPr>
          <w:rFonts w:eastAsia="Calibri"/>
          <w:b/>
          <w:lang w:val="es-ES" w:eastAsia="en-US"/>
        </w:rPr>
      </w:pPr>
    </w:p>
    <w:p w14:paraId="035272BA" w14:textId="77777777" w:rsidR="001147F5" w:rsidRPr="001147F5" w:rsidRDefault="001147F5" w:rsidP="001147F5">
      <w:pPr>
        <w:spacing w:line="360" w:lineRule="auto"/>
        <w:jc w:val="center"/>
        <w:rPr>
          <w:rFonts w:eastAsia="Calibri"/>
          <w:b/>
          <w:lang w:val="es-ES" w:eastAsia="en-US"/>
        </w:rPr>
      </w:pPr>
      <w:r w:rsidRPr="001147F5">
        <w:rPr>
          <w:rFonts w:eastAsia="Calibri"/>
          <w:b/>
          <w:lang w:val="es-ES" w:eastAsia="en-US"/>
        </w:rPr>
        <w:t>Contribuciones de los autores</w:t>
      </w:r>
    </w:p>
    <w:p w14:paraId="0D07ECCA"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Conceptualización: </w:t>
      </w:r>
      <w:r w:rsidRPr="001147F5">
        <w:rPr>
          <w:rFonts w:eastAsia="Calibri"/>
          <w:i/>
          <w:iCs/>
          <w:lang w:val="es-ES" w:eastAsia="en-US"/>
        </w:rPr>
        <w:t>Manuel Felipe Valdés Rodríguez.</w:t>
      </w:r>
    </w:p>
    <w:p w14:paraId="0413C31A"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Curación de datos: </w:t>
      </w:r>
      <w:r w:rsidRPr="001147F5">
        <w:rPr>
          <w:rFonts w:eastAsia="Calibri"/>
          <w:i/>
          <w:iCs/>
          <w:lang w:val="es-ES" w:eastAsia="en-US"/>
        </w:rPr>
        <w:t>Manuel Felipe Valdés Rodríguez.</w:t>
      </w:r>
    </w:p>
    <w:p w14:paraId="05306C05"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Análisis formal: </w:t>
      </w:r>
      <w:r w:rsidRPr="001147F5">
        <w:rPr>
          <w:rFonts w:eastAsia="Calibri"/>
          <w:i/>
          <w:iCs/>
          <w:lang w:val="es-ES" w:eastAsia="en-US"/>
        </w:rPr>
        <w:t>Juana del Pilar Rodríguez Concepción.</w:t>
      </w:r>
    </w:p>
    <w:p w14:paraId="2DACAD26"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Investigación: </w:t>
      </w:r>
      <w:r w:rsidRPr="001147F5">
        <w:rPr>
          <w:rFonts w:eastAsia="Calibri"/>
          <w:i/>
          <w:iCs/>
          <w:lang w:val="es-ES" w:eastAsia="en-US"/>
        </w:rPr>
        <w:t>Eduardo Miguel Velázquez Chinea.</w:t>
      </w:r>
    </w:p>
    <w:p w14:paraId="547B599E"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Metodología: </w:t>
      </w:r>
      <w:r w:rsidRPr="001147F5">
        <w:rPr>
          <w:rFonts w:eastAsia="Calibri"/>
          <w:i/>
          <w:iCs/>
          <w:lang w:val="es-ES" w:eastAsia="en-US"/>
        </w:rPr>
        <w:t>Manuel Felipe Valdés Rodríguez.</w:t>
      </w:r>
    </w:p>
    <w:p w14:paraId="1B29F6A7"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Administración del proyecto: </w:t>
      </w:r>
      <w:r w:rsidRPr="001147F5">
        <w:rPr>
          <w:rFonts w:eastAsia="Calibri"/>
          <w:i/>
          <w:iCs/>
          <w:lang w:val="es-ES" w:eastAsia="en-US"/>
        </w:rPr>
        <w:t>Eduardo Miguel Velázquez Chinea.</w:t>
      </w:r>
    </w:p>
    <w:p w14:paraId="33E82435"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Recursos materiales: </w:t>
      </w:r>
      <w:r w:rsidRPr="001147F5">
        <w:rPr>
          <w:rFonts w:eastAsia="Calibri"/>
          <w:i/>
          <w:iCs/>
          <w:lang w:val="es-ES" w:eastAsia="en-US"/>
        </w:rPr>
        <w:t>Juana del Pilar Rodríguez Concepción.</w:t>
      </w:r>
    </w:p>
    <w:p w14:paraId="6BC1E04A"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Supervisión: </w:t>
      </w:r>
      <w:r w:rsidRPr="001147F5">
        <w:rPr>
          <w:rFonts w:eastAsia="Calibri"/>
          <w:i/>
          <w:iCs/>
          <w:lang w:val="es-ES" w:eastAsia="en-US"/>
        </w:rPr>
        <w:t>Julio Roberto Betancourt Cervantes.</w:t>
      </w:r>
    </w:p>
    <w:p w14:paraId="07C66B53"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Visualización: </w:t>
      </w:r>
      <w:proofErr w:type="spellStart"/>
      <w:r w:rsidRPr="001147F5">
        <w:rPr>
          <w:rFonts w:eastAsia="Calibri"/>
          <w:i/>
          <w:iCs/>
          <w:lang w:val="es-ES" w:eastAsia="en-US"/>
        </w:rPr>
        <w:t>Aramís</w:t>
      </w:r>
      <w:proofErr w:type="spellEnd"/>
      <w:r w:rsidRPr="001147F5">
        <w:rPr>
          <w:rFonts w:eastAsia="Calibri"/>
          <w:i/>
          <w:iCs/>
          <w:lang w:val="es-ES" w:eastAsia="en-US"/>
        </w:rPr>
        <w:t xml:space="preserve"> Manuel Valdés Rodríguez.</w:t>
      </w:r>
    </w:p>
    <w:p w14:paraId="62100D1E"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Redacción-borrador original: </w:t>
      </w:r>
      <w:r w:rsidRPr="001147F5">
        <w:rPr>
          <w:rFonts w:eastAsia="Calibri"/>
          <w:i/>
          <w:iCs/>
          <w:lang w:val="es-ES" w:eastAsia="en-US"/>
        </w:rPr>
        <w:t>Manuel Felipe Valdés Rodríguez.</w:t>
      </w:r>
    </w:p>
    <w:p w14:paraId="1CD41A0F" w14:textId="77777777" w:rsidR="001147F5" w:rsidRPr="001147F5" w:rsidRDefault="001147F5" w:rsidP="001147F5">
      <w:pPr>
        <w:spacing w:line="360" w:lineRule="auto"/>
        <w:rPr>
          <w:rFonts w:eastAsia="Calibri"/>
          <w:i/>
          <w:iCs/>
          <w:lang w:val="es-ES" w:eastAsia="en-US"/>
        </w:rPr>
      </w:pPr>
      <w:r w:rsidRPr="001147F5">
        <w:rPr>
          <w:rFonts w:eastAsia="Calibri"/>
          <w:lang w:val="es-ES" w:eastAsia="en-US"/>
        </w:rPr>
        <w:t xml:space="preserve">Redacción-revisión y edición: </w:t>
      </w:r>
      <w:proofErr w:type="spellStart"/>
      <w:r w:rsidRPr="001147F5">
        <w:rPr>
          <w:rFonts w:eastAsia="Calibri"/>
          <w:i/>
          <w:iCs/>
          <w:lang w:val="es-ES" w:eastAsia="en-US"/>
        </w:rPr>
        <w:t>Berto</w:t>
      </w:r>
      <w:proofErr w:type="spellEnd"/>
      <w:r w:rsidRPr="001147F5">
        <w:rPr>
          <w:rFonts w:eastAsia="Calibri"/>
          <w:i/>
          <w:iCs/>
          <w:lang w:val="es-ES" w:eastAsia="en-US"/>
        </w:rPr>
        <w:t xml:space="preserve"> D. Condes Fernández.</w:t>
      </w:r>
    </w:p>
    <w:p w14:paraId="0FF862FB" w14:textId="77777777" w:rsidR="001147F5" w:rsidRPr="001147F5" w:rsidRDefault="001147F5" w:rsidP="001147F5">
      <w:pPr>
        <w:spacing w:line="360" w:lineRule="auto"/>
        <w:rPr>
          <w:rFonts w:eastAsia="Calibri"/>
          <w:lang w:val="es-ES" w:eastAsia="en-US"/>
        </w:rPr>
      </w:pPr>
    </w:p>
    <w:p w14:paraId="46F9ED22" w14:textId="77777777" w:rsidR="001147F5" w:rsidRPr="001147F5" w:rsidRDefault="001147F5" w:rsidP="001147F5">
      <w:pPr>
        <w:spacing w:line="360" w:lineRule="auto"/>
        <w:rPr>
          <w:rFonts w:eastAsia="Calibri"/>
          <w:lang w:val="es-ES" w:eastAsia="en-US"/>
        </w:rPr>
      </w:pPr>
    </w:p>
    <w:p w14:paraId="7D0B02CC" w14:textId="77777777" w:rsidR="00675476" w:rsidRPr="001147F5" w:rsidRDefault="00675476" w:rsidP="00EA1FEF">
      <w:pPr>
        <w:pStyle w:val="PDFRevista"/>
        <w:rPr>
          <w:lang w:val="es-ES"/>
        </w:rPr>
      </w:pPr>
    </w:p>
    <w:sectPr w:rsidR="00675476" w:rsidRPr="001147F5" w:rsidSect="00FD3DF8">
      <w:headerReference w:type="default" r:id="rId38"/>
      <w:footerReference w:type="even" r:id="rId39"/>
      <w:footerReference w:type="default" r:id="rId4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CAA7" w14:textId="77777777" w:rsidR="00B54F82" w:rsidRDefault="00B54F82">
      <w:r>
        <w:separator/>
      </w:r>
    </w:p>
  </w:endnote>
  <w:endnote w:type="continuationSeparator" w:id="0">
    <w:p w14:paraId="23D99CE3" w14:textId="77777777" w:rsidR="00B54F82" w:rsidRDefault="00B5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546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724A2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72E8" w14:textId="2B00F98E" w:rsidR="000F3690" w:rsidRPr="00AE044C" w:rsidRDefault="001147F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C1825FC" wp14:editId="34C9565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50E47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DC6F4E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4AF800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BCFEC5A" w14:textId="5D5CD69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147F5" w:rsidRPr="001147F5">
      <w:rPr>
        <w:rFonts w:ascii="Verdana" w:hAnsi="Verdana"/>
        <w:noProof/>
        <w:sz w:val="18"/>
        <w:szCs w:val="18"/>
        <w:lang w:val="en-US" w:eastAsia="en-US"/>
      </w:rPr>
      <w:drawing>
        <wp:inline distT="0" distB="0" distL="0" distR="0" wp14:anchorId="1575DBE3" wp14:editId="43D855B5">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1740" w14:textId="77777777" w:rsidR="00B54F82" w:rsidRDefault="00B54F82">
      <w:r>
        <w:separator/>
      </w:r>
    </w:p>
  </w:footnote>
  <w:footnote w:type="continuationSeparator" w:id="0">
    <w:p w14:paraId="1CEC5D22" w14:textId="77777777" w:rsidR="00B54F82" w:rsidRDefault="00B54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09E1" w14:textId="337F12B6" w:rsidR="00CC376A" w:rsidRPr="00AE044C" w:rsidRDefault="001147F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51</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02302475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61D6387" wp14:editId="37257826">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1D5AD" w14:textId="1AEA8E03" w:rsidR="00A477DE" w:rsidRDefault="001147F5">
    <w:r>
      <w:rPr>
        <w:noProof/>
      </w:rPr>
      <mc:AlternateContent>
        <mc:Choice Requires="wps">
          <w:drawing>
            <wp:anchor distT="0" distB="0" distL="114300" distR="114300" simplePos="0" relativeHeight="251654144" behindDoc="0" locked="0" layoutInCell="1" allowOverlap="1" wp14:anchorId="408010FA" wp14:editId="70AC3E9A">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3E2E7D"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014"/>
    <w:multiLevelType w:val="hybridMultilevel"/>
    <w:tmpl w:val="059CA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AA5861"/>
    <w:multiLevelType w:val="hybridMultilevel"/>
    <w:tmpl w:val="B9627590"/>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60967"/>
    <w:multiLevelType w:val="hybridMultilevel"/>
    <w:tmpl w:val="E4C86B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6A501D"/>
    <w:multiLevelType w:val="hybridMultilevel"/>
    <w:tmpl w:val="427E4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5EB43EF"/>
    <w:multiLevelType w:val="hybridMultilevel"/>
    <w:tmpl w:val="E408C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9F77519"/>
    <w:multiLevelType w:val="hybridMultilevel"/>
    <w:tmpl w:val="4790D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CFA05A1"/>
    <w:multiLevelType w:val="hybridMultilevel"/>
    <w:tmpl w:val="5AE6B24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52E0166"/>
    <w:multiLevelType w:val="hybridMultilevel"/>
    <w:tmpl w:val="89E0F5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6042488"/>
    <w:multiLevelType w:val="hybridMultilevel"/>
    <w:tmpl w:val="3FDA1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3B40AFD"/>
    <w:multiLevelType w:val="hybridMultilevel"/>
    <w:tmpl w:val="6A604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4388945">
    <w:abstractNumId w:val="7"/>
  </w:num>
  <w:num w:numId="2" w16cid:durableId="1354577790">
    <w:abstractNumId w:val="8"/>
  </w:num>
  <w:num w:numId="3" w16cid:durableId="445125876">
    <w:abstractNumId w:val="5"/>
  </w:num>
  <w:num w:numId="4" w16cid:durableId="2139258865">
    <w:abstractNumId w:val="9"/>
  </w:num>
  <w:num w:numId="5" w16cid:durableId="437337241">
    <w:abstractNumId w:val="4"/>
  </w:num>
  <w:num w:numId="6" w16cid:durableId="14526">
    <w:abstractNumId w:val="10"/>
  </w:num>
  <w:num w:numId="7" w16cid:durableId="246156114">
    <w:abstractNumId w:val="0"/>
  </w:num>
  <w:num w:numId="8" w16cid:durableId="178198669">
    <w:abstractNumId w:val="3"/>
  </w:num>
  <w:num w:numId="9" w16cid:durableId="259024836">
    <w:abstractNumId w:val="2"/>
  </w:num>
  <w:num w:numId="10" w16cid:durableId="291525075">
    <w:abstractNumId w:val="6"/>
  </w:num>
  <w:num w:numId="11" w16cid:durableId="1531339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F5"/>
    <w:rsid w:val="00057F45"/>
    <w:rsid w:val="000D3958"/>
    <w:rsid w:val="000F3690"/>
    <w:rsid w:val="001147F5"/>
    <w:rsid w:val="001221D1"/>
    <w:rsid w:val="00165CB5"/>
    <w:rsid w:val="00180CE9"/>
    <w:rsid w:val="00230DD5"/>
    <w:rsid w:val="00250AE9"/>
    <w:rsid w:val="00380D64"/>
    <w:rsid w:val="00391509"/>
    <w:rsid w:val="003E03D5"/>
    <w:rsid w:val="004252C3"/>
    <w:rsid w:val="00486BFA"/>
    <w:rsid w:val="00493701"/>
    <w:rsid w:val="004E2065"/>
    <w:rsid w:val="005508A2"/>
    <w:rsid w:val="0055115D"/>
    <w:rsid w:val="00566F71"/>
    <w:rsid w:val="005918BD"/>
    <w:rsid w:val="006064FC"/>
    <w:rsid w:val="006173A6"/>
    <w:rsid w:val="00675476"/>
    <w:rsid w:val="007C430F"/>
    <w:rsid w:val="007D2D0C"/>
    <w:rsid w:val="007D614D"/>
    <w:rsid w:val="00960D6A"/>
    <w:rsid w:val="009A0560"/>
    <w:rsid w:val="009B0917"/>
    <w:rsid w:val="009E44BA"/>
    <w:rsid w:val="009F0F96"/>
    <w:rsid w:val="00A23C0C"/>
    <w:rsid w:val="00A477DE"/>
    <w:rsid w:val="00A71E65"/>
    <w:rsid w:val="00AE044C"/>
    <w:rsid w:val="00B31971"/>
    <w:rsid w:val="00B4380A"/>
    <w:rsid w:val="00B54F82"/>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2D9F254C"/>
  <w15:docId w15:val="{15595C6A-29A4-4F07-9176-A9A1A790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next w:val="Normal"/>
    <w:link w:val="Ttulo2Car"/>
    <w:uiPriority w:val="9"/>
    <w:unhideWhenUsed/>
    <w:qFormat/>
    <w:rsid w:val="001147F5"/>
    <w:pPr>
      <w:keepNext/>
      <w:keepLines/>
      <w:spacing w:before="200" w:line="276" w:lineRule="auto"/>
      <w:outlineLvl w:val="1"/>
    </w:pPr>
    <w:rPr>
      <w:rFonts w:ascii="Cambria" w:hAnsi="Cambria"/>
      <w:b/>
      <w:bCs/>
      <w:color w:val="4F81BD"/>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2Car">
    <w:name w:val="Título 2 Car"/>
    <w:basedOn w:val="Fuentedeprrafopredeter"/>
    <w:link w:val="Ttulo2"/>
    <w:uiPriority w:val="9"/>
    <w:rsid w:val="001147F5"/>
    <w:rPr>
      <w:rFonts w:ascii="Cambria" w:hAnsi="Cambria"/>
      <w:b/>
      <w:bCs/>
      <w:color w:val="4F81BD"/>
      <w:sz w:val="26"/>
      <w:szCs w:val="26"/>
      <w:lang w:val="es-ES" w:eastAsia="en-US"/>
    </w:rPr>
  </w:style>
  <w:style w:type="numbering" w:customStyle="1" w:styleId="Sinlista1">
    <w:name w:val="Sin lista1"/>
    <w:next w:val="Sinlista"/>
    <w:uiPriority w:val="99"/>
    <w:semiHidden/>
    <w:unhideWhenUsed/>
    <w:rsid w:val="001147F5"/>
  </w:style>
  <w:style w:type="table" w:customStyle="1" w:styleId="Tablaconcuadrcula1">
    <w:name w:val="Tabla con cuadrícula1"/>
    <w:basedOn w:val="Tablanormal"/>
    <w:next w:val="Tablaconcuadrcula"/>
    <w:uiPriority w:val="59"/>
    <w:rsid w:val="001147F5"/>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Fuentedeprrafopredeter"/>
    <w:rsid w:val="001147F5"/>
  </w:style>
  <w:style w:type="paragraph" w:styleId="Prrafodelista">
    <w:name w:val="List Paragraph"/>
    <w:basedOn w:val="Normal"/>
    <w:uiPriority w:val="34"/>
    <w:qFormat/>
    <w:rsid w:val="001147F5"/>
    <w:pPr>
      <w:spacing w:after="200" w:line="276" w:lineRule="auto"/>
      <w:ind w:left="720"/>
      <w:contextualSpacing/>
    </w:pPr>
    <w:rPr>
      <w:rFonts w:ascii="Calibri" w:eastAsia="Calibri" w:hAnsi="Calibri"/>
      <w:sz w:val="22"/>
      <w:szCs w:val="22"/>
      <w:lang w:val="es-ES" w:eastAsia="en-US"/>
    </w:rPr>
  </w:style>
  <w:style w:type="character" w:styleId="Refdecomentario">
    <w:name w:val="annotation reference"/>
    <w:uiPriority w:val="99"/>
    <w:semiHidden/>
    <w:unhideWhenUsed/>
    <w:rsid w:val="001147F5"/>
    <w:rPr>
      <w:sz w:val="16"/>
      <w:szCs w:val="16"/>
    </w:rPr>
  </w:style>
  <w:style w:type="paragraph" w:styleId="Textocomentario">
    <w:name w:val="annotation text"/>
    <w:basedOn w:val="Normal"/>
    <w:link w:val="TextocomentarioCar"/>
    <w:uiPriority w:val="99"/>
    <w:semiHidden/>
    <w:unhideWhenUsed/>
    <w:rsid w:val="001147F5"/>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1147F5"/>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1147F5"/>
    <w:rPr>
      <w:b/>
      <w:bCs/>
    </w:rPr>
  </w:style>
  <w:style w:type="character" w:customStyle="1" w:styleId="AsuntodelcomentarioCar">
    <w:name w:val="Asunto del comentario Car"/>
    <w:basedOn w:val="TextocomentarioCar"/>
    <w:link w:val="Asuntodelcomentario"/>
    <w:uiPriority w:val="99"/>
    <w:semiHidden/>
    <w:rsid w:val="001147F5"/>
    <w:rPr>
      <w:rFonts w:ascii="Calibri" w:eastAsia="Calibri" w:hAnsi="Calibri"/>
      <w:b/>
      <w:bCs/>
      <w:lang w:val="es-ES" w:eastAsia="en-US"/>
    </w:rPr>
  </w:style>
  <w:style w:type="character" w:customStyle="1" w:styleId="Mencinsinresolver1">
    <w:name w:val="Mención sin resolver1"/>
    <w:uiPriority w:val="99"/>
    <w:semiHidden/>
    <w:unhideWhenUsed/>
    <w:rsid w:val="001147F5"/>
    <w:rPr>
      <w:color w:val="605E5C"/>
      <w:shd w:val="clear" w:color="auto" w:fill="E1DFDD"/>
    </w:rPr>
  </w:style>
  <w:style w:type="paragraph" w:styleId="Revisin">
    <w:name w:val="Revision"/>
    <w:hidden/>
    <w:uiPriority w:val="99"/>
    <w:semiHidden/>
    <w:rsid w:val="001147F5"/>
    <w:rPr>
      <w:rFonts w:ascii="Calibri" w:eastAsia="Calibri" w:hAnsi="Calibri"/>
      <w:sz w:val="22"/>
      <w:szCs w:val="22"/>
      <w:lang w:val="es-ES" w:eastAsia="en-US"/>
    </w:rPr>
  </w:style>
  <w:style w:type="character" w:customStyle="1" w:styleId="rynqvb">
    <w:name w:val="rynqvb"/>
    <w:basedOn w:val="Fuentedeprrafopredeter"/>
    <w:rsid w:val="001147F5"/>
  </w:style>
  <w:style w:type="character" w:customStyle="1" w:styleId="Mencinsinresolver2">
    <w:name w:val="Mención sin resolver2"/>
    <w:uiPriority w:val="99"/>
    <w:semiHidden/>
    <w:unhideWhenUsed/>
    <w:rsid w:val="00114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779-8131" TargetMode="External"/><Relationship Id="rId13" Type="http://schemas.openxmlformats.org/officeDocument/2006/relationships/hyperlink" Target="mailto:manuelfelipe@infomed.sld.cu" TargetMode="External"/><Relationship Id="rId18" Type="http://schemas.openxmlformats.org/officeDocument/2006/relationships/image" Target="media/image5.jpeg"/><Relationship Id="rId26" Type="http://schemas.openxmlformats.org/officeDocument/2006/relationships/hyperlink" Target="https://link.springer.com/book/10.1007/978-3-030-20820-2"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bvscuba.sld.cu/libro/terapia-intensiva-tomo-10-urgencias-traumaticas-tercera-edicion/" TargetMode="External"/><Relationship Id="rId34" Type="http://schemas.openxmlformats.org/officeDocument/2006/relationships/hyperlink" Target="https://www.anmm.org.mx/publicaciones/ultimas_publicaciones/TRAUMA.pdf" TargetMode="External"/><Relationship Id="rId42" Type="http://schemas.openxmlformats.org/officeDocument/2006/relationships/theme" Target="theme/theme1.xml"/><Relationship Id="rId7" Type="http://schemas.openxmlformats.org/officeDocument/2006/relationships/hyperlink" Target="https://orcid.org/0000-0002-1310-6512" TargetMode="External"/><Relationship Id="rId12" Type="http://schemas.openxmlformats.org/officeDocument/2006/relationships/hyperlink" Target="https://orcid.org/0000-0003-4624-5954" TargetMode="External"/><Relationship Id="rId17" Type="http://schemas.openxmlformats.org/officeDocument/2006/relationships/image" Target="media/image4.jpeg"/><Relationship Id="rId25" Type="http://schemas.openxmlformats.org/officeDocument/2006/relationships/hyperlink" Target="https://www.ncbi.nlm.nih.gov/books/NBK470382/" TargetMode="External"/><Relationship Id="rId33" Type="http://schemas.openxmlformats.org/officeDocument/2006/relationships/hyperlink" Target="http://hdl.handle.net/10902/16473"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bvscuba.sld.cu/libro/manual-de-atencion-al-lesionado" TargetMode="External"/><Relationship Id="rId29" Type="http://schemas.openxmlformats.org/officeDocument/2006/relationships/hyperlink" Target="https://inspectioncopy.elsevier.com/6/es/book/details/978849113033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456-9759" TargetMode="External"/><Relationship Id="rId24" Type="http://schemas.openxmlformats.org/officeDocument/2006/relationships/hyperlink" Target="http://hdl.handle.net/10902/16557" TargetMode="External"/><Relationship Id="rId32" Type="http://schemas.openxmlformats.org/officeDocument/2006/relationships/hyperlink" Target="https://www.medigraphic.com/cgi-bin/new/resumen.cgi?IDARTICULO=86864" TargetMode="External"/><Relationship Id="rId37" Type="http://schemas.openxmlformats.org/officeDocument/2006/relationships/hyperlink" Target="http://www.revgmespirituana.sld.cu/index.php/gme/article/view/24"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sld.cu/anuncio/2020/05/09/publicado-el-anuario-estadistico-de-salud-2019" TargetMode="External"/><Relationship Id="rId28" Type="http://schemas.openxmlformats.org/officeDocument/2006/relationships/hyperlink" Target="https://pubmed.ncbi.nlm.nih.gov/32118561/" TargetMode="External"/><Relationship Id="rId36" Type="http://schemas.openxmlformats.org/officeDocument/2006/relationships/hyperlink" Target="https://europepmc.org/article/med/8540137" TargetMode="External"/><Relationship Id="rId10" Type="http://schemas.openxmlformats.org/officeDocument/2006/relationships/hyperlink" Target="https://orcid.org/0000-0001-8515-8226" TargetMode="External"/><Relationship Id="rId19" Type="http://schemas.openxmlformats.org/officeDocument/2006/relationships/hyperlink" Target="http://www.bvscuba.sld.cu/libro/cirugia-tomo-vi-lesiones-graves-por-traumatismos/" TargetMode="External"/><Relationship Id="rId31" Type="http://schemas.openxmlformats.org/officeDocument/2006/relationships/hyperlink" Target="http://hdl.handle.net/10803/378656" TargetMode="External"/><Relationship Id="rId4" Type="http://schemas.openxmlformats.org/officeDocument/2006/relationships/webSettings" Target="webSettings.xml"/><Relationship Id="rId9" Type="http://schemas.openxmlformats.org/officeDocument/2006/relationships/hyperlink" Target="https://orcid.org/0000-0002-4684-9822" TargetMode="External"/><Relationship Id="rId14" Type="http://schemas.openxmlformats.org/officeDocument/2006/relationships/image" Target="media/image1.png"/><Relationship Id="rId22" Type="http://schemas.openxmlformats.org/officeDocument/2006/relationships/hyperlink" Target="https://www.docsity.com/pt/atls-advanced-trauma-life-support-10th-edition-2018/4905996/" TargetMode="External"/><Relationship Id="rId27" Type="http://schemas.openxmlformats.org/officeDocument/2006/relationships/hyperlink" Target="http://scielo.sld.cu/pdf/med/v56n4/med01417.pdf" TargetMode="External"/><Relationship Id="rId30" Type="http://schemas.openxmlformats.org/officeDocument/2006/relationships/hyperlink" Target="http://www.ecimed.sld.cu/2006/01/01/908/2006" TargetMode="External"/><Relationship Id="rId35" Type="http://schemas.openxmlformats.org/officeDocument/2006/relationships/hyperlink" Target="https://pubmed.ncbi.nlm.nih.gov/2954723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18</Pages>
  <Words>5211</Words>
  <Characters>28661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33805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2010-09-13T21:29:00Z</cp:lastPrinted>
  <dcterms:created xsi:type="dcterms:W3CDTF">2023-03-10T20:45:00Z</dcterms:created>
  <dcterms:modified xsi:type="dcterms:W3CDTF">2023-03-10T20:48:00Z</dcterms:modified>
</cp:coreProperties>
</file>