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jpeg" ContentType="image/jpeg"/>
  <Override PartName="/word/media/image3.png" ContentType="image/png"/>
  <Override PartName="/word/media/image2.jpeg" ContentType="image/jpeg"/>
  <Override PartName="/word/header1.xml" ContentType="application/vnd.openxmlformats-officedocument.wordprocessingml.head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word/_rels/footer3.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before="0" w:after="0"/>
        <w:jc w:val="right"/>
        <w:rPr>
          <w:rFonts w:ascii="Times New Roman" w:hAnsi="Times New Roman" w:cs="Times New Roman"/>
          <w:sz w:val="20"/>
          <w:szCs w:val="20"/>
        </w:rPr>
      </w:pPr>
      <w:r>
        <w:rPr>
          <w:rFonts w:cs="Times New Roman"/>
          <w:sz w:val="20"/>
          <w:szCs w:val="20"/>
        </w:rPr>
        <w:t>Presentación de caso</w:t>
      </w:r>
    </w:p>
    <w:p>
      <w:pPr>
        <w:pStyle w:val="Normal"/>
        <w:spacing w:lineRule="auto" w:line="360" w:before="0" w:after="0"/>
        <w:jc w:val="both"/>
        <w:rPr>
          <w:rFonts w:ascii="Times New Roman" w:hAnsi="Times New Roman" w:cs="Times New Roman"/>
          <w:b/>
          <w:b/>
          <w:sz w:val="24"/>
          <w:szCs w:val="24"/>
        </w:rPr>
      </w:pPr>
      <w:r>
        <w:rPr>
          <w:rFonts w:cs="Times New Roman"/>
          <w:b/>
          <w:sz w:val="24"/>
          <w:szCs w:val="24"/>
        </w:rPr>
      </w:r>
    </w:p>
    <w:p>
      <w:pPr>
        <w:pStyle w:val="Normal"/>
        <w:spacing w:lineRule="auto" w:line="360" w:before="0" w:after="0"/>
        <w:jc w:val="center"/>
        <w:rPr/>
      </w:pPr>
      <w:r>
        <w:rPr>
          <w:rFonts w:cs="Times New Roman"/>
          <w:b/>
          <w:sz w:val="28"/>
          <w:szCs w:val="28"/>
        </w:rPr>
        <w:t>Neumonía por Aspergillus en paciente pos-COVID-19</w:t>
      </w:r>
    </w:p>
    <w:p>
      <w:pPr>
        <w:pStyle w:val="Normal"/>
        <w:spacing w:lineRule="auto" w:line="360" w:before="0" w:after="0"/>
        <w:jc w:val="center"/>
        <w:rPr/>
      </w:pPr>
      <w:r>
        <w:rPr>
          <w:rFonts w:cs="Times New Roman"/>
          <w:sz w:val="28"/>
          <w:szCs w:val="28"/>
          <w:lang w:val="en-US"/>
        </w:rPr>
        <w:t>Aspergillus Pneumonia in pos-COVID-19 patient</w:t>
      </w:r>
    </w:p>
    <w:p>
      <w:pPr>
        <w:pStyle w:val="Normal"/>
        <w:spacing w:lineRule="auto" w:line="360" w:before="0" w:after="0"/>
        <w:jc w:val="both"/>
        <w:rPr>
          <w:rFonts w:ascii="Times New Roman" w:hAnsi="Times New Roman" w:cs="Times New Roman"/>
          <w:sz w:val="24"/>
          <w:szCs w:val="24"/>
          <w:lang w:val="en-US"/>
        </w:rPr>
      </w:pPr>
      <w:r>
        <w:rPr>
          <w:rFonts w:cs="Times New Roman"/>
          <w:sz w:val="24"/>
          <w:szCs w:val="24"/>
          <w:lang w:val="en-US"/>
        </w:rPr>
      </w:r>
    </w:p>
    <w:p>
      <w:pPr>
        <w:pStyle w:val="Normal"/>
        <w:spacing w:lineRule="auto" w:line="360" w:before="0" w:after="0"/>
        <w:jc w:val="both"/>
        <w:rPr/>
      </w:pPr>
      <w:r>
        <w:rPr>
          <w:rFonts w:cs="Times New Roman"/>
          <w:sz w:val="24"/>
          <w:szCs w:val="24"/>
          <w:u w:val="none"/>
          <w:lang w:val="es-MX"/>
        </w:rPr>
        <w:t>Jorge Alain Caballero Font</w:t>
      </w:r>
      <w:r>
        <w:rPr>
          <w:rFonts w:cs="Times New Roman"/>
          <w:sz w:val="24"/>
          <w:szCs w:val="24"/>
          <w:u w:val="none"/>
          <w:vertAlign w:val="superscript"/>
          <w:lang w:val="es-MX"/>
        </w:rPr>
        <w:t>1</w:t>
      </w:r>
      <w:r>
        <w:rPr>
          <w:rFonts w:cs="Times New Roman"/>
          <w:sz w:val="24"/>
          <w:szCs w:val="24"/>
          <w:u w:val="none"/>
          <w:lang w:val="es-MX"/>
        </w:rPr>
        <w:t>*</w:t>
      </w:r>
      <w:r>
        <w:rPr>
          <w:rFonts w:cs="Times New Roman"/>
          <w:sz w:val="24"/>
          <w:szCs w:val="24"/>
          <w:u w:val="none"/>
          <w:vertAlign w:val="superscript"/>
          <w:lang w:val="es-MX"/>
        </w:rPr>
        <w:t xml:space="preserve"> </w:t>
      </w:r>
      <w:hyperlink r:id="rId2">
        <w:r>
          <w:rPr>
            <w:rStyle w:val="EnlacedeInternet"/>
            <w:rFonts w:cs="Times New Roman"/>
            <w:sz w:val="24"/>
            <w:szCs w:val="24"/>
            <w:u w:val="none"/>
            <w:lang w:val="es-MX"/>
          </w:rPr>
          <w:t>https://orcid.org/0000-0002-3090-2457</w:t>
        </w:r>
      </w:hyperlink>
    </w:p>
    <w:p>
      <w:pPr>
        <w:pStyle w:val="Normal"/>
        <w:spacing w:lineRule="auto" w:line="360" w:before="0" w:after="0"/>
        <w:jc w:val="both"/>
        <w:rPr/>
      </w:pPr>
      <w:r>
        <w:rPr>
          <w:rFonts w:cs="Times New Roman"/>
          <w:sz w:val="24"/>
          <w:szCs w:val="24"/>
          <w:u w:val="none"/>
          <w:lang w:val="es-MX"/>
        </w:rPr>
        <w:t>Armando Caballero López</w:t>
      </w:r>
      <w:r>
        <w:rPr>
          <w:rFonts w:cs="Times New Roman"/>
          <w:sz w:val="24"/>
          <w:szCs w:val="24"/>
          <w:u w:val="none"/>
          <w:vertAlign w:val="superscript"/>
          <w:lang w:val="es-MX"/>
        </w:rPr>
        <w:t xml:space="preserve">1 </w:t>
      </w:r>
      <w:hyperlink r:id="rId3">
        <w:r>
          <w:rPr>
            <w:rStyle w:val="EnlacedeInternet"/>
            <w:rFonts w:cs="Times New Roman"/>
            <w:sz w:val="24"/>
            <w:szCs w:val="24"/>
            <w:u w:val="none"/>
            <w:lang w:val="es-MX"/>
          </w:rPr>
          <w:t>https://orcid.org/0000-0001-5308-9297</w:t>
        </w:r>
      </w:hyperlink>
    </w:p>
    <w:p>
      <w:pPr>
        <w:pStyle w:val="Normal"/>
        <w:spacing w:lineRule="auto" w:line="360" w:before="0" w:after="0"/>
        <w:jc w:val="both"/>
        <w:rPr/>
      </w:pPr>
      <w:r>
        <w:rPr>
          <w:rFonts w:cs="Times New Roman"/>
          <w:sz w:val="24"/>
          <w:szCs w:val="24"/>
          <w:u w:val="none"/>
          <w:lang w:val="es-MX"/>
        </w:rPr>
        <w:t>Osmani Pérez Ortiz</w:t>
      </w:r>
      <w:r>
        <w:rPr>
          <w:rFonts w:cs="Times New Roman"/>
          <w:sz w:val="24"/>
          <w:szCs w:val="24"/>
          <w:u w:val="none"/>
          <w:vertAlign w:val="superscript"/>
          <w:lang w:val="es-MX"/>
        </w:rPr>
        <w:t xml:space="preserve">2 </w:t>
      </w:r>
      <w:hyperlink r:id="rId4">
        <w:r>
          <w:rPr>
            <w:rStyle w:val="EnlacedeInternet"/>
            <w:rFonts w:cs="Times New Roman"/>
            <w:sz w:val="24"/>
            <w:szCs w:val="24"/>
            <w:u w:val="none"/>
            <w:lang w:val="es-MX"/>
          </w:rPr>
          <w:t>https://orcid.org/0000-0001-5410-5359</w:t>
        </w:r>
      </w:hyperlink>
    </w:p>
    <w:p>
      <w:pPr>
        <w:pStyle w:val="Normal"/>
        <w:spacing w:lineRule="auto" w:line="360" w:before="0" w:after="0"/>
        <w:jc w:val="both"/>
        <w:rPr>
          <w:rFonts w:ascii="Times New Roman" w:hAnsi="Times New Roman" w:cs="Times New Roman"/>
          <w:sz w:val="24"/>
          <w:szCs w:val="24"/>
          <w:u w:val="none"/>
          <w:lang w:val="es-MX"/>
        </w:rPr>
      </w:pPr>
      <w:r>
        <w:rPr>
          <w:rFonts w:cs="Times New Roman"/>
          <w:sz w:val="24"/>
          <w:szCs w:val="24"/>
          <w:u w:val="none"/>
          <w:lang w:val="es-MX"/>
        </w:rPr>
      </w:r>
    </w:p>
    <w:p>
      <w:pPr>
        <w:pStyle w:val="Normal"/>
        <w:spacing w:lineRule="auto" w:line="360" w:before="0" w:after="0"/>
        <w:jc w:val="both"/>
        <w:rPr>
          <w:u w:val="none"/>
        </w:rPr>
      </w:pPr>
      <w:r>
        <w:rPr>
          <w:rFonts w:cs="Times New Roman"/>
          <w:sz w:val="24"/>
          <w:szCs w:val="24"/>
          <w:u w:val="none"/>
          <w:vertAlign w:val="superscript"/>
          <w:lang w:val="es-MX"/>
        </w:rPr>
        <w:t>1</w:t>
      </w:r>
      <w:r>
        <w:rPr>
          <w:rFonts w:cs="Times New Roman"/>
          <w:sz w:val="24"/>
          <w:szCs w:val="24"/>
          <w:u w:val="none"/>
          <w:lang w:val="es-MX"/>
        </w:rPr>
        <w:t>Hospital Universitario "Arnaldo Milian Castro". Villa Clara, Cuba.</w:t>
      </w:r>
    </w:p>
    <w:p>
      <w:pPr>
        <w:pStyle w:val="Normal"/>
        <w:spacing w:lineRule="auto" w:line="360" w:before="0" w:after="0"/>
        <w:jc w:val="both"/>
        <w:rPr>
          <w:u w:val="none"/>
        </w:rPr>
      </w:pPr>
      <w:r>
        <w:rPr>
          <w:rFonts w:cs="Times New Roman"/>
          <w:sz w:val="24"/>
          <w:szCs w:val="24"/>
          <w:u w:val="none"/>
          <w:vertAlign w:val="superscript"/>
          <w:lang w:val="es-MX"/>
        </w:rPr>
        <w:t>2</w:t>
      </w:r>
      <w:r>
        <w:rPr>
          <w:rFonts w:cs="Times New Roman"/>
          <w:sz w:val="24"/>
          <w:szCs w:val="24"/>
          <w:u w:val="none"/>
          <w:lang w:val="es-MX"/>
        </w:rPr>
        <w:t>Hospital Mártires del 9 de abril. Villa Clara, Cuba.</w:t>
      </w:r>
    </w:p>
    <w:p>
      <w:pPr>
        <w:pStyle w:val="Normal"/>
        <w:spacing w:lineRule="auto" w:line="360" w:before="0" w:after="0"/>
        <w:jc w:val="both"/>
        <w:rPr>
          <w:rFonts w:ascii="Times New Roman" w:hAnsi="Times New Roman" w:cs="Times New Roman"/>
          <w:sz w:val="24"/>
          <w:szCs w:val="24"/>
          <w:u w:val="none"/>
          <w:lang w:val="es-MX"/>
        </w:rPr>
      </w:pPr>
      <w:r>
        <w:rPr>
          <w:rFonts w:cs="Times New Roman"/>
          <w:sz w:val="24"/>
          <w:szCs w:val="24"/>
          <w:u w:val="none"/>
          <w:lang w:val="es-MX"/>
        </w:rPr>
      </w:r>
    </w:p>
    <w:p>
      <w:pPr>
        <w:pStyle w:val="Normal"/>
        <w:spacing w:lineRule="auto" w:line="360" w:before="0" w:after="0"/>
        <w:jc w:val="both"/>
        <w:rPr/>
      </w:pPr>
      <w:r>
        <w:rPr>
          <w:rFonts w:cs="Times New Roman"/>
          <w:sz w:val="24"/>
          <w:szCs w:val="24"/>
          <w:u w:val="none"/>
          <w:lang w:val="es-MX"/>
        </w:rPr>
        <w:t>*Autor para la correspondencia. Correo electrónico:</w:t>
      </w:r>
      <w:r>
        <w:rPr>
          <w:rFonts w:cs="Times New Roman"/>
          <w:u w:val="none"/>
        </w:rPr>
        <w:t xml:space="preserve"> </w:t>
      </w:r>
      <w:hyperlink r:id="rId5">
        <w:r>
          <w:rPr>
            <w:rStyle w:val="EnlacedeInternet"/>
            <w:rFonts w:cs="Times New Roman"/>
            <w:sz w:val="24"/>
            <w:szCs w:val="24"/>
            <w:u w:val="none"/>
            <w:lang w:val="es-MX"/>
          </w:rPr>
          <w:t>jcaballerofont@gmail.com</w:t>
        </w:r>
      </w:hyperlink>
    </w:p>
    <w:p>
      <w:pPr>
        <w:pStyle w:val="Normal"/>
        <w:spacing w:lineRule="auto" w:line="360" w:before="0" w:after="0"/>
        <w:jc w:val="both"/>
        <w:rPr>
          <w:rFonts w:ascii="Times New Roman" w:hAnsi="Times New Roman" w:cs="Times New Roman"/>
          <w:sz w:val="24"/>
          <w:szCs w:val="24"/>
          <w:lang w:val="es-MX"/>
        </w:rPr>
      </w:pPr>
      <w:r>
        <w:rPr>
          <w:rFonts w:cs="Times New Roman"/>
          <w:sz w:val="24"/>
          <w:szCs w:val="24"/>
          <w:lang w:val="es-MX"/>
        </w:rPr>
      </w:r>
    </w:p>
    <w:p>
      <w:pPr>
        <w:pStyle w:val="Normal"/>
        <w:spacing w:lineRule="auto" w:line="360" w:before="0" w:after="0"/>
        <w:jc w:val="both"/>
        <w:rPr>
          <w:rFonts w:ascii="Times New Roman" w:hAnsi="Times New Roman" w:cs="Times New Roman"/>
          <w:b/>
          <w:b/>
          <w:sz w:val="24"/>
          <w:szCs w:val="24"/>
          <w:lang w:val="es-MX"/>
        </w:rPr>
      </w:pPr>
      <w:r>
        <w:rPr>
          <w:rFonts w:cs="Times New Roman"/>
          <w:b/>
          <w:sz w:val="24"/>
          <w:szCs w:val="24"/>
          <w:lang w:val="es-MX"/>
        </w:rPr>
        <w:t>RESUMEN</w:t>
      </w:r>
    </w:p>
    <w:p>
      <w:pPr>
        <w:pStyle w:val="Normal"/>
        <w:spacing w:lineRule="auto" w:line="360" w:before="0" w:after="0"/>
        <w:jc w:val="both"/>
        <w:rPr/>
      </w:pPr>
      <w:r>
        <w:rPr>
          <w:rFonts w:cs="Times New Roman"/>
          <w:b/>
          <w:sz w:val="24"/>
          <w:szCs w:val="24"/>
        </w:rPr>
        <w:t>Introducción:</w:t>
      </w:r>
      <w:r>
        <w:rPr>
          <w:rFonts w:cs="Times New Roman"/>
          <w:sz w:val="24"/>
          <w:szCs w:val="24"/>
        </w:rPr>
        <w:t xml:space="preserve"> La enfermedad por el nuevo coronavirus SARS-CoV-2</w:t>
      </w:r>
      <w:r>
        <w:rPr>
          <w:rFonts w:cs="Times New Roman"/>
          <w:color w:val="FF0000"/>
          <w:sz w:val="24"/>
          <w:szCs w:val="24"/>
        </w:rPr>
        <w:t xml:space="preserve"> </w:t>
      </w:r>
      <w:r>
        <w:rPr>
          <w:rFonts w:cs="Times New Roman"/>
          <w:sz w:val="24"/>
          <w:szCs w:val="24"/>
        </w:rPr>
        <w:t>(COVID-19) se extendió rápidamente por todo el mundo y generó un gran desafío. La aparición de coinfecciones se encuentra entre las complicaciones más graves que pueden desarrollar los enfermos. La aspergilosis pulmonar se ha identificado como una complicación de la neumonía por la COVID</w:t>
        <w:noBreakHyphen/>
        <w:t>19 en los pacientes ventilados en las unidades de cuidados intensivos.</w:t>
      </w:r>
    </w:p>
    <w:p>
      <w:pPr>
        <w:pStyle w:val="Normal"/>
        <w:spacing w:lineRule="auto" w:line="360" w:before="0" w:after="0"/>
        <w:jc w:val="both"/>
        <w:rPr/>
      </w:pPr>
      <w:r>
        <w:rPr>
          <w:rFonts w:cs="Times New Roman"/>
          <w:b/>
          <w:sz w:val="24"/>
          <w:szCs w:val="24"/>
        </w:rPr>
        <w:t>Objetivo:</w:t>
      </w:r>
      <w:r>
        <w:rPr>
          <w:rFonts w:cs="Times New Roman"/>
          <w:sz w:val="24"/>
          <w:szCs w:val="24"/>
        </w:rPr>
        <w:t xml:space="preserve"> Presentar un caso clínico poco común de aspergilosis pulmonar. </w:t>
      </w:r>
    </w:p>
    <w:p>
      <w:pPr>
        <w:pStyle w:val="Normal"/>
        <w:spacing w:lineRule="auto" w:line="360" w:before="0" w:after="0"/>
        <w:jc w:val="both"/>
        <w:rPr/>
      </w:pPr>
      <w:r>
        <w:rPr>
          <w:rFonts w:cs="Times New Roman"/>
          <w:b/>
          <w:sz w:val="24"/>
          <w:szCs w:val="24"/>
        </w:rPr>
        <w:t>Caso clínico:</w:t>
      </w:r>
      <w:r>
        <w:rPr>
          <w:rFonts w:cs="Times New Roman"/>
          <w:sz w:val="24"/>
          <w:szCs w:val="24"/>
        </w:rPr>
        <w:t xml:space="preserve"> Se presenta el caso de una paciente con historia reciente de la COVID-19, con un cuadro clínico enteral dado por diarreas, vómitos e insuficiencia respiratoria en el que concomitan la evolución de un cáncer de colon y neumonía asociada a la ventilación provocada por </w:t>
      </w:r>
      <w:r>
        <w:rPr>
          <w:rFonts w:cs="Times New Roman"/>
          <w:i/>
          <w:sz w:val="24"/>
          <w:szCs w:val="24"/>
        </w:rPr>
        <w:t>Aspergillus niger</w:t>
      </w:r>
      <w:r>
        <w:rPr>
          <w:rFonts w:cs="Times New Roman"/>
          <w:sz w:val="24"/>
          <w:szCs w:val="24"/>
        </w:rPr>
        <w:t xml:space="preserve">. </w:t>
      </w:r>
    </w:p>
    <w:p>
      <w:pPr>
        <w:pStyle w:val="Normal"/>
        <w:spacing w:lineRule="auto" w:line="360" w:before="0" w:after="0"/>
        <w:jc w:val="both"/>
        <w:rPr/>
      </w:pPr>
      <w:r>
        <w:rPr>
          <w:rFonts w:cs="Times New Roman"/>
          <w:b/>
          <w:sz w:val="24"/>
          <w:szCs w:val="24"/>
        </w:rPr>
        <w:t>Conclusiones:</w:t>
      </w:r>
      <w:r>
        <w:rPr>
          <w:rFonts w:cs="Times New Roman"/>
          <w:sz w:val="24"/>
          <w:szCs w:val="24"/>
        </w:rPr>
        <w:t xml:space="preserve"> La aspergilosis pulmonar asociada a la COVID-19 es una complicación que debe considerarse y buscarse en pacientes con historia reciente de esta enfermedad.</w:t>
      </w:r>
    </w:p>
    <w:p>
      <w:pPr>
        <w:pStyle w:val="Normal"/>
        <w:spacing w:lineRule="auto" w:line="360" w:before="0" w:after="0"/>
        <w:jc w:val="both"/>
        <w:rPr/>
      </w:pPr>
      <w:r>
        <w:rPr>
          <w:rFonts w:cs="Times New Roman"/>
          <w:b/>
          <w:sz w:val="24"/>
          <w:szCs w:val="24"/>
        </w:rPr>
        <w:t>Palabras clave:</w:t>
      </w:r>
      <w:r>
        <w:rPr>
          <w:rFonts w:cs="Times New Roman"/>
          <w:sz w:val="24"/>
          <w:szCs w:val="24"/>
        </w:rPr>
        <w:t xml:space="preserve"> aspergillus; cuidados críticos; infecciones por coronavirus; neumonía.</w:t>
      </w:r>
    </w:p>
    <w:p>
      <w:pPr>
        <w:pStyle w:val="Normal"/>
        <w:spacing w:lineRule="auto" w:line="360" w:before="0" w:after="0"/>
        <w:jc w:val="both"/>
        <w:rPr>
          <w:rFonts w:ascii="Times New Roman" w:hAnsi="Times New Roman" w:cs="Times New Roman"/>
          <w:b/>
          <w:b/>
          <w:sz w:val="24"/>
          <w:szCs w:val="24"/>
        </w:rPr>
      </w:pPr>
      <w:r>
        <w:rPr>
          <w:rFonts w:cs="Times New Roman"/>
          <w:b/>
          <w:sz w:val="24"/>
          <w:szCs w:val="24"/>
        </w:rPr>
      </w:r>
    </w:p>
    <w:p>
      <w:pPr>
        <w:pStyle w:val="Normal"/>
        <w:spacing w:lineRule="auto" w:line="360" w:before="0" w:after="0"/>
        <w:jc w:val="both"/>
        <w:rPr/>
      </w:pPr>
      <w:r>
        <w:rPr>
          <w:rFonts w:cs="Times New Roman"/>
          <w:b/>
          <w:sz w:val="24"/>
          <w:szCs w:val="24"/>
          <w:lang w:val="en-US"/>
        </w:rPr>
        <w:t>ABSTRACT</w:t>
      </w:r>
    </w:p>
    <w:p>
      <w:pPr>
        <w:pStyle w:val="Normal"/>
        <w:spacing w:lineRule="auto" w:line="360" w:before="0" w:after="0"/>
        <w:jc w:val="both"/>
        <w:rPr/>
      </w:pPr>
      <w:r>
        <w:rPr>
          <w:rFonts w:cs="Times New Roman"/>
          <w:b/>
          <w:sz w:val="24"/>
          <w:szCs w:val="24"/>
          <w:lang w:val="en-US"/>
        </w:rPr>
        <w:t xml:space="preserve">Introduction: </w:t>
      </w:r>
      <w:r>
        <w:rPr>
          <w:rFonts w:cs="Times New Roman"/>
          <w:sz w:val="24"/>
          <w:szCs w:val="24"/>
          <w:lang w:val="en-US"/>
        </w:rPr>
        <w:t>The new SARS-CoV-2 coronavirus disease (COVID-19) spread rapidly throughout the world, which created a great challenge. The appearance of coinfections is among the most serious complications that these patients can develop. Pulmonary aspergillosis has been identified as a complication of COVID-19 pneumonia among ventilated patients in intensive care</w:t>
      </w:r>
      <w:r>
        <w:rPr>
          <w:rFonts w:cs="Times New Roman"/>
          <w:b/>
          <w:sz w:val="24"/>
          <w:szCs w:val="24"/>
          <w:lang w:val="en-US"/>
        </w:rPr>
        <w:t>.</w:t>
      </w:r>
    </w:p>
    <w:p>
      <w:pPr>
        <w:pStyle w:val="Normal"/>
        <w:spacing w:lineRule="auto" w:line="360" w:before="0" w:after="0"/>
        <w:jc w:val="both"/>
        <w:rPr/>
      </w:pPr>
      <w:r>
        <w:rPr>
          <w:rFonts w:cs="Times New Roman"/>
          <w:b/>
          <w:sz w:val="24"/>
          <w:szCs w:val="24"/>
          <w:lang w:val="en-US"/>
        </w:rPr>
        <w:t xml:space="preserve">Objective: </w:t>
      </w:r>
      <w:r>
        <w:rPr>
          <w:rFonts w:cs="Times New Roman"/>
          <w:sz w:val="24"/>
          <w:szCs w:val="24"/>
          <w:lang w:val="en-US"/>
        </w:rPr>
        <w:t>To present an unusual clinical case of pulmonary aspergillosis.</w:t>
      </w:r>
    </w:p>
    <w:p>
      <w:pPr>
        <w:pStyle w:val="Normal"/>
        <w:spacing w:lineRule="auto" w:line="360" w:before="0" w:after="0"/>
        <w:jc w:val="both"/>
        <w:rPr/>
      </w:pPr>
      <w:r>
        <w:rPr>
          <w:rFonts w:cs="Times New Roman"/>
          <w:b/>
          <w:sz w:val="24"/>
          <w:szCs w:val="24"/>
          <w:lang w:val="en-US"/>
        </w:rPr>
        <w:t>Clinical case:</w:t>
      </w:r>
      <w:r>
        <w:rPr>
          <w:rFonts w:cs="Times New Roman"/>
          <w:sz w:val="24"/>
          <w:szCs w:val="24"/>
          <w:lang w:val="en-US"/>
        </w:rPr>
        <w:t xml:space="preserve"> It is presented the case of a patient with a recent history of COVID-19, with an enteral clinical picture of diarrhea and vomiting plus respiratory failure, in which the evolution of colon cancer and ventilator-associated pneumonia caused by </w:t>
      </w:r>
      <w:r>
        <w:rPr>
          <w:rFonts w:cs="Times New Roman"/>
          <w:i/>
          <w:sz w:val="24"/>
          <w:szCs w:val="24"/>
          <w:lang w:val="en-US"/>
        </w:rPr>
        <w:t>Aspergillus niger</w:t>
      </w:r>
      <w:r>
        <w:rPr>
          <w:rFonts w:cs="Times New Roman"/>
          <w:sz w:val="24"/>
          <w:szCs w:val="24"/>
          <w:lang w:val="en-US"/>
        </w:rPr>
        <w:t xml:space="preserve"> are concomitant.</w:t>
      </w:r>
    </w:p>
    <w:p>
      <w:pPr>
        <w:pStyle w:val="Normal"/>
        <w:spacing w:lineRule="auto" w:line="360" w:before="0" w:after="0"/>
        <w:jc w:val="both"/>
        <w:rPr/>
      </w:pPr>
      <w:r>
        <w:rPr>
          <w:rFonts w:cs="Times New Roman"/>
          <w:b/>
          <w:sz w:val="24"/>
          <w:szCs w:val="24"/>
          <w:lang w:val="en-US"/>
        </w:rPr>
        <w:t xml:space="preserve">Conclusions: </w:t>
      </w:r>
      <w:r>
        <w:rPr>
          <w:rFonts w:cs="Times New Roman"/>
          <w:sz w:val="24"/>
          <w:szCs w:val="24"/>
          <w:lang w:val="en-US"/>
        </w:rPr>
        <w:t>Pulmonary aspergillosis associated with COVID-19 is a complication that should be considered and sought in patients with a recent history of this disease.</w:t>
      </w:r>
    </w:p>
    <w:p>
      <w:pPr>
        <w:pStyle w:val="Normal"/>
        <w:spacing w:lineRule="auto" w:line="360" w:before="0" w:after="0"/>
        <w:jc w:val="both"/>
        <w:rPr/>
      </w:pPr>
      <w:r>
        <w:rPr>
          <w:rFonts w:cs="Times New Roman"/>
          <w:b/>
          <w:sz w:val="24"/>
          <w:szCs w:val="24"/>
          <w:lang w:val="en-US"/>
        </w:rPr>
        <w:t xml:space="preserve">Keywords: </w:t>
      </w:r>
      <w:r>
        <w:rPr>
          <w:rFonts w:cs="Times New Roman"/>
          <w:sz w:val="24"/>
          <w:szCs w:val="24"/>
          <w:lang w:val="en-US"/>
        </w:rPr>
        <w:t xml:space="preserve">aspergillus; critical care; coronavirus infections; pneumonia. </w:t>
      </w:r>
    </w:p>
    <w:p>
      <w:pPr>
        <w:pStyle w:val="Normal"/>
        <w:spacing w:lineRule="auto" w:line="360" w:before="0" w:after="0"/>
        <w:jc w:val="both"/>
        <w:rPr>
          <w:rFonts w:ascii="Times New Roman" w:hAnsi="Times New Roman" w:cs="Times New Roman"/>
          <w:b/>
          <w:b/>
          <w:sz w:val="24"/>
          <w:szCs w:val="24"/>
          <w:lang w:val="en-US"/>
        </w:rPr>
      </w:pPr>
      <w:r>
        <w:rPr>
          <w:rFonts w:cs="Times New Roman"/>
          <w:b/>
          <w:sz w:val="24"/>
          <w:szCs w:val="24"/>
          <w:lang w:val="en-US"/>
        </w:rPr>
      </w:r>
    </w:p>
    <w:p>
      <w:pPr>
        <w:pStyle w:val="Normal"/>
        <w:spacing w:lineRule="auto" w:line="360" w:before="0" w:after="0"/>
        <w:jc w:val="both"/>
        <w:rPr>
          <w:rFonts w:ascii="Times New Roman" w:hAnsi="Times New Roman" w:cs="Times New Roman"/>
          <w:b/>
          <w:b/>
          <w:sz w:val="24"/>
          <w:szCs w:val="24"/>
          <w:lang w:val="en-US"/>
        </w:rPr>
      </w:pPr>
      <w:r>
        <w:rPr>
          <w:rFonts w:cs="Times New Roman"/>
          <w:b/>
          <w:sz w:val="24"/>
          <w:szCs w:val="24"/>
          <w:lang w:val="en-US"/>
        </w:rPr>
      </w:r>
    </w:p>
    <w:p>
      <w:pPr>
        <w:pStyle w:val="Normal"/>
        <w:spacing w:lineRule="auto" w:line="360" w:before="0" w:after="0"/>
        <w:jc w:val="both"/>
        <w:rPr/>
      </w:pPr>
      <w:r>
        <w:rPr>
          <w:rFonts w:cs="Times New Roman"/>
          <w:sz w:val="24"/>
          <w:szCs w:val="24"/>
          <w:lang w:val="es-MX"/>
        </w:rPr>
        <w:t>Recibido: 23/10/2023</w:t>
      </w:r>
    </w:p>
    <w:p>
      <w:pPr>
        <w:pStyle w:val="Normal"/>
        <w:spacing w:lineRule="auto" w:line="360" w:before="0" w:after="0"/>
        <w:jc w:val="both"/>
        <w:rPr/>
      </w:pPr>
      <w:r>
        <w:rPr>
          <w:rFonts w:cs="Times New Roman"/>
          <w:sz w:val="24"/>
          <w:szCs w:val="24"/>
          <w:lang w:val="es-MX"/>
        </w:rPr>
        <w:t>Aprobado: 04/12/2023</w:t>
      </w:r>
    </w:p>
    <w:p>
      <w:pPr>
        <w:pStyle w:val="Normal"/>
        <w:spacing w:lineRule="auto" w:line="360" w:before="0" w:after="0"/>
        <w:jc w:val="both"/>
        <w:rPr>
          <w:rFonts w:ascii="Times New Roman" w:hAnsi="Times New Roman" w:cs="Times New Roman"/>
          <w:sz w:val="24"/>
          <w:szCs w:val="24"/>
          <w:lang w:val="es-MX"/>
        </w:rPr>
      </w:pPr>
      <w:r>
        <w:rPr>
          <w:rFonts w:cs="Times New Roman"/>
          <w:sz w:val="24"/>
          <w:szCs w:val="24"/>
          <w:lang w:val="es-MX"/>
        </w:rPr>
      </w:r>
    </w:p>
    <w:p>
      <w:pPr>
        <w:pStyle w:val="Normal"/>
        <w:spacing w:lineRule="auto" w:line="360" w:before="0" w:after="0"/>
        <w:jc w:val="both"/>
        <w:rPr>
          <w:rFonts w:ascii="Times New Roman" w:hAnsi="Times New Roman" w:cs="Times New Roman"/>
          <w:sz w:val="24"/>
          <w:szCs w:val="24"/>
          <w:lang w:val="es-MX"/>
        </w:rPr>
      </w:pPr>
      <w:r>
        <w:rPr>
          <w:rFonts w:cs="Times New Roman"/>
          <w:sz w:val="24"/>
          <w:szCs w:val="24"/>
          <w:lang w:val="es-MX"/>
        </w:rPr>
      </w:r>
    </w:p>
    <w:p>
      <w:pPr>
        <w:pStyle w:val="Normal"/>
        <w:spacing w:lineRule="auto" w:line="360" w:before="0" w:after="0"/>
        <w:jc w:val="center"/>
        <w:rPr/>
      </w:pPr>
      <w:r>
        <w:rPr>
          <w:rFonts w:cs="Times New Roman"/>
          <w:b/>
          <w:sz w:val="32"/>
          <w:szCs w:val="32"/>
        </w:rPr>
        <w:t>INTRODUCCIÓN</w:t>
      </w:r>
    </w:p>
    <w:p>
      <w:pPr>
        <w:pStyle w:val="Normal"/>
        <w:spacing w:lineRule="auto" w:line="360" w:before="0" w:after="0"/>
        <w:jc w:val="both"/>
        <w:rPr/>
      </w:pPr>
      <w:r>
        <w:rPr>
          <w:rFonts w:cs="Times New Roman"/>
          <w:sz w:val="24"/>
          <w:szCs w:val="24"/>
        </w:rPr>
        <w:t xml:space="preserve">La enfermedad por el coronavirus 2019 (COVID-19) causada por el nuevo SARS-CoV-2 se extendió de forma rápida por todo el mundo. La aspergilosis invasora se ha divulgado como complicación de la neumonía por influenza entre pacientes de cuidados intensivos. En el estudio de </w:t>
      </w:r>
      <w:r>
        <w:rPr>
          <w:rFonts w:cs="Times New Roman"/>
          <w:i/>
          <w:sz w:val="24"/>
          <w:szCs w:val="24"/>
        </w:rPr>
        <w:t>Schauwvlieghe</w:t>
      </w:r>
      <w:r>
        <w:rPr>
          <w:rFonts w:cs="Times New Roman"/>
          <w:sz w:val="24"/>
          <w:szCs w:val="24"/>
        </w:rPr>
        <w:t xml:space="preserve"> y otros</w:t>
      </w:r>
      <w:r>
        <w:fldChar w:fldCharType="begin"/>
      </w:r>
      <w:r>
        <w:rPr>
          <w:vertAlign w:val="superscript"/>
          <w:sz w:val="24"/>
          <w:szCs w:val="24"/>
          <w:rFonts w:cs="Times New Roman"/>
          <w:lang w:val="es-MX" w:eastAsia="es-MX"/>
        </w:rPr>
        <w:instrText>ADDIN CSL_CITATION {"citationItems":[{"id":"ITEM-1","itemData":{"DOI":"10.1016/S2213-2600(18)30274-1","ISSN":"22132600","PMID":"30076119","abstract":"Background: Invasive pulmonary aspergillosis typically occurs in an immunocompromised host. For almost a century, influenza has been known to set up for bacterial superinfections, but recently patients with severe influenza were also reported to develop invasive pulmonary aspergillosis. We aimed to measure the incidence of invasive pulmonary aspergillosis over several seasons in patients with influenza pneumonia in the intensive care unit (ICU) and to assess whether influenza was an independent risk factor for invasive pulmonary aspergillosis. Methods: We did a retrospective multicentre cohort study. Data were collected from adult patients with severe influenza admitted to seven ICUs across Belgium and The Netherlands during seven influenza seasons. Patients were older than 18 years, were admitted to the ICU for more than 24 h with acute respiratory failure, had pulmonary infiltrates on imaging, and a confirmed influenza infection based on a positive airway PCR test (influenza cohort). We used logistic regression analyses to determine if influenza was independently associated with invasive pulmonary aspergillosis in non-immunocompromised (ie, no European Organization for Research and Treatment of Cancer/Invasive Fungal Infections Cooperative Group and the National Institute of Allergy and Infectious Diseases Mycoses Study Group [EORTC/MSG] host factor) influenza-positive patients (influenza case group) compared with non-immunocompromised patients with severe community-acquired pneumonia who had a negative airway influenza PCR test (control group). Findings: Data were collected from patients admitted to the ICU between Jan 1, 2009, and June 30, 2016. Invasive pulmonary aspergillosis was diagnosed in 83 (19%) of 432 patients admitted with influenza (influenza cohort), a median of 3 days after admission to the ICU. The incidence was similar for influenza A and B. For patients with influenza who were immunocompromised, incidence of invasive pulmonary aspergillosis was as high as 32% (38 of 117 patients), whereas in the non-immunocompromised influenza case group, incidence was 14% (45 of 315 patients). Conversely, only 16 (5%) of 315 patients in the control group developed invasive pulmonary aspergillosis. The 90-day mortality was 51% in patients in the influenza cohort with invasive pulmonary aspergillosis and 28% in the influenza cohort without invasive pulmonary aspergillosis (p=0·0001). In this study, influenza was found to be independently associated wi…","author":[{"dropping-particle":"","family":"Schauwvlieghe","given":"Alexander F A D","non-dropping-particle":"","parse-names":false,"suffix":""},{"dropping-particle":"","family":"Rijnders","given":"Bart J A","non-dropping-particle":"","parse-names":false,"suffix":""},{"dropping-particle":"","family":"Philips","given":"Nele","non-dropping-particle":"","parse-names":false,"suffix":""},{"dropping-particle":"","family":"Verwijs","given":"Rosanne","non-dropping-particle":"","parse-names":false,"suffix":""},{"dropping-particle":"","family":"Vanderbeke","given":"Lore","non-dropping-particle":"","parse-names":false,"suffix":""},{"dropping-particle":"","family":"Tienen","given":"Carla","non-dropping-particle":"Van","parse-names":false,"suffix":""},{"dropping-particle":"","family":"Lagrou","given":"Katrien","non-dropping-particle":"","parse-names":false,"suffix":""},{"dropping-particle":"","family":"Verweij","given":"Paul E.","non-dropping-particle":"","parse-names":false,"suffix":""},{"dropping-particle":"","family":"Veerdonk","given":"Frank L.","non-dropping-particle":"Van de","parse-names":false,"suffix":""},{"dropping-particle":"","family":"Gommers","given":"Diederik","non-dropping-particle":"","parse-names":false,"suffix":""},{"dropping-particle":"","family":"Spronk","given":"Peter","non-dropping-particle":"","parse-names":false,"suffix":""},{"dropping-particle":"","family":"Bergmans","given":"Dennis C J J","non-dropping-particle":"","parse-names":false,"suffix":""},{"dropping-particle":"","family":"Hoedemaekers","given":"Astrid","non-dropping-particle":"","parse-names":false,"suffix":""},{"dropping-particle":"","family":"Andrinopoulou","given":"Eleni-Rosalina","non-dropping-particle":"","parse-names":false,"suffix":""},{"dropping-particle":"","family":"Berg","given":"Charlotte H S B","non-dropping-particle":"van den","parse-names":false,"suffix":""},{"dropping-particle":"","family":"Juffermans","given":"Nicole P.","non-dropping-particle":"","parse-names":false,"suffix":""},{"dropping-particle":"","family":"Hodiamont","given":"Casper J.","non-dropping-particle":"","parse-names":false,"suffix":""},{"dropping-particle":"","family":"Vonk","given":"Alieke G.","non-dropping-particle":"","parse-names":false,"suffix":""},{"dropping-particle":"","family":"Depuydt","given":"Pieter","non-dropping-particle":"","parse-names":false,"suffix":""},{"dropping-particle":"","family":"Boelens","given":"Jerina","non-dropping-particle":"","parse-names":false,"suffix":""},{"dropping-particle":"","family":"Wauters","given":"Joost","non-dropping-particle":"","parse-names":false,"suffix":""}],"container-title":"The Lancet Respiratory Medicine","id":"ITEM-1","issue":"10","issued":{"date-parts":[["2018","10"]]},"page":"782-792","publisher":"Elsevier Ltd","title":"Invasive aspergillosis in patients admitted to the intensive care unit with severe influenza: a retrospective cohort study","type":"article-journal","volume":"6"},"uris":["http://www.mendeley.com/documents/?uuid=b1c58cff-7289-43fe-9dab-f509db3a37e9"]}],"mendeley":{"formattedCitation":"(1)","plainTextFormattedCitation":"(1)","previouslyFormattedCitation":"(1)"},"properties":{"noteIndex":0},"schema":"https://github.com/citation-style-language/schema/raw/master/csl-citation.json"}</w:instrText>
      </w:r>
      <w:r>
        <w:rPr>
          <w:rFonts w:cs="Times New Roman"/>
          <w:sz w:val="24"/>
          <w:szCs w:val="24"/>
          <w:vertAlign w:val="superscript"/>
          <w:lang w:val="es-MX" w:eastAsia="es-MX"/>
        </w:rPr>
      </w:r>
      <w:r>
        <w:rPr>
          <w:vertAlign w:val="superscript"/>
          <w:sz w:val="24"/>
          <w:szCs w:val="24"/>
          <w:rFonts w:cs="Times New Roman"/>
          <w:lang w:val="es-MX" w:eastAsia="es-MX"/>
        </w:rPr>
        <w:fldChar w:fldCharType="separate"/>
      </w:r>
      <w:r>
        <w:rPr>
          <w:rFonts w:cs="Times New Roman"/>
          <w:sz w:val="24"/>
          <w:szCs w:val="24"/>
          <w:vertAlign w:val="superscript"/>
          <w:lang w:val="es-MX" w:eastAsia="es-MX"/>
        </w:rPr>
        <w:t>(1)</w:t>
      </w:r>
      <w:r>
        <w:rPr>
          <w:rFonts w:cs="Times New Roman"/>
          <w:sz w:val="24"/>
          <w:szCs w:val="24"/>
          <w:vertAlign w:val="superscript"/>
          <w:lang w:val="es-MX" w:eastAsia="es-MX"/>
        </w:rPr>
      </w:r>
      <w:r>
        <w:rPr>
          <w:vertAlign w:val="superscript"/>
          <w:sz w:val="24"/>
          <w:szCs w:val="24"/>
          <w:rFonts w:cs="Times New Roman"/>
          <w:lang w:val="es-MX" w:eastAsia="es-MX"/>
        </w:rPr>
        <w:fldChar w:fldCharType="end"/>
      </w:r>
      <w:r>
        <w:rPr>
          <w:rFonts w:cs="Times New Roman"/>
          <w:sz w:val="24"/>
          <w:szCs w:val="24"/>
        </w:rPr>
        <w:t xml:space="preserve"> los autores identificaron la influenza como un factor de riesgo independiente para la aspergilosis pulmonar invasiva (API), asociada con una alta mortalidad.</w:t>
      </w:r>
      <w:r>
        <w:rPr>
          <w:rFonts w:cs="Times New Roman"/>
          <w:sz w:val="24"/>
          <w:szCs w:val="24"/>
          <w:vertAlign w:val="superscript"/>
          <w:lang w:val="es-MX" w:eastAsia="es-MX"/>
        </w:rPr>
        <w:t>(1)</w:t>
      </w:r>
      <w:r>
        <w:rPr>
          <w:rFonts w:cs="Times New Roman"/>
          <w:sz w:val="24"/>
          <w:szCs w:val="24"/>
        </w:rPr>
        <w:t xml:space="preserve"> </w:t>
      </w:r>
    </w:p>
    <w:p>
      <w:pPr>
        <w:pStyle w:val="Normal"/>
        <w:spacing w:lineRule="auto" w:line="360" w:before="0" w:after="0"/>
        <w:jc w:val="both"/>
        <w:rPr/>
      </w:pPr>
      <w:r>
        <w:rPr>
          <w:rFonts w:cs="Times New Roman"/>
          <w:sz w:val="24"/>
          <w:szCs w:val="24"/>
        </w:rPr>
        <w:t>La aspergilosis invasiva no es una entidad frecuente, resulta identificada en pacientes que presentan inmunosupresión, especialmente aquella relacionada con malignidad hematológica y trasplante. Las especies de aspergillus causan enfermedad pulmonar caracterizada desde el punto de vista patológico por enfermedad inflamatoria en las vías respiratorias e invasión aguda y crónica.</w:t>
      </w:r>
      <w:r>
        <w:rPr>
          <w:rFonts w:cs="Times New Roman"/>
          <w:sz w:val="24"/>
          <w:szCs w:val="24"/>
          <w:vertAlign w:val="superscript"/>
          <w:lang w:val="es-MX" w:eastAsia="es-MX"/>
        </w:rPr>
        <w:t>(2)</w:t>
      </w:r>
    </w:p>
    <w:p>
      <w:pPr>
        <w:pStyle w:val="Normal"/>
        <w:spacing w:lineRule="auto" w:line="360" w:before="0" w:after="0"/>
        <w:jc w:val="both"/>
        <w:rPr/>
      </w:pPr>
      <w:r>
        <w:rPr>
          <w:rFonts w:cs="Times New Roman"/>
          <w:sz w:val="24"/>
          <w:szCs w:val="24"/>
        </w:rPr>
        <w:t>La neumonía viral aumenta la susceptibilidad a las superinfecciones bacterianas y fúngicas, incluida la API. La aspergilosis pulmonar asociada a la influenza ha complicado el curso clínico de pacientes en estado crítico, con síndrome de distrés respiratorio agudo. Un gran número de pacientes con esta enfermedad nunca son diagnosticados, por lo que se desconoce la influencia de la aspergilosis pulmonar asociada a la influenza en la evolución de estos.</w:t>
      </w:r>
      <w:r>
        <w:rPr>
          <w:rFonts w:cs="Times New Roman"/>
          <w:sz w:val="24"/>
          <w:szCs w:val="24"/>
          <w:vertAlign w:val="superscript"/>
          <w:lang w:val="es-MX" w:eastAsia="es-MX"/>
        </w:rPr>
        <w:t>(3)</w:t>
      </w:r>
    </w:p>
    <w:p>
      <w:pPr>
        <w:pStyle w:val="Textocomentario"/>
        <w:spacing w:lineRule="auto" w:line="360" w:before="0" w:after="0"/>
        <w:jc w:val="both"/>
        <w:rPr/>
      </w:pPr>
      <w:r>
        <w:rPr>
          <w:rFonts w:cs="Times New Roman"/>
          <w:sz w:val="24"/>
          <w:szCs w:val="24"/>
        </w:rPr>
        <w:t xml:space="preserve">La aspergilosis pulmonar asociada a la COVID-19 no resulta común; ha sido descrita en pacientes que no cumplen con los factores de riesgo típicos para API. El aislamiento de </w:t>
      </w:r>
      <w:r>
        <w:rPr>
          <w:rFonts w:cs="Times New Roman"/>
          <w:i/>
          <w:sz w:val="24"/>
          <w:szCs w:val="24"/>
        </w:rPr>
        <w:t>Aspergillus</w:t>
      </w:r>
      <w:r>
        <w:rPr>
          <w:rFonts w:cs="Times New Roman"/>
          <w:sz w:val="24"/>
          <w:szCs w:val="24"/>
        </w:rPr>
        <w:t xml:space="preserve"> en pacientes positivos a la COVID-19, o que sufrieron previamente la enfermedad se ha convertido en una importante preocupación, dada la alta mortalidad que provoca.</w:t>
      </w:r>
      <w:r>
        <w:rPr>
          <w:rFonts w:cs="Times New Roman"/>
          <w:sz w:val="24"/>
          <w:szCs w:val="24"/>
          <w:vertAlign w:val="superscript"/>
          <w:lang w:val="es-MX" w:eastAsia="es-MX"/>
        </w:rPr>
        <w:t>(2,3,4,5,6)</w:t>
      </w:r>
      <w:r>
        <w:rPr>
          <w:rFonts w:cs="Times New Roman"/>
          <w:sz w:val="24"/>
          <w:szCs w:val="24"/>
        </w:rPr>
        <w:t xml:space="preserve">  </w:t>
      </w:r>
    </w:p>
    <w:p>
      <w:pPr>
        <w:pStyle w:val="Normal"/>
        <w:spacing w:lineRule="auto" w:line="360" w:before="0" w:after="0"/>
        <w:jc w:val="both"/>
        <w:rPr/>
      </w:pPr>
      <w:r>
        <w:rPr>
          <w:rFonts w:cs="Times New Roman"/>
          <w:sz w:val="24"/>
          <w:szCs w:val="24"/>
        </w:rPr>
        <w:t xml:space="preserve">En Cuba no se han encontrado publicaciones de casos que muestren la concomitancia de una infección pulmonar por </w:t>
      </w:r>
      <w:r>
        <w:rPr>
          <w:rFonts w:cs="Times New Roman"/>
          <w:i/>
          <w:iCs/>
          <w:sz w:val="24"/>
          <w:szCs w:val="24"/>
        </w:rPr>
        <w:t>Aspergillus</w:t>
      </w:r>
      <w:r>
        <w:rPr>
          <w:rFonts w:cs="Times New Roman"/>
          <w:sz w:val="24"/>
          <w:szCs w:val="24"/>
        </w:rPr>
        <w:t xml:space="preserve"> e infección activa o reciente por la COVID-19. La relación de la enfermedad fúngica asociada a la COVID-19 con la mortalidad, ha sido apoyada por otros estudios.</w:t>
      </w:r>
      <w:r>
        <w:rPr>
          <w:rFonts w:cs="Times New Roman"/>
          <w:sz w:val="24"/>
          <w:szCs w:val="24"/>
          <w:vertAlign w:val="superscript"/>
          <w:lang w:val="es-MX" w:eastAsia="es-MX"/>
        </w:rPr>
        <w:t>(7,8)</w:t>
      </w:r>
    </w:p>
    <w:p>
      <w:pPr>
        <w:pStyle w:val="Normal"/>
        <w:spacing w:lineRule="auto" w:line="360" w:before="0" w:after="0"/>
        <w:jc w:val="both"/>
        <w:rPr/>
      </w:pPr>
      <w:r>
        <w:rPr>
          <w:rFonts w:cs="Times New Roman"/>
          <w:sz w:val="24"/>
          <w:szCs w:val="24"/>
        </w:rPr>
        <w:t>El objetivo de este trabajo es presentar un caso clínico poco común de aspergilosis pulmonar.</w:t>
      </w:r>
    </w:p>
    <w:p>
      <w:pPr>
        <w:pStyle w:val="Normal"/>
        <w:spacing w:lineRule="auto" w:line="360" w:before="0" w:after="0"/>
        <w:jc w:val="both"/>
        <w:rPr>
          <w:rFonts w:ascii="Times New Roman" w:hAnsi="Times New Roman" w:cs="Times New Roman"/>
          <w:sz w:val="24"/>
          <w:szCs w:val="24"/>
        </w:rPr>
      </w:pPr>
      <w:r>
        <w:rPr>
          <w:rFonts w:cs="Times New Roman"/>
          <w:sz w:val="24"/>
          <w:szCs w:val="24"/>
        </w:rPr>
      </w:r>
    </w:p>
    <w:p>
      <w:pPr>
        <w:pStyle w:val="Normal"/>
        <w:spacing w:lineRule="auto" w:line="360" w:before="0" w:after="0"/>
        <w:jc w:val="both"/>
        <w:rPr>
          <w:rFonts w:ascii="Times New Roman" w:hAnsi="Times New Roman" w:cs="Times New Roman"/>
          <w:sz w:val="24"/>
          <w:szCs w:val="24"/>
        </w:rPr>
      </w:pPr>
      <w:r>
        <w:rPr>
          <w:rFonts w:cs="Times New Roman"/>
          <w:sz w:val="24"/>
          <w:szCs w:val="24"/>
        </w:rPr>
      </w:r>
    </w:p>
    <w:p>
      <w:pPr>
        <w:pStyle w:val="Normal"/>
        <w:spacing w:lineRule="auto" w:line="360" w:before="0" w:after="0"/>
        <w:jc w:val="center"/>
        <w:rPr>
          <w:rFonts w:ascii="Times New Roman" w:hAnsi="Times New Roman" w:cs="Times New Roman"/>
          <w:b/>
          <w:b/>
          <w:sz w:val="32"/>
          <w:szCs w:val="32"/>
        </w:rPr>
      </w:pPr>
      <w:r>
        <w:rPr>
          <w:rFonts w:cs="Times New Roman"/>
          <w:b/>
          <w:sz w:val="32"/>
          <w:szCs w:val="32"/>
        </w:rPr>
        <w:t>CASO CLÍNICO</w:t>
      </w:r>
    </w:p>
    <w:p>
      <w:pPr>
        <w:pStyle w:val="Normal"/>
        <w:spacing w:lineRule="auto" w:line="360" w:before="0" w:after="0"/>
        <w:jc w:val="both"/>
        <w:rPr/>
      </w:pPr>
      <w:r>
        <w:rPr>
          <w:rFonts w:cs="Times New Roman"/>
          <w:sz w:val="24"/>
          <w:szCs w:val="24"/>
        </w:rPr>
        <w:t xml:space="preserve">Paciente femenina, de 72 años, con antecedentes patológicos personales de: </w:t>
      </w:r>
    </w:p>
    <w:p>
      <w:pPr>
        <w:pStyle w:val="Normal"/>
        <w:spacing w:lineRule="auto" w:line="360" w:before="0" w:after="0"/>
        <w:jc w:val="both"/>
        <w:rPr>
          <w:rFonts w:ascii="Times New Roman" w:hAnsi="Times New Roman" w:cs="Times New Roman"/>
          <w:sz w:val="24"/>
          <w:szCs w:val="24"/>
        </w:rPr>
      </w:pPr>
      <w:r>
        <w:rPr>
          <w:rFonts w:cs="Times New Roman"/>
          <w:sz w:val="24"/>
          <w:szCs w:val="24"/>
        </w:rPr>
      </w:r>
    </w:p>
    <w:p>
      <w:pPr>
        <w:pStyle w:val="Normal"/>
        <w:numPr>
          <w:ilvl w:val="0"/>
          <w:numId w:val="1"/>
        </w:numPr>
        <w:spacing w:lineRule="auto" w:line="360" w:before="0" w:after="0"/>
        <w:jc w:val="both"/>
        <w:rPr/>
      </w:pPr>
      <w:r>
        <w:rPr>
          <w:rFonts w:cs="Times New Roman"/>
          <w:sz w:val="24"/>
          <w:szCs w:val="24"/>
        </w:rPr>
        <w:t>Enfermedad pulmonar obstructiva crónica de 10 años de evolución, razón por la que ha presentado varios ingresos hospitalarios, el último hace 3 años en la unidad de terapia intensiva (UTI) con necesidad de ventilación mecánica invasiva (VMI).</w:t>
      </w:r>
    </w:p>
    <w:p>
      <w:pPr>
        <w:pStyle w:val="Normal"/>
        <w:numPr>
          <w:ilvl w:val="0"/>
          <w:numId w:val="1"/>
        </w:numPr>
        <w:spacing w:lineRule="auto" w:line="360" w:before="0" w:after="0"/>
        <w:jc w:val="both"/>
        <w:rPr/>
      </w:pPr>
      <w:r>
        <w:rPr>
          <w:rFonts w:cs="Times New Roman"/>
          <w:sz w:val="24"/>
          <w:szCs w:val="24"/>
        </w:rPr>
        <w:t>Diabetes mellitus tipo 2, de 6 años de evolución.</w:t>
      </w:r>
    </w:p>
    <w:p>
      <w:pPr>
        <w:pStyle w:val="Normal"/>
        <w:numPr>
          <w:ilvl w:val="0"/>
          <w:numId w:val="1"/>
        </w:numPr>
        <w:spacing w:lineRule="auto" w:line="360" w:before="0" w:after="0"/>
        <w:jc w:val="both"/>
        <w:rPr/>
      </w:pPr>
      <w:r>
        <w:rPr>
          <w:rFonts w:cs="Times New Roman"/>
          <w:sz w:val="24"/>
          <w:szCs w:val="24"/>
        </w:rPr>
        <w:t>Hipertensión arterial, de 3 años de evolución.</w:t>
      </w:r>
    </w:p>
    <w:p>
      <w:pPr>
        <w:pStyle w:val="Normal"/>
        <w:numPr>
          <w:ilvl w:val="0"/>
          <w:numId w:val="1"/>
        </w:numPr>
        <w:spacing w:lineRule="auto" w:line="360" w:before="0" w:after="0"/>
        <w:jc w:val="both"/>
        <w:rPr/>
      </w:pPr>
      <w:r>
        <w:rPr>
          <w:rFonts w:cs="Times New Roman"/>
          <w:sz w:val="24"/>
          <w:szCs w:val="24"/>
        </w:rPr>
        <w:t xml:space="preserve">COVID-19 (cuadro leve) un mes previo al actual ingreso. </w:t>
      </w:r>
    </w:p>
    <w:p>
      <w:pPr>
        <w:pStyle w:val="Normal"/>
        <w:spacing w:lineRule="auto" w:line="360" w:before="0" w:after="0"/>
        <w:jc w:val="both"/>
        <w:rPr>
          <w:rFonts w:ascii="Times New Roman" w:hAnsi="Times New Roman" w:cs="Times New Roman"/>
          <w:sz w:val="24"/>
          <w:szCs w:val="24"/>
        </w:rPr>
      </w:pPr>
      <w:r>
        <w:rPr>
          <w:rFonts w:cs="Times New Roman"/>
          <w:sz w:val="24"/>
          <w:szCs w:val="24"/>
        </w:rPr>
      </w:r>
    </w:p>
    <w:p>
      <w:pPr>
        <w:pStyle w:val="Normal"/>
        <w:spacing w:lineRule="auto" w:line="360" w:before="0" w:after="0"/>
        <w:jc w:val="both"/>
        <w:rPr/>
      </w:pPr>
      <w:r>
        <w:rPr>
          <w:rFonts w:cs="Times New Roman"/>
          <w:sz w:val="24"/>
          <w:szCs w:val="24"/>
        </w:rPr>
        <w:t>Quince días antes de asistir al hospital presentó cifras elevadas de glucemia y</w:t>
      </w:r>
      <w:r>
        <w:rPr>
          <w:rFonts w:cs="Times New Roman"/>
          <w:sz w:val="24"/>
          <w:szCs w:val="24"/>
          <w:lang w:val="es-MX"/>
        </w:rPr>
        <w:t xml:space="preserve"> </w:t>
      </w:r>
      <w:r>
        <w:rPr>
          <w:rFonts w:cs="Times New Roman"/>
          <w:sz w:val="24"/>
          <w:szCs w:val="24"/>
        </w:rPr>
        <w:t>manifestaciones respiratorias, por lo cual llev</w:t>
      </w:r>
      <w:r>
        <w:rPr>
          <w:rFonts w:cs="Times New Roman"/>
          <w:sz w:val="24"/>
          <w:szCs w:val="24"/>
          <w:lang w:val="es-MX"/>
        </w:rPr>
        <w:t>ó</w:t>
      </w:r>
      <w:r>
        <w:rPr>
          <w:rFonts w:cs="Times New Roman"/>
          <w:sz w:val="24"/>
          <w:szCs w:val="24"/>
        </w:rPr>
        <w:t xml:space="preserve"> tratamiento con ciprofloxacina y amoxicilina en su área de salud. Tres días antes, el estado clínico empeoró, con la ocurrencia de decaimiento, náuseas, diarreas y vómitos, razón por la que decidió acudir al cuerpo de guardia del hospital. Allí se constató glucemia en 22 mmol/L, signos de deshidratación moderada e hipotensión. </w:t>
      </w:r>
    </w:p>
    <w:p>
      <w:pPr>
        <w:pStyle w:val="Normal"/>
        <w:spacing w:lineRule="auto" w:line="360" w:before="0" w:after="0"/>
        <w:jc w:val="both"/>
        <w:rPr/>
      </w:pPr>
      <w:r>
        <w:rPr>
          <w:rFonts w:cs="Times New Roman"/>
          <w:sz w:val="24"/>
          <w:szCs w:val="24"/>
        </w:rPr>
        <w:t>Se consultó por especialistas de la UTI y fue admitida. Se recibió paciente con diagnóstico de posible sepsis de etiología enteral, diabetes mellitus tipo 2 descompensada y exacerbación de insuficiencia respiratoria crónica. Al ingreso en la UTI se describió la mucosa oral con lesión en la lengua y la orofaringe, sugestivas de candidiasis. Se auscultaron estertores crepitantes difusos en ambos campos pulmonares, discreta polipnea, taquicardia, pulsos periféricos débiles, llene capilar lento, abdomen distendido y doloroso a la palpación en epigastrio, ruidos hidroaéreos disminuidos. Durante la estancia en la UTI se realizaron los siguientes estudios:</w:t>
      </w:r>
    </w:p>
    <w:p>
      <w:pPr>
        <w:pStyle w:val="Normal"/>
        <w:spacing w:lineRule="auto" w:line="360" w:before="0" w:after="0"/>
        <w:jc w:val="both"/>
        <w:rPr>
          <w:rFonts w:ascii="Times New Roman" w:hAnsi="Times New Roman" w:cs="Times New Roman"/>
          <w:sz w:val="24"/>
          <w:szCs w:val="24"/>
        </w:rPr>
      </w:pPr>
      <w:r>
        <w:rPr>
          <w:rFonts w:cs="Times New Roman"/>
          <w:sz w:val="24"/>
          <w:szCs w:val="24"/>
        </w:rPr>
      </w:r>
    </w:p>
    <w:p>
      <w:pPr>
        <w:pStyle w:val="Normal"/>
        <w:numPr>
          <w:ilvl w:val="0"/>
          <w:numId w:val="2"/>
        </w:numPr>
        <w:spacing w:lineRule="auto" w:line="360" w:before="0" w:after="0"/>
        <w:jc w:val="both"/>
        <w:rPr/>
      </w:pPr>
      <w:r>
        <w:rPr>
          <w:rFonts w:cs="Times New Roman"/>
          <w:sz w:val="24"/>
          <w:szCs w:val="24"/>
        </w:rPr>
        <w:t>Reacción en cadena de la polimerasa (PCR) para la COVID-19: negativo.</w:t>
      </w:r>
    </w:p>
    <w:p>
      <w:pPr>
        <w:pStyle w:val="Normal"/>
        <w:numPr>
          <w:ilvl w:val="0"/>
          <w:numId w:val="2"/>
        </w:numPr>
        <w:spacing w:lineRule="auto" w:line="360" w:before="0" w:after="0"/>
        <w:jc w:val="both"/>
        <w:rPr>
          <w:rFonts w:ascii="Times New Roman" w:hAnsi="Times New Roman" w:cs="Times New Roman"/>
          <w:sz w:val="24"/>
          <w:szCs w:val="24"/>
        </w:rPr>
      </w:pPr>
      <w:r>
        <w:rPr>
          <w:rFonts w:cs="Times New Roman"/>
          <w:sz w:val="24"/>
          <w:szCs w:val="24"/>
        </w:rPr>
        <w:t xml:space="preserve">Coprocultivo: negativo para enterobacterias patógenas. </w:t>
      </w:r>
    </w:p>
    <w:p>
      <w:pPr>
        <w:pStyle w:val="Normal"/>
        <w:numPr>
          <w:ilvl w:val="0"/>
          <w:numId w:val="2"/>
        </w:numPr>
        <w:spacing w:lineRule="auto" w:line="360" w:before="0" w:after="0"/>
        <w:jc w:val="both"/>
        <w:rPr/>
      </w:pPr>
      <w:r>
        <w:rPr>
          <w:rFonts w:cs="Times New Roman"/>
          <w:sz w:val="24"/>
          <w:szCs w:val="24"/>
        </w:rPr>
        <w:t xml:space="preserve">Cultivo de secreciones respiratorias tomado por broncoscopio (lavado bronco-alveolar): negativo para crecimiento de bacterias. Positivo para </w:t>
      </w:r>
      <w:r>
        <w:rPr>
          <w:rFonts w:cs="Times New Roman"/>
          <w:i/>
          <w:sz w:val="24"/>
          <w:szCs w:val="24"/>
        </w:rPr>
        <w:t>Aspergillus niger.</w:t>
      </w:r>
      <w:r>
        <w:rPr>
          <w:rFonts w:cs="Times New Roman"/>
          <w:sz w:val="24"/>
          <w:szCs w:val="24"/>
        </w:rPr>
        <w:t xml:space="preserve"> </w:t>
      </w:r>
    </w:p>
    <w:p>
      <w:pPr>
        <w:pStyle w:val="Normal"/>
        <w:numPr>
          <w:ilvl w:val="0"/>
          <w:numId w:val="2"/>
        </w:numPr>
        <w:spacing w:lineRule="auto" w:line="360" w:before="0" w:after="0"/>
        <w:jc w:val="both"/>
        <w:rPr/>
      </w:pPr>
      <w:r>
        <w:rPr>
          <w:rFonts w:cs="Times New Roman"/>
          <w:sz w:val="24"/>
          <w:szCs w:val="24"/>
        </w:rPr>
        <w:t>Rayos X de tórax AP (Fig. 1)</w:t>
      </w:r>
    </w:p>
    <w:p>
      <w:pPr>
        <w:pStyle w:val="Normal"/>
        <w:spacing w:lineRule="auto" w:line="360" w:before="0" w:after="0"/>
        <w:jc w:val="both"/>
        <w:rPr>
          <w:rFonts w:ascii="Times New Roman" w:hAnsi="Times New Roman" w:cs="Times New Roman"/>
          <w:sz w:val="24"/>
          <w:szCs w:val="24"/>
        </w:rPr>
      </w:pPr>
      <w:r>
        <w:rPr>
          <w:rFonts w:cs="Times New Roman"/>
          <w:sz w:val="24"/>
          <w:szCs w:val="24"/>
        </w:rPr>
      </w:r>
    </w:p>
    <w:p>
      <w:pPr>
        <w:pStyle w:val="Normal"/>
        <w:spacing w:lineRule="auto" w:line="360" w:before="0" w:after="0"/>
        <w:jc w:val="center"/>
        <w:rPr/>
      </w:pPr>
      <w:r>
        <w:drawing>
          <wp:anchor behindDoc="0" distT="0" distB="0" distL="0" distR="0" simplePos="0" locked="0" layoutInCell="0" allowOverlap="1" relativeHeight="34">
            <wp:simplePos x="0" y="0"/>
            <wp:positionH relativeFrom="column">
              <wp:align>center</wp:align>
            </wp:positionH>
            <wp:positionV relativeFrom="paragraph">
              <wp:posOffset>635</wp:posOffset>
            </wp:positionV>
            <wp:extent cx="3238500" cy="2897505"/>
            <wp:effectExtent l="0" t="0" r="0" b="0"/>
            <wp:wrapTopAndBottom/>
            <wp:docPr id="1"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pic:cNvPicPr>
                      <a:picLocks noChangeAspect="1" noChangeArrowheads="1"/>
                    </pic:cNvPicPr>
                  </pic:nvPicPr>
                  <pic:blipFill>
                    <a:blip r:embed="rId6"/>
                    <a:stretch>
                      <a:fillRect/>
                    </a:stretch>
                  </pic:blipFill>
                  <pic:spPr bwMode="auto">
                    <a:xfrm>
                      <a:off x="0" y="0"/>
                      <a:ext cx="3238500" cy="2897505"/>
                    </a:xfrm>
                    <a:prstGeom prst="rect">
                      <a:avLst/>
                    </a:prstGeom>
                  </pic:spPr>
                </pic:pic>
              </a:graphicData>
            </a:graphic>
          </wp:anchor>
        </w:drawing>
      </w:r>
      <w:r>
        <w:rPr>
          <w:rFonts w:cs="Times New Roman"/>
          <w:b/>
        </w:rPr>
        <w:t>Fig. 1 -</w:t>
      </w:r>
      <w:r>
        <w:rPr>
          <w:rFonts w:cs="Times New Roman"/>
        </w:rPr>
        <w:t xml:space="preserve"> Rayos X anteroposterior de tórax al momento del diagnóstico. Se aprecian lesiones inflamatorias bibasales a predominio íleo-basal izquierda.</w:t>
      </w:r>
    </w:p>
    <w:p>
      <w:pPr>
        <w:pStyle w:val="Normal"/>
        <w:spacing w:lineRule="auto" w:line="360" w:before="0" w:after="0"/>
        <w:jc w:val="both"/>
        <w:rPr>
          <w:rFonts w:ascii="Times New Roman" w:hAnsi="Times New Roman" w:cs="Times New Roman"/>
          <w:sz w:val="24"/>
          <w:szCs w:val="24"/>
        </w:rPr>
      </w:pPr>
      <w:r>
        <w:rPr>
          <w:rFonts w:cs="Times New Roman"/>
          <w:sz w:val="24"/>
          <w:szCs w:val="24"/>
        </w:rPr>
      </w:r>
    </w:p>
    <w:p>
      <w:pPr>
        <w:pStyle w:val="Normal"/>
        <w:spacing w:lineRule="auto" w:line="360" w:before="0" w:after="0"/>
        <w:jc w:val="both"/>
        <w:rPr/>
      </w:pPr>
      <w:r>
        <w:rPr>
          <w:rFonts w:cs="Times New Roman"/>
          <w:sz w:val="24"/>
          <w:szCs w:val="24"/>
        </w:rPr>
        <w:t>Tomografía axial computarizada de tórax y abdomen: patrón intersticio-alveolar bilateral predominante en el hemitórax izquierdo, se observan hiperdensidades con broncograma aéreo, que forman consolidación neumónica en el segmento anterior del lóbulo superior y en el segmento apical del lóbulo inferior del pulmón izquierdo. Se visualiza imagen en colon sigmoide, que impresiona ser una enfermedad diverticular.</w:t>
      </w:r>
    </w:p>
    <w:p>
      <w:pPr>
        <w:pStyle w:val="Normal"/>
        <w:spacing w:lineRule="auto" w:line="360" w:before="0" w:after="0"/>
        <w:jc w:val="both"/>
        <w:rPr/>
      </w:pPr>
      <w:r>
        <w:rPr>
          <w:rFonts w:cs="Times New Roman"/>
          <w:sz w:val="24"/>
          <w:szCs w:val="24"/>
        </w:rPr>
        <w:t>Rectosigmoidoscopia: a aproximadamente 15 cm de las márgenes del ano, se observa una lesión mamelonante, polilobulada, que ocupa el 70 % de la luz y sangra con facilidad. Se describe proceso neoformativo en la unión rectosigmoidea y enfermedad diverticular. En la biopsia se informa adenocarcinoma poco diferenciado con células en anillo de sello.</w:t>
      </w:r>
    </w:p>
    <w:p>
      <w:pPr>
        <w:pStyle w:val="Normal"/>
        <w:spacing w:lineRule="auto" w:line="360" w:before="0" w:after="0"/>
        <w:jc w:val="both"/>
        <w:rPr/>
      </w:pPr>
      <w:r>
        <w:rPr>
          <w:rFonts w:cs="Times New Roman"/>
          <w:sz w:val="24"/>
          <w:szCs w:val="24"/>
        </w:rPr>
        <w:t xml:space="preserve">Se realizó laparotomía y se encontró un tumor de la unión rectosigmoidea irresecable, que infiltra íleon terminal a aproximadamente 15 cm de la válvula ileocecal. Se realizó ileotranversostomía latero-lateral en un plano, más tranversostomía en asa. Se comenzó tratamiento con anfotericin B liposomal, que luego se modificó por voriconazol. </w:t>
      </w:r>
    </w:p>
    <w:p>
      <w:pPr>
        <w:pStyle w:val="Normal"/>
        <w:spacing w:lineRule="auto" w:line="360" w:before="0" w:after="0"/>
        <w:jc w:val="both"/>
        <w:rPr/>
      </w:pPr>
      <w:r>
        <w:rPr>
          <w:rFonts w:cs="Times New Roman"/>
          <w:sz w:val="24"/>
          <w:szCs w:val="24"/>
        </w:rPr>
        <w:t>Durante la evolución en el servicio se logró compensar de la diabetes mellitus; las deposiciones diarreicas disminuyeron. Predominó la descompensación de la enfermedad pulmonar obstructiva crónica, que tuvo como causa desencadenante, la neumopatía inflamatoria existente desde el ingreso. La paciente llegó a presentar niveles de pCO</w:t>
      </w:r>
      <w:r>
        <w:rPr>
          <w:rFonts w:cs="Times New Roman"/>
          <w:sz w:val="24"/>
          <w:szCs w:val="24"/>
          <w:vertAlign w:val="subscript"/>
        </w:rPr>
        <w:t>2</w:t>
      </w:r>
      <w:r>
        <w:rPr>
          <w:rFonts w:cs="Times New Roman"/>
          <w:sz w:val="24"/>
          <w:szCs w:val="24"/>
        </w:rPr>
        <w:t xml:space="preserve"> muy elevados, con cambios del pH arterial, por lo que necesitó de ventilación no invasiva y luego VMI por 7 días, hasta lograr con métodos interactivos y las intervenciones terapéuticas, la separación de la ventilación mecánica. </w:t>
      </w:r>
    </w:p>
    <w:p>
      <w:pPr>
        <w:pStyle w:val="Normal"/>
        <w:spacing w:lineRule="auto" w:line="360" w:before="0" w:after="0"/>
        <w:jc w:val="both"/>
        <w:rPr/>
      </w:pPr>
      <w:r>
        <w:rPr>
          <w:rFonts w:cs="Times New Roman"/>
          <w:sz w:val="24"/>
          <w:szCs w:val="24"/>
        </w:rPr>
        <w:t xml:space="preserve">Se trasladó hacia el Servicio de Medicina Interna y tras 3 días de estadía, egresó hacia el hogar, con mejor estado clínico. Se remitió para seguimiento en consulta de oncología. </w:t>
      </w:r>
    </w:p>
    <w:p>
      <w:pPr>
        <w:pStyle w:val="Normal"/>
        <w:spacing w:lineRule="auto" w:line="360" w:before="0" w:after="0"/>
        <w:jc w:val="both"/>
        <w:rPr>
          <w:rFonts w:ascii="Times New Roman" w:hAnsi="Times New Roman" w:cs="Times New Roman"/>
          <w:sz w:val="24"/>
          <w:szCs w:val="24"/>
        </w:rPr>
      </w:pPr>
      <w:r>
        <w:rPr>
          <w:rFonts w:cs="Times New Roman"/>
          <w:sz w:val="24"/>
          <w:szCs w:val="24"/>
        </w:rPr>
      </w:r>
    </w:p>
    <w:p>
      <w:pPr>
        <w:pStyle w:val="Normal"/>
        <w:spacing w:lineRule="auto" w:line="360" w:before="0" w:after="0"/>
        <w:jc w:val="both"/>
        <w:rPr>
          <w:rFonts w:ascii="Times New Roman" w:hAnsi="Times New Roman" w:cs="Times New Roman"/>
          <w:b/>
          <w:b/>
          <w:sz w:val="24"/>
          <w:szCs w:val="24"/>
        </w:rPr>
      </w:pPr>
      <w:r>
        <w:rPr>
          <w:rFonts w:cs="Times New Roman"/>
          <w:b/>
          <w:sz w:val="24"/>
          <w:szCs w:val="24"/>
        </w:rPr>
      </w:r>
    </w:p>
    <w:p>
      <w:pPr>
        <w:pStyle w:val="Normal"/>
        <w:spacing w:lineRule="auto" w:line="360" w:before="0" w:after="0"/>
        <w:jc w:val="center"/>
        <w:rPr>
          <w:rFonts w:ascii="Times New Roman" w:hAnsi="Times New Roman" w:cs="Times New Roman"/>
          <w:b/>
          <w:b/>
          <w:sz w:val="32"/>
          <w:szCs w:val="32"/>
        </w:rPr>
      </w:pPr>
      <w:r>
        <w:rPr>
          <w:rFonts w:cs="Times New Roman"/>
          <w:b/>
          <w:sz w:val="32"/>
          <w:szCs w:val="32"/>
        </w:rPr>
        <w:t>COMENTARIOS</w:t>
      </w:r>
    </w:p>
    <w:p>
      <w:pPr>
        <w:pStyle w:val="Normal"/>
        <w:spacing w:lineRule="auto" w:line="360" w:before="0" w:after="0"/>
        <w:jc w:val="both"/>
        <w:rPr/>
      </w:pPr>
      <w:r>
        <w:rPr>
          <w:rFonts w:cs="Times New Roman"/>
          <w:sz w:val="24"/>
          <w:szCs w:val="24"/>
        </w:rPr>
        <w:t>La paciente presentada es uno de los primeros diagnosticados en Cuba con este germen, luego de una infección por la COVID-19. Se muestra la ocurrencia de esta complicación (descrita en estudios de otros países), la necesidad de pensarla y buscarla, para garantizar la completa recuperación de los enfermos.</w:t>
      </w:r>
    </w:p>
    <w:p>
      <w:pPr>
        <w:pStyle w:val="Normal"/>
        <w:spacing w:lineRule="auto" w:line="360" w:before="0" w:after="0"/>
        <w:jc w:val="both"/>
        <w:rPr/>
      </w:pPr>
      <w:r>
        <w:rPr>
          <w:rFonts w:cs="Times New Roman"/>
          <w:sz w:val="24"/>
          <w:szCs w:val="24"/>
        </w:rPr>
        <w:t>Algunos trabajos</w:t>
      </w:r>
      <w:r>
        <w:rPr>
          <w:rFonts w:cs="Times New Roman"/>
          <w:sz w:val="24"/>
          <w:szCs w:val="24"/>
          <w:vertAlign w:val="superscript"/>
          <w:lang w:val="es-MX" w:eastAsia="es-MX"/>
        </w:rPr>
        <w:t xml:space="preserve">(5,6,8) </w:t>
      </w:r>
      <w:r>
        <w:rPr>
          <w:rFonts w:cs="Times New Roman"/>
          <w:sz w:val="24"/>
          <w:szCs w:val="24"/>
        </w:rPr>
        <w:t>publicados reportan el aislamiento de aspergilosis pulmonar en el contexto o luego de una infección por la COVID-19.</w:t>
      </w:r>
      <w:r>
        <w:rPr>
          <w:rFonts w:cs="Times New Roman"/>
          <w:sz w:val="24"/>
          <w:szCs w:val="24"/>
          <w:vertAlign w:val="superscript"/>
        </w:rPr>
        <w:t xml:space="preserve"> </w:t>
      </w:r>
      <w:r>
        <w:rPr>
          <w:rFonts w:cs="Times New Roman"/>
          <w:sz w:val="24"/>
          <w:szCs w:val="24"/>
        </w:rPr>
        <w:t>Sin embargo, no fueron encontradas publicaciones de Cuba que prueben la presencia de micosis pulmonar en el paciente crítico con infección reciente de la COVID-19. Los resultados de este estudio se corresponden con los hallazgos presentados en publicaciones encontradas sobre esta temática, y quizás, constituyan la primera publicación sobre este tema en Cuba.</w:t>
      </w:r>
      <w:r>
        <w:rPr>
          <w:rFonts w:cs="Times New Roman"/>
          <w:sz w:val="24"/>
          <w:szCs w:val="24"/>
          <w:vertAlign w:val="superscript"/>
        </w:rPr>
        <w:t>(9,10,11,12)</w:t>
      </w:r>
      <w:r>
        <w:rPr>
          <w:rFonts w:cs="Times New Roman"/>
          <w:sz w:val="24"/>
          <w:szCs w:val="24"/>
        </w:rPr>
        <w:t xml:space="preserve"> La paciente presentó factores de riesgo ya relacionados con complicaciones por micosis, a los que se añade la reciente infección por la COVID-19.</w:t>
      </w:r>
      <w:r>
        <w:rPr>
          <w:rFonts w:cs="Times New Roman"/>
          <w:sz w:val="24"/>
          <w:szCs w:val="24"/>
          <w:vertAlign w:val="superscript"/>
          <w:lang w:val="es-MX" w:eastAsia="es-MX"/>
        </w:rPr>
        <w:t>(5)</w:t>
      </w:r>
    </w:p>
    <w:p>
      <w:pPr>
        <w:pStyle w:val="Normal"/>
        <w:spacing w:lineRule="auto" w:line="360" w:before="0" w:after="0"/>
        <w:jc w:val="both"/>
        <w:rPr/>
      </w:pPr>
      <w:r>
        <w:rPr>
          <w:rFonts w:cs="Times New Roman"/>
          <w:sz w:val="24"/>
          <w:szCs w:val="24"/>
        </w:rPr>
        <w:t>En Cuba, en la atención secundaria, no se cuenta con biomarcadores de infección por hongos, como el galactomanano, que pudieran agilizar y facilitar el diagnóstico de esta entidad. No se realiza de forma habitual el lavado bronco-alveolar para la toma de muestras en pacientes sin VMI. El diagnóstico mediante los medios de cultivo para hongos disponibles, resulta tardío, dificulta el diagnóstico precoz y tratamiento oportuno.</w:t>
      </w:r>
    </w:p>
    <w:p>
      <w:pPr>
        <w:pStyle w:val="Normal"/>
        <w:spacing w:lineRule="auto" w:line="360" w:before="0" w:after="0"/>
        <w:jc w:val="both"/>
        <w:rPr/>
      </w:pPr>
      <w:r>
        <w:rPr>
          <w:rFonts w:cs="Times New Roman"/>
          <w:sz w:val="24"/>
          <w:szCs w:val="24"/>
        </w:rPr>
        <w:t xml:space="preserve">Se logró demostrar la infección pulmonar por </w:t>
      </w:r>
      <w:r>
        <w:rPr>
          <w:rFonts w:cs="Times New Roman"/>
          <w:i/>
          <w:sz w:val="24"/>
          <w:szCs w:val="24"/>
        </w:rPr>
        <w:t xml:space="preserve">Aspergillus niger </w:t>
      </w:r>
      <w:r>
        <w:rPr>
          <w:rFonts w:cs="Times New Roman"/>
          <w:sz w:val="24"/>
          <w:szCs w:val="24"/>
        </w:rPr>
        <w:t xml:space="preserve">en una paciente con fallo respiratorio grave y necesidad de ventilación mecánica. La evaluación de los factores de riesgo para desarrollar una micosis pulmonar resulta de vital importancia, en guiar el pensamiento clínico y las acciones diagnósticas encaminadas a lograr la precisión del agente etiológico en el fallo respiratorio agudo grave. La historia reciente de infección por la COVID-19 constituye un factor de mucha importancia, para considerar la posibilidad de infección respiratoria por gérmenes del grupo aspergillus. </w:t>
      </w:r>
    </w:p>
    <w:p>
      <w:pPr>
        <w:pStyle w:val="Normal"/>
        <w:spacing w:lineRule="auto" w:line="360" w:before="0" w:after="0"/>
        <w:jc w:val="both"/>
        <w:rPr/>
      </w:pPr>
      <w:r>
        <w:rPr>
          <w:rFonts w:cs="Times New Roman"/>
          <w:sz w:val="24"/>
          <w:szCs w:val="24"/>
        </w:rPr>
        <w:t>La aspergilosis pulmonar asociada a la COVID-19 es una complicación que debe considerarse y buscarse en pacientes con historia reciente de esta enfermedad.</w:t>
      </w:r>
    </w:p>
    <w:p>
      <w:pPr>
        <w:pStyle w:val="Normal"/>
        <w:spacing w:lineRule="auto" w:line="360" w:before="0" w:after="0"/>
        <w:jc w:val="both"/>
        <w:rPr>
          <w:rFonts w:ascii="Times New Roman" w:hAnsi="Times New Roman" w:cs="Times New Roman"/>
          <w:sz w:val="24"/>
          <w:szCs w:val="24"/>
        </w:rPr>
      </w:pPr>
      <w:r>
        <w:rPr>
          <w:rFonts w:cs="Times New Roman"/>
          <w:sz w:val="24"/>
          <w:szCs w:val="24"/>
        </w:rPr>
      </w:r>
    </w:p>
    <w:p>
      <w:pPr>
        <w:pStyle w:val="Normal"/>
        <w:spacing w:lineRule="auto" w:line="360" w:before="0" w:after="0"/>
        <w:jc w:val="both"/>
        <w:rPr>
          <w:rFonts w:ascii="Times New Roman" w:hAnsi="Times New Roman" w:cs="Times New Roman"/>
          <w:b/>
          <w:b/>
          <w:sz w:val="24"/>
          <w:szCs w:val="24"/>
        </w:rPr>
      </w:pPr>
      <w:r>
        <w:rPr>
          <w:rFonts w:cs="Times New Roman"/>
          <w:b/>
          <w:sz w:val="24"/>
          <w:szCs w:val="24"/>
        </w:rPr>
      </w:r>
    </w:p>
    <w:p>
      <w:pPr>
        <w:pStyle w:val="Normal"/>
        <w:spacing w:lineRule="auto" w:line="360" w:before="0" w:after="0"/>
        <w:jc w:val="center"/>
        <w:rPr>
          <w:rFonts w:ascii="Times New Roman" w:hAnsi="Times New Roman" w:cs="Times New Roman"/>
          <w:b/>
          <w:b/>
          <w:sz w:val="32"/>
          <w:szCs w:val="32"/>
        </w:rPr>
      </w:pPr>
      <w:r>
        <w:rPr>
          <w:rFonts w:cs="Times New Roman"/>
          <w:b/>
          <w:sz w:val="32"/>
          <w:szCs w:val="32"/>
        </w:rPr>
        <w:t>REFERENCIAS BIBLIOGRÁFICAS</w:t>
      </w:r>
    </w:p>
    <w:p>
      <w:pPr>
        <w:pStyle w:val="Normal"/>
        <w:widowControl w:val="false"/>
        <w:autoSpaceDE w:val="false"/>
        <w:spacing w:lineRule="auto" w:line="360" w:before="0" w:after="0"/>
        <w:rPr>
          <w:u w:val="none"/>
        </w:rPr>
      </w:pPr>
      <w:r>
        <w:rPr>
          <w:rFonts w:cs="Times New Roman"/>
          <w:sz w:val="24"/>
          <w:szCs w:val="24"/>
          <w:u w:val="none"/>
          <w:lang w:val="es-MX" w:eastAsia="es-MX"/>
        </w:rPr>
        <w:t>1. Schauwvlieghe AFAD, Rijnders BJA, Philips N, Verwijs R, Vanderbeke L, Van Tienen C, et al. Invasive aspergillosis in patients admitted to the intensive care unit with severe influenza: a retrospective cohort study. Lancet Respir Med. 2018(10):782–92. DOI: 10.1016/S2213-2600(18)30274-1</w:t>
      </w:r>
    </w:p>
    <w:p>
      <w:pPr>
        <w:pStyle w:val="Normal"/>
        <w:widowControl w:val="false"/>
        <w:autoSpaceDE w:val="false"/>
        <w:spacing w:lineRule="auto" w:line="360" w:before="0" w:after="0"/>
        <w:rPr/>
      </w:pPr>
      <w:r>
        <w:rPr>
          <w:rFonts w:cs="Times New Roman"/>
          <w:sz w:val="24"/>
          <w:szCs w:val="24"/>
          <w:u w:val="none"/>
          <w:lang w:val="es-MX" w:eastAsia="es-MX"/>
        </w:rPr>
        <w:t xml:space="preserve">2. Marr KA, Platt A, Tornheim JA, Zhang SX, Datta K, Cardozo C, et al. Aspergillosis Complicating Severe Coronavirus Disease. Emerg Infect Dis. 2020 [acceso: 15/12/2021]; 27(1):18–25. Disponible en: </w:t>
      </w:r>
      <w:hyperlink r:id="rId7">
        <w:r>
          <w:rPr>
            <w:rStyle w:val="EnlacedeInternet"/>
            <w:rFonts w:cs="Times New Roman"/>
            <w:sz w:val="24"/>
            <w:szCs w:val="24"/>
            <w:u w:val="none"/>
            <w:lang w:val="es-MX" w:eastAsia="es-MX"/>
          </w:rPr>
          <w:t>https://pubmed.ncbi.nlm.nih.gov/33084566</w:t>
        </w:r>
      </w:hyperlink>
      <w:r>
        <w:rPr>
          <w:rFonts w:cs="Times New Roman"/>
          <w:sz w:val="24"/>
          <w:szCs w:val="24"/>
          <w:u w:val="none"/>
          <w:lang w:val="es-MX" w:eastAsia="es-MX"/>
        </w:rPr>
        <w:t xml:space="preserve"> </w:t>
      </w:r>
    </w:p>
    <w:p>
      <w:pPr>
        <w:pStyle w:val="Normal"/>
        <w:widowControl w:val="false"/>
        <w:autoSpaceDE w:val="false"/>
        <w:spacing w:lineRule="auto" w:line="360" w:before="0" w:after="0"/>
        <w:rPr/>
      </w:pPr>
      <w:r>
        <w:rPr>
          <w:rFonts w:cs="Times New Roman"/>
          <w:sz w:val="24"/>
          <w:szCs w:val="24"/>
          <w:u w:val="none"/>
          <w:lang w:val="es-MX" w:eastAsia="es-MX"/>
        </w:rPr>
        <w:t xml:space="preserve">3. Salmanton-García J, Sprute R, Stemler J, Bartoletti M, Dupont D, Valerio M, et al. COVID-19–Associated Pulmonary Aspergillosis, March–August 2020. Emerg Infect Dis. 2021 [acceso: 06/01/2022]; 27(4):1077–86. Disponible en: </w:t>
      </w:r>
      <w:hyperlink r:id="rId8">
        <w:r>
          <w:rPr>
            <w:rStyle w:val="EnlacedeInternet"/>
            <w:rFonts w:cs="Times New Roman"/>
            <w:sz w:val="24"/>
            <w:szCs w:val="24"/>
            <w:u w:val="none"/>
            <w:lang w:val="es-MX" w:eastAsia="es-MX"/>
          </w:rPr>
          <w:t>https://pubmed.ncbi.nlm.nih.gov/33539721</w:t>
        </w:r>
      </w:hyperlink>
      <w:r>
        <w:rPr>
          <w:rFonts w:cs="Times New Roman"/>
          <w:sz w:val="24"/>
          <w:szCs w:val="24"/>
          <w:u w:val="none"/>
          <w:lang w:val="es-MX" w:eastAsia="es-MX"/>
        </w:rPr>
        <w:t xml:space="preserve"> </w:t>
      </w:r>
    </w:p>
    <w:p>
      <w:pPr>
        <w:pStyle w:val="Normal"/>
        <w:widowControl w:val="false"/>
        <w:autoSpaceDE w:val="false"/>
        <w:spacing w:lineRule="auto" w:line="360" w:before="0" w:after="0"/>
        <w:rPr/>
      </w:pPr>
      <w:r>
        <w:rPr>
          <w:rFonts w:cs="Times New Roman"/>
          <w:sz w:val="24"/>
          <w:szCs w:val="24"/>
          <w:u w:val="none"/>
          <w:lang w:val="es-MX" w:eastAsia="es-MX"/>
        </w:rPr>
        <w:t xml:space="preserve">4. Machado M, Valerio M, Álvarez‐Uría A, Olmedo M, Veintimilla C, Padilla B, et al. Invasive pulmonary aspergillosis in the COVID‐19 era: An expected new entity. Mycoses. 2021 [acceso: 15/12/2021]; 64(2):132–43. Disponible en: </w:t>
      </w:r>
      <w:hyperlink r:id="rId9">
        <w:r>
          <w:rPr>
            <w:rStyle w:val="EnlacedeInternet"/>
            <w:rFonts w:cs="Times New Roman"/>
            <w:sz w:val="24"/>
            <w:szCs w:val="24"/>
            <w:u w:val="none"/>
            <w:lang w:val="es-MX" w:eastAsia="es-MX"/>
          </w:rPr>
          <w:t>https://pubmed.ncbi.nlm.nih.gov/33210776</w:t>
        </w:r>
      </w:hyperlink>
      <w:r>
        <w:rPr>
          <w:rFonts w:cs="Times New Roman"/>
          <w:sz w:val="24"/>
          <w:szCs w:val="24"/>
          <w:u w:val="none"/>
          <w:lang w:val="es-MX" w:eastAsia="es-MX"/>
        </w:rPr>
        <w:t xml:space="preserve"> </w:t>
      </w:r>
    </w:p>
    <w:p>
      <w:pPr>
        <w:pStyle w:val="Normal"/>
        <w:widowControl w:val="false"/>
        <w:autoSpaceDE w:val="false"/>
        <w:spacing w:lineRule="auto" w:line="360" w:before="0" w:after="0"/>
        <w:rPr/>
      </w:pPr>
      <w:r>
        <w:rPr>
          <w:rFonts w:cs="Times New Roman"/>
          <w:sz w:val="24"/>
          <w:szCs w:val="24"/>
          <w:u w:val="none"/>
          <w:lang w:val="es-MX" w:eastAsia="es-MX"/>
        </w:rPr>
        <w:t xml:space="preserve">5. Fekkar A, Lampros A, Mayaux J, Poignon C, Demeret S, Constantin J-M, et al. </w:t>
      </w:r>
      <w:r>
        <w:rPr>
          <w:rFonts w:cs="Times New Roman"/>
          <w:sz w:val="24"/>
          <w:szCs w:val="24"/>
          <w:u w:val="none"/>
          <w:lang w:val="en-US" w:eastAsia="es-MX"/>
        </w:rPr>
        <w:t xml:space="preserve">Occurrence of Invasive Pulmonary Fungal Infections in Patients with Severe COVID-19 Admitted to the ICU. </w:t>
      </w:r>
      <w:r>
        <w:rPr>
          <w:rFonts w:cs="Times New Roman"/>
          <w:sz w:val="24"/>
          <w:szCs w:val="24"/>
          <w:u w:val="none"/>
          <w:lang w:val="es-MX" w:eastAsia="es-MX"/>
        </w:rPr>
        <w:t xml:space="preserve">Am J Respir Crit Care Med. 2021 [acceso: 15/12/2021]; 203(3):307–17. Disponible en: </w:t>
      </w:r>
      <w:hyperlink r:id="rId10">
        <w:r>
          <w:rPr>
            <w:rStyle w:val="EnlacedeInternet"/>
            <w:rFonts w:cs="Times New Roman"/>
            <w:sz w:val="24"/>
            <w:szCs w:val="24"/>
            <w:u w:val="none"/>
            <w:lang w:val="es-MX" w:eastAsia="es-MX"/>
          </w:rPr>
          <w:t>https://www.atsjournals.org/doi/10.1164/rccm.202009-3400OC</w:t>
        </w:r>
      </w:hyperlink>
    </w:p>
    <w:p>
      <w:pPr>
        <w:pStyle w:val="Normal"/>
        <w:widowControl w:val="false"/>
        <w:autoSpaceDE w:val="false"/>
        <w:spacing w:lineRule="auto" w:line="360" w:before="0" w:after="0"/>
        <w:rPr/>
      </w:pPr>
      <w:r>
        <w:rPr>
          <w:rFonts w:cs="Times New Roman"/>
          <w:sz w:val="24"/>
          <w:szCs w:val="24"/>
          <w:u w:val="none"/>
          <w:lang w:val="es-MX" w:eastAsia="es-MX"/>
        </w:rPr>
        <w:t xml:space="preserve">6. Dupont D, Menotti J, Turc J, Miossec C, Wallet F, Richard J-C, et al. </w:t>
      </w:r>
      <w:r>
        <w:rPr>
          <w:rFonts w:cs="Times New Roman"/>
          <w:sz w:val="24"/>
          <w:szCs w:val="24"/>
          <w:u w:val="none"/>
          <w:lang w:val="en-US" w:eastAsia="es-MX"/>
        </w:rPr>
        <w:t xml:space="preserve">Pulmonary aspergillosis in critically ill patients with Coronavirus Disease 2019 (COVID-19). </w:t>
      </w:r>
      <w:r>
        <w:rPr>
          <w:rFonts w:cs="Times New Roman"/>
          <w:sz w:val="24"/>
          <w:szCs w:val="24"/>
          <w:u w:val="none"/>
          <w:lang w:val="es-MX" w:eastAsia="es-MX"/>
        </w:rPr>
        <w:t xml:space="preserve">Med Mycol. 2021 [acceso: 15/12/2021]; 59(1):110–4. Disponible en: </w:t>
      </w:r>
      <w:hyperlink r:id="rId11">
        <w:r>
          <w:rPr>
            <w:rStyle w:val="EnlacedeInternet"/>
            <w:rFonts w:cs="Times New Roman"/>
            <w:sz w:val="24"/>
            <w:szCs w:val="24"/>
            <w:u w:val="none"/>
            <w:lang w:val="es-MX" w:eastAsia="es-MX"/>
          </w:rPr>
          <w:t>https://pubmed.ncbi.nlm.nih.gov/32914189</w:t>
        </w:r>
      </w:hyperlink>
      <w:r>
        <w:rPr>
          <w:rFonts w:cs="Times New Roman"/>
          <w:sz w:val="24"/>
          <w:szCs w:val="24"/>
          <w:u w:val="none"/>
          <w:lang w:val="es-MX" w:eastAsia="es-MX"/>
        </w:rPr>
        <w:t xml:space="preserve"> </w:t>
      </w:r>
    </w:p>
    <w:p>
      <w:pPr>
        <w:pStyle w:val="Normal"/>
        <w:widowControl w:val="false"/>
        <w:autoSpaceDE w:val="false"/>
        <w:spacing w:lineRule="auto" w:line="360" w:before="0" w:after="0"/>
        <w:rPr/>
      </w:pPr>
      <w:r>
        <w:rPr>
          <w:rFonts w:cs="Times New Roman"/>
          <w:sz w:val="24"/>
          <w:szCs w:val="24"/>
          <w:u w:val="none"/>
          <w:lang w:val="es-MX" w:eastAsia="es-MX"/>
        </w:rPr>
        <w:t xml:space="preserve">7. Bartoletti M, Pascale R, Cricca M, Rinaldi M, Maccaro A, Bussini L, et al. </w:t>
      </w:r>
      <w:r>
        <w:rPr>
          <w:rFonts w:cs="Times New Roman"/>
          <w:sz w:val="24"/>
          <w:szCs w:val="24"/>
          <w:u w:val="none"/>
          <w:lang w:val="en-US" w:eastAsia="es-MX"/>
        </w:rPr>
        <w:t xml:space="preserve">Epidemiology of Invasive Pulmonary Aspergillosis Among Intubated Patients With COVID-19: A Prospective Study. </w:t>
      </w:r>
      <w:r>
        <w:rPr>
          <w:rFonts w:cs="Times New Roman"/>
          <w:sz w:val="24"/>
          <w:szCs w:val="24"/>
          <w:u w:val="none"/>
          <w:lang w:val="es-MX" w:eastAsia="es-MX"/>
        </w:rPr>
        <w:t xml:space="preserve">Clin Infect Dis. 2021 [acceso: 01/08/2022]; 73(11):e3606–14. Disponible en: </w:t>
      </w:r>
      <w:hyperlink r:id="rId12">
        <w:r>
          <w:rPr>
            <w:rStyle w:val="EnlacedeInternet"/>
            <w:rFonts w:cs="Times New Roman"/>
            <w:sz w:val="24"/>
            <w:szCs w:val="24"/>
            <w:u w:val="none"/>
            <w:lang w:val="es-MX" w:eastAsia="es-MX"/>
          </w:rPr>
          <w:t>https://www.ncbi.nlm.nih.gov/pmc/articles/PMC7454393/pdf/ciaa1065.pdf</w:t>
        </w:r>
      </w:hyperlink>
      <w:r>
        <w:rPr>
          <w:rFonts w:cs="Times New Roman"/>
          <w:sz w:val="24"/>
          <w:szCs w:val="24"/>
          <w:u w:val="none"/>
          <w:lang w:val="es-MX" w:eastAsia="es-MX"/>
        </w:rPr>
        <w:t xml:space="preserve"> </w:t>
      </w:r>
    </w:p>
    <w:p>
      <w:pPr>
        <w:pStyle w:val="Normal"/>
        <w:widowControl w:val="false"/>
        <w:autoSpaceDE w:val="false"/>
        <w:spacing w:lineRule="auto" w:line="360" w:before="0" w:after="0"/>
        <w:rPr>
          <w:u w:val="none"/>
        </w:rPr>
      </w:pPr>
      <w:r>
        <w:rPr>
          <w:rFonts w:cs="Times New Roman"/>
          <w:sz w:val="24"/>
          <w:szCs w:val="24"/>
          <w:u w:val="none"/>
          <w:lang w:val="es-MX" w:eastAsia="es-MX"/>
        </w:rPr>
        <w:t>8. van Arkel ALE, Rijpstra TA, Belderbos HNA, van Wijngaarden P, Verweij PE, Bentvelsen RG. COVID-19–associated Pulmonary Aspergillosis. Am J Respir Crit Care Med. 2020; 202(1):132–5. DOI: 10.1164/rccm.202004-1038LE</w:t>
      </w:r>
    </w:p>
    <w:p>
      <w:pPr>
        <w:pStyle w:val="Normal"/>
        <w:widowControl w:val="false"/>
        <w:autoSpaceDE w:val="false"/>
        <w:spacing w:lineRule="auto" w:line="360" w:before="0" w:after="0"/>
        <w:rPr>
          <w:u w:val="none"/>
        </w:rPr>
      </w:pPr>
      <w:r>
        <w:rPr>
          <w:rFonts w:cs="Times New Roman"/>
          <w:sz w:val="24"/>
          <w:szCs w:val="24"/>
          <w:u w:val="none"/>
          <w:lang w:val="es-MX" w:eastAsia="es-MX"/>
        </w:rPr>
        <w:t xml:space="preserve">9. Verweij PE, Gangneux J-P, Bassetti M, Brüggemann RJM, Cornely OA, Koehler P, et al. </w:t>
      </w:r>
      <w:r>
        <w:rPr>
          <w:rFonts w:cs="Times New Roman"/>
          <w:sz w:val="24"/>
          <w:szCs w:val="24"/>
          <w:u w:val="none"/>
          <w:lang w:val="en-US" w:eastAsia="es-MX"/>
        </w:rPr>
        <w:t>Diagnosing COVID-19-associated pulmonary aspergillosis. The Lancet Microbe. 2020; 1(2):e53–5. DOI: 10.1016/S2666-5247(20)30027-6</w:t>
      </w:r>
    </w:p>
    <w:p>
      <w:pPr>
        <w:pStyle w:val="Normal"/>
        <w:widowControl w:val="false"/>
        <w:autoSpaceDE w:val="false"/>
        <w:spacing w:lineRule="auto" w:line="360" w:before="0" w:after="0"/>
        <w:rPr>
          <w:u w:val="none"/>
        </w:rPr>
      </w:pPr>
      <w:r>
        <w:rPr>
          <w:rFonts w:cs="Times New Roman"/>
          <w:sz w:val="24"/>
          <w:szCs w:val="24"/>
          <w:u w:val="none"/>
          <w:lang w:val="es-MX" w:eastAsia="es-MX"/>
        </w:rPr>
        <w:t>10. Koehler P, Cornely OA, Böttiger BW, Dusse F, Eichenauer DA, Fuchs F, et al. COVID‐19 associated pulmonary aspergillosis. Mycoses. 2020; 63(6):528–34. DOI: 10.1111/myc.13096</w:t>
      </w:r>
    </w:p>
    <w:p>
      <w:pPr>
        <w:pStyle w:val="Normal"/>
        <w:widowControl w:val="false"/>
        <w:autoSpaceDE w:val="false"/>
        <w:spacing w:lineRule="auto" w:line="360" w:before="0" w:after="0"/>
        <w:rPr/>
      </w:pPr>
      <w:r>
        <w:rPr>
          <w:rFonts w:cs="Times New Roman"/>
          <w:sz w:val="24"/>
          <w:szCs w:val="24"/>
          <w:u w:val="none"/>
          <w:lang w:val="es-MX" w:eastAsia="es-MX"/>
        </w:rPr>
        <w:t xml:space="preserve">11. Borman AM, Palmer MD, Fraser M, Patterson Z, Mann C, Oliver D, et al. </w:t>
      </w:r>
      <w:r>
        <w:rPr>
          <w:rFonts w:cs="Times New Roman"/>
          <w:sz w:val="24"/>
          <w:szCs w:val="24"/>
          <w:u w:val="none"/>
          <w:lang w:val="en-US" w:eastAsia="es-MX"/>
        </w:rPr>
        <w:t xml:space="preserve">COVID-19-Associated Invasive Aspergillosis: Data from the UK National Mycology Reference Laboratory. </w:t>
      </w:r>
      <w:r>
        <w:rPr>
          <w:rFonts w:cs="Times New Roman"/>
          <w:sz w:val="24"/>
          <w:szCs w:val="24"/>
          <w:u w:val="none"/>
          <w:lang w:val="es-MX" w:eastAsia="es-MX"/>
        </w:rPr>
        <w:t xml:space="preserve">Hanson KE, editor. J Clin Microbiol. 2020 [acceso: 15/12/2021]; 59(1):e02136-20. Disponible en: </w:t>
      </w:r>
      <w:hyperlink r:id="rId13">
        <w:r>
          <w:rPr>
            <w:rStyle w:val="EnlacedeInternet"/>
            <w:rFonts w:cs="Times New Roman"/>
            <w:sz w:val="24"/>
            <w:szCs w:val="24"/>
            <w:u w:val="none"/>
            <w:lang w:val="es-MX" w:eastAsia="es-MX"/>
          </w:rPr>
          <w:t>https://pubmed.ncbi.nlm.nih.gov/33087440</w:t>
        </w:r>
      </w:hyperlink>
      <w:r>
        <w:rPr>
          <w:rFonts w:cs="Times New Roman"/>
          <w:sz w:val="24"/>
          <w:szCs w:val="24"/>
          <w:u w:val="none"/>
          <w:lang w:val="es-MX" w:eastAsia="es-MX"/>
        </w:rPr>
        <w:t xml:space="preserve"> </w:t>
      </w:r>
    </w:p>
    <w:p>
      <w:pPr>
        <w:pStyle w:val="Normal"/>
        <w:widowControl w:val="false"/>
        <w:autoSpaceDE w:val="false"/>
        <w:spacing w:lineRule="auto" w:line="360" w:before="0" w:after="0"/>
        <w:rPr/>
      </w:pPr>
      <w:r>
        <w:rPr>
          <w:rFonts w:cs="Times New Roman"/>
          <w:sz w:val="24"/>
          <w:szCs w:val="24"/>
          <w:u w:val="none"/>
          <w:lang w:val="es-MX" w:eastAsia="es-MX"/>
        </w:rPr>
        <w:t xml:space="preserve">12. Lai C-C, Yu W-L. </w:t>
      </w:r>
      <w:r>
        <w:rPr>
          <w:rFonts w:cs="Times New Roman"/>
          <w:sz w:val="24"/>
          <w:szCs w:val="24"/>
          <w:u w:val="none"/>
          <w:lang w:val="en-US" w:eastAsia="es-MX"/>
        </w:rPr>
        <w:t xml:space="preserve">COVID-19 associated with pulmonary aspergillosis: A literature review. </w:t>
      </w:r>
      <w:r>
        <w:rPr>
          <w:rFonts w:cs="Times New Roman"/>
          <w:sz w:val="24"/>
          <w:szCs w:val="24"/>
          <w:u w:val="none"/>
          <w:lang w:val="es-MX" w:eastAsia="es-MX"/>
        </w:rPr>
        <w:t xml:space="preserve">J Microbiol Immunol Infect. 2021 [acceso: 15/12/2021]; 54(1):46–53. Disponible en: </w:t>
      </w:r>
      <w:hyperlink r:id="rId14">
        <w:r>
          <w:rPr>
            <w:rStyle w:val="EnlacedeInternet"/>
            <w:rFonts w:cs="Times New Roman"/>
            <w:sz w:val="24"/>
            <w:szCs w:val="24"/>
            <w:u w:val="none"/>
            <w:lang w:val="es-MX" w:eastAsia="es-MX"/>
          </w:rPr>
          <w:t>https://pubmed.ncbi.nlm.nih.gov/33012653</w:t>
        </w:r>
      </w:hyperlink>
      <w:r>
        <w:rPr>
          <w:rFonts w:cs="Times New Roman"/>
          <w:sz w:val="24"/>
          <w:szCs w:val="24"/>
          <w:u w:val="none"/>
          <w:lang w:val="es-MX" w:eastAsia="es-MX"/>
        </w:rPr>
        <w:t xml:space="preserve"> </w:t>
      </w:r>
    </w:p>
    <w:p>
      <w:pPr>
        <w:pStyle w:val="Normal"/>
        <w:spacing w:lineRule="auto" w:line="360" w:before="0" w:after="0"/>
        <w:jc w:val="both"/>
        <w:rPr>
          <w:rFonts w:ascii="Times New Roman" w:hAnsi="Times New Roman" w:cs="Times New Roman"/>
          <w:sz w:val="24"/>
          <w:szCs w:val="24"/>
          <w:u w:val="none"/>
          <w:lang w:val="es-MX" w:eastAsia="es-MX"/>
        </w:rPr>
      </w:pPr>
      <w:r>
        <w:rPr>
          <w:rFonts w:cs="Times New Roman"/>
          <w:sz w:val="24"/>
          <w:szCs w:val="24"/>
          <w:u w:val="none"/>
          <w:lang w:val="es-MX" w:eastAsia="es-MX"/>
        </w:rPr>
      </w:r>
    </w:p>
    <w:p>
      <w:pPr>
        <w:pStyle w:val="Normal"/>
        <w:spacing w:lineRule="auto" w:line="360" w:before="0" w:after="0"/>
        <w:jc w:val="both"/>
        <w:rPr>
          <w:rFonts w:ascii="Times New Roman" w:hAnsi="Times New Roman" w:cs="Times New Roman"/>
          <w:b/>
          <w:b/>
          <w:sz w:val="24"/>
          <w:szCs w:val="24"/>
        </w:rPr>
      </w:pPr>
      <w:r>
        <w:rPr>
          <w:rFonts w:cs="Times New Roman"/>
          <w:b/>
          <w:sz w:val="24"/>
          <w:szCs w:val="24"/>
        </w:rPr>
      </w:r>
    </w:p>
    <w:p>
      <w:pPr>
        <w:pStyle w:val="Normal"/>
        <w:spacing w:lineRule="auto" w:line="360" w:before="0" w:after="0"/>
        <w:jc w:val="center"/>
        <w:rPr/>
      </w:pPr>
      <w:r>
        <w:rPr>
          <w:rFonts w:cs="Times New Roman"/>
          <w:b/>
          <w:sz w:val="24"/>
          <w:szCs w:val="24"/>
        </w:rPr>
        <w:t>Conflictos de interés</w:t>
      </w:r>
    </w:p>
    <w:p>
      <w:pPr>
        <w:pStyle w:val="Normal"/>
        <w:spacing w:lineRule="auto" w:line="360" w:before="0" w:after="0"/>
        <w:jc w:val="both"/>
        <w:rPr/>
      </w:pPr>
      <w:r>
        <w:rPr>
          <w:rFonts w:cs="Times New Roman"/>
          <w:sz w:val="24"/>
          <w:szCs w:val="24"/>
        </w:rPr>
        <w:t xml:space="preserve">No se declaran conflictos de interés por los autores. </w:t>
      </w:r>
    </w:p>
    <w:sectPr>
      <w:headerReference w:type="default" r:id="rId15"/>
      <w:footerReference w:type="even" r:id="rId16"/>
      <w:footerReference w:type="default" r:id="rId17"/>
      <w:footerReference w:type="first" r:id="rId18"/>
      <w:type w:val="nextPage"/>
      <w:pgSz w:w="12240" w:h="15840"/>
      <w:pgMar w:left="1134" w:right="1134" w:gutter="0" w:header="1418" w:top="1475" w:footer="1134" w:bottom="1191"/>
      <w:pgNumType w:start="1"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ahoma">
    <w:charset w:val="00"/>
    <w:family w:val="roman"/>
    <w:pitch w:val="variable"/>
  </w:font>
  <w:font w:name="Courier New">
    <w:charset w:val="00"/>
    <w:family w:val="modern"/>
    <w:pitch w:val="default"/>
  </w:font>
  <w:font w:name="Wingdings">
    <w:charset w:val="02"/>
    <w:family w:val="auto"/>
    <w:pitch w:val="variable"/>
  </w:font>
  <w:font w:name="Liberation Sans">
    <w:altName w:val="Arial"/>
    <w:charset w:val="00"/>
    <w:family w:val="swiss"/>
    <w:pitch w:val="variable"/>
  </w:font>
  <w:font w:name="Verdan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ind w:right="360" w:hanging="0"/>
      <w:rPr/>
    </w:pPr>
    <w:r>
      <w:rPr/>
    </w:r>
    <w:r>
      <mc:AlternateContent>
        <mc:Choice Requires="wps">
          <w:drawing>
            <wp:anchor behindDoc="0" distT="0" distB="0" distL="0" distR="0" simplePos="0" locked="0" layoutInCell="1" allowOverlap="1" relativeHeight="0">
              <wp:simplePos x="0" y="0"/>
              <wp:positionH relativeFrom="margin">
                <wp:align>right</wp:align>
              </wp:positionH>
              <wp:positionV relativeFrom="paragraph">
                <wp:posOffset>635</wp:posOffset>
              </wp:positionV>
              <wp:extent cx="14605" cy="14605"/>
              <wp:effectExtent l="0" t="0" r="0" b="0"/>
              <wp:wrapSquare wrapText="bothSides"/>
              <wp:docPr id="4" name="Marco1"/>
              <a:graphic xmlns:a="http://schemas.openxmlformats.org/drawingml/2006/main">
                <a:graphicData uri="http://schemas.microsoft.com/office/word/2010/wordprocessingShape">
                  <wps:wsp>
                    <wps:cNvSpPr txBox="1"/>
                    <wps:spPr>
                      <a:xfrm>
                        <a:off x="0" y="0"/>
                        <a:ext cx="14605" cy="14605"/>
                      </a:xfrm>
                      <a:prstGeom prst="rect"/>
                      <a:solidFill>
                        <a:srgbClr val="FFFFFF">
                          <a:alpha val="0"/>
                        </a:srgbClr>
                      </a:solidFill>
                    </wps:spPr>
                    <wps:txbx>
                      <w:txbxContent>
                        <w:p>
                          <w:pPr>
                            <w:pStyle w:val="Piedepgina"/>
                            <w:pBdr/>
                            <w:rPr>
                              <w:rStyle w:val="Pagenumber"/>
                            </w:rPr>
                          </w:pPr>
                          <w:r>
                            <w:rPr>
                              <w:rStyle w:val="Pagenumber"/>
                            </w:rPr>
                            <w:fldChar w:fldCharType="begin"/>
                          </w:r>
                          <w:r>
                            <w:rPr>
                              <w:rStyle w:val="Pagenumber"/>
                            </w:rPr>
                            <w:instrText> PAGE </w:instrText>
                          </w:r>
                          <w:r>
                            <w:rPr>
                              <w:rStyle w:val="Pagenumber"/>
                            </w:rPr>
                            <w:fldChar w:fldCharType="separate"/>
                          </w:r>
                          <w:r>
                            <w:rPr>
                              <w:rStyle w:val="Pagenumber"/>
                            </w:rPr>
                            <w:t>0</w:t>
                          </w:r>
                          <w:r>
                            <w:rPr>
                              <w:rStyle w:val="Pagenumber"/>
                            </w:rPr>
                            <w:fldChar w:fldCharType="end"/>
                          </w:r>
                        </w:p>
                      </w:txbxContent>
                    </wps:txbx>
                    <wps:bodyPr anchor="t" lIns="0" tIns="0" rIns="0" bIns="0">
                      <a:spAutoFit/>
                    </wps:bodyPr>
                  </wps:wsp>
                </a:graphicData>
              </a:graphic>
            </wp:anchor>
          </w:drawing>
        </mc:Choice>
        <mc:Fallback>
          <w:pict>
            <v:rect fillcolor="#FFFFFF" style="position:absolute;rotation:0;width:1.15pt;height:1.15pt;mso-wrap-distance-left:0pt;mso-wrap-distance-right:0pt;mso-wrap-distance-top:0pt;mso-wrap-distance-bottom:0pt;margin-top:0.05pt;mso-position-vertical-relative:text;margin-left:0pt;mso-position-horizontal:right;mso-position-horizontal-relative:margin">
              <v:fill opacity="0f"/>
              <v:textbox inset="0in,0in,0in,0in">
                <w:txbxContent>
                  <w:p>
                    <w:pPr>
                      <w:pStyle w:val="Piedepgina"/>
                      <w:pBdr/>
                      <w:rPr>
                        <w:rStyle w:val="Pagenumber"/>
                      </w:rPr>
                    </w:pPr>
                    <w:r>
                      <w:rPr>
                        <w:rStyle w:val="Pagenumber"/>
                      </w:rPr>
                      <w:fldChar w:fldCharType="begin"/>
                    </w:r>
                    <w:r>
                      <w:rPr>
                        <w:rStyle w:val="Pagenumber"/>
                      </w:rPr>
                      <w:instrText> PAGE </w:instrText>
                    </w:r>
                    <w:r>
                      <w:rPr>
                        <w:rStyle w:val="Pagenumber"/>
                      </w:rPr>
                      <w:fldChar w:fldCharType="separate"/>
                    </w:r>
                    <w:r>
                      <w:rPr>
                        <w:rStyle w:val="Pagenumber"/>
                      </w:rPr>
                      <w:t>0</w:t>
                    </w:r>
                    <w:r>
                      <w:rPr>
                        <w:rStyle w:val="Pagenumber"/>
                      </w:rPr>
                      <w:fldChar w:fldCharType="end"/>
                    </w:r>
                  </w:p>
                </w:txbxContent>
              </v:textbox>
              <w10:wrap type="square"/>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ind w:right="360" w:hanging="0"/>
      <w:rPr>
        <w:sz w:val="22"/>
        <w:szCs w:val="22"/>
      </w:rPr>
    </w:pPr>
    <w:r>
      <w:rPr>
        <w:sz w:val="22"/>
        <w:szCs w:val="22"/>
      </w:rPr>
      <mc:AlternateContent>
        <mc:Choice Requires="wps">
          <w:drawing>
            <wp:anchor behindDoc="1" distT="0" distB="0" distL="0" distR="0" simplePos="0" locked="0" layoutInCell="0" allowOverlap="1" relativeHeight="33" wp14:anchorId="54EFD93D">
              <wp:simplePos x="0" y="0"/>
              <wp:positionH relativeFrom="column">
                <wp:posOffset>3810</wp:posOffset>
              </wp:positionH>
              <wp:positionV relativeFrom="paragraph">
                <wp:posOffset>50165</wp:posOffset>
              </wp:positionV>
              <wp:extent cx="6287135" cy="19685"/>
              <wp:effectExtent l="19050" t="19050" r="19050" b="19050"/>
              <wp:wrapNone/>
              <wp:docPr id="5" name="Line 7"/>
              <a:graphic xmlns:a="http://schemas.openxmlformats.org/drawingml/2006/main">
                <a:graphicData uri="http://schemas.microsoft.com/office/word/2010/wordprocessingShape">
                  <wps:wsp>
                    <wps:cNvSpPr/>
                    <wps:spPr>
                      <a:xfrm>
                        <a:off x="0" y="0"/>
                        <a:ext cx="6286680" cy="19080"/>
                      </a:xfrm>
                      <a:prstGeom prst="line">
                        <a:avLst/>
                      </a:prstGeom>
                      <a:ln w="28575">
                        <a:solidFill>
                          <a:srgbClr val="0000ff"/>
                        </a:solidFill>
                        <a:round/>
                      </a:ln>
                    </wps:spPr>
                    <wps:style>
                      <a:lnRef idx="0"/>
                      <a:fillRef idx="0"/>
                      <a:effectRef idx="0"/>
                      <a:fontRef idx="minor"/>
                    </wps:style>
                    <wps:bodyPr/>
                  </wps:wsp>
                </a:graphicData>
              </a:graphic>
            </wp:anchor>
          </w:drawing>
        </mc:Choice>
        <mc:Fallback>
          <w:pict>
            <v:line id="shape_0" from="0.3pt,3.95pt" to="495.25pt,5.4pt" ID="Line 7" stroked="t" o:allowincell="f" style="position:absolute" wp14:anchorId="54EFD93D">
              <v:stroke color="blue" weight="28440" joinstyle="round" endcap="flat"/>
              <v:fill o:detectmouseclick="t" on="false"/>
              <w10:wrap type="none"/>
            </v:line>
          </w:pict>
        </mc:Fallback>
      </mc:AlternateContent>
    </w:r>
  </w:p>
  <w:p>
    <w:pPr>
      <w:pStyle w:val="Piedepgina"/>
      <w:ind w:right="360" w:hanging="0"/>
      <w:rPr>
        <w:sz w:val="22"/>
        <w:szCs w:val="22"/>
      </w:rPr>
    </w:pPr>
    <w:hyperlink r:id="rId1">
      <w:r>
        <w:rPr>
          <w:rStyle w:val="EnlacedeInternet"/>
          <w:sz w:val="22"/>
          <w:szCs w:val="22"/>
        </w:rPr>
        <w:t>http://scielo.sld.cu</w:t>
      </w:r>
    </w:hyperlink>
  </w:p>
  <w:p>
    <w:pPr>
      <w:pStyle w:val="Piedepgina"/>
      <w:tabs>
        <w:tab w:val="clear" w:pos="4252"/>
        <w:tab w:val="left" w:pos="8504" w:leader="none"/>
      </w:tabs>
      <w:ind w:right="360" w:hanging="0"/>
      <w:rPr>
        <w:sz w:val="22"/>
        <w:szCs w:val="22"/>
      </w:rPr>
    </w:pPr>
    <w:hyperlink r:id="rId2">
      <w:r>
        <w:rPr>
          <w:rStyle w:val="EnlacedeInternet"/>
          <w:sz w:val="22"/>
          <w:szCs w:val="22"/>
        </w:rPr>
        <w:t>https://revmedmilitar.sld.cu</w:t>
      </w:r>
    </w:hyperlink>
    <w:r>
      <w:rPr>
        <w:sz w:val="22"/>
        <w:szCs w:val="22"/>
      </w:rPr>
      <w:t xml:space="preserve"> </w:t>
      <w:tab/>
    </w:r>
  </w:p>
  <w:p>
    <w:pPr>
      <w:pStyle w:val="Piedepgina"/>
      <w:ind w:right="360" w:hanging="0"/>
      <w:jc w:val="center"/>
      <w:rPr>
        <w:rFonts w:ascii="Verdana" w:hAnsi="Verdana"/>
        <w:sz w:val="18"/>
        <w:szCs w:val="18"/>
      </w:rPr>
    </w:pPr>
    <w:r>
      <w:rPr>
        <w:sz w:val="22"/>
        <w:szCs w:val="22"/>
      </w:rPr>
      <w:t>Bajo licencia Creative Commons</w:t>
    </w:r>
    <w:r>
      <w:rPr>
        <w:rFonts w:ascii="Verdana" w:hAnsi="Verdana"/>
        <w:sz w:val="18"/>
        <w:szCs w:val="18"/>
      </w:rPr>
      <w:t xml:space="preserve"> </w:t>
    </w:r>
    <w:r>
      <w:rPr/>
      <w:drawing>
        <wp:inline distT="0" distB="0" distL="0" distR="0">
          <wp:extent cx="641985" cy="149225"/>
          <wp:effectExtent l="0" t="0" r="0" b="0"/>
          <wp:docPr id="6" name="Imagen 8" descr="">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8" descr="">
                    <a:hlinkClick r:id="rId4"/>
                  </pic:cNvPr>
                  <pic:cNvPicPr>
                    <a:picLocks noChangeAspect="1" noChangeArrowheads="1"/>
                  </pic:cNvPicPr>
                </pic:nvPicPr>
                <pic:blipFill>
                  <a:blip r:embed="rId3"/>
                  <a:stretch>
                    <a:fillRect/>
                  </a:stretch>
                </pic:blipFill>
                <pic:spPr bwMode="auto">
                  <a:xfrm>
                    <a:off x="0" y="0"/>
                    <a:ext cx="641985" cy="149225"/>
                  </a:xfrm>
                  <a:prstGeom prst="rect">
                    <a:avLst/>
                  </a:prstGeom>
                </pic:spPr>
              </pic:pic>
            </a:graphicData>
          </a:graphic>
        </wp:inline>
      </w:drawing>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ind w:right="360" w:hanging="0"/>
      <w:rPr>
        <w:sz w:val="22"/>
        <w:szCs w:val="22"/>
      </w:rPr>
    </w:pPr>
    <w:r>
      <w:rPr>
        <w:sz w:val="22"/>
        <w:szCs w:val="22"/>
      </w:rPr>
      <mc:AlternateContent>
        <mc:Choice Requires="wps">
          <w:drawing>
            <wp:anchor behindDoc="1" distT="0" distB="0" distL="0" distR="0" simplePos="0" locked="0" layoutInCell="0" allowOverlap="1" relativeHeight="33" wp14:anchorId="54EFD93D">
              <wp:simplePos x="0" y="0"/>
              <wp:positionH relativeFrom="column">
                <wp:posOffset>3810</wp:posOffset>
              </wp:positionH>
              <wp:positionV relativeFrom="paragraph">
                <wp:posOffset>50165</wp:posOffset>
              </wp:positionV>
              <wp:extent cx="6287135" cy="19685"/>
              <wp:effectExtent l="19050" t="19050" r="19050" b="19050"/>
              <wp:wrapNone/>
              <wp:docPr id="7" name="Line 7"/>
              <a:graphic xmlns:a="http://schemas.openxmlformats.org/drawingml/2006/main">
                <a:graphicData uri="http://schemas.microsoft.com/office/word/2010/wordprocessingShape">
                  <wps:wsp>
                    <wps:cNvSpPr/>
                    <wps:spPr>
                      <a:xfrm>
                        <a:off x="0" y="0"/>
                        <a:ext cx="6286680" cy="19080"/>
                      </a:xfrm>
                      <a:prstGeom prst="line">
                        <a:avLst/>
                      </a:prstGeom>
                      <a:ln w="28575">
                        <a:solidFill>
                          <a:srgbClr val="0000ff"/>
                        </a:solidFill>
                        <a:round/>
                      </a:ln>
                    </wps:spPr>
                    <wps:style>
                      <a:lnRef idx="0"/>
                      <a:fillRef idx="0"/>
                      <a:effectRef idx="0"/>
                      <a:fontRef idx="minor"/>
                    </wps:style>
                    <wps:bodyPr/>
                  </wps:wsp>
                </a:graphicData>
              </a:graphic>
            </wp:anchor>
          </w:drawing>
        </mc:Choice>
        <mc:Fallback>
          <w:pict>
            <v:line id="shape_0" from="0.3pt,3.95pt" to="495.25pt,5.4pt" ID="Line 7" stroked="t" o:allowincell="f" style="position:absolute" wp14:anchorId="54EFD93D">
              <v:stroke color="blue" weight="28440" joinstyle="round" endcap="flat"/>
              <v:fill o:detectmouseclick="t" on="false"/>
              <w10:wrap type="none"/>
            </v:line>
          </w:pict>
        </mc:Fallback>
      </mc:AlternateContent>
    </w:r>
  </w:p>
  <w:p>
    <w:pPr>
      <w:pStyle w:val="Piedepgina"/>
      <w:ind w:right="360" w:hanging="0"/>
      <w:rPr>
        <w:sz w:val="22"/>
        <w:szCs w:val="22"/>
      </w:rPr>
    </w:pPr>
    <w:hyperlink r:id="rId1">
      <w:r>
        <w:rPr>
          <w:rStyle w:val="EnlacedeInternet"/>
          <w:sz w:val="22"/>
          <w:szCs w:val="22"/>
        </w:rPr>
        <w:t>http://scielo.sld.cu</w:t>
      </w:r>
    </w:hyperlink>
  </w:p>
  <w:p>
    <w:pPr>
      <w:pStyle w:val="Piedepgina"/>
      <w:tabs>
        <w:tab w:val="clear" w:pos="4252"/>
        <w:tab w:val="left" w:pos="8504" w:leader="none"/>
      </w:tabs>
      <w:ind w:right="360" w:hanging="0"/>
      <w:rPr>
        <w:sz w:val="22"/>
        <w:szCs w:val="22"/>
      </w:rPr>
    </w:pPr>
    <w:hyperlink r:id="rId2">
      <w:r>
        <w:rPr>
          <w:rStyle w:val="EnlacedeInternet"/>
          <w:sz w:val="22"/>
          <w:szCs w:val="22"/>
        </w:rPr>
        <w:t>https://revmedmilitar.sld.cu</w:t>
      </w:r>
    </w:hyperlink>
    <w:r>
      <w:rPr>
        <w:sz w:val="22"/>
        <w:szCs w:val="22"/>
      </w:rPr>
      <w:t xml:space="preserve"> </w:t>
      <w:tab/>
    </w:r>
  </w:p>
  <w:p>
    <w:pPr>
      <w:pStyle w:val="Piedepgina"/>
      <w:ind w:right="360" w:hanging="0"/>
      <w:jc w:val="center"/>
      <w:rPr>
        <w:rFonts w:ascii="Verdana" w:hAnsi="Verdana"/>
        <w:sz w:val="18"/>
        <w:szCs w:val="18"/>
      </w:rPr>
    </w:pPr>
    <w:r>
      <w:rPr>
        <w:sz w:val="22"/>
        <w:szCs w:val="22"/>
      </w:rPr>
      <w:t>Bajo licencia Creative Commons</w:t>
    </w:r>
    <w:r>
      <w:rPr>
        <w:rFonts w:ascii="Verdana" w:hAnsi="Verdana"/>
        <w:sz w:val="18"/>
        <w:szCs w:val="18"/>
      </w:rPr>
      <w:t xml:space="preserve"> </w:t>
    </w:r>
    <w:r>
      <w:rPr/>
      <w:drawing>
        <wp:inline distT="0" distB="0" distL="0" distR="0">
          <wp:extent cx="641985" cy="149225"/>
          <wp:effectExtent l="0" t="0" r="0" b="0"/>
          <wp:docPr id="8" name="Imagen 8" descr="">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
                    <a:hlinkClick r:id="rId4"/>
                  </pic:cNvPr>
                  <pic:cNvPicPr>
                    <a:picLocks noChangeAspect="1" noChangeArrowheads="1"/>
                  </pic:cNvPicPr>
                </pic:nvPicPr>
                <pic:blipFill>
                  <a:blip r:embed="rId3"/>
                  <a:stretch>
                    <a:fillRect/>
                  </a:stretch>
                </pic:blipFill>
                <pic:spPr bwMode="auto">
                  <a:xfrm>
                    <a:off x="0" y="0"/>
                    <a:ext cx="641985" cy="149225"/>
                  </a:xfrm>
                  <a:prstGeom prst="rect">
                    <a:avLst/>
                  </a:prstGeom>
                </pic:spPr>
              </pic:pic>
            </a:graphicData>
          </a:graphic>
        </wp:inline>
      </w:drawing>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tabs>
        <w:tab w:val="left" w:pos="420" w:leader="none"/>
        <w:tab w:val="center" w:pos="4252" w:leader="none"/>
        <w:tab w:val="right" w:pos="8504" w:leader="none"/>
      </w:tabs>
      <w:jc w:val="center"/>
      <w:rPr>
        <w:sz w:val="22"/>
        <w:szCs w:val="22"/>
      </w:rPr>
    </w:pPr>
    <w:r>
      <w:rPr>
        <w:sz w:val="22"/>
        <w:szCs w:val="22"/>
      </w:rPr>
      <w:t>2024</w:t>
    </w:r>
    <w:r>
      <w:rPr>
        <w:sz w:val="22"/>
        <w:szCs w:val="22"/>
      </w:rPr>
      <w:t>;</w:t>
    </w:r>
    <w:r>
      <w:rPr>
        <w:sz w:val="22"/>
        <w:szCs w:val="22"/>
      </w:rPr>
      <w:t>53</w:t>
    </w:r>
    <w:r>
      <w:rPr>
        <w:sz w:val="22"/>
        <w:szCs w:val="22"/>
      </w:rPr>
      <w:t>(</w:t>
    </w:r>
    <w:r>
      <w:rPr>
        <w:sz w:val="22"/>
        <w:szCs w:val="22"/>
      </w:rPr>
      <w:t>1</w:t>
    </w:r>
    <w:r>
      <w:rPr>
        <w:sz w:val="22"/>
        <w:szCs w:val="22"/>
      </w:rPr>
      <w:t>):</w:t>
    </w:r>
    <w:r>
      <w:drawing>
        <wp:anchor behindDoc="1" distT="0" distB="0" distL="0" distR="0" simplePos="0" locked="0" layoutInCell="0" allowOverlap="1" relativeHeight="9">
          <wp:simplePos x="0" y="0"/>
          <wp:positionH relativeFrom="column">
            <wp:posOffset>2540</wp:posOffset>
          </wp:positionH>
          <wp:positionV relativeFrom="paragraph">
            <wp:posOffset>-598805</wp:posOffset>
          </wp:positionV>
          <wp:extent cx="6333490" cy="593725"/>
          <wp:effectExtent l="0" t="0" r="0" b="0"/>
          <wp:wrapNone/>
          <wp:docPr id="2" name="Imagen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6" descr=""/>
                  <pic:cNvPicPr>
                    <a:picLocks noChangeAspect="1" noChangeArrowheads="1"/>
                  </pic:cNvPicPr>
                </pic:nvPicPr>
                <pic:blipFill>
                  <a:blip r:embed="rId1"/>
                  <a:stretch>
                    <a:fillRect/>
                  </a:stretch>
                </pic:blipFill>
                <pic:spPr bwMode="auto">
                  <a:xfrm>
                    <a:off x="0" y="0"/>
                    <a:ext cx="6333490" cy="593725"/>
                  </a:xfrm>
                  <a:prstGeom prst="rect">
                    <a:avLst/>
                  </a:prstGeom>
                </pic:spPr>
              </pic:pic>
            </a:graphicData>
          </a:graphic>
        </wp:anchor>
      </w:drawing>
    </w:r>
    <w:r>
      <w:rPr>
        <w:sz w:val="22"/>
        <w:szCs w:val="22"/>
      </w:rPr>
      <w:t>e024024881</w:t>
    </w:r>
  </w:p>
  <w:p>
    <w:pPr>
      <w:pStyle w:val="Normal"/>
      <w:rPr/>
    </w:pPr>
    <w:r>
      <w:rPr/>
      <mc:AlternateContent>
        <mc:Choice Requires="wps">
          <w:drawing>
            <wp:anchor behindDoc="1" distT="0" distB="0" distL="0" distR="0" simplePos="0" locked="0" layoutInCell="0" allowOverlap="1" relativeHeight="25" wp14:anchorId="345A86E2">
              <wp:simplePos x="0" y="0"/>
              <wp:positionH relativeFrom="column">
                <wp:posOffset>635</wp:posOffset>
              </wp:positionH>
              <wp:positionV relativeFrom="paragraph">
                <wp:posOffset>42545</wp:posOffset>
              </wp:positionV>
              <wp:extent cx="6308090" cy="29210"/>
              <wp:effectExtent l="19050" t="19050" r="36830" b="28575"/>
              <wp:wrapNone/>
              <wp:docPr id="3" name="Line 5"/>
              <a:graphic xmlns:a="http://schemas.openxmlformats.org/drawingml/2006/main">
                <a:graphicData uri="http://schemas.microsoft.com/office/word/2010/wordprocessingShape">
                  <wps:wsp>
                    <wps:cNvSpPr/>
                    <wps:spPr>
                      <a:xfrm>
                        <a:off x="0" y="0"/>
                        <a:ext cx="6307560" cy="28440"/>
                      </a:xfrm>
                      <a:prstGeom prst="line">
                        <a:avLst/>
                      </a:prstGeom>
                      <a:ln w="28575">
                        <a:solidFill>
                          <a:srgbClr val="0000ff"/>
                        </a:solidFill>
                        <a:round/>
                      </a:ln>
                    </wps:spPr>
                    <wps:style>
                      <a:lnRef idx="0"/>
                      <a:fillRef idx="0"/>
                      <a:effectRef idx="0"/>
                      <a:fontRef idx="minor"/>
                    </wps:style>
                    <wps:bodyPr/>
                  </wps:wsp>
                </a:graphicData>
              </a:graphic>
            </wp:anchor>
          </w:drawing>
        </mc:Choice>
        <mc:Fallback>
          <w:pict>
            <v:line id="shape_0" from="0.05pt,3.35pt" to="496.65pt,5.55pt" ID="Line 5" stroked="t" o:allowincell="f" style="position:absolute" wp14:anchorId="345A86E2">
              <v:stroke color="blue" weight="28440" joinstyle="round" endcap="flat"/>
              <v:fill o:detectmouseclick="t" on="false"/>
              <w10:wrap type="none"/>
            </v:line>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sz w:val="24"/>
        <w:szCs w:val="24"/>
      </w:rPr>
    </w:lvl>
  </w:abstractNum>
  <w:abstractNum w:abstractNumId="2">
    <w:lvl w:ilvl="0">
      <w:start w:val="1"/>
      <w:numFmt w:val="bullet"/>
      <w:lvlText w:val=""/>
      <w:lvlJc w:val="left"/>
      <w:pPr>
        <w:tabs>
          <w:tab w:val="num" w:pos="0"/>
        </w:tabs>
        <w:ind w:left="720" w:hanging="360"/>
      </w:pPr>
      <w:rPr>
        <w:rFonts w:ascii="Symbol" w:hAnsi="Symbol" w:cs="Symbol"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es-ES"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pPr>
      <w:widowControl/>
      <w:bidi w:val="0"/>
      <w:spacing w:before="0" w:after="0"/>
      <w:jc w:val="left"/>
    </w:pPr>
    <w:rPr>
      <w:rFonts w:ascii="Times New Roman" w:hAnsi="Times New Roman" w:eastAsia="Times New Roman" w:cs="Times New Roman"/>
      <w:color w:val="auto"/>
      <w:kern w:val="0"/>
      <w:sz w:val="24"/>
      <w:szCs w:val="24"/>
      <w:lang w:val="es-ES_tradnl" w:eastAsia="es-ES_tradnl" w:bidi="ar-SA"/>
    </w:rPr>
  </w:style>
  <w:style w:type="character" w:styleId="DefaultParagraphFont" w:default="1">
    <w:name w:val="Default Paragraph Font"/>
    <w:uiPriority w:val="1"/>
    <w:semiHidden/>
    <w:unhideWhenUsed/>
    <w:qFormat/>
    <w:rPr/>
  </w:style>
  <w:style w:type="character" w:styleId="EnlacedeInternet">
    <w:name w:val="Enlace de Internet"/>
    <w:uiPriority w:val="99"/>
    <w:rsid w:val="00fe40cb"/>
    <w:rPr>
      <w:color w:val="0000FF"/>
      <w:u w:val="single"/>
    </w:rPr>
  </w:style>
  <w:style w:type="character" w:styleId="Pagenumber">
    <w:name w:val="page number"/>
    <w:basedOn w:val="DefaultParagraphFont"/>
    <w:qFormat/>
    <w:rsid w:val="00fe40cb"/>
    <w:rPr/>
  </w:style>
  <w:style w:type="character" w:styleId="EncabezadoCar" w:customStyle="1">
    <w:name w:val="Encabezado Car"/>
    <w:link w:val="Encabezado"/>
    <w:uiPriority w:val="99"/>
    <w:qFormat/>
    <w:rsid w:val="00a71e65"/>
    <w:rPr>
      <w:sz w:val="24"/>
      <w:szCs w:val="24"/>
      <w:lang w:val="es-ES_tradnl" w:eastAsia="es-ES_tradnl"/>
    </w:rPr>
  </w:style>
  <w:style w:type="character" w:styleId="PiedepginaCar" w:customStyle="1">
    <w:name w:val="Pie de página Car"/>
    <w:link w:val="Piedepgina"/>
    <w:uiPriority w:val="99"/>
    <w:qFormat/>
    <w:rsid w:val="00a71e65"/>
    <w:rPr>
      <w:sz w:val="24"/>
      <w:szCs w:val="24"/>
      <w:lang w:val="es-ES_tradnl" w:eastAsia="es-ES_tradnl"/>
    </w:rPr>
  </w:style>
  <w:style w:type="character" w:styleId="TextodegloboCar" w:customStyle="1">
    <w:name w:val="Texto de globo Car"/>
    <w:link w:val="Textodeglobo"/>
    <w:qFormat/>
    <w:rsid w:val="00a71e65"/>
    <w:rPr>
      <w:rFonts w:ascii="Tahoma" w:hAnsi="Tahoma" w:cs="Tahoma"/>
      <w:sz w:val="16"/>
      <w:szCs w:val="16"/>
      <w:lang w:val="es-ES_tradnl" w:eastAsia="es-ES_tradnl"/>
    </w:rPr>
  </w:style>
  <w:style w:type="character" w:styleId="PDFRevistaCar" w:customStyle="1">
    <w:name w:val="PDF_Revista Car"/>
    <w:basedOn w:val="DefaultParagraphFont"/>
    <w:link w:val="PDFRevista"/>
    <w:qFormat/>
    <w:rsid w:val="00ea1fef"/>
    <w:rPr>
      <w:color w:val="000000" w:themeColor="text1"/>
      <w:sz w:val="24"/>
      <w:szCs w:val="24"/>
      <w:lang w:val="es-CU" w:eastAsia="es-ES_tradnl"/>
    </w:rPr>
  </w:style>
  <w:style w:type="character" w:styleId="UnresolvedMention">
    <w:name w:val="Unresolved Mention"/>
    <w:basedOn w:val="DefaultParagraphFont"/>
    <w:uiPriority w:val="99"/>
    <w:semiHidden/>
    <w:unhideWhenUsed/>
    <w:qFormat/>
    <w:rsid w:val="00a66186"/>
    <w:rPr>
      <w:color w:val="605E5C"/>
      <w:shd w:fill="E1DFDD" w:val="clear"/>
    </w:rPr>
  </w:style>
  <w:style w:type="character" w:styleId="EnlacedeInternetvisitado">
    <w:name w:val="Enlace de Internet visitado"/>
    <w:rPr>
      <w:color w:val="954F72"/>
      <w:u w:val="single"/>
    </w:rPr>
  </w:style>
  <w:style w:type="character" w:styleId="WW8Num2z0">
    <w:name w:val="WW8Num2z0"/>
    <w:qFormat/>
    <w:rPr>
      <w:rFonts w:ascii="Symbol" w:hAnsi="Symbol" w:cs="Symbol"/>
      <w:sz w:val="24"/>
      <w:szCs w:val="24"/>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1z0">
    <w:name w:val="WW8Num1z0"/>
    <w:qFormat/>
    <w:rPr>
      <w:rFonts w:ascii="Symbol" w:hAnsi="Symbol" w:cs="Symbo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lang w:val="zxx" w:eastAsia="zxx" w:bidi="zxx"/>
    </w:rPr>
  </w:style>
  <w:style w:type="paragraph" w:styleId="Cabeceraypie">
    <w:name w:val="Cabecera y pie"/>
    <w:basedOn w:val="Normal"/>
    <w:qFormat/>
    <w:pPr/>
    <w:rPr/>
  </w:style>
  <w:style w:type="paragraph" w:styleId="Cabecera">
    <w:name w:val="Header"/>
    <w:basedOn w:val="Normal"/>
    <w:link w:val="EncabezadoCar"/>
    <w:uiPriority w:val="99"/>
    <w:rsid w:val="00675476"/>
    <w:pPr>
      <w:tabs>
        <w:tab w:val="clear" w:pos="708"/>
        <w:tab w:val="center" w:pos="4252" w:leader="none"/>
        <w:tab w:val="right" w:pos="8504" w:leader="none"/>
      </w:tabs>
    </w:pPr>
    <w:rPr/>
  </w:style>
  <w:style w:type="paragraph" w:styleId="Piedepgina">
    <w:name w:val="Footer"/>
    <w:basedOn w:val="Normal"/>
    <w:link w:val="PiedepginaCar"/>
    <w:uiPriority w:val="99"/>
    <w:rsid w:val="00675476"/>
    <w:pPr>
      <w:tabs>
        <w:tab w:val="clear" w:pos="708"/>
        <w:tab w:val="center" w:pos="4252" w:leader="none"/>
        <w:tab w:val="right" w:pos="8504" w:leader="none"/>
      </w:tabs>
    </w:pPr>
    <w:rPr/>
  </w:style>
  <w:style w:type="paragraph" w:styleId="NormalWeb">
    <w:name w:val="Normal (Web)"/>
    <w:basedOn w:val="Normal"/>
    <w:uiPriority w:val="99"/>
    <w:qFormat/>
    <w:rsid w:val="00fe40cb"/>
    <w:pPr>
      <w:spacing w:beforeAutospacing="1" w:afterAutospacing="1"/>
    </w:pPr>
    <w:rPr/>
  </w:style>
  <w:style w:type="paragraph" w:styleId="BalloonText">
    <w:name w:val="Balloon Text"/>
    <w:basedOn w:val="Normal"/>
    <w:link w:val="TextodegloboCar"/>
    <w:qFormat/>
    <w:rsid w:val="00a71e65"/>
    <w:pPr/>
    <w:rPr>
      <w:rFonts w:ascii="Tahoma" w:hAnsi="Tahoma" w:cs="Tahoma"/>
      <w:sz w:val="16"/>
      <w:szCs w:val="16"/>
    </w:rPr>
  </w:style>
  <w:style w:type="paragraph" w:styleId="PDFRevista" w:customStyle="1">
    <w:name w:val="PDF_Revista"/>
    <w:basedOn w:val="Normal"/>
    <w:link w:val="PDFRevistaCar"/>
    <w:qFormat/>
    <w:rsid w:val="00ea1fef"/>
    <w:pPr>
      <w:spacing w:lineRule="auto" w:line="360"/>
    </w:pPr>
    <w:rPr>
      <w:color w:val="000000" w:themeColor="text1"/>
      <w:lang w:val="es-CU"/>
    </w:rPr>
  </w:style>
  <w:style w:type="paragraph" w:styleId="Contenidodelmarco">
    <w:name w:val="Contenido del marco"/>
    <w:basedOn w:val="Normal"/>
    <w:qFormat/>
    <w:pPr/>
    <w:rPr/>
  </w:style>
  <w:style w:type="paragraph" w:styleId="Textocomentario">
    <w:name w:val="Texto comentario"/>
    <w:basedOn w:val="Normal"/>
    <w:qFormat/>
    <w:pPr>
      <w:spacing w:lineRule="auto" w:line="240"/>
    </w:pPr>
    <w:rPr>
      <w:sz w:val="20"/>
      <w:szCs w:val="20"/>
    </w:rPr>
  </w:style>
  <w:style w:type="numbering" w:styleId="NoList" w:default="1">
    <w:name w:val="No List"/>
    <w:uiPriority w:val="99"/>
    <w:semiHidden/>
    <w:unhideWhenUsed/>
    <w:qFormat/>
  </w:style>
  <w:style w:type="numbering" w:styleId="WW8Num2">
    <w:name w:val="WW8Num2"/>
    <w:qFormat/>
  </w:style>
  <w:style w:type="numbering" w:styleId="WW8Num1">
    <w:name w:val="WW8Num1"/>
    <w:qFormat/>
  </w:style>
  <w:style w:type="table" w:default="1" w:styleId="Tablanormal">
    <w:name w:val="Normal Table"/>
    <w:uiPriority w:val="99"/>
    <w:semiHidden/>
    <w:unhideWhenUsed/>
    <w:tblPr>
      <w:tblCellMar>
        <w:top w:w="0" w:type="dxa"/>
        <w:left w:w="108" w:type="dxa"/>
        <w:bottom w:w="0" w:type="dxa"/>
        <w:right w:w="108" w:type="dxa"/>
      </w:tblCellMar>
    </w:tblPr>
  </w:style>
  <w:style w:type="table" w:styleId="Tablaconcuadrcula">
    <w:name w:val="Table Grid"/>
    <w:basedOn w:val="Tablanormal"/>
    <w:rsid w:val="007d2d0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orcid.org/0000-0002-3090-2457" TargetMode="External"/><Relationship Id="rId3" Type="http://schemas.openxmlformats.org/officeDocument/2006/relationships/hyperlink" Target="https://orcid.org/0000-0001-5308-9297" TargetMode="External"/><Relationship Id="rId4" Type="http://schemas.openxmlformats.org/officeDocument/2006/relationships/hyperlink" Target="https://orcid.org/0000-0001-5410-5359" TargetMode="External"/><Relationship Id="rId5" Type="http://schemas.openxmlformats.org/officeDocument/2006/relationships/hyperlink" Target="mailto:jcaballerofont@gmail.com" TargetMode="External"/><Relationship Id="rId6" Type="http://schemas.openxmlformats.org/officeDocument/2006/relationships/image" Target="media/image1.jpeg"/><Relationship Id="rId7" Type="http://schemas.openxmlformats.org/officeDocument/2006/relationships/hyperlink" Target="https://pubmed.ncbi.nlm.nih.gov/33084566" TargetMode="External"/><Relationship Id="rId8" Type="http://schemas.openxmlformats.org/officeDocument/2006/relationships/hyperlink" Target="https://pubmed.ncbi.nlm.nih.gov/33539721" TargetMode="External"/><Relationship Id="rId9" Type="http://schemas.openxmlformats.org/officeDocument/2006/relationships/hyperlink" Target="https://pubmed.ncbi.nlm.nih.gov/33210776" TargetMode="External"/><Relationship Id="rId10" Type="http://schemas.openxmlformats.org/officeDocument/2006/relationships/hyperlink" Target="https://www.atsjournals.org/doi/10.1164/rccm.202009-3400OC" TargetMode="External"/><Relationship Id="rId11" Type="http://schemas.openxmlformats.org/officeDocument/2006/relationships/hyperlink" Target="https://pubmed.ncbi.nlm.nih.gov/32914189" TargetMode="External"/><Relationship Id="rId12" Type="http://schemas.openxmlformats.org/officeDocument/2006/relationships/hyperlink" Target="https://www.ncbi.nlm.nih.gov/pmc/articles/PMC7454393/pdf/ciaa1065.pdf" TargetMode="External"/><Relationship Id="rId13" Type="http://schemas.openxmlformats.org/officeDocument/2006/relationships/hyperlink" Target="https://pubmed.ncbi.nlm.nih.gov/33087440" TargetMode="External"/><Relationship Id="rId14" Type="http://schemas.openxmlformats.org/officeDocument/2006/relationships/hyperlink" Target="https://pubmed.ncbi.nlm.nih.gov/33012653" TargetMode="External"/><Relationship Id="rId15" Type="http://schemas.openxmlformats.org/officeDocument/2006/relationships/header" Target="header1.xml"/><Relationship Id="rId16" Type="http://schemas.openxmlformats.org/officeDocument/2006/relationships/footer" Target="footer1.xml"/><Relationship Id="rId17" Type="http://schemas.openxmlformats.org/officeDocument/2006/relationships/footer" Target="footer2.xml"/><Relationship Id="rId18" Type="http://schemas.openxmlformats.org/officeDocument/2006/relationships/footer" Target="footer3.xml"/><Relationship Id="rId19" Type="http://schemas.openxmlformats.org/officeDocument/2006/relationships/numbering" Target="numbering.xml"/><Relationship Id="rId20" Type="http://schemas.openxmlformats.org/officeDocument/2006/relationships/fontTable" Target="fontTable.xml"/><Relationship Id="rId21" Type="http://schemas.openxmlformats.org/officeDocument/2006/relationships/settings" Target="settings.xml"/><Relationship Id="rId22"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hyperlink" Target="http://scielo.sld.cu/" TargetMode="External"/><Relationship Id="rId2" Type="http://schemas.openxmlformats.org/officeDocument/2006/relationships/hyperlink" Target="https://revmedmilitar.sld.cu/" TargetMode="External"/><Relationship Id="rId3" Type="http://schemas.openxmlformats.org/officeDocument/2006/relationships/image" Target="media/image3.png"/><Relationship Id="rId4" Type="http://schemas.openxmlformats.org/officeDocument/2006/relationships/hyperlink" Target="https://creativecommons.org/licenses/by-nc-sa/4.0/" TargetMode="External"/>
</Relationships>
</file>

<file path=word/_rels/footer3.xml.rels><?xml version="1.0" encoding="UTF-8"?>
<Relationships xmlns="http://schemas.openxmlformats.org/package/2006/relationships"><Relationship Id="rId1" Type="http://schemas.openxmlformats.org/officeDocument/2006/relationships/hyperlink" Target="http://scielo.sld.cu/" TargetMode="External"/><Relationship Id="rId2" Type="http://schemas.openxmlformats.org/officeDocument/2006/relationships/hyperlink" Target="https://revmedmilitar.sld.cu/" TargetMode="External"/><Relationship Id="rId3" Type="http://schemas.openxmlformats.org/officeDocument/2006/relationships/image" Target="media/image3.png"/><Relationship Id="rId4" Type="http://schemas.openxmlformats.org/officeDocument/2006/relationships/hyperlink" Target="https://creativecommons.org/licenses/by-nc-sa/4.0/" TargetMode="External"/>
</Relationships>
</file>

<file path=word/_rels/header1.xml.rels><?xml version="1.0" encoding="UTF-8"?>
<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OK_artículo_nuevo.dotx</Template>
  <TotalTime>10</TotalTime>
  <Application>LibreOffice/7.2.4.1$Windows_X86_64 LibreOffice_project/27d75539669ac387bb498e35313b970b7fe9c4f9</Application>
  <AppVersion>15.0000</AppVersion>
  <Pages>8</Pages>
  <Words>1973</Words>
  <Characters>12128</Characters>
  <CharactersWithSpaces>14027</CharactersWithSpaces>
  <Paragraphs>74</Paragraphs>
  <Company>The houze!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2023-12-19T15:57:13Z</dcterms:created>
  <dc:creator/>
  <dc:description/>
  <dc:language>es-MX</dc:language>
  <cp:lastModifiedBy/>
  <cp:lastPrinted>2010-09-13T21:29:00Z</cp:lastPrinted>
  <dcterms:modified xsi:type="dcterms:W3CDTF">2023-12-19T15:59:40Z</dcterms:modified>
  <cp:revision>10</cp:revision>
  <dc:subject>Plantilla para pdf</dc:subject>
  <dc:title/>
</cp:coreProperties>
</file>

<file path=docProps/custom.xml><?xml version="1.0" encoding="utf-8"?>
<Properties xmlns="http://schemas.openxmlformats.org/officeDocument/2006/custom-properties" xmlns:vt="http://schemas.openxmlformats.org/officeDocument/2006/docPropsVTypes"/>
</file>