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B6E0" w14:textId="77777777" w:rsidR="00630E18" w:rsidRPr="00630E18" w:rsidRDefault="00630E18" w:rsidP="00630E18">
      <w:pPr>
        <w:spacing w:line="360" w:lineRule="auto"/>
        <w:ind w:right="57"/>
        <w:jc w:val="right"/>
        <w:rPr>
          <w:rFonts w:eastAsia="Calibri"/>
          <w:sz w:val="20"/>
          <w:szCs w:val="20"/>
          <w:lang w:val="es-ES" w:eastAsia="en-US"/>
        </w:rPr>
      </w:pPr>
      <w:r w:rsidRPr="00630E18">
        <w:rPr>
          <w:rFonts w:eastAsia="Calibri"/>
          <w:sz w:val="20"/>
          <w:szCs w:val="20"/>
          <w:lang w:val="es-ES" w:eastAsia="en-US"/>
        </w:rPr>
        <w:t>Artículo de investigación</w:t>
      </w:r>
    </w:p>
    <w:p w14:paraId="5F86949A" w14:textId="77777777" w:rsidR="00630E18" w:rsidRPr="00630E18" w:rsidRDefault="00630E18" w:rsidP="00630E18">
      <w:pPr>
        <w:spacing w:line="360" w:lineRule="auto"/>
        <w:ind w:right="57"/>
        <w:jc w:val="right"/>
        <w:rPr>
          <w:rFonts w:eastAsia="Calibri"/>
          <w:sz w:val="20"/>
          <w:szCs w:val="20"/>
          <w:lang w:val="es-ES" w:eastAsia="en-US"/>
        </w:rPr>
      </w:pPr>
    </w:p>
    <w:p w14:paraId="48FFC0FF" w14:textId="77777777" w:rsidR="00630E18" w:rsidRPr="00630E18" w:rsidRDefault="00630E18" w:rsidP="00630E18">
      <w:pPr>
        <w:spacing w:line="360" w:lineRule="auto"/>
        <w:ind w:right="57"/>
        <w:jc w:val="center"/>
        <w:rPr>
          <w:rFonts w:eastAsia="Calibri"/>
          <w:b/>
          <w:sz w:val="28"/>
          <w:szCs w:val="28"/>
          <w:lang w:val="es-ES" w:eastAsia="en-US"/>
        </w:rPr>
      </w:pPr>
      <w:r w:rsidRPr="00630E18">
        <w:rPr>
          <w:rFonts w:eastAsia="Calibri"/>
          <w:b/>
          <w:sz w:val="28"/>
          <w:szCs w:val="28"/>
          <w:lang w:val="es-ES" w:eastAsia="en-US"/>
        </w:rPr>
        <w:t>Puntaje de riesgo de diabetes mellitus tipo 2 en pacientes mayores de 45 años</w:t>
      </w:r>
    </w:p>
    <w:p w14:paraId="169BC371" w14:textId="77777777" w:rsidR="00630E18" w:rsidRPr="00630E18" w:rsidRDefault="00630E18" w:rsidP="00630E18">
      <w:pPr>
        <w:spacing w:line="360" w:lineRule="auto"/>
        <w:ind w:right="57"/>
        <w:jc w:val="center"/>
        <w:rPr>
          <w:rFonts w:eastAsia="Calibri"/>
          <w:bCs/>
          <w:sz w:val="28"/>
          <w:szCs w:val="28"/>
          <w:lang w:val="en-US" w:eastAsia="en-US"/>
        </w:rPr>
      </w:pPr>
      <w:r w:rsidRPr="00630E18">
        <w:rPr>
          <w:rFonts w:eastAsia="Calibri"/>
          <w:bCs/>
          <w:sz w:val="28"/>
          <w:szCs w:val="28"/>
          <w:lang w:val="en-US" w:eastAsia="en-US"/>
        </w:rPr>
        <w:t>Type 2 diabetes mellitus risk score in patients older than 45 years</w:t>
      </w:r>
    </w:p>
    <w:p w14:paraId="70A5807E" w14:textId="77777777" w:rsidR="00630E18" w:rsidRPr="00630E18" w:rsidRDefault="00630E18" w:rsidP="00630E18">
      <w:pPr>
        <w:spacing w:line="360" w:lineRule="auto"/>
        <w:ind w:right="57"/>
        <w:jc w:val="center"/>
        <w:rPr>
          <w:rFonts w:eastAsia="Calibri"/>
          <w:bCs/>
          <w:sz w:val="28"/>
          <w:szCs w:val="28"/>
          <w:lang w:val="en-US" w:eastAsia="en-US"/>
        </w:rPr>
      </w:pPr>
    </w:p>
    <w:p w14:paraId="183F55B1" w14:textId="77777777" w:rsidR="00630E18" w:rsidRPr="00630E18" w:rsidRDefault="00630E18" w:rsidP="00630E18">
      <w:pPr>
        <w:spacing w:line="360" w:lineRule="auto"/>
        <w:ind w:right="57"/>
        <w:jc w:val="both"/>
        <w:rPr>
          <w:rFonts w:eastAsia="Calibri"/>
          <w:bCs/>
          <w:lang w:val="es-CU" w:eastAsia="en-US"/>
        </w:rPr>
      </w:pPr>
      <w:r w:rsidRPr="00630E18">
        <w:rPr>
          <w:rFonts w:eastAsia="Calibri"/>
          <w:bCs/>
          <w:lang w:val="es-CU" w:eastAsia="en-US"/>
        </w:rPr>
        <w:t>Maurio González Hernández</w:t>
      </w:r>
      <w:r w:rsidRPr="00630E18">
        <w:rPr>
          <w:rFonts w:eastAsia="Calibri"/>
          <w:bCs/>
          <w:vertAlign w:val="superscript"/>
          <w:lang w:val="es-CU" w:eastAsia="en-US"/>
        </w:rPr>
        <w:t>1</w:t>
      </w:r>
      <w:r w:rsidRPr="00630E18">
        <w:rPr>
          <w:rFonts w:eastAsia="Calibri"/>
          <w:bCs/>
          <w:lang w:val="es-CU" w:eastAsia="en-US"/>
        </w:rPr>
        <w:t xml:space="preserve">* </w:t>
      </w:r>
      <w:hyperlink r:id="rId7" w:history="1">
        <w:r w:rsidRPr="00630E18">
          <w:rPr>
            <w:rFonts w:eastAsia="Calibri"/>
            <w:bCs/>
            <w:color w:val="0000FF"/>
            <w:lang w:val="es-CU" w:eastAsia="en-US"/>
          </w:rPr>
          <w:t>https://orcid.org/0000-0001-5759-1997</w:t>
        </w:r>
      </w:hyperlink>
      <w:r w:rsidRPr="00630E18">
        <w:rPr>
          <w:rFonts w:eastAsia="Calibri"/>
          <w:bCs/>
          <w:lang w:val="es-CU" w:eastAsia="en-US"/>
        </w:rPr>
        <w:t xml:space="preserve">  </w:t>
      </w:r>
    </w:p>
    <w:p w14:paraId="50C71AC7" w14:textId="77777777" w:rsidR="00630E18" w:rsidRPr="00630E18" w:rsidRDefault="00630E18" w:rsidP="00630E18">
      <w:pPr>
        <w:spacing w:line="360" w:lineRule="auto"/>
        <w:ind w:right="57"/>
        <w:jc w:val="both"/>
        <w:rPr>
          <w:rFonts w:eastAsia="Calibri"/>
          <w:bCs/>
          <w:color w:val="0000FF"/>
          <w:lang w:val="es-CU" w:eastAsia="en-US"/>
        </w:rPr>
      </w:pPr>
      <w:r w:rsidRPr="00630E18">
        <w:rPr>
          <w:rFonts w:eastAsia="Calibri"/>
          <w:bCs/>
          <w:lang w:val="es-CU" w:eastAsia="en-US"/>
        </w:rPr>
        <w:t>Juan Bruno Ruiz Nápoles</w:t>
      </w:r>
      <w:r w:rsidRPr="00630E18">
        <w:rPr>
          <w:rFonts w:eastAsia="Calibri"/>
          <w:bCs/>
          <w:vertAlign w:val="superscript"/>
          <w:lang w:val="es-CU" w:eastAsia="en-US"/>
        </w:rPr>
        <w:t>1</w:t>
      </w:r>
      <w:r w:rsidRPr="00630E18">
        <w:rPr>
          <w:rFonts w:eastAsia="Calibri"/>
          <w:bCs/>
          <w:lang w:val="es-CU" w:eastAsia="en-US"/>
        </w:rPr>
        <w:t xml:space="preserve"> </w:t>
      </w:r>
      <w:hyperlink r:id="rId8" w:history="1">
        <w:r w:rsidRPr="00630E18">
          <w:rPr>
            <w:rFonts w:eastAsia="Calibri"/>
            <w:bCs/>
            <w:color w:val="0000FF"/>
            <w:lang w:val="es-CU" w:eastAsia="en-US"/>
          </w:rPr>
          <w:t>https://orcid.org/0000-0001-6942-3333</w:t>
        </w:r>
      </w:hyperlink>
    </w:p>
    <w:p w14:paraId="015B15F8" w14:textId="77777777" w:rsidR="00630E18" w:rsidRPr="00630E18" w:rsidRDefault="00630E18" w:rsidP="00630E18">
      <w:pPr>
        <w:spacing w:line="360" w:lineRule="auto"/>
        <w:ind w:right="57"/>
        <w:jc w:val="both"/>
        <w:rPr>
          <w:rFonts w:eastAsia="Calibri"/>
          <w:bCs/>
          <w:color w:val="0000FF"/>
          <w:lang w:val="es-CU" w:eastAsia="en-US"/>
        </w:rPr>
      </w:pPr>
      <w:r w:rsidRPr="00630E18">
        <w:rPr>
          <w:rFonts w:eastAsia="Calibri"/>
          <w:bCs/>
          <w:color w:val="000000"/>
          <w:lang w:val="es-CU" w:eastAsia="en-US"/>
        </w:rPr>
        <w:t>Sandra Velásquez Almaguer</w:t>
      </w:r>
      <w:r w:rsidRPr="00630E18">
        <w:rPr>
          <w:rFonts w:eastAsia="Calibri"/>
          <w:bCs/>
          <w:color w:val="000000"/>
          <w:vertAlign w:val="superscript"/>
          <w:lang w:val="es-CU" w:eastAsia="en-US"/>
        </w:rPr>
        <w:t>1</w:t>
      </w:r>
      <w:r w:rsidRPr="00630E18">
        <w:rPr>
          <w:rFonts w:eastAsia="Calibri"/>
          <w:bCs/>
          <w:color w:val="000000"/>
          <w:lang w:val="es-CU" w:eastAsia="en-US"/>
        </w:rPr>
        <w:t xml:space="preserve"> </w:t>
      </w:r>
      <w:hyperlink r:id="rId9" w:history="1">
        <w:r w:rsidRPr="00630E18">
          <w:rPr>
            <w:rFonts w:eastAsia="Calibri"/>
            <w:bCs/>
            <w:color w:val="0000FF"/>
            <w:lang w:val="es-CU" w:eastAsia="en-US"/>
          </w:rPr>
          <w:t>https://orcid.org/0009-0007-1804-7084</w:t>
        </w:r>
      </w:hyperlink>
    </w:p>
    <w:p w14:paraId="1E667E1F" w14:textId="77777777" w:rsidR="00630E18" w:rsidRPr="00630E18" w:rsidRDefault="00630E18" w:rsidP="00630E18">
      <w:pPr>
        <w:spacing w:line="360" w:lineRule="auto"/>
        <w:ind w:right="57"/>
        <w:jc w:val="both"/>
        <w:rPr>
          <w:rFonts w:eastAsia="Calibri"/>
          <w:bCs/>
          <w:lang w:val="es-CU" w:eastAsia="en-US"/>
        </w:rPr>
      </w:pPr>
    </w:p>
    <w:p w14:paraId="5D01397D" w14:textId="77777777" w:rsidR="00630E18" w:rsidRPr="00630E18" w:rsidRDefault="00630E18" w:rsidP="00630E18">
      <w:pPr>
        <w:spacing w:line="360" w:lineRule="auto"/>
        <w:ind w:right="57"/>
        <w:jc w:val="both"/>
        <w:rPr>
          <w:rFonts w:eastAsia="Calibri"/>
          <w:bCs/>
          <w:lang w:val="es-CU" w:eastAsia="en-US"/>
        </w:rPr>
      </w:pPr>
      <w:r w:rsidRPr="00630E18">
        <w:rPr>
          <w:rFonts w:eastAsia="Calibri"/>
          <w:bCs/>
          <w:vertAlign w:val="superscript"/>
          <w:lang w:val="es-CU" w:eastAsia="en-US"/>
        </w:rPr>
        <w:t>1</w:t>
      </w:r>
      <w:r w:rsidRPr="00630E18">
        <w:rPr>
          <w:rFonts w:eastAsia="Calibri"/>
          <w:bCs/>
          <w:lang w:val="es-CU" w:eastAsia="en-US"/>
        </w:rPr>
        <w:t>Universidad de Ciencias Médicas de las Fuerzas Armadas Revolucionarias. Hospital Militar “Fermín Valdés Domínguez”. Holguín, Cuba.</w:t>
      </w:r>
    </w:p>
    <w:p w14:paraId="130747AB" w14:textId="77777777" w:rsidR="00630E18" w:rsidRPr="00630E18" w:rsidRDefault="00630E18" w:rsidP="00630E18">
      <w:pPr>
        <w:spacing w:line="360" w:lineRule="auto"/>
        <w:ind w:right="57"/>
        <w:jc w:val="both"/>
        <w:rPr>
          <w:rFonts w:eastAsia="Calibri"/>
          <w:bCs/>
          <w:lang w:val="es-CU" w:eastAsia="en-US"/>
        </w:rPr>
      </w:pPr>
    </w:p>
    <w:p w14:paraId="19551F6C" w14:textId="77777777" w:rsidR="00630E18" w:rsidRPr="00630E18" w:rsidRDefault="00630E18" w:rsidP="00630E18">
      <w:pPr>
        <w:spacing w:line="360" w:lineRule="auto"/>
        <w:ind w:right="57"/>
        <w:jc w:val="both"/>
        <w:rPr>
          <w:rFonts w:eastAsia="Calibri"/>
          <w:bCs/>
          <w:lang w:val="es-CU" w:eastAsia="en-US"/>
        </w:rPr>
      </w:pPr>
      <w:r w:rsidRPr="00630E18">
        <w:rPr>
          <w:rFonts w:eastAsia="Calibri"/>
          <w:bCs/>
          <w:lang w:val="es-CU" w:eastAsia="en-US"/>
        </w:rPr>
        <w:t xml:space="preserve">*Autor para la correspondencia: </w:t>
      </w:r>
      <w:hyperlink r:id="rId10" w:history="1">
        <w:r w:rsidRPr="00630E18">
          <w:rPr>
            <w:rFonts w:eastAsia="Calibri"/>
            <w:bCs/>
            <w:color w:val="0000FF"/>
            <w:lang w:val="es-CU" w:eastAsia="en-US"/>
          </w:rPr>
          <w:t>maurio.gonzalez07@gmail.com</w:t>
        </w:r>
      </w:hyperlink>
      <w:r w:rsidRPr="00630E18">
        <w:rPr>
          <w:rFonts w:eastAsia="Calibri"/>
          <w:bCs/>
          <w:lang w:val="es-CU" w:eastAsia="en-US"/>
        </w:rPr>
        <w:t xml:space="preserve">  </w:t>
      </w:r>
    </w:p>
    <w:p w14:paraId="71A343D4" w14:textId="77777777" w:rsidR="00630E18" w:rsidRPr="00630E18" w:rsidRDefault="00630E18" w:rsidP="00630E18">
      <w:pPr>
        <w:spacing w:line="360" w:lineRule="auto"/>
        <w:ind w:right="57"/>
        <w:jc w:val="both"/>
        <w:rPr>
          <w:rFonts w:eastAsia="Calibri"/>
          <w:b/>
          <w:bCs/>
          <w:lang w:val="es-ES" w:eastAsia="en-US"/>
        </w:rPr>
      </w:pPr>
    </w:p>
    <w:p w14:paraId="1F6E14CD" w14:textId="77777777" w:rsidR="00630E18" w:rsidRPr="00630E18" w:rsidRDefault="00630E18" w:rsidP="00630E18">
      <w:pPr>
        <w:spacing w:line="360" w:lineRule="auto"/>
        <w:ind w:right="57"/>
        <w:jc w:val="both"/>
        <w:rPr>
          <w:rFonts w:eastAsia="Calibri"/>
          <w:b/>
          <w:bCs/>
          <w:lang w:val="es-ES" w:eastAsia="en-US"/>
        </w:rPr>
      </w:pPr>
      <w:r w:rsidRPr="00630E18">
        <w:rPr>
          <w:rFonts w:eastAsia="Calibri"/>
          <w:b/>
          <w:bCs/>
          <w:lang w:val="es-ES" w:eastAsia="en-US"/>
        </w:rPr>
        <w:t>RESUMEN</w:t>
      </w:r>
    </w:p>
    <w:p w14:paraId="5D20CED1" w14:textId="77777777" w:rsidR="00630E18" w:rsidRPr="00630E18" w:rsidRDefault="00630E18" w:rsidP="00630E18">
      <w:pPr>
        <w:spacing w:line="360" w:lineRule="auto"/>
        <w:ind w:right="57"/>
        <w:jc w:val="both"/>
        <w:rPr>
          <w:rFonts w:eastAsia="Calibri"/>
          <w:b/>
          <w:bCs/>
          <w:lang w:val="es-ES" w:eastAsia="en-US"/>
        </w:rPr>
      </w:pPr>
      <w:r w:rsidRPr="00630E18">
        <w:rPr>
          <w:rFonts w:eastAsia="Calibri"/>
          <w:b/>
          <w:bCs/>
          <w:lang w:val="es-ES" w:eastAsia="en-US"/>
        </w:rPr>
        <w:t xml:space="preserve">Introducción: </w:t>
      </w:r>
      <w:r w:rsidRPr="00630E18">
        <w:rPr>
          <w:rFonts w:eastAsia="Calibri"/>
          <w:lang w:val="es-ES" w:eastAsia="en-US"/>
        </w:rPr>
        <w:t>La diabetes mellitus ha provocado un aumento del interés en el desarrollo de estudios e investigaciones, potenciada en la actualidad al ser considerada una pandemia</w:t>
      </w:r>
      <w:r w:rsidRPr="00630E18">
        <w:rPr>
          <w:rFonts w:eastAsia="Calibri"/>
          <w:lang w:val="es-CU" w:eastAsia="en-US"/>
        </w:rPr>
        <w:t>.</w:t>
      </w:r>
    </w:p>
    <w:p w14:paraId="4EAB19AB" w14:textId="32B5D3FA" w:rsidR="00630E18" w:rsidRPr="00630E18" w:rsidRDefault="00630E18" w:rsidP="00630E18">
      <w:pPr>
        <w:spacing w:line="360" w:lineRule="auto"/>
        <w:jc w:val="both"/>
        <w:rPr>
          <w:rFonts w:eastAsia="Calibri"/>
          <w:lang w:val="es-ES" w:eastAsia="en-US"/>
        </w:rPr>
      </w:pPr>
      <w:r w:rsidRPr="00630E18">
        <w:rPr>
          <w:rFonts w:eastAsia="Calibri"/>
          <w:b/>
          <w:bCs/>
          <w:lang w:val="es-ES" w:eastAsia="en-US"/>
        </w:rPr>
        <w:t xml:space="preserve">Objetivo: </w:t>
      </w:r>
      <w:r w:rsidRPr="00630E18">
        <w:rPr>
          <w:rFonts w:eastAsia="Calibri"/>
          <w:lang w:val="es-ES" w:eastAsia="en-US"/>
        </w:rPr>
        <w:t>Desarrollar un puntaje de riesgo de diabetes mellitus tipo 2 en pacientes mayores de 45 años.</w:t>
      </w:r>
    </w:p>
    <w:p w14:paraId="1504849F" w14:textId="77777777" w:rsidR="00630E18" w:rsidRPr="00630E18" w:rsidRDefault="00630E18" w:rsidP="00630E18">
      <w:pPr>
        <w:spacing w:line="360" w:lineRule="auto"/>
        <w:jc w:val="both"/>
        <w:rPr>
          <w:rFonts w:eastAsia="Calibri"/>
          <w:lang w:val="es-ES" w:eastAsia="en-US"/>
        </w:rPr>
      </w:pPr>
      <w:r w:rsidRPr="00630E18">
        <w:rPr>
          <w:rFonts w:eastAsia="Calibri"/>
          <w:b/>
          <w:bCs/>
          <w:lang w:val="es-ES" w:eastAsia="en-US"/>
        </w:rPr>
        <w:t xml:space="preserve">Método: </w:t>
      </w:r>
      <w:r w:rsidRPr="00630E18">
        <w:rPr>
          <w:rFonts w:eastAsia="Calibri"/>
          <w:lang w:val="es-ES" w:eastAsia="en-US"/>
        </w:rPr>
        <w:t xml:space="preserve">Se realizó un estudio analítico tipo de cohorte, con una muestra de análisis conformada por 1021 pacientes y una de validación con 891. Las variables predictoras se obtuvieron a través de análisis univariado, mediante regresión logística binaria y cálculo del </w:t>
      </w:r>
      <w:r w:rsidRPr="00630E18">
        <w:rPr>
          <w:rFonts w:eastAsia="Calibri"/>
          <w:i/>
          <w:iCs/>
          <w:lang w:val="es-ES" w:eastAsia="en-US"/>
        </w:rPr>
        <w:t>odds ratio</w:t>
      </w:r>
      <w:r w:rsidRPr="00630E18">
        <w:rPr>
          <w:rFonts w:eastAsia="Calibri"/>
          <w:lang w:val="es-ES" w:eastAsia="en-US"/>
        </w:rPr>
        <w:t>, con un nivel de significación de p≤ 0,05. En la escala de riesgo se valoró el poder discriminante mediante el área bajo la curva; para calibrarla se calcularon las pruebas de ómnibus, los estadígrafos de R2 de Cox, Snell, de Nagelkerke y la prueba de bondad de ajuste de Hosmer-Lemeshow para p≥ 0,05.</w:t>
      </w:r>
    </w:p>
    <w:p w14:paraId="696096E2" w14:textId="77777777" w:rsidR="00630E18" w:rsidRPr="00630E18" w:rsidRDefault="00630E18" w:rsidP="00630E18">
      <w:pPr>
        <w:spacing w:line="360" w:lineRule="auto"/>
        <w:jc w:val="both"/>
        <w:rPr>
          <w:rFonts w:eastAsia="Calibri"/>
          <w:lang w:val="es-ES" w:eastAsia="en-US"/>
        </w:rPr>
      </w:pPr>
      <w:r w:rsidRPr="00630E18">
        <w:rPr>
          <w:rFonts w:eastAsia="Calibri"/>
          <w:b/>
          <w:bCs/>
          <w:lang w:val="es-ES" w:eastAsia="en-US"/>
        </w:rPr>
        <w:t>Resultados:</w:t>
      </w:r>
      <w:r w:rsidRPr="00630E18">
        <w:rPr>
          <w:rFonts w:eastAsia="Calibri"/>
          <w:lang w:val="es-ES" w:eastAsia="en-US"/>
        </w:rPr>
        <w:t xml:space="preserve"> Se obtuvo un modelo que </w:t>
      </w:r>
      <w:r w:rsidRPr="00630E18">
        <w:rPr>
          <w:rFonts w:eastAsia="Calibri"/>
          <w:color w:val="000000"/>
          <w:lang w:val="es-ES" w:eastAsia="en-US"/>
        </w:rPr>
        <w:t xml:space="preserve">explica el 77,6 </w:t>
      </w:r>
      <w:r w:rsidRPr="00630E18">
        <w:rPr>
          <w:rFonts w:eastAsia="Calibri"/>
          <w:lang w:val="es-ES" w:eastAsia="en-US"/>
        </w:rPr>
        <w:t xml:space="preserve">% de la variable independiente, con una sensibilidad de 94,9 % y una especificad de 85,3%, el área bajo de la curva tuvo un rango de 0,725 a 0,833.  Se desarrolló un puntaje de riesgo el cual fue estadísticamente significativo con </w:t>
      </w:r>
      <w:r w:rsidRPr="00630E18">
        <w:rPr>
          <w:rFonts w:eastAsia="Calibri"/>
          <w:i/>
          <w:iCs/>
          <w:lang w:val="es-ES" w:eastAsia="en-US"/>
        </w:rPr>
        <w:t>X</w:t>
      </w:r>
      <w:r w:rsidRPr="00630E18">
        <w:rPr>
          <w:rFonts w:eastAsia="Calibri"/>
          <w:i/>
          <w:iCs/>
          <w:vertAlign w:val="superscript"/>
          <w:lang w:val="es-ES" w:eastAsia="en-US"/>
        </w:rPr>
        <w:t>2</w:t>
      </w:r>
      <w:r w:rsidRPr="00630E18">
        <w:rPr>
          <w:rFonts w:eastAsia="Calibri"/>
          <w:lang w:val="es-ES" w:eastAsia="en-US"/>
        </w:rPr>
        <w:t>= 17; p= 0,017 y una sensibilidad de 96,8 %.</w:t>
      </w:r>
    </w:p>
    <w:p w14:paraId="3989551D" w14:textId="77777777" w:rsidR="00630E18" w:rsidRPr="00630E18" w:rsidRDefault="00630E18" w:rsidP="00630E18">
      <w:pPr>
        <w:spacing w:line="360" w:lineRule="auto"/>
        <w:jc w:val="both"/>
        <w:rPr>
          <w:rFonts w:eastAsia="Calibri"/>
          <w:b/>
          <w:bCs/>
          <w:color w:val="000000"/>
          <w:lang w:val="es-ES" w:eastAsia="en-US"/>
        </w:rPr>
      </w:pPr>
      <w:r w:rsidRPr="00630E18">
        <w:rPr>
          <w:rFonts w:eastAsia="Calibri"/>
          <w:b/>
          <w:bCs/>
          <w:lang w:val="es-ES" w:eastAsia="en-US"/>
        </w:rPr>
        <w:lastRenderedPageBreak/>
        <w:t>Conclusiones:</w:t>
      </w:r>
      <w:r w:rsidRPr="00630E18">
        <w:rPr>
          <w:rFonts w:eastAsia="Calibri"/>
          <w:lang w:val="es-ES" w:eastAsia="en-US"/>
        </w:rPr>
        <w:t xml:space="preserve"> El puntaje desarrollado predice el riesgo de padecer diabetes mellitus tipo 2 en los pacientes estudiados.</w:t>
      </w:r>
      <w:r w:rsidRPr="00630E18">
        <w:rPr>
          <w:rFonts w:eastAsia="Calibri"/>
          <w:b/>
          <w:bCs/>
          <w:color w:val="000000"/>
          <w:lang w:val="es-ES" w:eastAsia="en-US"/>
        </w:rPr>
        <w:t xml:space="preserve"> </w:t>
      </w:r>
    </w:p>
    <w:p w14:paraId="6492FA6C" w14:textId="77777777" w:rsidR="00630E18" w:rsidRDefault="00630E18" w:rsidP="00630E18">
      <w:pPr>
        <w:spacing w:line="360" w:lineRule="auto"/>
        <w:jc w:val="both"/>
        <w:rPr>
          <w:rFonts w:eastAsia="Calibri"/>
          <w:color w:val="000000"/>
          <w:lang w:val="es-ES" w:eastAsia="en-US"/>
        </w:rPr>
      </w:pPr>
      <w:r w:rsidRPr="00630E18">
        <w:rPr>
          <w:rFonts w:eastAsia="Calibri"/>
          <w:b/>
          <w:bCs/>
          <w:color w:val="000000"/>
          <w:lang w:val="es-ES" w:eastAsia="en-US"/>
        </w:rPr>
        <w:t>Palabras claves:</w:t>
      </w:r>
      <w:r w:rsidRPr="00630E18">
        <w:rPr>
          <w:rFonts w:eastAsia="Calibri"/>
          <w:color w:val="000000"/>
          <w:lang w:val="es-ES" w:eastAsia="en-US"/>
        </w:rPr>
        <w:t xml:space="preserve"> diabetes mellitus tipo 2; puntaje de riesgo; diagnóstico. </w:t>
      </w:r>
    </w:p>
    <w:p w14:paraId="3D7B5ED0" w14:textId="77777777" w:rsidR="00630E18" w:rsidRDefault="00630E18" w:rsidP="00630E18">
      <w:pPr>
        <w:spacing w:line="360" w:lineRule="auto"/>
        <w:jc w:val="center"/>
        <w:rPr>
          <w:rFonts w:eastAsia="Calibri"/>
          <w:b/>
          <w:bCs/>
          <w:lang w:val="es-ES" w:eastAsia="en-US"/>
        </w:rPr>
      </w:pPr>
    </w:p>
    <w:p w14:paraId="4744E0EF" w14:textId="77777777" w:rsidR="00B14D12" w:rsidRPr="00B14D12" w:rsidRDefault="00B14D12" w:rsidP="00B14D12">
      <w:pPr>
        <w:spacing w:line="360" w:lineRule="auto"/>
        <w:jc w:val="both"/>
        <w:rPr>
          <w:rFonts w:eastAsia="Calibri"/>
          <w:b/>
          <w:bCs/>
          <w:lang w:val="en-US" w:eastAsia="en-US"/>
        </w:rPr>
      </w:pPr>
      <w:r w:rsidRPr="00B14D12">
        <w:rPr>
          <w:rFonts w:eastAsia="Calibri"/>
          <w:b/>
          <w:bCs/>
          <w:lang w:val="en-US" w:eastAsia="en-US"/>
        </w:rPr>
        <w:t xml:space="preserve">ABSTRACT </w:t>
      </w:r>
    </w:p>
    <w:p w14:paraId="3875F995" w14:textId="77777777" w:rsidR="00B14D12" w:rsidRPr="00B14D12" w:rsidRDefault="00B14D12" w:rsidP="00B14D12">
      <w:pPr>
        <w:spacing w:line="360" w:lineRule="auto"/>
        <w:jc w:val="both"/>
        <w:rPr>
          <w:rFonts w:eastAsia="Calibri"/>
          <w:lang w:val="en-US" w:eastAsia="en-US"/>
        </w:rPr>
      </w:pPr>
      <w:r w:rsidRPr="00B14D12">
        <w:rPr>
          <w:rFonts w:eastAsia="Calibri"/>
          <w:b/>
          <w:bCs/>
          <w:lang w:val="en-US" w:eastAsia="en-US"/>
        </w:rPr>
        <w:t>Introduction:</w:t>
      </w:r>
      <w:r w:rsidRPr="00B14D12">
        <w:rPr>
          <w:rFonts w:eastAsia="Calibri"/>
          <w:lang w:val="en-US" w:eastAsia="en-US"/>
        </w:rPr>
        <w:t xml:space="preserve"> Diabetes mellitus has caused an increase in interest in the development of studies and research, currently enhanced by being considered a pandemic.</w:t>
      </w:r>
    </w:p>
    <w:p w14:paraId="20F48AEB" w14:textId="77777777" w:rsidR="00B14D12" w:rsidRPr="00B14D12" w:rsidRDefault="00B14D12" w:rsidP="00B14D12">
      <w:pPr>
        <w:spacing w:line="360" w:lineRule="auto"/>
        <w:jc w:val="both"/>
        <w:rPr>
          <w:rFonts w:eastAsia="Calibri"/>
          <w:lang w:val="en-US" w:eastAsia="en-US"/>
        </w:rPr>
      </w:pPr>
      <w:r w:rsidRPr="00B14D12">
        <w:rPr>
          <w:rFonts w:eastAsia="Calibri"/>
          <w:b/>
          <w:bCs/>
          <w:lang w:val="en-US" w:eastAsia="en-US"/>
        </w:rPr>
        <w:t>Objective:</w:t>
      </w:r>
      <w:r w:rsidRPr="00B14D12">
        <w:rPr>
          <w:rFonts w:eastAsia="Calibri"/>
          <w:lang w:val="en-US" w:eastAsia="en-US"/>
        </w:rPr>
        <w:t xml:space="preserve"> To develop a risk score for type 2 diabetes mellitus in patients older than 45 years.</w:t>
      </w:r>
    </w:p>
    <w:p w14:paraId="60821F47" w14:textId="77777777" w:rsidR="00B14D12" w:rsidRPr="00B14D12" w:rsidRDefault="00B14D12" w:rsidP="00B14D12">
      <w:pPr>
        <w:spacing w:line="360" w:lineRule="auto"/>
        <w:jc w:val="both"/>
        <w:rPr>
          <w:rFonts w:eastAsia="Calibri"/>
          <w:lang w:val="en-US" w:eastAsia="en-US"/>
        </w:rPr>
      </w:pPr>
      <w:r w:rsidRPr="00B14D12">
        <w:rPr>
          <w:rFonts w:eastAsia="Calibri"/>
          <w:b/>
          <w:bCs/>
          <w:lang w:val="en-US" w:eastAsia="en-US"/>
        </w:rPr>
        <w:t>Method:</w:t>
      </w:r>
      <w:r w:rsidRPr="00B14D12">
        <w:rPr>
          <w:rFonts w:eastAsia="Calibri"/>
          <w:lang w:val="en-US" w:eastAsia="en-US"/>
        </w:rPr>
        <w:t xml:space="preserve"> An analytical cohort study was carried out, with an analysis sample made up of 1021 patients and a validation sample with 891. The predictor variables were obtained through univariate analysis, by binary logistic regression and calculation of the odds ratio, with a significance level of p≤ 0.05. In the risk scale, the discriminant power was assessed through the area under the curve; to calibrate it, the omnibus tests, the R2 statistics of Cox, Snell, and Nagelkerke, and the Hosmer-Lemeshow goodness-of-fit test for p≥ 0.05 were calculated.</w:t>
      </w:r>
    </w:p>
    <w:p w14:paraId="7AF6D2B0" w14:textId="77777777" w:rsidR="00B14D12" w:rsidRPr="00B14D12" w:rsidRDefault="00B14D12" w:rsidP="00B14D12">
      <w:pPr>
        <w:spacing w:line="360" w:lineRule="auto"/>
        <w:jc w:val="both"/>
        <w:rPr>
          <w:rFonts w:eastAsia="Calibri"/>
          <w:lang w:val="en-US" w:eastAsia="en-US"/>
        </w:rPr>
      </w:pPr>
      <w:r w:rsidRPr="00B14D12">
        <w:rPr>
          <w:rFonts w:eastAsia="Calibri"/>
          <w:b/>
          <w:bCs/>
          <w:lang w:val="en-US" w:eastAsia="en-US"/>
        </w:rPr>
        <w:t>Results:</w:t>
      </w:r>
      <w:r w:rsidRPr="00B14D12">
        <w:rPr>
          <w:rFonts w:eastAsia="Calibri"/>
          <w:lang w:val="en-US" w:eastAsia="en-US"/>
        </w:rPr>
        <w:t xml:space="preserve"> A model was obtained that explains 77.6% of the independent variable, with a sensitivity of 94.9% and a specificity of 85.3%, the area under the curve had a range of 0.725 to 0.833. A risk score was developed which was statistically significant with X2= 17; p= 0.017 and a sensitivity of 96.8%.</w:t>
      </w:r>
    </w:p>
    <w:p w14:paraId="69FD995B" w14:textId="77777777" w:rsidR="00B14D12" w:rsidRPr="00B14D12" w:rsidRDefault="00B14D12" w:rsidP="00B14D12">
      <w:pPr>
        <w:spacing w:line="360" w:lineRule="auto"/>
        <w:jc w:val="both"/>
        <w:rPr>
          <w:rFonts w:eastAsia="Calibri"/>
          <w:lang w:val="en-US" w:eastAsia="en-US"/>
        </w:rPr>
      </w:pPr>
      <w:r w:rsidRPr="00B14D12">
        <w:rPr>
          <w:rFonts w:eastAsia="Calibri"/>
          <w:b/>
          <w:bCs/>
          <w:lang w:val="en-US" w:eastAsia="en-US"/>
        </w:rPr>
        <w:t>Conclusions:</w:t>
      </w:r>
      <w:r w:rsidRPr="00B14D12">
        <w:rPr>
          <w:rFonts w:eastAsia="Calibri"/>
          <w:lang w:val="en-US" w:eastAsia="en-US"/>
        </w:rPr>
        <w:t xml:space="preserve"> The score developed predicts the risk of suffering type 2 diabetes mellitus in the patients studied.</w:t>
      </w:r>
    </w:p>
    <w:p w14:paraId="40F115CB" w14:textId="77777777" w:rsidR="00B14D12" w:rsidRPr="00B14D12" w:rsidRDefault="00B14D12" w:rsidP="00B14D12">
      <w:pPr>
        <w:spacing w:line="360" w:lineRule="auto"/>
        <w:jc w:val="both"/>
        <w:rPr>
          <w:rFonts w:eastAsia="Calibri"/>
          <w:lang w:val="en-US" w:eastAsia="en-US"/>
        </w:rPr>
      </w:pPr>
      <w:r w:rsidRPr="00B14D12">
        <w:rPr>
          <w:rFonts w:eastAsia="Calibri"/>
          <w:b/>
          <w:bCs/>
          <w:lang w:val="en-US" w:eastAsia="en-US"/>
        </w:rPr>
        <w:t>Keywords:</w:t>
      </w:r>
      <w:r w:rsidRPr="00B14D12">
        <w:rPr>
          <w:rFonts w:eastAsia="Calibri"/>
          <w:lang w:val="en-US" w:eastAsia="en-US"/>
        </w:rPr>
        <w:t xml:space="preserve"> type 2 diabetes mellitus; risk score; diagnosis.</w:t>
      </w:r>
    </w:p>
    <w:p w14:paraId="7BDDEF80" w14:textId="77777777" w:rsidR="00B14D12" w:rsidRPr="00B14D12" w:rsidRDefault="00B14D12" w:rsidP="00B14D12">
      <w:pPr>
        <w:spacing w:line="360" w:lineRule="auto"/>
        <w:jc w:val="both"/>
        <w:rPr>
          <w:rFonts w:eastAsia="Calibri"/>
          <w:lang w:val="en-US" w:eastAsia="en-US"/>
        </w:rPr>
      </w:pPr>
    </w:p>
    <w:p w14:paraId="0C39EAC7" w14:textId="77777777" w:rsidR="00B14D12" w:rsidRPr="00B14D12" w:rsidRDefault="00B14D12" w:rsidP="00B14D12">
      <w:pPr>
        <w:spacing w:line="360" w:lineRule="auto"/>
        <w:jc w:val="both"/>
        <w:rPr>
          <w:rFonts w:eastAsia="Calibri"/>
          <w:lang w:val="en-US" w:eastAsia="en-US"/>
        </w:rPr>
      </w:pPr>
    </w:p>
    <w:p w14:paraId="24F08FB7" w14:textId="77777777" w:rsidR="00B14D12" w:rsidRPr="00B14D12" w:rsidRDefault="00B14D12" w:rsidP="00B14D12">
      <w:pPr>
        <w:spacing w:line="360" w:lineRule="auto"/>
        <w:jc w:val="both"/>
        <w:rPr>
          <w:rFonts w:eastAsia="Calibri"/>
          <w:lang w:val="es-ES" w:eastAsia="en-US"/>
        </w:rPr>
      </w:pPr>
      <w:r w:rsidRPr="00B14D12">
        <w:rPr>
          <w:rFonts w:eastAsia="Calibri"/>
          <w:lang w:val="es-ES" w:eastAsia="en-US"/>
        </w:rPr>
        <w:t>Recibido: 03/11/2022</w:t>
      </w:r>
    </w:p>
    <w:p w14:paraId="3EFD9D10" w14:textId="3BC61488" w:rsidR="00B14D12" w:rsidRPr="00B14D12" w:rsidRDefault="00B14D12" w:rsidP="00B14D12">
      <w:pPr>
        <w:spacing w:line="360" w:lineRule="auto"/>
        <w:jc w:val="both"/>
        <w:rPr>
          <w:rFonts w:eastAsia="Calibri"/>
          <w:lang w:val="es-ES" w:eastAsia="en-US"/>
        </w:rPr>
      </w:pPr>
      <w:r w:rsidRPr="00B14D12">
        <w:rPr>
          <w:rFonts w:eastAsia="Calibri"/>
          <w:lang w:val="es-ES" w:eastAsia="en-US"/>
        </w:rPr>
        <w:t>Aprobado: 18/09/2023</w:t>
      </w:r>
    </w:p>
    <w:p w14:paraId="40EDE04B" w14:textId="77777777" w:rsidR="00B14D12" w:rsidRDefault="00B14D12" w:rsidP="00630E18">
      <w:pPr>
        <w:spacing w:line="360" w:lineRule="auto"/>
        <w:jc w:val="center"/>
        <w:rPr>
          <w:rFonts w:eastAsia="Calibri"/>
          <w:b/>
          <w:bCs/>
          <w:lang w:val="es-ES" w:eastAsia="en-US"/>
        </w:rPr>
      </w:pPr>
    </w:p>
    <w:p w14:paraId="0C676100" w14:textId="77777777" w:rsidR="00B14D12" w:rsidRPr="00630E18" w:rsidRDefault="00B14D12" w:rsidP="00630E18">
      <w:pPr>
        <w:spacing w:line="360" w:lineRule="auto"/>
        <w:jc w:val="center"/>
        <w:rPr>
          <w:rFonts w:eastAsia="Calibri"/>
          <w:b/>
          <w:bCs/>
          <w:lang w:val="es-ES" w:eastAsia="en-US"/>
        </w:rPr>
      </w:pPr>
    </w:p>
    <w:p w14:paraId="6D0E0A69" w14:textId="77777777" w:rsidR="00EF0225" w:rsidRDefault="00EF0225">
      <w:pPr>
        <w:rPr>
          <w:rFonts w:eastAsia="Calibri"/>
          <w:b/>
          <w:bCs/>
          <w:sz w:val="32"/>
          <w:szCs w:val="32"/>
          <w:lang w:val="es-ES" w:eastAsia="en-US"/>
        </w:rPr>
      </w:pPr>
      <w:r>
        <w:rPr>
          <w:rFonts w:eastAsia="Calibri"/>
          <w:b/>
          <w:bCs/>
          <w:sz w:val="32"/>
          <w:szCs w:val="32"/>
          <w:lang w:val="es-ES" w:eastAsia="en-US"/>
        </w:rPr>
        <w:br w:type="page"/>
      </w:r>
    </w:p>
    <w:p w14:paraId="40F11A8B" w14:textId="02C8D132" w:rsidR="00630E18" w:rsidRPr="00630E18" w:rsidRDefault="00630E18" w:rsidP="00630E18">
      <w:pPr>
        <w:spacing w:line="360" w:lineRule="auto"/>
        <w:jc w:val="center"/>
        <w:rPr>
          <w:rFonts w:eastAsia="Calibri"/>
          <w:b/>
          <w:bCs/>
          <w:sz w:val="32"/>
          <w:szCs w:val="32"/>
          <w:lang w:val="es-ES" w:eastAsia="en-US"/>
        </w:rPr>
      </w:pPr>
      <w:r w:rsidRPr="00630E18">
        <w:rPr>
          <w:rFonts w:eastAsia="Calibri"/>
          <w:b/>
          <w:bCs/>
          <w:sz w:val="32"/>
          <w:szCs w:val="32"/>
          <w:lang w:val="es-ES" w:eastAsia="en-US"/>
        </w:rPr>
        <w:lastRenderedPageBreak/>
        <w:t>INTRODUCCIÓN</w:t>
      </w:r>
    </w:p>
    <w:p w14:paraId="7C941D2F"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La diabetes mellitus ha provocado un aumento del interés en el desarrollo de estudios e investigaciones; más hoy, que es considerada una pandemia, por la alta incidencia que presenta y que ha crecido a través de los años. Esta enfermedad no transmisible, genera un gasto económico importante, ya sea en países desarrollados o en vía de desarrollo. Actualmente, según el último reporte de la Federación Internacional de Diabetes (IFD por sus siglas en inglés)</w:t>
      </w:r>
      <w:r w:rsidRPr="00630E18">
        <w:rPr>
          <w:rFonts w:eastAsia="Calibri"/>
          <w:vertAlign w:val="superscript"/>
          <w:lang w:val="es-ES" w:eastAsia="en-US"/>
        </w:rPr>
        <w:t xml:space="preserve">(1) </w:t>
      </w:r>
      <w:r w:rsidRPr="00630E18">
        <w:rPr>
          <w:rFonts w:eastAsia="Calibri"/>
          <w:lang w:val="es-ES" w:eastAsia="en-US"/>
        </w:rPr>
        <w:t>existen 463 millones de personas con diabetes. La cantidad con diabetes sin diagnosticar varía según el país; con las cifras más altas están China (65,2 millones), India (43,9 millones) y EE. UU. 11,8 millones).</w:t>
      </w:r>
      <w:r w:rsidRPr="00630E18">
        <w:rPr>
          <w:rFonts w:eastAsia="Calibri"/>
          <w:vertAlign w:val="superscript"/>
          <w:lang w:val="es-ES" w:eastAsia="en-US"/>
        </w:rPr>
        <w:t xml:space="preserve"> </w:t>
      </w:r>
    </w:p>
    <w:p w14:paraId="59309A58"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El diagnóstico temprano de la diabetes mellitus ha tomado un papel importarte en los últimos años; para ello se han elaborado diferentes modelos predictivos, que se han validado en diferentes regiones del mundo, con el objetivo de generalizarlos. En 1992 se elaboró la puntuación de riesgo para diabetes finlandés (FINDRISC por sus siglas en inglés),</w:t>
      </w:r>
      <w:r w:rsidRPr="00630E18">
        <w:rPr>
          <w:rFonts w:eastAsia="Calibri"/>
          <w:vertAlign w:val="superscript"/>
          <w:lang w:val="es-ES" w:eastAsia="en-US"/>
        </w:rPr>
        <w:t>(2)</w:t>
      </w:r>
      <w:r w:rsidRPr="00630E18">
        <w:rPr>
          <w:rFonts w:eastAsia="Calibri"/>
          <w:lang w:val="es-ES" w:eastAsia="en-US"/>
        </w:rPr>
        <w:t xml:space="preserve"> que es el instrumento más utilizado en el mundo, para evaluar el riesgo de diabetes mellitus 2.</w:t>
      </w:r>
      <w:r w:rsidRPr="00630E18">
        <w:rPr>
          <w:rFonts w:eastAsia="Calibri"/>
          <w:vertAlign w:val="superscript"/>
          <w:lang w:val="es-ES" w:eastAsia="en-US"/>
        </w:rPr>
        <w:t xml:space="preserve"> </w:t>
      </w:r>
      <w:r w:rsidRPr="00630E18">
        <w:rPr>
          <w:rFonts w:eastAsia="Calibri"/>
          <w:lang w:val="es-ES" w:eastAsia="en-US"/>
        </w:rPr>
        <w:t xml:space="preserve">Consta de 8 variables asociadas con parámetros antropométricos y factores del estilo de vida. </w:t>
      </w:r>
    </w:p>
    <w:p w14:paraId="389E0EFD"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La Asociación Americana de Diabetes (ADA por sus siglas en inglés)</w:t>
      </w:r>
      <w:r w:rsidRPr="00630E18">
        <w:rPr>
          <w:rFonts w:eastAsia="Calibri"/>
          <w:vertAlign w:val="superscript"/>
          <w:lang w:val="es-ES" w:eastAsia="en-US"/>
        </w:rPr>
        <w:t>(3)</w:t>
      </w:r>
      <w:r w:rsidRPr="00630E18">
        <w:rPr>
          <w:rFonts w:eastAsia="Calibri"/>
          <w:lang w:val="es-ES" w:eastAsia="en-US"/>
        </w:rPr>
        <w:t xml:space="preserve"> difundió el cuestionario de detección de diabetes "Haga una prueba, conozca la puntuación". Fue seguido por el cuestionario de </w:t>
      </w:r>
      <w:r w:rsidRPr="00630E18">
        <w:rPr>
          <w:rFonts w:eastAsia="Calibri"/>
          <w:i/>
          <w:iCs/>
          <w:lang w:val="es-ES" w:eastAsia="en-US"/>
        </w:rPr>
        <w:t xml:space="preserve">Herman </w:t>
      </w:r>
      <w:r w:rsidRPr="00630E18">
        <w:rPr>
          <w:rFonts w:eastAsia="Calibri"/>
          <w:lang w:val="es-ES" w:eastAsia="en-US"/>
        </w:rPr>
        <w:t>y otros</w:t>
      </w:r>
      <w:r w:rsidRPr="00630E18">
        <w:rPr>
          <w:rFonts w:eastAsia="Calibri"/>
          <w:vertAlign w:val="superscript"/>
          <w:lang w:val="es-ES" w:eastAsia="en-US"/>
        </w:rPr>
        <w:t>(4)</w:t>
      </w:r>
      <w:r w:rsidRPr="00630E18">
        <w:rPr>
          <w:rFonts w:eastAsia="Calibri"/>
          <w:lang w:val="es-ES" w:eastAsia="en-US"/>
        </w:rPr>
        <w:t xml:space="preserve"> y </w:t>
      </w:r>
      <w:r w:rsidRPr="00630E18">
        <w:rPr>
          <w:rFonts w:eastAsia="Calibri"/>
          <w:i/>
          <w:iCs/>
          <w:lang w:val="es-ES" w:eastAsia="en-US"/>
        </w:rPr>
        <w:t>Ruige</w:t>
      </w:r>
      <w:r w:rsidRPr="00630E18">
        <w:rPr>
          <w:rFonts w:eastAsia="Calibri"/>
          <w:lang w:val="es-ES" w:eastAsia="en-US"/>
        </w:rPr>
        <w:t xml:space="preserve"> y otros;</w:t>
      </w:r>
      <w:r w:rsidRPr="00630E18">
        <w:rPr>
          <w:rFonts w:eastAsia="Calibri"/>
          <w:vertAlign w:val="superscript"/>
          <w:lang w:val="es-ES" w:eastAsia="en-US"/>
        </w:rPr>
        <w:t>(5)</w:t>
      </w:r>
      <w:r w:rsidRPr="00630E18">
        <w:rPr>
          <w:rFonts w:eastAsia="Calibri"/>
          <w:lang w:val="es-ES" w:eastAsia="en-US"/>
        </w:rPr>
        <w:t xml:space="preserve"> estos se basan principalmente en una combinación de factores de riesgo demográficos, conductuales (edad, sexo, obesidad, tabaquismo, estilo de vida sedentario, ingesta diaria de frutas y verduras), antecedentes personales y familiares de diabetes e hipertensión e hijos nacidos con peso &gt; 4 kg. </w:t>
      </w:r>
    </w:p>
    <w:p w14:paraId="22B1E4C4" w14:textId="77777777" w:rsidR="00630E18" w:rsidRPr="00630E18" w:rsidRDefault="00630E18" w:rsidP="00630E18">
      <w:pPr>
        <w:spacing w:line="360" w:lineRule="auto"/>
        <w:jc w:val="both"/>
        <w:rPr>
          <w:rFonts w:eastAsia="Calibri"/>
          <w:lang w:val="es-ES" w:eastAsia="en-US"/>
        </w:rPr>
      </w:pPr>
      <w:r w:rsidRPr="00630E18">
        <w:rPr>
          <w:rFonts w:eastAsia="Calibri"/>
          <w:i/>
          <w:iCs/>
          <w:lang w:val="es-ES" w:eastAsia="en-US"/>
        </w:rPr>
        <w:t>Von Eckardstein</w:t>
      </w:r>
      <w:r w:rsidRPr="00630E18">
        <w:rPr>
          <w:rFonts w:eastAsia="Calibri"/>
          <w:lang w:val="es-ES" w:eastAsia="en-US"/>
        </w:rPr>
        <w:t xml:space="preserve"> y otros,</w:t>
      </w:r>
      <w:r w:rsidRPr="00630E18">
        <w:rPr>
          <w:rFonts w:eastAsia="Calibri"/>
          <w:vertAlign w:val="superscript"/>
          <w:lang w:val="es-ES" w:eastAsia="en-US"/>
        </w:rPr>
        <w:t>(6)</w:t>
      </w:r>
      <w:r w:rsidRPr="00630E18">
        <w:rPr>
          <w:rFonts w:eastAsia="Calibri"/>
          <w:lang w:val="es-ES" w:eastAsia="en-US"/>
        </w:rPr>
        <w:t xml:space="preserve"> durante 6,3 años desarrollaron un modelo predictivo para el diagnóstico de diabetes mellitus en una población alemana. Utilizan</w:t>
      </w:r>
      <w:r w:rsidRPr="00630E18" w:rsidDel="00BA284A">
        <w:rPr>
          <w:rFonts w:eastAsia="Calibri"/>
          <w:lang w:val="es-ES" w:eastAsia="en-US"/>
        </w:rPr>
        <w:t xml:space="preserve"> </w:t>
      </w:r>
      <w:r w:rsidRPr="00630E18">
        <w:rPr>
          <w:rFonts w:eastAsia="Calibri"/>
          <w:lang w:val="es-ES" w:eastAsia="en-US"/>
        </w:rPr>
        <w:t xml:space="preserve">la edad, el índice de masa corporal, la glucosa en ayunas, el colesterol, los antecedentes familiares y el estado de hipertensión. </w:t>
      </w:r>
    </w:p>
    <w:p w14:paraId="1DA1F96A"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Otros estudios</w:t>
      </w:r>
      <w:r w:rsidRPr="00630E18">
        <w:rPr>
          <w:rFonts w:eastAsia="Calibri"/>
          <w:vertAlign w:val="superscript"/>
          <w:lang w:val="es-ES" w:eastAsia="en-US"/>
        </w:rPr>
        <w:t xml:space="preserve">(7,8,9,10,11) </w:t>
      </w:r>
      <w:r w:rsidRPr="00630E18">
        <w:rPr>
          <w:rFonts w:eastAsia="Calibri"/>
          <w:lang w:val="es-ES" w:eastAsia="en-US"/>
        </w:rPr>
        <w:t>se han desarrollado en diferentes regiones, con las características de sus poblaciones. Realizar investigaciones de factores predictivos de diabetes mellitus resulta necesario, específicamente para las características de la población cubana.</w:t>
      </w:r>
      <w:r w:rsidRPr="00630E18">
        <w:rPr>
          <w:rFonts w:ascii="Calibri" w:eastAsia="Calibri" w:hAnsi="Calibri" w:cs="SimSun"/>
          <w:sz w:val="20"/>
          <w:szCs w:val="20"/>
          <w:lang w:val="es-ES" w:eastAsia="en-US"/>
        </w:rPr>
        <w:t xml:space="preserve"> </w:t>
      </w:r>
      <w:r w:rsidRPr="00630E18">
        <w:rPr>
          <w:rFonts w:eastAsia="Calibri"/>
          <w:lang w:val="es-ES" w:eastAsia="en-US"/>
        </w:rPr>
        <w:t>El grupo etario de mayores de 45 años, considerado un factor de riesgo según la ADA</w:t>
      </w:r>
      <w:r w:rsidRPr="00630E18">
        <w:rPr>
          <w:rFonts w:eastAsia="Calibri"/>
          <w:vertAlign w:val="superscript"/>
          <w:lang w:val="es-ES" w:eastAsia="en-US"/>
        </w:rPr>
        <w:t>(12)</w:t>
      </w:r>
      <w:r w:rsidRPr="00630E18">
        <w:rPr>
          <w:rFonts w:eastAsia="Calibri"/>
          <w:lang w:val="es-ES" w:eastAsia="en-US"/>
        </w:rPr>
        <w:t xml:space="preserve"> y seleccionado para el presente estudio, es más sensible al desarrollo de diabetes mellitus tipo 2.</w:t>
      </w:r>
    </w:p>
    <w:p w14:paraId="69EA128D"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lastRenderedPageBreak/>
        <w:t>El objetivo de esta investigación es desarrollar un puntaje de riesgo de diabetes mellitus tipo 2, en pacientes mayores de 45 años.</w:t>
      </w:r>
    </w:p>
    <w:p w14:paraId="53D68A28" w14:textId="77777777" w:rsidR="00630E18" w:rsidRPr="00630E18" w:rsidRDefault="00630E18" w:rsidP="00630E18">
      <w:pPr>
        <w:spacing w:line="360" w:lineRule="auto"/>
        <w:jc w:val="both"/>
        <w:rPr>
          <w:rFonts w:eastAsia="Calibri"/>
          <w:lang w:val="es-ES" w:eastAsia="en-US"/>
        </w:rPr>
      </w:pPr>
    </w:p>
    <w:p w14:paraId="687EFFB0" w14:textId="77777777" w:rsidR="00630E18" w:rsidRPr="00630E18" w:rsidRDefault="00630E18" w:rsidP="00630E18">
      <w:pPr>
        <w:spacing w:line="360" w:lineRule="auto"/>
        <w:jc w:val="both"/>
        <w:rPr>
          <w:rFonts w:eastAsia="Calibri"/>
          <w:lang w:val="es-ES" w:eastAsia="en-US"/>
        </w:rPr>
      </w:pPr>
    </w:p>
    <w:p w14:paraId="6B23F700" w14:textId="77777777" w:rsidR="00630E18" w:rsidRPr="00630E18" w:rsidRDefault="00630E18" w:rsidP="00630E18">
      <w:pPr>
        <w:spacing w:line="360" w:lineRule="auto"/>
        <w:jc w:val="center"/>
        <w:rPr>
          <w:rFonts w:eastAsia="Calibri"/>
          <w:b/>
          <w:bCs/>
          <w:sz w:val="32"/>
          <w:szCs w:val="32"/>
          <w:lang w:val="es-ES" w:eastAsia="en-US"/>
        </w:rPr>
      </w:pPr>
      <w:r w:rsidRPr="00630E18">
        <w:rPr>
          <w:rFonts w:eastAsia="Calibri"/>
          <w:b/>
          <w:bCs/>
          <w:sz w:val="32"/>
          <w:szCs w:val="32"/>
          <w:lang w:val="es-ES" w:eastAsia="en-US"/>
        </w:rPr>
        <w:t>MÉTODOS</w:t>
      </w:r>
    </w:p>
    <w:p w14:paraId="5DC7A2B3" w14:textId="77777777" w:rsidR="00630E18" w:rsidRPr="00630E18" w:rsidRDefault="00630E18" w:rsidP="00630E18">
      <w:pPr>
        <w:suppressAutoHyphens/>
        <w:spacing w:line="360" w:lineRule="auto"/>
        <w:jc w:val="center"/>
        <w:rPr>
          <w:b/>
          <w:bCs/>
          <w:sz w:val="28"/>
          <w:szCs w:val="28"/>
          <w:lang w:val="es-ES" w:eastAsia="ar-SA"/>
        </w:rPr>
      </w:pPr>
      <w:r w:rsidRPr="00630E18">
        <w:rPr>
          <w:b/>
          <w:bCs/>
          <w:sz w:val="28"/>
          <w:szCs w:val="28"/>
          <w:lang w:val="es-ES" w:eastAsia="ar-SA"/>
        </w:rPr>
        <w:t>Diseño</w:t>
      </w:r>
    </w:p>
    <w:p w14:paraId="4EB995DA" w14:textId="77777777" w:rsidR="00630E18" w:rsidRPr="00630E18" w:rsidRDefault="00630E18" w:rsidP="00630E18">
      <w:pPr>
        <w:suppressAutoHyphens/>
        <w:spacing w:line="360" w:lineRule="auto"/>
        <w:jc w:val="both"/>
        <w:rPr>
          <w:lang w:val="es-ES" w:eastAsia="ar-SA"/>
        </w:rPr>
      </w:pPr>
      <w:r w:rsidRPr="00630E18">
        <w:rPr>
          <w:lang w:val="es-ES" w:eastAsia="ar-SA"/>
        </w:rPr>
        <w:t>Se realizó un estudio analítico, observacional tipo de cohorte. Se utilizaron 2 cohortes: una con pacientes mayores de 45 años (cohorte de análisis) y otra para validar el puntaje de riesgo (cohorte de validación).</w:t>
      </w:r>
    </w:p>
    <w:p w14:paraId="40B6AA75" w14:textId="77777777" w:rsidR="00630E18" w:rsidRPr="00630E18" w:rsidRDefault="00630E18" w:rsidP="00630E18">
      <w:pPr>
        <w:suppressAutoHyphens/>
        <w:spacing w:line="360" w:lineRule="auto"/>
        <w:jc w:val="center"/>
        <w:rPr>
          <w:b/>
          <w:bCs/>
          <w:sz w:val="28"/>
          <w:szCs w:val="28"/>
          <w:lang w:val="es-ES" w:eastAsia="ar-SA"/>
        </w:rPr>
      </w:pPr>
      <w:r w:rsidRPr="00630E18">
        <w:rPr>
          <w:b/>
          <w:bCs/>
          <w:sz w:val="28"/>
          <w:szCs w:val="28"/>
          <w:lang w:val="es-ES" w:eastAsia="ar-SA"/>
        </w:rPr>
        <w:t>Sujetos</w:t>
      </w:r>
    </w:p>
    <w:p w14:paraId="3AB61150" w14:textId="77777777" w:rsidR="00630E18" w:rsidRPr="00630E18" w:rsidRDefault="00630E18" w:rsidP="00630E18">
      <w:pPr>
        <w:suppressAutoHyphens/>
        <w:spacing w:line="360" w:lineRule="auto"/>
        <w:jc w:val="both"/>
        <w:rPr>
          <w:lang w:val="es-ES" w:eastAsia="ar-SA"/>
        </w:rPr>
      </w:pPr>
      <w:r w:rsidRPr="00630E18">
        <w:rPr>
          <w:lang w:val="es-ES" w:eastAsia="ar-SA"/>
        </w:rPr>
        <w:t xml:space="preserve">La cohorte de análisis fue seleccionada de los pacientes atendidos en el Área de Salud del Policlínico “Pedro Díaz Coello” y del Hospital Militar “Dr. Fermín Valdés Domínguez”, de la provincia Holguín. Se conformó con los 1021 pacientes, mayores de 45 años, que se atendían en la consulta, desde el año 2016 hasta el año 2018 (3 años). </w:t>
      </w:r>
    </w:p>
    <w:p w14:paraId="75C2F67D" w14:textId="77777777" w:rsidR="00630E18" w:rsidRPr="00630E18" w:rsidRDefault="00630E18" w:rsidP="00630E18">
      <w:pPr>
        <w:suppressAutoHyphens/>
        <w:spacing w:line="360" w:lineRule="auto"/>
        <w:jc w:val="both"/>
        <w:rPr>
          <w:lang w:val="es-ES" w:eastAsia="ar-SA"/>
        </w:rPr>
      </w:pPr>
      <w:r w:rsidRPr="00630E18">
        <w:rPr>
          <w:lang w:val="es-ES" w:eastAsia="ar-SA"/>
        </w:rPr>
        <w:t xml:space="preserve">En la cohorte de validación se incluyeron todos los pacientes atendidos en la consulta de endocrinología, en las mismas instituciones, mayores de 45 años, que comenzaron su seguimiento desde enero hasta junio del año 2018. Se conformó con 891 sujetos. </w:t>
      </w:r>
    </w:p>
    <w:p w14:paraId="5376FDBD" w14:textId="77777777" w:rsidR="00630E18" w:rsidRPr="00630E18" w:rsidRDefault="00630E18" w:rsidP="00630E18">
      <w:pPr>
        <w:suppressAutoHyphens/>
        <w:spacing w:line="360" w:lineRule="auto"/>
        <w:jc w:val="both"/>
        <w:rPr>
          <w:rFonts w:ascii="Arial" w:hAnsi="Arial" w:cs="Arial"/>
          <w:lang w:val="es-ES" w:eastAsia="ar-SA"/>
        </w:rPr>
      </w:pPr>
      <w:r w:rsidRPr="00630E18">
        <w:rPr>
          <w:lang w:val="es-ES" w:eastAsia="ar-SA"/>
        </w:rPr>
        <w:t>En ambas cohortes fueron incluidos todos los sujetos atendidos en la consulta, en los periodos seleccionados, quienes dieron su consentimiento para participar en la investigación</w:t>
      </w:r>
      <w:r w:rsidRPr="00630E18">
        <w:rPr>
          <w:rFonts w:ascii="Arial" w:hAnsi="Arial" w:cs="Arial"/>
          <w:lang w:val="es-ES" w:eastAsia="ar-SA"/>
        </w:rPr>
        <w:t>.</w:t>
      </w:r>
    </w:p>
    <w:p w14:paraId="16F11DE5" w14:textId="77777777" w:rsidR="00630E18" w:rsidRPr="00630E18" w:rsidRDefault="00630E18" w:rsidP="00630E18">
      <w:pPr>
        <w:widowControl w:val="0"/>
        <w:spacing w:line="360" w:lineRule="auto"/>
        <w:jc w:val="both"/>
        <w:rPr>
          <w:rFonts w:eastAsia="Calibri"/>
          <w:b/>
          <w:lang w:val="es-ES" w:eastAsia="en-US"/>
        </w:rPr>
      </w:pPr>
      <w:r w:rsidRPr="00630E18">
        <w:rPr>
          <w:rFonts w:eastAsia="Calibri"/>
          <w:lang w:val="es-ES" w:eastAsia="en-US"/>
        </w:rPr>
        <w:t xml:space="preserve">Se excluyeron: </w:t>
      </w:r>
    </w:p>
    <w:p w14:paraId="3B1492B0" w14:textId="77777777" w:rsidR="00630E18" w:rsidRPr="00630E18" w:rsidRDefault="00630E18" w:rsidP="00EF0225">
      <w:pPr>
        <w:spacing w:line="360" w:lineRule="auto"/>
        <w:jc w:val="both"/>
        <w:rPr>
          <w:rFonts w:eastAsia="Calibri"/>
          <w:b/>
          <w:lang w:val="es-ES" w:eastAsia="en-US"/>
        </w:rPr>
      </w:pPr>
    </w:p>
    <w:p w14:paraId="1F4C4221" w14:textId="77777777" w:rsidR="00630E18" w:rsidRPr="00630E18" w:rsidRDefault="00630E18" w:rsidP="00EF0225">
      <w:pPr>
        <w:numPr>
          <w:ilvl w:val="0"/>
          <w:numId w:val="18"/>
        </w:numPr>
        <w:spacing w:line="360" w:lineRule="auto"/>
        <w:ind w:left="527" w:hanging="357"/>
        <w:jc w:val="both"/>
        <w:rPr>
          <w:rFonts w:eastAsia="Calibri"/>
          <w:lang w:val="es-ES" w:eastAsia="en-US"/>
        </w:rPr>
      </w:pPr>
      <w:r w:rsidRPr="00630E18">
        <w:rPr>
          <w:rFonts w:eastAsia="Calibri"/>
          <w:lang w:val="es-ES" w:eastAsia="en-US"/>
        </w:rPr>
        <w:t>Gestantes.</w:t>
      </w:r>
    </w:p>
    <w:p w14:paraId="4B91BDCF" w14:textId="77777777" w:rsidR="00630E18" w:rsidRPr="00630E18" w:rsidRDefault="00630E18" w:rsidP="00EF0225">
      <w:pPr>
        <w:numPr>
          <w:ilvl w:val="0"/>
          <w:numId w:val="18"/>
        </w:numPr>
        <w:spacing w:line="360" w:lineRule="auto"/>
        <w:ind w:left="527" w:hanging="357"/>
        <w:jc w:val="both"/>
        <w:rPr>
          <w:rFonts w:eastAsia="Calibri"/>
          <w:lang w:val="es-ES" w:eastAsia="en-US"/>
        </w:rPr>
      </w:pPr>
      <w:r w:rsidRPr="00630E18">
        <w:rPr>
          <w:rFonts w:eastAsia="Calibri"/>
          <w:lang w:val="es-ES" w:eastAsia="en-US"/>
        </w:rPr>
        <w:t>Pacientes con criterios diagnósticos de prediabetes y diabetes mellitus según la ADA.</w:t>
      </w:r>
      <w:r w:rsidRPr="00630E18">
        <w:rPr>
          <w:rFonts w:eastAsia="Calibri"/>
          <w:vertAlign w:val="superscript"/>
          <w:lang w:val="es-ES" w:eastAsia="en-US"/>
        </w:rPr>
        <w:t>(12)</w:t>
      </w:r>
    </w:p>
    <w:p w14:paraId="312B9587" w14:textId="77777777" w:rsidR="00630E18" w:rsidRPr="00630E18" w:rsidRDefault="00630E18" w:rsidP="00EF0225">
      <w:pPr>
        <w:numPr>
          <w:ilvl w:val="0"/>
          <w:numId w:val="18"/>
        </w:numPr>
        <w:spacing w:line="360" w:lineRule="auto"/>
        <w:ind w:left="527" w:hanging="357"/>
        <w:jc w:val="both"/>
        <w:rPr>
          <w:rFonts w:eastAsia="Calibri"/>
          <w:lang w:val="es-ES" w:eastAsia="en-US"/>
        </w:rPr>
      </w:pPr>
      <w:r w:rsidRPr="00630E18">
        <w:rPr>
          <w:rFonts w:eastAsia="Calibri"/>
          <w:lang w:val="es-ES" w:eastAsia="en-US"/>
        </w:rPr>
        <w:t>Pacientes que abandonaron el estudio.</w:t>
      </w:r>
    </w:p>
    <w:p w14:paraId="70142206" w14:textId="77777777" w:rsidR="00630E18" w:rsidRPr="00630E18" w:rsidRDefault="00630E18" w:rsidP="00EF0225">
      <w:pPr>
        <w:suppressAutoHyphens/>
        <w:spacing w:line="360" w:lineRule="auto"/>
        <w:jc w:val="both"/>
        <w:rPr>
          <w:lang w:val="es-ES" w:eastAsia="ar-SA"/>
        </w:rPr>
      </w:pPr>
    </w:p>
    <w:p w14:paraId="4F6A330B" w14:textId="77777777" w:rsidR="00630E18" w:rsidRPr="00630E18" w:rsidRDefault="00630E18" w:rsidP="00630E18">
      <w:pPr>
        <w:suppressAutoHyphens/>
        <w:spacing w:line="360" w:lineRule="auto"/>
        <w:jc w:val="both"/>
        <w:rPr>
          <w:lang w:val="es-ES" w:eastAsia="ar-SA"/>
        </w:rPr>
      </w:pPr>
      <w:r w:rsidRPr="00630E18">
        <w:rPr>
          <w:lang w:val="es-ES" w:eastAsia="ar-SA"/>
        </w:rPr>
        <w:t>En el seguimiento se perdieron 100 pacientes por: muerte, abandono de la consulta y traslado de dirección; estos casos no fueron incluidos en el análisis; por tanto, se analizaron 921 pacientes.</w:t>
      </w:r>
    </w:p>
    <w:p w14:paraId="5241DDBB" w14:textId="77777777" w:rsidR="00EF0225" w:rsidRDefault="00EF0225">
      <w:pPr>
        <w:rPr>
          <w:b/>
          <w:sz w:val="28"/>
          <w:szCs w:val="28"/>
          <w:lang w:val="es-ES" w:eastAsia="ar-SA"/>
        </w:rPr>
      </w:pPr>
      <w:r>
        <w:rPr>
          <w:b/>
          <w:sz w:val="28"/>
          <w:szCs w:val="28"/>
          <w:lang w:val="es-ES" w:eastAsia="ar-SA"/>
        </w:rPr>
        <w:br w:type="page"/>
      </w:r>
    </w:p>
    <w:p w14:paraId="3835185E" w14:textId="29B650AE" w:rsidR="00630E18" w:rsidRDefault="00630E18" w:rsidP="00630E18">
      <w:pPr>
        <w:suppressAutoHyphens/>
        <w:spacing w:line="360" w:lineRule="auto"/>
        <w:jc w:val="center"/>
        <w:rPr>
          <w:b/>
          <w:sz w:val="28"/>
          <w:szCs w:val="28"/>
          <w:lang w:val="es-ES" w:eastAsia="ar-SA"/>
        </w:rPr>
      </w:pPr>
      <w:r w:rsidRPr="00630E18">
        <w:rPr>
          <w:b/>
          <w:sz w:val="28"/>
          <w:szCs w:val="28"/>
          <w:lang w:val="es-ES" w:eastAsia="ar-SA"/>
        </w:rPr>
        <w:lastRenderedPageBreak/>
        <w:t>Variables</w:t>
      </w:r>
    </w:p>
    <w:p w14:paraId="268B287C" w14:textId="77777777" w:rsidR="00ED2AE9" w:rsidRPr="00630E18" w:rsidRDefault="00ED2AE9" w:rsidP="00630E18">
      <w:pPr>
        <w:suppressAutoHyphens/>
        <w:spacing w:line="360" w:lineRule="auto"/>
        <w:jc w:val="center"/>
        <w:rPr>
          <w:b/>
          <w:sz w:val="28"/>
          <w:szCs w:val="28"/>
          <w:lang w:val="es-ES" w:eastAsia="ar-SA"/>
        </w:rPr>
      </w:pPr>
    </w:p>
    <w:p w14:paraId="67F4B326" w14:textId="77777777" w:rsidR="00630E18" w:rsidRPr="00630E18" w:rsidRDefault="00630E18" w:rsidP="00ED2AE9">
      <w:pPr>
        <w:numPr>
          <w:ilvl w:val="0"/>
          <w:numId w:val="12"/>
        </w:numPr>
        <w:spacing w:line="360" w:lineRule="auto"/>
        <w:ind w:left="284" w:hanging="284"/>
        <w:contextualSpacing/>
        <w:jc w:val="both"/>
        <w:rPr>
          <w:rFonts w:eastAsia="Calibri"/>
          <w:bCs/>
          <w:lang w:val="es-ES" w:eastAsia="en-US"/>
        </w:rPr>
      </w:pPr>
      <w:r w:rsidRPr="00630E18">
        <w:rPr>
          <w:rFonts w:eastAsia="Calibri"/>
          <w:bCs/>
          <w:lang w:val="es-ES" w:eastAsia="en-US"/>
        </w:rPr>
        <w:t>Demográficas: edad y sexo.</w:t>
      </w:r>
    </w:p>
    <w:p w14:paraId="3189B350" w14:textId="77777777" w:rsidR="00630E18" w:rsidRPr="00630E18" w:rsidRDefault="00630E18" w:rsidP="00ED2AE9">
      <w:pPr>
        <w:numPr>
          <w:ilvl w:val="0"/>
          <w:numId w:val="12"/>
        </w:numPr>
        <w:spacing w:line="360" w:lineRule="auto"/>
        <w:ind w:left="284" w:hanging="284"/>
        <w:contextualSpacing/>
        <w:jc w:val="both"/>
        <w:rPr>
          <w:rFonts w:eastAsia="Calibri"/>
          <w:bCs/>
          <w:lang w:val="es-ES" w:eastAsia="en-US"/>
        </w:rPr>
      </w:pPr>
      <w:r w:rsidRPr="00630E18">
        <w:rPr>
          <w:rFonts w:eastAsia="Calibri"/>
          <w:bCs/>
          <w:lang w:val="es-ES" w:eastAsia="en-US"/>
        </w:rPr>
        <w:t>Clínicas: tabaquismo, antecedentes patológicos familiares de diabetes mellitus (DM) y de hipertensión arterial (HTA) y antecedentes patológicos personales (APP) de HTA (Sí/No).</w:t>
      </w:r>
    </w:p>
    <w:p w14:paraId="0AB0DD3B" w14:textId="77777777" w:rsidR="00630E18" w:rsidRPr="00630E18" w:rsidRDefault="00630E18" w:rsidP="00ED2AE9">
      <w:pPr>
        <w:numPr>
          <w:ilvl w:val="0"/>
          <w:numId w:val="12"/>
        </w:numPr>
        <w:suppressAutoHyphens/>
        <w:spacing w:line="360" w:lineRule="auto"/>
        <w:ind w:left="284" w:hanging="284"/>
        <w:jc w:val="both"/>
        <w:rPr>
          <w:rFonts w:eastAsia="Calibri"/>
          <w:bCs/>
          <w:lang w:val="es-ES" w:eastAsia="en-US"/>
        </w:rPr>
      </w:pPr>
      <w:r w:rsidRPr="00630E18">
        <w:rPr>
          <w:rFonts w:eastAsia="Calibri"/>
          <w:bCs/>
          <w:lang w:val="es-ES" w:eastAsia="en-US"/>
        </w:rPr>
        <w:t xml:space="preserve">Antropométricas: </w:t>
      </w:r>
      <w:r w:rsidRPr="00630E18">
        <w:rPr>
          <w:rFonts w:eastAsia="Calibri"/>
          <w:bCs/>
          <w:lang w:val="es-MX" w:eastAsia="en-US"/>
        </w:rPr>
        <w:t>circunferencia abdominal (CA).</w:t>
      </w:r>
    </w:p>
    <w:p w14:paraId="3E23D9C1" w14:textId="77777777" w:rsidR="00630E18" w:rsidRPr="00630E18" w:rsidRDefault="00630E18" w:rsidP="00ED2AE9">
      <w:pPr>
        <w:numPr>
          <w:ilvl w:val="0"/>
          <w:numId w:val="12"/>
        </w:numPr>
        <w:spacing w:line="360" w:lineRule="auto"/>
        <w:ind w:left="284" w:hanging="284"/>
        <w:contextualSpacing/>
        <w:jc w:val="both"/>
        <w:rPr>
          <w:rFonts w:eastAsia="Calibri"/>
          <w:bCs/>
          <w:lang w:val="es-ES" w:eastAsia="en-US"/>
        </w:rPr>
      </w:pPr>
      <w:r w:rsidRPr="00630E18">
        <w:rPr>
          <w:rFonts w:eastAsia="Calibri"/>
          <w:bCs/>
          <w:lang w:val="es-ES" w:eastAsia="en-US"/>
        </w:rPr>
        <w:t>Bioquímicas: glucemia, triglicéridos y colesterol: normal o alto.</w:t>
      </w:r>
    </w:p>
    <w:p w14:paraId="0065993C" w14:textId="77777777" w:rsidR="00630E18" w:rsidRPr="00630E18" w:rsidRDefault="00630E18" w:rsidP="00EB13BB">
      <w:pPr>
        <w:numPr>
          <w:ilvl w:val="0"/>
          <w:numId w:val="22"/>
        </w:numPr>
        <w:suppressAutoHyphens/>
        <w:spacing w:line="360" w:lineRule="auto"/>
        <w:ind w:hanging="294"/>
        <w:contextualSpacing/>
        <w:jc w:val="both"/>
        <w:rPr>
          <w:rFonts w:eastAsia="Calibri"/>
          <w:lang w:val="es-ES" w:eastAsia="en-US"/>
        </w:rPr>
      </w:pPr>
      <w:r w:rsidRPr="00630E18">
        <w:rPr>
          <w:rFonts w:eastAsia="Calibri"/>
          <w:bCs/>
          <w:lang w:val="es-ES" w:eastAsia="en-US"/>
        </w:rPr>
        <w:t>Glucemia:</w:t>
      </w:r>
      <w:r w:rsidRPr="00630E18">
        <w:rPr>
          <w:rFonts w:eastAsia="Calibri"/>
          <w:lang w:val="es-ES" w:eastAsia="en-US"/>
        </w:rPr>
        <w:t xml:space="preserve"> normal &lt; 7 mmol/L </w:t>
      </w:r>
    </w:p>
    <w:p w14:paraId="54B43749" w14:textId="77777777" w:rsidR="00630E18" w:rsidRPr="00630E18" w:rsidRDefault="00630E18" w:rsidP="00EB13BB">
      <w:pPr>
        <w:numPr>
          <w:ilvl w:val="0"/>
          <w:numId w:val="22"/>
        </w:numPr>
        <w:suppressAutoHyphens/>
        <w:spacing w:line="360" w:lineRule="auto"/>
        <w:ind w:hanging="294"/>
        <w:contextualSpacing/>
        <w:jc w:val="both"/>
        <w:rPr>
          <w:rFonts w:eastAsia="Calibri"/>
          <w:lang w:val="es-ES" w:eastAsia="en-US"/>
        </w:rPr>
      </w:pPr>
      <w:r w:rsidRPr="00630E18">
        <w:rPr>
          <w:rFonts w:eastAsia="Calibri"/>
          <w:lang w:val="es-ES" w:eastAsia="en-US"/>
        </w:rPr>
        <w:t>Triglicéridos: normal &lt; de 1,70 mmol/L en mujeres y menor de 2 mmol/L en hombres</w:t>
      </w:r>
    </w:p>
    <w:p w14:paraId="20B9D6F8" w14:textId="77777777" w:rsidR="00630E18" w:rsidRPr="00630E18" w:rsidRDefault="00630E18" w:rsidP="00EB13BB">
      <w:pPr>
        <w:numPr>
          <w:ilvl w:val="0"/>
          <w:numId w:val="22"/>
        </w:numPr>
        <w:suppressAutoHyphens/>
        <w:spacing w:line="360" w:lineRule="auto"/>
        <w:ind w:hanging="294"/>
        <w:jc w:val="both"/>
        <w:rPr>
          <w:rFonts w:eastAsia="Calibri"/>
          <w:lang w:val="es-ES" w:eastAsia="en-US"/>
        </w:rPr>
      </w:pPr>
      <w:r w:rsidRPr="00630E18">
        <w:rPr>
          <w:rFonts w:eastAsia="Calibri"/>
          <w:lang w:val="es-ES" w:eastAsia="en-US"/>
        </w:rPr>
        <w:t>Colesterol: normal: &lt; de 5,6 mmol/L.</w:t>
      </w:r>
    </w:p>
    <w:p w14:paraId="1478BC17" w14:textId="77777777" w:rsidR="00630E18" w:rsidRPr="00630E18" w:rsidRDefault="00630E18" w:rsidP="00ED2AE9">
      <w:pPr>
        <w:numPr>
          <w:ilvl w:val="0"/>
          <w:numId w:val="12"/>
        </w:numPr>
        <w:suppressAutoHyphens/>
        <w:spacing w:line="360" w:lineRule="auto"/>
        <w:ind w:left="284" w:hanging="284"/>
        <w:contextualSpacing/>
        <w:jc w:val="both"/>
        <w:rPr>
          <w:rFonts w:eastAsia="Calibri"/>
          <w:bCs/>
          <w:lang w:val="es-ES" w:eastAsia="en-US"/>
        </w:rPr>
      </w:pPr>
      <w:r w:rsidRPr="00630E18">
        <w:rPr>
          <w:rFonts w:eastAsia="Calibri"/>
          <w:bCs/>
          <w:lang w:val="es-ES" w:eastAsia="en-US"/>
        </w:rPr>
        <w:t>Índice de masa corporal: peso (kg)/(talla (m)</w:t>
      </w:r>
      <w:r w:rsidRPr="00630E18">
        <w:rPr>
          <w:rFonts w:eastAsia="Calibri"/>
          <w:bCs/>
          <w:vertAlign w:val="superscript"/>
          <w:lang w:val="es-ES" w:eastAsia="en-US"/>
        </w:rPr>
        <w:t>2</w:t>
      </w:r>
      <w:r w:rsidRPr="00630E18">
        <w:rPr>
          <w:rFonts w:eastAsia="Calibri"/>
          <w:bCs/>
          <w:lang w:val="es-ES" w:eastAsia="en-US"/>
        </w:rPr>
        <w:t>. Se clasificó en:</w:t>
      </w:r>
    </w:p>
    <w:p w14:paraId="76D48995" w14:textId="77777777" w:rsidR="00630E18" w:rsidRPr="00630E18" w:rsidRDefault="00630E18" w:rsidP="00EB13BB">
      <w:pPr>
        <w:numPr>
          <w:ilvl w:val="0"/>
          <w:numId w:val="23"/>
        </w:numPr>
        <w:suppressAutoHyphens/>
        <w:spacing w:line="360" w:lineRule="auto"/>
        <w:ind w:left="709" w:hanging="283"/>
        <w:contextualSpacing/>
        <w:jc w:val="both"/>
        <w:rPr>
          <w:rFonts w:eastAsia="Calibri"/>
          <w:bCs/>
          <w:lang w:val="es-ES" w:eastAsia="en-US"/>
        </w:rPr>
      </w:pPr>
      <w:r w:rsidRPr="00630E18">
        <w:rPr>
          <w:rFonts w:eastAsia="Calibri"/>
          <w:bCs/>
          <w:lang w:val="es-ES" w:eastAsia="en-US"/>
        </w:rPr>
        <w:t xml:space="preserve">Normopeso: 18,5-24,9 </w:t>
      </w:r>
    </w:p>
    <w:p w14:paraId="52AF010E" w14:textId="77777777" w:rsidR="00630E18" w:rsidRPr="00630E18" w:rsidRDefault="00630E18" w:rsidP="00EB13BB">
      <w:pPr>
        <w:numPr>
          <w:ilvl w:val="0"/>
          <w:numId w:val="23"/>
        </w:numPr>
        <w:suppressAutoHyphens/>
        <w:spacing w:line="360" w:lineRule="auto"/>
        <w:ind w:left="709" w:hanging="283"/>
        <w:contextualSpacing/>
        <w:jc w:val="both"/>
        <w:rPr>
          <w:rFonts w:eastAsia="Calibri"/>
          <w:bCs/>
          <w:lang w:val="es-ES" w:eastAsia="en-US"/>
        </w:rPr>
      </w:pPr>
      <w:r w:rsidRPr="00630E18">
        <w:rPr>
          <w:rFonts w:eastAsia="Calibri"/>
          <w:bCs/>
          <w:lang w:val="es-ES" w:eastAsia="en-US"/>
        </w:rPr>
        <w:t xml:space="preserve">Sobrepeso: 25-29,9 </w:t>
      </w:r>
    </w:p>
    <w:p w14:paraId="1EC84D88" w14:textId="77777777" w:rsidR="00630E18" w:rsidRPr="00630E18" w:rsidRDefault="00630E18" w:rsidP="00EB13BB">
      <w:pPr>
        <w:numPr>
          <w:ilvl w:val="0"/>
          <w:numId w:val="23"/>
        </w:numPr>
        <w:suppressAutoHyphens/>
        <w:spacing w:line="360" w:lineRule="auto"/>
        <w:ind w:left="709" w:hanging="283"/>
        <w:contextualSpacing/>
        <w:jc w:val="both"/>
        <w:rPr>
          <w:rFonts w:eastAsia="Calibri"/>
          <w:bCs/>
          <w:lang w:val="es-ES" w:eastAsia="en-US"/>
        </w:rPr>
      </w:pPr>
      <w:r w:rsidRPr="00630E18">
        <w:rPr>
          <w:rFonts w:eastAsia="Calibri"/>
          <w:bCs/>
          <w:lang w:val="es-ES" w:eastAsia="en-US"/>
        </w:rPr>
        <w:t>Obesidad: ≥ 30</w:t>
      </w:r>
    </w:p>
    <w:p w14:paraId="05530CE9" w14:textId="77777777" w:rsidR="00630E18" w:rsidRPr="00630E18" w:rsidRDefault="00630E18" w:rsidP="00ED2AE9">
      <w:pPr>
        <w:numPr>
          <w:ilvl w:val="0"/>
          <w:numId w:val="12"/>
        </w:numPr>
        <w:suppressAutoHyphens/>
        <w:spacing w:line="360" w:lineRule="auto"/>
        <w:ind w:left="284" w:hanging="284"/>
        <w:jc w:val="both"/>
        <w:rPr>
          <w:rFonts w:eastAsia="Calibri"/>
          <w:bCs/>
          <w:lang w:val="es-ES" w:eastAsia="en-US"/>
        </w:rPr>
      </w:pPr>
      <w:r w:rsidRPr="00630E18">
        <w:rPr>
          <w:rFonts w:eastAsia="Calibri"/>
          <w:bCs/>
          <w:lang w:val="es-ES" w:eastAsia="en-US"/>
        </w:rPr>
        <w:t>Índice de triglicéridos-glucemia: logaritmo natural (Ln) del producto de glucosa y triglicéridos, según la fórmula: Ln (triglicéridos [mg/dL] x glucosa [mg/dL]/2). Un valor mayor de 8,4 determinó insulinorresistencia. Se clasificó en normal (hasta 8,4) o alto (por encima de 8,4).</w:t>
      </w:r>
    </w:p>
    <w:p w14:paraId="5E230A74" w14:textId="77777777" w:rsidR="00630E18" w:rsidRPr="00630E18" w:rsidRDefault="00630E18" w:rsidP="00ED2AE9">
      <w:pPr>
        <w:numPr>
          <w:ilvl w:val="0"/>
          <w:numId w:val="12"/>
        </w:numPr>
        <w:spacing w:line="360" w:lineRule="auto"/>
        <w:ind w:left="284" w:hanging="284"/>
        <w:contextualSpacing/>
        <w:jc w:val="both"/>
        <w:rPr>
          <w:rFonts w:eastAsia="Calibri"/>
          <w:bCs/>
          <w:lang w:val="es-ES" w:eastAsia="en-US"/>
        </w:rPr>
      </w:pPr>
      <w:r w:rsidRPr="00630E18">
        <w:rPr>
          <w:rFonts w:eastAsia="Calibri"/>
          <w:bCs/>
          <w:lang w:val="es-ES" w:eastAsia="en-US"/>
        </w:rPr>
        <w:t>Ecográficas: hígado graso (presencia de aumento de la ecogenicidad hepática, acompañado o no de hepatomegalia, determinada a través de la ecografía abdominal). Sí/No.</w:t>
      </w:r>
    </w:p>
    <w:p w14:paraId="0154ECBF" w14:textId="77777777" w:rsidR="00630E18" w:rsidRPr="00630E18" w:rsidRDefault="00630E18" w:rsidP="00ED2AE9">
      <w:pPr>
        <w:numPr>
          <w:ilvl w:val="0"/>
          <w:numId w:val="12"/>
        </w:numPr>
        <w:spacing w:line="360" w:lineRule="auto"/>
        <w:ind w:left="284" w:hanging="284"/>
        <w:contextualSpacing/>
        <w:jc w:val="both"/>
        <w:rPr>
          <w:rFonts w:eastAsia="Calibri"/>
          <w:bCs/>
          <w:lang w:val="es-ES" w:eastAsia="en-US"/>
        </w:rPr>
      </w:pPr>
      <w:r w:rsidRPr="00630E18">
        <w:rPr>
          <w:rFonts w:eastAsia="Calibri"/>
          <w:bCs/>
          <w:lang w:val="es-ES" w:eastAsia="en-US"/>
        </w:rPr>
        <w:t>Prueba de tolerancia a la glucosa (PTG): se consideró diabético, si después de la prueba, el paciente tenía glucemias ≥ 11,1 mmol/L.</w:t>
      </w:r>
      <w:r w:rsidRPr="00630E18">
        <w:rPr>
          <w:rFonts w:eastAsia="Calibri"/>
          <w:bCs/>
          <w:vertAlign w:val="superscript"/>
          <w:lang w:val="es-ES" w:eastAsia="en-US"/>
        </w:rPr>
        <w:t>(12)</w:t>
      </w:r>
      <w:r w:rsidRPr="00630E18">
        <w:rPr>
          <w:rFonts w:eastAsia="Calibri"/>
          <w:bCs/>
          <w:lang w:val="es-ES" w:eastAsia="en-US"/>
        </w:rPr>
        <w:t xml:space="preserve"> Se utilizó para diagnosticar diabetes en la cohorte de validación. </w:t>
      </w:r>
    </w:p>
    <w:p w14:paraId="320AFE61" w14:textId="77777777" w:rsidR="00630E18" w:rsidRPr="00630E18" w:rsidRDefault="00630E18" w:rsidP="00ED2AE9">
      <w:pPr>
        <w:suppressAutoHyphens/>
        <w:spacing w:line="360" w:lineRule="auto"/>
        <w:jc w:val="both"/>
        <w:rPr>
          <w:rFonts w:eastAsia="Calibri"/>
          <w:bCs/>
          <w:lang w:val="es-ES" w:eastAsia="en-US"/>
        </w:rPr>
      </w:pPr>
    </w:p>
    <w:p w14:paraId="6ACDA268" w14:textId="77777777" w:rsidR="00630E18" w:rsidRPr="00630E18" w:rsidRDefault="00630E18" w:rsidP="00ED2AE9">
      <w:pPr>
        <w:suppressAutoHyphens/>
        <w:spacing w:line="360" w:lineRule="auto"/>
        <w:jc w:val="both"/>
        <w:rPr>
          <w:rFonts w:eastAsia="Calibri"/>
          <w:bCs/>
          <w:lang w:val="es-ES" w:eastAsia="en-US"/>
        </w:rPr>
      </w:pPr>
      <w:r w:rsidRPr="00630E18">
        <w:rPr>
          <w:rFonts w:eastAsia="Calibri"/>
          <w:bCs/>
          <w:lang w:val="es-ES" w:eastAsia="en-US"/>
        </w:rPr>
        <w:t xml:space="preserve">Las variables independientes fueron: tabaquismo, DM, HTA, </w:t>
      </w:r>
      <w:r w:rsidRPr="00630E18">
        <w:rPr>
          <w:rFonts w:eastAsia="Calibri"/>
          <w:bCs/>
          <w:lang w:val="es-MX" w:eastAsia="en-US"/>
        </w:rPr>
        <w:t xml:space="preserve">CA, </w:t>
      </w:r>
      <w:r w:rsidRPr="00630E18">
        <w:rPr>
          <w:rFonts w:eastAsia="Calibri"/>
          <w:bCs/>
          <w:lang w:val="es-ES" w:eastAsia="en-US"/>
        </w:rPr>
        <w:t xml:space="preserve">glucemia, triglicéridos, colesterol, índice de masa corporal (IMC) e índice de triglicéridos-glucemia. </w:t>
      </w:r>
    </w:p>
    <w:p w14:paraId="6DDC6CF2" w14:textId="77777777" w:rsidR="00630E18" w:rsidRPr="00630E18" w:rsidRDefault="00630E18" w:rsidP="00ED2AE9">
      <w:pPr>
        <w:suppressAutoHyphens/>
        <w:spacing w:line="360" w:lineRule="auto"/>
        <w:jc w:val="both"/>
        <w:rPr>
          <w:rFonts w:eastAsia="Calibri"/>
          <w:bCs/>
          <w:lang w:val="es-ES" w:eastAsia="en-US"/>
        </w:rPr>
      </w:pPr>
      <w:r w:rsidRPr="00630E18">
        <w:rPr>
          <w:rFonts w:eastAsia="Calibri"/>
          <w:bCs/>
          <w:lang w:val="es-ES" w:eastAsia="en-US"/>
        </w:rPr>
        <w:t>La variable dependiente fue tener diabetes mellitus tipo 2.</w:t>
      </w:r>
    </w:p>
    <w:p w14:paraId="1EF7BB3C" w14:textId="77777777" w:rsidR="00012D98" w:rsidRDefault="00012D98">
      <w:pPr>
        <w:rPr>
          <w:rFonts w:eastAsia="Calibri"/>
          <w:b/>
          <w:bCs/>
          <w:sz w:val="28"/>
          <w:szCs w:val="28"/>
          <w:lang w:val="es-ES" w:eastAsia="en-US"/>
        </w:rPr>
      </w:pPr>
      <w:r>
        <w:rPr>
          <w:rFonts w:eastAsia="Calibri"/>
          <w:b/>
          <w:bCs/>
          <w:sz w:val="28"/>
          <w:szCs w:val="28"/>
          <w:lang w:val="es-ES" w:eastAsia="en-US"/>
        </w:rPr>
        <w:br w:type="page"/>
      </w:r>
    </w:p>
    <w:p w14:paraId="3C4C7D92" w14:textId="6B3D050D" w:rsidR="00630E18" w:rsidRPr="00630E18" w:rsidRDefault="00630E18" w:rsidP="00630E18">
      <w:pPr>
        <w:spacing w:line="360" w:lineRule="auto"/>
        <w:jc w:val="center"/>
        <w:rPr>
          <w:rFonts w:eastAsia="Calibri"/>
          <w:b/>
          <w:bCs/>
          <w:sz w:val="28"/>
          <w:szCs w:val="28"/>
          <w:lang w:val="es-ES" w:eastAsia="en-US"/>
        </w:rPr>
      </w:pPr>
      <w:r w:rsidRPr="00630E18">
        <w:rPr>
          <w:rFonts w:eastAsia="Calibri"/>
          <w:b/>
          <w:bCs/>
          <w:sz w:val="28"/>
          <w:szCs w:val="28"/>
          <w:lang w:val="es-ES" w:eastAsia="en-US"/>
        </w:rPr>
        <w:lastRenderedPageBreak/>
        <w:t>Procedimientos</w:t>
      </w:r>
    </w:p>
    <w:p w14:paraId="5D7A150A" w14:textId="77777777" w:rsidR="00630E18" w:rsidRPr="00630E18" w:rsidRDefault="00630E18" w:rsidP="00630E18">
      <w:pPr>
        <w:suppressAutoHyphens/>
        <w:spacing w:line="360" w:lineRule="auto"/>
        <w:jc w:val="both"/>
        <w:rPr>
          <w:rFonts w:eastAsia="Calibri"/>
          <w:lang w:val="es-ES" w:eastAsia="en-US"/>
        </w:rPr>
      </w:pPr>
      <w:r w:rsidRPr="00630E18">
        <w:rPr>
          <w:rFonts w:eastAsia="Calibri"/>
          <w:lang w:val="es-ES" w:eastAsia="en-US"/>
        </w:rPr>
        <w:t xml:space="preserve">En la entrevista para la inclusión, luego de la firma del consentimiento informado, se obtuvieron los datos de las variables demográficas, clínicas y antropométricas; se obtuvo una muestra de sangre venosa para las variables bioquímicas. El procedimiento se repitió en la cohorte de análisis, cada 3 meses, durante 3 años. </w:t>
      </w:r>
    </w:p>
    <w:p w14:paraId="2F861A05" w14:textId="77777777" w:rsidR="00630E18" w:rsidRPr="00630E18" w:rsidRDefault="00630E18" w:rsidP="00630E18">
      <w:pPr>
        <w:suppressAutoHyphens/>
        <w:spacing w:line="360" w:lineRule="auto"/>
        <w:jc w:val="both"/>
        <w:rPr>
          <w:rFonts w:eastAsia="Calibri"/>
          <w:bCs/>
          <w:lang w:val="es-ES" w:eastAsia="en-US"/>
        </w:rPr>
      </w:pPr>
      <w:r w:rsidRPr="00630E18">
        <w:rPr>
          <w:rFonts w:eastAsia="Calibri"/>
          <w:bCs/>
          <w:lang w:val="es-MX" w:eastAsia="en-US"/>
        </w:rPr>
        <w:t xml:space="preserve">La circunferencia abdominal se midió en cm hasta las décimas, con una cinta métrica estándar, </w:t>
      </w:r>
      <w:r w:rsidRPr="00630E18">
        <w:rPr>
          <w:rFonts w:eastAsia="Calibri"/>
          <w:bCs/>
          <w:lang w:val="es-ES" w:eastAsia="en-US"/>
        </w:rPr>
        <w:t>con el paciente al frente del examinador, de pie y relajado, en posición erecta, con el torso descubierto; a nivel del punto medio entre la última costilla y la cresta ilíaca o a nivel de la cicatriz umbilical, medido en un plano paralelo al piso. Se consideró normal hasta 102 cm para el sexo masculino y alto por encima; para el sexo femenino normal hasta 88 cm y alto por encima. El peso se obtuvo en una pesa estándar debidamente calibrada.</w:t>
      </w:r>
    </w:p>
    <w:p w14:paraId="46A0EF2F" w14:textId="77777777" w:rsidR="00630E18" w:rsidRPr="00630E18" w:rsidRDefault="00630E18" w:rsidP="00630E18">
      <w:pPr>
        <w:suppressAutoHyphens/>
        <w:spacing w:line="360" w:lineRule="auto"/>
        <w:jc w:val="both"/>
        <w:rPr>
          <w:rFonts w:eastAsia="Calibri"/>
          <w:lang w:val="es-ES" w:eastAsia="en-US"/>
        </w:rPr>
      </w:pPr>
      <w:r w:rsidRPr="00630E18">
        <w:rPr>
          <w:rFonts w:eastAsia="Calibri"/>
          <w:lang w:val="es-ES" w:eastAsia="en-US"/>
        </w:rPr>
        <w:t>A los pacientes de la cohorte de validación, seleccionados según el mismo procedimiento anterior, se les aplicó la escala de riesgo creada y de acuerdo con el resultado, si era moderado o elevado, se les realizó una PTG, para determinar si eran diabéticos.</w:t>
      </w:r>
    </w:p>
    <w:p w14:paraId="2704AED9" w14:textId="77777777" w:rsidR="00630E18" w:rsidRPr="00630E18" w:rsidRDefault="00630E18" w:rsidP="00630E18">
      <w:pPr>
        <w:spacing w:line="360" w:lineRule="auto"/>
        <w:jc w:val="center"/>
        <w:rPr>
          <w:rFonts w:eastAsia="Calibri"/>
          <w:b/>
          <w:bCs/>
          <w:sz w:val="28"/>
          <w:szCs w:val="28"/>
          <w:lang w:val="es-ES" w:eastAsia="en-US"/>
        </w:rPr>
      </w:pPr>
      <w:r w:rsidRPr="00630E18">
        <w:rPr>
          <w:rFonts w:eastAsia="Calibri"/>
          <w:b/>
          <w:bCs/>
          <w:sz w:val="28"/>
          <w:szCs w:val="28"/>
          <w:lang w:val="es-ES" w:eastAsia="en-US"/>
        </w:rPr>
        <w:t>Procesamiento</w:t>
      </w:r>
    </w:p>
    <w:p w14:paraId="79B48D53"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 xml:space="preserve">Para el procesamiento estadístico se utilizó el paquete estadístico SPSS versión 25,0.  El análisis descriptivo de las variables cualitativas se realizó mediante porcentajes frecuencias absolutas. </w:t>
      </w:r>
    </w:p>
    <w:p w14:paraId="1E9EA8D5"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Se determinaron las relaciones de las variables independientes con la variable dependiente; según la hipótesis nula de que existía independencia entre las variables independientes con la dependiente. La hipótesis alternativa fue que existía relación de la variable dependiente con las independientes.</w:t>
      </w:r>
    </w:p>
    <w:p w14:paraId="47BFBAA3"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 xml:space="preserve">El análisis se realizó a partir de la prueba de </w:t>
      </w:r>
      <w:r w:rsidRPr="00630E18">
        <w:rPr>
          <w:rFonts w:eastAsia="Calibri"/>
          <w:i/>
          <w:iCs/>
          <w:lang w:val="es-ES" w:eastAsia="en-US"/>
        </w:rPr>
        <w:t>ji</w:t>
      </w:r>
      <w:r w:rsidRPr="00630E18">
        <w:rPr>
          <w:rFonts w:eastAsia="Calibri"/>
          <w:lang w:val="es-ES" w:eastAsia="en-US"/>
        </w:rPr>
        <w:t xml:space="preserve"> cuadrado (X</w:t>
      </w:r>
      <w:r w:rsidRPr="00630E18">
        <w:rPr>
          <w:rFonts w:eastAsia="Calibri"/>
          <w:vertAlign w:val="superscript"/>
          <w:lang w:val="es-ES" w:eastAsia="en-US"/>
        </w:rPr>
        <w:t>2</w:t>
      </w:r>
      <w:r w:rsidRPr="00630E18">
        <w:rPr>
          <w:rFonts w:eastAsia="Calibri"/>
          <w:lang w:val="es-ES" w:eastAsia="en-US"/>
        </w:rPr>
        <w:t>) de independencia: si p&lt; 0,05 se rechazaba la hipótesis nula.</w:t>
      </w:r>
    </w:p>
    <w:p w14:paraId="2167CF17"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Posteriormente se realizó un análisis de regresión logística binaria. Si en la variable dicotómica paciente con diabetes mellitus tipo 2 (Sí/No), la probabilidad de que un paciente debute con diabetes mellitus tipo 2, puede expresarse en función de otras variables.</w:t>
      </w:r>
    </w:p>
    <w:p w14:paraId="268070F6"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Para valorar si el modelo era explicado por las variables en cuestión se utilizó el R cuadrado de Cox y Snell,</w:t>
      </w:r>
      <w:r w:rsidRPr="00630E18">
        <w:rPr>
          <w:rFonts w:eastAsia="Calibri"/>
          <w:b/>
          <w:bCs/>
          <w:lang w:val="es-ES" w:eastAsia="en-US"/>
        </w:rPr>
        <w:t xml:space="preserve"> </w:t>
      </w:r>
      <w:r w:rsidRPr="00630E18">
        <w:rPr>
          <w:rFonts w:eastAsia="Calibri"/>
          <w:lang w:val="es-ES" w:eastAsia="en-US"/>
        </w:rPr>
        <w:t>el cual se ajustó con el R</w:t>
      </w:r>
      <w:r w:rsidRPr="00630E18">
        <w:rPr>
          <w:rFonts w:eastAsia="Calibri"/>
          <w:vertAlign w:val="superscript"/>
          <w:lang w:val="es-ES" w:eastAsia="en-US"/>
        </w:rPr>
        <w:t>2</w:t>
      </w:r>
      <w:r w:rsidRPr="00630E18">
        <w:rPr>
          <w:rFonts w:eastAsia="Calibri"/>
          <w:lang w:val="es-ES" w:eastAsia="en-US"/>
        </w:rPr>
        <w:t xml:space="preserve"> cuadrado de Nagelkerke. La bondad de ajuste del modelo se determinó </w:t>
      </w:r>
      <w:r w:rsidRPr="00630E18">
        <w:rPr>
          <w:rFonts w:eastAsia="Calibri"/>
          <w:lang w:val="es-ES" w:eastAsia="en-US"/>
        </w:rPr>
        <w:lastRenderedPageBreak/>
        <w:t xml:space="preserve">a través de la prueba </w:t>
      </w:r>
      <w:r w:rsidRPr="00630E18">
        <w:rPr>
          <w:rFonts w:eastAsia="Calibri"/>
          <w:color w:val="010205"/>
          <w:lang w:val="es-ES" w:eastAsia="en-US"/>
        </w:rPr>
        <w:t>de Hosmer y Lemeshow.</w:t>
      </w:r>
      <w:r w:rsidRPr="00630E18">
        <w:rPr>
          <w:rFonts w:eastAsia="Calibri"/>
          <w:lang w:val="es-ES" w:eastAsia="en-US"/>
        </w:rPr>
        <w:t xml:space="preserve">  Con el estadígrafo de Wald se identificaron las variables cuyos coeficientes fueron significativamente diferentes de 0 (p&lt; 0,05). </w:t>
      </w:r>
    </w:p>
    <w:p w14:paraId="287A4B69"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 xml:space="preserve">Se obtuvo la relación de cada una de las variables de análisis con la variable a predecir, a través de la determinación del </w:t>
      </w:r>
      <w:r w:rsidRPr="00630E18">
        <w:rPr>
          <w:rFonts w:eastAsia="Calibri"/>
          <w:i/>
          <w:iCs/>
          <w:lang w:val="es-ES" w:eastAsia="en-US"/>
        </w:rPr>
        <w:t>odds ratio</w:t>
      </w:r>
      <w:r w:rsidRPr="00630E18">
        <w:rPr>
          <w:rFonts w:eastAsia="Calibri"/>
          <w:lang w:val="es-ES" w:eastAsia="en-US"/>
        </w:rPr>
        <w:t xml:space="preserve"> (OR), con un índice de confianza del 95 %. Se determinó el nivel de significación de las variables y se fueron eliminando durante el proceso, utilizando como umbral el valor de 0,05.</w:t>
      </w:r>
    </w:p>
    <w:p w14:paraId="76ABBDE7"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La escala de riesgo se formó por ítems que se integran en un índice global tomando la forma de una combinación lineal entre los ítems:</w:t>
      </w:r>
    </w:p>
    <w:p w14:paraId="35A1410D" w14:textId="77777777" w:rsidR="00630E18" w:rsidRPr="00630E18" w:rsidRDefault="00630E18" w:rsidP="00630E18">
      <w:pPr>
        <w:spacing w:line="360" w:lineRule="auto"/>
        <w:jc w:val="both"/>
        <w:rPr>
          <w:rFonts w:eastAsia="Calibri"/>
          <w:lang w:val="es-ES" w:eastAsia="en-US"/>
        </w:rPr>
      </w:pPr>
    </w:p>
    <w:p w14:paraId="06496C90" w14:textId="77777777" w:rsidR="00630E18" w:rsidRPr="00630E18" w:rsidRDefault="00630E18" w:rsidP="00630E18">
      <w:pPr>
        <w:spacing w:line="360" w:lineRule="auto"/>
        <w:jc w:val="center"/>
        <w:rPr>
          <w:rFonts w:eastAsia="Calibri"/>
          <w:lang w:val="en-US" w:eastAsia="en-US"/>
        </w:rPr>
      </w:pPr>
      <w:r w:rsidRPr="00630E18">
        <w:rPr>
          <w:rFonts w:eastAsia="Calibri"/>
          <w:lang w:val="en-US" w:eastAsia="en-US"/>
        </w:rPr>
        <w:t>I= W</w:t>
      </w:r>
      <w:r w:rsidRPr="00630E18">
        <w:rPr>
          <w:rFonts w:eastAsia="Calibri"/>
          <w:vertAlign w:val="subscript"/>
          <w:lang w:val="en-US" w:eastAsia="en-US"/>
        </w:rPr>
        <w:t>1</w:t>
      </w:r>
      <w:r w:rsidRPr="00630E18">
        <w:rPr>
          <w:rFonts w:eastAsia="Calibri"/>
          <w:lang w:val="en-US" w:eastAsia="en-US"/>
        </w:rPr>
        <w:t>X</w:t>
      </w:r>
      <w:r w:rsidRPr="00630E18">
        <w:rPr>
          <w:rFonts w:eastAsia="Calibri"/>
          <w:vertAlign w:val="subscript"/>
          <w:lang w:val="en-US" w:eastAsia="en-US"/>
        </w:rPr>
        <w:t>1</w:t>
      </w:r>
      <w:r w:rsidRPr="00630E18">
        <w:rPr>
          <w:rFonts w:eastAsia="Calibri"/>
          <w:lang w:val="en-US" w:eastAsia="en-US"/>
        </w:rPr>
        <w:t>+W</w:t>
      </w:r>
      <w:r w:rsidRPr="00630E18">
        <w:rPr>
          <w:rFonts w:eastAsia="Calibri"/>
          <w:vertAlign w:val="subscript"/>
          <w:lang w:val="en-US" w:eastAsia="en-US"/>
        </w:rPr>
        <w:t>2</w:t>
      </w:r>
      <w:r w:rsidRPr="00630E18">
        <w:rPr>
          <w:rFonts w:eastAsia="Calibri"/>
          <w:lang w:val="en-US" w:eastAsia="en-US"/>
        </w:rPr>
        <w:t>X</w:t>
      </w:r>
      <w:r w:rsidRPr="00630E18">
        <w:rPr>
          <w:rFonts w:eastAsia="Calibri"/>
          <w:vertAlign w:val="subscript"/>
          <w:lang w:val="en-US" w:eastAsia="en-US"/>
        </w:rPr>
        <w:t>2</w:t>
      </w:r>
      <w:r w:rsidRPr="00630E18">
        <w:rPr>
          <w:rFonts w:eastAsia="Calibri"/>
          <w:lang w:val="en-US" w:eastAsia="en-US"/>
        </w:rPr>
        <w:t>+……+ W</w:t>
      </w:r>
      <w:r w:rsidRPr="00630E18">
        <w:rPr>
          <w:rFonts w:eastAsia="Calibri"/>
          <w:vertAlign w:val="subscript"/>
          <w:lang w:val="en-US" w:eastAsia="en-US"/>
        </w:rPr>
        <w:t>K</w:t>
      </w:r>
      <w:r w:rsidRPr="00630E18">
        <w:rPr>
          <w:rFonts w:eastAsia="Calibri"/>
          <w:lang w:val="en-US" w:eastAsia="en-US"/>
        </w:rPr>
        <w:t>X</w:t>
      </w:r>
      <w:r w:rsidRPr="00630E18">
        <w:rPr>
          <w:rFonts w:eastAsia="Calibri"/>
          <w:vertAlign w:val="subscript"/>
          <w:lang w:val="en-US" w:eastAsia="en-US"/>
        </w:rPr>
        <w:t>K</w:t>
      </w:r>
      <w:r w:rsidRPr="00630E18">
        <w:rPr>
          <w:rFonts w:eastAsia="Calibri"/>
          <w:lang w:val="en-US" w:eastAsia="en-US"/>
        </w:rPr>
        <w:t>.</w:t>
      </w:r>
    </w:p>
    <w:p w14:paraId="49D685D0" w14:textId="77777777" w:rsidR="00630E18" w:rsidRPr="00630E18" w:rsidRDefault="00630E18" w:rsidP="00630E18">
      <w:pPr>
        <w:spacing w:line="360" w:lineRule="auto"/>
        <w:jc w:val="both"/>
        <w:rPr>
          <w:rFonts w:eastAsia="Calibri"/>
          <w:lang w:val="en-US" w:eastAsia="en-US"/>
        </w:rPr>
      </w:pPr>
    </w:p>
    <w:p w14:paraId="45D84A90" w14:textId="77777777" w:rsidR="00630E18" w:rsidRPr="00630E18" w:rsidRDefault="00630E18" w:rsidP="00630E18">
      <w:pPr>
        <w:spacing w:line="360" w:lineRule="auto"/>
        <w:jc w:val="both"/>
        <w:rPr>
          <w:rFonts w:eastAsia="Calibri"/>
          <w:lang w:val="en-US" w:eastAsia="en-US"/>
        </w:rPr>
      </w:pPr>
      <w:r w:rsidRPr="00630E18">
        <w:rPr>
          <w:rFonts w:eastAsia="Calibri"/>
          <w:lang w:val="en-US" w:eastAsia="en-US"/>
        </w:rPr>
        <w:t xml:space="preserve">Donde: </w:t>
      </w:r>
    </w:p>
    <w:p w14:paraId="15B15387"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W</w:t>
      </w:r>
      <w:r w:rsidRPr="00630E18">
        <w:rPr>
          <w:rFonts w:eastAsia="Calibri"/>
          <w:vertAlign w:val="subscript"/>
          <w:lang w:val="es-ES" w:eastAsia="en-US"/>
        </w:rPr>
        <w:t>k</w:t>
      </w:r>
      <w:r w:rsidRPr="00630E18">
        <w:rPr>
          <w:rFonts w:eastAsia="Calibri"/>
          <w:lang w:val="es-ES" w:eastAsia="en-US"/>
        </w:rPr>
        <w:t>: valor del coeficiente.</w:t>
      </w:r>
    </w:p>
    <w:p w14:paraId="4EDE1405"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X</w:t>
      </w:r>
      <w:r w:rsidRPr="00630E18">
        <w:rPr>
          <w:rFonts w:eastAsia="Calibri"/>
          <w:vertAlign w:val="subscript"/>
          <w:lang w:val="es-ES" w:eastAsia="en-US"/>
        </w:rPr>
        <w:t>k</w:t>
      </w:r>
      <w:r w:rsidRPr="00630E18">
        <w:rPr>
          <w:rFonts w:eastAsia="Calibri"/>
          <w:lang w:val="es-ES" w:eastAsia="en-US"/>
        </w:rPr>
        <w:t xml:space="preserve">: valor de las variables en cada paciente. </w:t>
      </w:r>
    </w:p>
    <w:p w14:paraId="38B2E393"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X</w:t>
      </w:r>
      <w:r w:rsidRPr="00630E18">
        <w:rPr>
          <w:rFonts w:eastAsia="Calibri"/>
          <w:vertAlign w:val="subscript"/>
          <w:lang w:val="es-ES" w:eastAsia="en-US"/>
        </w:rPr>
        <w:t>i</w:t>
      </w:r>
      <w:r w:rsidRPr="00630E18">
        <w:rPr>
          <w:rFonts w:eastAsia="Calibri"/>
          <w:lang w:val="es-ES" w:eastAsia="en-US"/>
        </w:rPr>
        <w:t>: i-ésima variable que constituyera factor de riesgo en cada análisis estadístico.</w:t>
      </w:r>
    </w:p>
    <w:p w14:paraId="41D15D7D"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W</w:t>
      </w:r>
      <w:r w:rsidRPr="00630E18">
        <w:rPr>
          <w:rFonts w:eastAsia="Calibri"/>
          <w:vertAlign w:val="subscript"/>
          <w:lang w:val="es-ES" w:eastAsia="en-US"/>
        </w:rPr>
        <w:t>i</w:t>
      </w:r>
      <w:r w:rsidRPr="00630E18">
        <w:rPr>
          <w:rFonts w:eastAsia="Calibri"/>
          <w:lang w:val="es-ES" w:eastAsia="en-US"/>
        </w:rPr>
        <w:t xml:space="preserve">: “peso” escogido para dicha variable. </w:t>
      </w:r>
    </w:p>
    <w:p w14:paraId="17FC4B25"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 xml:space="preserve">La fase de construcción se basa en la selección de los ítems que conformarían el indicador y la búsqueda de los “pesos” o ponderaciones que debería llevar cada ítem en la combinación lineal. </w:t>
      </w:r>
    </w:p>
    <w:p w14:paraId="44DB8FE6"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 xml:space="preserve">Hasta este paso se creó una variable cuantitativa, sin embargo, desde el punto de vista práctico, es preferible obtener una variable ordinal que ofrezca categorías o niveles de riesgo; de esta manera, la estratificación del riesgo del paciente es más sencilla y comprensible. </w:t>
      </w:r>
    </w:p>
    <w:p w14:paraId="362C5301"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 xml:space="preserve">Con el modelo obtenido de la regresión logística, se tomaron los valores del coeficiente beta como referencia, para determinar la puntuación y elaborar la escala de riesgo. Se ponderó cada una de los resultados en el número entero que le corresponde y se potenció el resultado al multiplicarlo por 10. </w:t>
      </w:r>
    </w:p>
    <w:p w14:paraId="5D792F25"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 xml:space="preserve">Se clasificó el riesgo con una escala ordinal definida por percentiles, dividida en cuartiles, con los percentiles 25; 50 y 75. Las categorías se denominaron: bajo, moderado, elevado y muy elevado riesgo. </w:t>
      </w:r>
    </w:p>
    <w:p w14:paraId="0D1279DB"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La escala de riesgo se validó en la cohorte de validación. Se determinó la sensibilidad, la especificidad, el valor predictivo positivo y negativo. Para determinar la capacidad predictiva del modelo obtenido,</w:t>
      </w:r>
      <w:r w:rsidRPr="00630E18" w:rsidDel="00D827A0">
        <w:rPr>
          <w:rFonts w:eastAsia="Calibri"/>
          <w:lang w:val="es-ES" w:eastAsia="en-US"/>
        </w:rPr>
        <w:t xml:space="preserve"> </w:t>
      </w:r>
      <w:r w:rsidRPr="00630E18">
        <w:rPr>
          <w:rFonts w:eastAsia="Calibri"/>
          <w:lang w:val="es-ES" w:eastAsia="en-US"/>
        </w:rPr>
        <w:t xml:space="preserve">se </w:t>
      </w:r>
      <w:r w:rsidRPr="00630E18">
        <w:rPr>
          <w:rFonts w:eastAsia="Calibri"/>
          <w:lang w:val="es-ES" w:eastAsia="en-US"/>
        </w:rPr>
        <w:lastRenderedPageBreak/>
        <w:t>calculó la curva operativa del receptor (COR) y el área bajo la curva (AUC). La elaboración y validación de la escala se realizó según los criterios del método TRIPOD.</w:t>
      </w:r>
      <w:r w:rsidRPr="00630E18">
        <w:rPr>
          <w:rFonts w:eastAsia="Calibri"/>
          <w:vertAlign w:val="superscript"/>
          <w:lang w:val="es-ES" w:eastAsia="en-US"/>
        </w:rPr>
        <w:t>(13)</w:t>
      </w:r>
    </w:p>
    <w:p w14:paraId="18D9911D" w14:textId="77777777" w:rsidR="00630E18" w:rsidRPr="00630E18" w:rsidRDefault="00630E18" w:rsidP="00630E18">
      <w:pPr>
        <w:spacing w:line="360" w:lineRule="auto"/>
        <w:ind w:right="-170"/>
        <w:jc w:val="center"/>
        <w:rPr>
          <w:rFonts w:eastAsia="Calibri"/>
          <w:b/>
          <w:bCs/>
          <w:sz w:val="28"/>
          <w:szCs w:val="28"/>
          <w:lang w:val="es-ES" w:eastAsia="en-US"/>
        </w:rPr>
      </w:pPr>
      <w:r w:rsidRPr="00630E18">
        <w:rPr>
          <w:rFonts w:eastAsia="Calibri"/>
          <w:b/>
          <w:bCs/>
          <w:sz w:val="28"/>
          <w:szCs w:val="28"/>
          <w:lang w:val="es-ES" w:eastAsia="en-US"/>
        </w:rPr>
        <w:t>Aspectos bioéticos</w:t>
      </w:r>
    </w:p>
    <w:p w14:paraId="6DA0D51B" w14:textId="77777777" w:rsidR="00630E18" w:rsidRPr="00630E18" w:rsidRDefault="00630E18" w:rsidP="00630E18">
      <w:pPr>
        <w:spacing w:line="360" w:lineRule="auto"/>
        <w:ind w:right="-170"/>
        <w:jc w:val="both"/>
        <w:rPr>
          <w:rFonts w:eastAsia="Calibri"/>
          <w:color w:val="000000"/>
          <w:lang w:val="es-ES" w:eastAsia="en-US"/>
        </w:rPr>
      </w:pPr>
      <w:r w:rsidRPr="00630E18">
        <w:rPr>
          <w:rFonts w:eastAsia="Calibri"/>
          <w:color w:val="000000"/>
          <w:lang w:val="es-ES" w:eastAsia="en-US"/>
        </w:rPr>
        <w:t>Esta investigación se realizó de acuerdo con los principios establecidos en la Declaración de Helsinki de la Asamblea Médica Mundial.</w:t>
      </w:r>
      <w:r w:rsidRPr="00630E18">
        <w:rPr>
          <w:rFonts w:eastAsia="Calibri"/>
          <w:color w:val="000000"/>
          <w:vertAlign w:val="superscript"/>
          <w:lang w:val="es-ES" w:eastAsia="en-US"/>
        </w:rPr>
        <w:t>(14)</w:t>
      </w:r>
      <w:r w:rsidRPr="00630E18">
        <w:rPr>
          <w:rFonts w:eastAsia="Calibri"/>
          <w:color w:val="000000"/>
          <w:lang w:val="es-ES" w:eastAsia="en-US"/>
        </w:rPr>
        <w:t xml:space="preserve"> Fue aprobado por el Consejo Científico y el Comité de Ética de la investigación del Hospital Militar “Dr. Fermín Valdés Domínguez”. Todos los participantes manifestaron mediante consentimiento informado, su disposición a participar en la investigación.</w:t>
      </w:r>
    </w:p>
    <w:p w14:paraId="4E1C6944" w14:textId="77777777" w:rsidR="00630E18" w:rsidRPr="00630E18" w:rsidRDefault="00630E18" w:rsidP="00630E18">
      <w:pPr>
        <w:spacing w:line="360" w:lineRule="auto"/>
        <w:ind w:right="-170"/>
        <w:jc w:val="both"/>
        <w:rPr>
          <w:rFonts w:eastAsia="Calibri"/>
          <w:color w:val="000000"/>
          <w:lang w:val="es-ES" w:eastAsia="en-US"/>
        </w:rPr>
      </w:pPr>
    </w:p>
    <w:p w14:paraId="32FF244E" w14:textId="77777777" w:rsidR="00630E18" w:rsidRPr="00630E18" w:rsidRDefault="00630E18" w:rsidP="00630E18">
      <w:pPr>
        <w:spacing w:line="360" w:lineRule="auto"/>
        <w:ind w:right="-170"/>
        <w:jc w:val="center"/>
        <w:rPr>
          <w:rFonts w:eastAsia="Calibri"/>
          <w:b/>
          <w:bCs/>
          <w:sz w:val="32"/>
          <w:szCs w:val="32"/>
          <w:lang w:val="es-ES" w:eastAsia="en-US"/>
        </w:rPr>
      </w:pPr>
    </w:p>
    <w:p w14:paraId="01208C92" w14:textId="77777777" w:rsidR="00630E18" w:rsidRPr="00630E18" w:rsidRDefault="00630E18" w:rsidP="00630E18">
      <w:pPr>
        <w:spacing w:line="360" w:lineRule="auto"/>
        <w:ind w:right="-170"/>
        <w:jc w:val="center"/>
        <w:rPr>
          <w:rFonts w:eastAsia="Calibri"/>
          <w:sz w:val="32"/>
          <w:szCs w:val="32"/>
          <w:lang w:val="es-ES" w:eastAsia="en-US"/>
        </w:rPr>
      </w:pPr>
      <w:r w:rsidRPr="00630E18">
        <w:rPr>
          <w:rFonts w:eastAsia="Calibri"/>
          <w:b/>
          <w:bCs/>
          <w:sz w:val="32"/>
          <w:szCs w:val="32"/>
          <w:lang w:val="es-ES" w:eastAsia="en-US"/>
        </w:rPr>
        <w:t>RESULTADOS</w:t>
      </w:r>
    </w:p>
    <w:p w14:paraId="58BD7469"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En la cohorte de análisis, el 68,6 % de los pacientes fueron del sexo femenino y el 31,4 % del masculino; el 27,9 % tenía antecedentes familiares de DM; el 33,4 % APP de HTA; el 36,6 % tenía obesidad o sobrepeso; la CA elevada en el 25,0 %, el colesterol en el 30,6 % y los triglicéridos el 30,1 %. El 29,1 % tenía historial de tabaquismo, el 30,3 % hígado graso, el 30,1 % presentó insulinorresistencia y el 36,5 % desarrolló DM 2 a los 3 años de seguimiento (tabla 1).</w:t>
      </w:r>
    </w:p>
    <w:p w14:paraId="7727C2E6" w14:textId="77777777" w:rsidR="00630E18" w:rsidRPr="00630E18" w:rsidRDefault="00630E18" w:rsidP="00630E18">
      <w:pPr>
        <w:spacing w:line="360" w:lineRule="auto"/>
        <w:jc w:val="both"/>
        <w:rPr>
          <w:rFonts w:eastAsia="Calibri"/>
          <w:lang w:val="es-ES" w:eastAsia="en-US"/>
        </w:rPr>
      </w:pPr>
    </w:p>
    <w:p w14:paraId="68F13F82" w14:textId="77777777" w:rsidR="00012D98" w:rsidRDefault="00012D98">
      <w:pPr>
        <w:rPr>
          <w:rFonts w:eastAsia="Calibri"/>
          <w:b/>
          <w:bCs/>
          <w:sz w:val="22"/>
          <w:szCs w:val="22"/>
          <w:lang w:val="es-ES" w:eastAsia="en-US"/>
        </w:rPr>
      </w:pPr>
      <w:r>
        <w:rPr>
          <w:rFonts w:eastAsia="Calibri"/>
          <w:b/>
          <w:bCs/>
          <w:sz w:val="22"/>
          <w:szCs w:val="22"/>
          <w:lang w:val="es-ES" w:eastAsia="en-US"/>
        </w:rPr>
        <w:br w:type="page"/>
      </w:r>
    </w:p>
    <w:p w14:paraId="4B6CE64B" w14:textId="20D6BBD9" w:rsidR="00630E18" w:rsidRPr="00630E18" w:rsidRDefault="00630E18" w:rsidP="00630E18">
      <w:pPr>
        <w:spacing w:line="360" w:lineRule="auto"/>
        <w:jc w:val="center"/>
        <w:rPr>
          <w:rFonts w:eastAsia="Calibri"/>
          <w:sz w:val="22"/>
          <w:szCs w:val="22"/>
          <w:lang w:val="es-ES" w:eastAsia="en-US"/>
        </w:rPr>
      </w:pPr>
      <w:r w:rsidRPr="00630E18">
        <w:rPr>
          <w:rFonts w:eastAsia="Calibri"/>
          <w:b/>
          <w:bCs/>
          <w:sz w:val="22"/>
          <w:szCs w:val="22"/>
          <w:lang w:val="es-ES" w:eastAsia="en-US"/>
        </w:rPr>
        <w:lastRenderedPageBreak/>
        <w:t>Tabla 1 -</w:t>
      </w:r>
      <w:r w:rsidRPr="00630E18">
        <w:rPr>
          <w:rFonts w:eastAsia="Calibri"/>
          <w:sz w:val="22"/>
          <w:szCs w:val="22"/>
          <w:lang w:val="es-ES" w:eastAsia="en-US"/>
        </w:rPr>
        <w:t xml:space="preserve"> Caracterización de los pacientes de las cohortes de análisis y validación</w:t>
      </w:r>
    </w:p>
    <w:p w14:paraId="483F29AC" w14:textId="5AE37431" w:rsidR="00E57596" w:rsidRDefault="00E57596" w:rsidP="00630E18">
      <w:pPr>
        <w:spacing w:line="360" w:lineRule="auto"/>
        <w:jc w:val="center"/>
        <w:rPr>
          <w:rFonts w:eastAsia="Calibri"/>
          <w:bCs/>
          <w:sz w:val="16"/>
          <w:szCs w:val="16"/>
          <w:lang w:val="es-ES" w:eastAsia="en-US"/>
        </w:rPr>
      </w:pPr>
      <w:r w:rsidRPr="001B6215">
        <w:rPr>
          <w:noProof/>
          <w:lang w:eastAsia="es-ES"/>
        </w:rPr>
        <w:drawing>
          <wp:inline distT="0" distB="0" distL="0" distR="0" wp14:anchorId="62ED5E7B" wp14:editId="474E76FD">
            <wp:extent cx="4476750" cy="5248275"/>
            <wp:effectExtent l="0" t="0" r="0" b="9525"/>
            <wp:docPr id="1" name="Imagen 1" descr="G:\11.10.23\2509\t01_25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1.10.23\2509\t01_2509.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0" cy="5248275"/>
                    </a:xfrm>
                    <a:prstGeom prst="rect">
                      <a:avLst/>
                    </a:prstGeom>
                    <a:noFill/>
                    <a:ln>
                      <a:noFill/>
                    </a:ln>
                  </pic:spPr>
                </pic:pic>
              </a:graphicData>
            </a:graphic>
          </wp:inline>
        </w:drawing>
      </w:r>
    </w:p>
    <w:p w14:paraId="5A604CB4" w14:textId="178E46CF" w:rsidR="00630E18" w:rsidRPr="00630E18" w:rsidRDefault="00630E18" w:rsidP="00630E18">
      <w:pPr>
        <w:spacing w:line="360" w:lineRule="auto"/>
        <w:jc w:val="center"/>
        <w:rPr>
          <w:rFonts w:eastAsia="Calibri"/>
          <w:bCs/>
          <w:sz w:val="16"/>
          <w:szCs w:val="16"/>
          <w:lang w:val="es-ES" w:eastAsia="en-US"/>
        </w:rPr>
      </w:pPr>
      <w:r w:rsidRPr="00630E18">
        <w:rPr>
          <w:rFonts w:eastAsia="Calibri"/>
          <w:bCs/>
          <w:sz w:val="16"/>
          <w:szCs w:val="16"/>
          <w:lang w:val="es-ES" w:eastAsia="en-US"/>
        </w:rPr>
        <w:t>APF DM 2: antecedentes patológicos de diabetes mellitus tipo 2; APP HTA: antecedentes patológicos personales de hipertensión arterial; IMC: índice de masa corporal; CA: circunferencia abdominal.</w:t>
      </w:r>
    </w:p>
    <w:p w14:paraId="3B6B887C" w14:textId="5DCC8A81" w:rsidR="00630E18" w:rsidRPr="00630E18" w:rsidRDefault="00630E18" w:rsidP="00630E18">
      <w:pPr>
        <w:spacing w:line="360" w:lineRule="auto"/>
        <w:jc w:val="center"/>
        <w:rPr>
          <w:rFonts w:eastAsia="Calibri"/>
          <w:lang w:val="es-ES" w:eastAsia="en-US"/>
        </w:rPr>
      </w:pPr>
    </w:p>
    <w:p w14:paraId="275FC787" w14:textId="77777777" w:rsidR="00630E18" w:rsidRPr="00630E18" w:rsidRDefault="00630E18" w:rsidP="00630E18">
      <w:pPr>
        <w:spacing w:line="360" w:lineRule="auto"/>
        <w:jc w:val="both"/>
        <w:rPr>
          <w:rFonts w:eastAsia="Calibri"/>
          <w:color w:val="000000"/>
          <w:lang w:val="es-ES" w:eastAsia="en-US"/>
        </w:rPr>
      </w:pPr>
      <w:r w:rsidRPr="00630E18">
        <w:rPr>
          <w:rFonts w:eastAsia="Calibri"/>
          <w:lang w:val="es-ES" w:eastAsia="en-US"/>
        </w:rPr>
        <w:t>Se obtuvo un modelo en el cual X</w:t>
      </w:r>
      <w:r w:rsidRPr="00630E18">
        <w:rPr>
          <w:rFonts w:eastAsia="Calibri"/>
          <w:vertAlign w:val="superscript"/>
          <w:lang w:val="es-ES" w:eastAsia="en-US"/>
        </w:rPr>
        <w:t>2</w:t>
      </w:r>
      <w:r w:rsidRPr="00630E18">
        <w:rPr>
          <w:rFonts w:eastAsia="Calibri"/>
          <w:lang w:val="es-ES" w:eastAsia="en-US"/>
        </w:rPr>
        <w:t>= 17 (p= 0,017)</w:t>
      </w:r>
      <w:r w:rsidRPr="00630E18">
        <w:rPr>
          <w:rFonts w:eastAsia="Calibri"/>
          <w:color w:val="000000"/>
          <w:lang w:val="es-ES" w:eastAsia="en-US"/>
        </w:rPr>
        <w:t xml:space="preserve"> que explica el 77,6 </w:t>
      </w:r>
      <w:r w:rsidRPr="00630E18">
        <w:rPr>
          <w:rFonts w:eastAsia="Calibri"/>
          <w:lang w:val="es-ES" w:eastAsia="en-US"/>
        </w:rPr>
        <w:t>% de la variable dependiente (según R</w:t>
      </w:r>
      <w:r w:rsidRPr="00630E18">
        <w:rPr>
          <w:rFonts w:eastAsia="Calibri"/>
          <w:vertAlign w:val="superscript"/>
          <w:lang w:val="es-ES" w:eastAsia="en-US"/>
        </w:rPr>
        <w:t>2</w:t>
      </w:r>
      <w:r w:rsidRPr="00630E18">
        <w:rPr>
          <w:rFonts w:eastAsia="Calibri"/>
          <w:lang w:val="es-ES" w:eastAsia="en-US"/>
        </w:rPr>
        <w:t xml:space="preserve"> cuadrado de Nagelkerke); la sensibilidad fue del 94,9 % y la especificad fue de 85,3 %. En la tabla 2 se observan las variables predictoras, con OR</w:t>
      </w:r>
      <w:r w:rsidRPr="00630E18">
        <w:rPr>
          <w:rFonts w:ascii="MS Reference Sans Serif" w:eastAsia="Calibri" w:hAnsi="MS Reference Sans Serif"/>
          <w:lang w:val="es-ES" w:eastAsia="en-US"/>
        </w:rPr>
        <w:t>&gt;</w:t>
      </w:r>
      <w:r w:rsidRPr="00630E18">
        <w:rPr>
          <w:rFonts w:eastAsia="Calibri"/>
          <w:lang w:val="es-ES" w:eastAsia="en-US"/>
        </w:rPr>
        <w:t> 1 (p</w:t>
      </w:r>
      <w:r w:rsidRPr="00630E18">
        <w:rPr>
          <w:rFonts w:eastAsia="Calibri"/>
          <w:color w:val="000000"/>
          <w:lang w:val="es-ES" w:eastAsia="en-US"/>
        </w:rPr>
        <w:t>&lt; 0,05).</w:t>
      </w:r>
    </w:p>
    <w:p w14:paraId="20764EA7" w14:textId="77777777" w:rsidR="00630E18" w:rsidRPr="00630E18" w:rsidRDefault="00630E18" w:rsidP="00630E18">
      <w:pPr>
        <w:spacing w:line="360" w:lineRule="auto"/>
        <w:jc w:val="both"/>
        <w:rPr>
          <w:rFonts w:eastAsia="Calibri"/>
          <w:lang w:val="es-ES" w:eastAsia="en-US"/>
        </w:rPr>
      </w:pPr>
    </w:p>
    <w:p w14:paraId="5A12BBF7" w14:textId="77777777" w:rsidR="00012D98" w:rsidRDefault="00012D98">
      <w:pPr>
        <w:rPr>
          <w:rFonts w:eastAsia="Calibri"/>
          <w:b/>
          <w:bCs/>
          <w:sz w:val="22"/>
          <w:szCs w:val="22"/>
          <w:lang w:val="es-ES" w:eastAsia="en-US"/>
        </w:rPr>
      </w:pPr>
      <w:r>
        <w:rPr>
          <w:rFonts w:eastAsia="Calibri"/>
          <w:b/>
          <w:bCs/>
          <w:sz w:val="22"/>
          <w:szCs w:val="22"/>
          <w:lang w:val="es-ES" w:eastAsia="en-US"/>
        </w:rPr>
        <w:br w:type="page"/>
      </w:r>
    </w:p>
    <w:p w14:paraId="75B41084" w14:textId="0AEA502E" w:rsidR="00630E18" w:rsidRPr="00630E18" w:rsidRDefault="00630E18" w:rsidP="00630E18">
      <w:pPr>
        <w:spacing w:line="360" w:lineRule="auto"/>
        <w:jc w:val="center"/>
        <w:rPr>
          <w:rFonts w:eastAsia="Calibri"/>
          <w:sz w:val="22"/>
          <w:szCs w:val="22"/>
          <w:lang w:val="es-ES" w:eastAsia="en-US"/>
        </w:rPr>
      </w:pPr>
      <w:r w:rsidRPr="00630E18">
        <w:rPr>
          <w:rFonts w:eastAsia="Calibri"/>
          <w:b/>
          <w:bCs/>
          <w:sz w:val="22"/>
          <w:szCs w:val="22"/>
          <w:lang w:val="es-ES" w:eastAsia="en-US"/>
        </w:rPr>
        <w:lastRenderedPageBreak/>
        <w:t xml:space="preserve">Tabla 2 - </w:t>
      </w:r>
      <w:r w:rsidRPr="00630E18">
        <w:rPr>
          <w:rFonts w:eastAsia="Calibri"/>
          <w:sz w:val="22"/>
          <w:szCs w:val="22"/>
          <w:lang w:val="es-ES" w:eastAsia="en-US"/>
        </w:rPr>
        <w:t>Modelo predictivo para identificar pacientes de riesgo para la diabetes mellitus 2</w:t>
      </w:r>
    </w:p>
    <w:p w14:paraId="14F45EE5" w14:textId="5CD9C5AA" w:rsidR="00E57596" w:rsidRDefault="00E57596" w:rsidP="00630E18">
      <w:pPr>
        <w:spacing w:line="360" w:lineRule="auto"/>
        <w:jc w:val="center"/>
        <w:rPr>
          <w:rFonts w:eastAsia="Calibri"/>
          <w:bCs/>
          <w:sz w:val="16"/>
          <w:szCs w:val="16"/>
          <w:lang w:val="es-ES" w:eastAsia="en-US"/>
        </w:rPr>
      </w:pPr>
      <w:r w:rsidRPr="001B6215">
        <w:rPr>
          <w:noProof/>
          <w:color w:val="000000"/>
          <w:sz w:val="16"/>
          <w:szCs w:val="16"/>
          <w:lang w:eastAsia="es-ES"/>
        </w:rPr>
        <w:drawing>
          <wp:inline distT="0" distB="0" distL="0" distR="0" wp14:anchorId="2980FB4D" wp14:editId="54358C11">
            <wp:extent cx="4371975" cy="2314575"/>
            <wp:effectExtent l="0" t="0" r="9525" b="9525"/>
            <wp:docPr id="2" name="Imagen 2" descr="G:\11.10.23\2509\t02_25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1.10.23\2509\t02_2509.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1975" cy="2314575"/>
                    </a:xfrm>
                    <a:prstGeom prst="rect">
                      <a:avLst/>
                    </a:prstGeom>
                    <a:noFill/>
                    <a:ln>
                      <a:noFill/>
                    </a:ln>
                  </pic:spPr>
                </pic:pic>
              </a:graphicData>
            </a:graphic>
          </wp:inline>
        </w:drawing>
      </w:r>
    </w:p>
    <w:p w14:paraId="452AC1F2" w14:textId="4EC5CA72" w:rsidR="00630E18" w:rsidRPr="00630E18" w:rsidRDefault="00630E18" w:rsidP="00630E18">
      <w:pPr>
        <w:spacing w:line="360" w:lineRule="auto"/>
        <w:jc w:val="center"/>
        <w:rPr>
          <w:rFonts w:eastAsia="Calibri"/>
          <w:bCs/>
          <w:sz w:val="16"/>
          <w:szCs w:val="16"/>
          <w:lang w:val="es-ES" w:eastAsia="en-US"/>
        </w:rPr>
      </w:pPr>
      <w:r w:rsidRPr="00630E18">
        <w:rPr>
          <w:rFonts w:eastAsia="Calibri"/>
          <w:bCs/>
          <w:sz w:val="16"/>
          <w:szCs w:val="16"/>
          <w:lang w:val="es-ES" w:eastAsia="en-US"/>
        </w:rPr>
        <w:t>APF DM 2: antecedentes patológicos de diabetes mellitus tipo 2; APP HTA: antecedentes patológicos personales de hipertensión arterial; IMC: índice de masa corporal; CA: circunferencia abdominal.</w:t>
      </w:r>
    </w:p>
    <w:p w14:paraId="145F3E21" w14:textId="77777777" w:rsidR="00630E18" w:rsidRPr="00630E18" w:rsidRDefault="00630E18" w:rsidP="00630E18">
      <w:pPr>
        <w:spacing w:line="360" w:lineRule="auto"/>
        <w:jc w:val="center"/>
        <w:rPr>
          <w:rFonts w:eastAsia="Calibri"/>
          <w:color w:val="000000"/>
          <w:sz w:val="16"/>
          <w:szCs w:val="16"/>
          <w:lang w:val="es-ES" w:eastAsia="en-US"/>
        </w:rPr>
      </w:pPr>
      <w:r w:rsidRPr="00630E18">
        <w:rPr>
          <w:rFonts w:eastAsia="Calibri"/>
          <w:sz w:val="16"/>
          <w:szCs w:val="16"/>
          <w:lang w:val="es-ES" w:eastAsia="en-US"/>
        </w:rPr>
        <w:t>p</w:t>
      </w:r>
      <w:r w:rsidRPr="00630E18">
        <w:rPr>
          <w:rFonts w:eastAsia="Calibri"/>
          <w:color w:val="000000"/>
          <w:sz w:val="16"/>
          <w:szCs w:val="16"/>
          <w:lang w:val="es-ES" w:eastAsia="en-US"/>
        </w:rPr>
        <w:t>&lt; 0,05; IC= 95 %; OR&gt; 1.</w:t>
      </w:r>
    </w:p>
    <w:p w14:paraId="24DF29F8" w14:textId="456CAC7F" w:rsidR="00630E18" w:rsidRPr="00630E18" w:rsidRDefault="00630E18" w:rsidP="00630E18">
      <w:pPr>
        <w:spacing w:line="360" w:lineRule="auto"/>
        <w:jc w:val="center"/>
        <w:rPr>
          <w:rFonts w:eastAsia="Calibri"/>
          <w:color w:val="000000"/>
          <w:sz w:val="16"/>
          <w:szCs w:val="16"/>
          <w:lang w:val="es-ES" w:eastAsia="en-US"/>
        </w:rPr>
      </w:pPr>
    </w:p>
    <w:p w14:paraId="2F6D427F"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Se obtuvo un área bajo la curva con un rango de 0,725 a 0,833 para las variables del estudio. Las que mayores rangos tuvieron fueron: el valor de colesterol, triglicéridos y CA (tabla 3 y Fig. 1).</w:t>
      </w:r>
    </w:p>
    <w:p w14:paraId="0D9CC8DF" w14:textId="77777777" w:rsidR="00630E18" w:rsidRPr="00630E18" w:rsidRDefault="00630E18" w:rsidP="00630E18">
      <w:pPr>
        <w:spacing w:line="360" w:lineRule="auto"/>
        <w:jc w:val="center"/>
        <w:rPr>
          <w:rFonts w:eastAsia="Calibri"/>
          <w:b/>
          <w:bCs/>
          <w:sz w:val="22"/>
          <w:szCs w:val="22"/>
          <w:lang w:val="es-ES" w:eastAsia="en-US"/>
        </w:rPr>
      </w:pPr>
    </w:p>
    <w:p w14:paraId="52D2D878" w14:textId="77777777" w:rsidR="00630E18" w:rsidRPr="00630E18" w:rsidRDefault="00630E18" w:rsidP="00630E18">
      <w:pPr>
        <w:spacing w:line="360" w:lineRule="auto"/>
        <w:jc w:val="center"/>
        <w:rPr>
          <w:rFonts w:eastAsia="Calibri"/>
          <w:sz w:val="22"/>
          <w:szCs w:val="22"/>
          <w:lang w:val="es-ES" w:eastAsia="en-US"/>
        </w:rPr>
      </w:pPr>
      <w:r w:rsidRPr="00630E18">
        <w:rPr>
          <w:rFonts w:eastAsia="Calibri"/>
          <w:b/>
          <w:bCs/>
          <w:sz w:val="22"/>
          <w:szCs w:val="22"/>
          <w:lang w:val="es-ES" w:eastAsia="en-US"/>
        </w:rPr>
        <w:t>Tabla 3 -</w:t>
      </w:r>
      <w:r w:rsidRPr="00630E18">
        <w:rPr>
          <w:rFonts w:eastAsia="Calibri"/>
          <w:sz w:val="22"/>
          <w:szCs w:val="22"/>
          <w:lang w:val="es-ES" w:eastAsia="en-US"/>
        </w:rPr>
        <w:t xml:space="preserve"> Análisis de la curva operativa del receptor y el área bajo la curva</w:t>
      </w:r>
    </w:p>
    <w:p w14:paraId="7D4C8575" w14:textId="6D4B2985" w:rsidR="00E57596" w:rsidRDefault="00E57596" w:rsidP="00630E18">
      <w:pPr>
        <w:spacing w:line="360" w:lineRule="auto"/>
        <w:jc w:val="center"/>
        <w:rPr>
          <w:rFonts w:eastAsia="Calibri"/>
          <w:bCs/>
          <w:sz w:val="16"/>
          <w:szCs w:val="16"/>
          <w:lang w:val="es-ES" w:eastAsia="en-US"/>
        </w:rPr>
      </w:pPr>
      <w:r w:rsidRPr="001B6215">
        <w:rPr>
          <w:bCs/>
          <w:noProof/>
          <w:sz w:val="16"/>
          <w:szCs w:val="16"/>
          <w:lang w:eastAsia="es-ES"/>
        </w:rPr>
        <w:drawing>
          <wp:inline distT="0" distB="0" distL="0" distR="0" wp14:anchorId="7784D59D" wp14:editId="3E03E371">
            <wp:extent cx="4714875" cy="2381250"/>
            <wp:effectExtent l="0" t="0" r="9525" b="0"/>
            <wp:docPr id="3" name="Imagen 3" descr="G:\11.10.23\2509\t03_25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1.10.23\2509\t03_2509.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4875" cy="2381250"/>
                    </a:xfrm>
                    <a:prstGeom prst="rect">
                      <a:avLst/>
                    </a:prstGeom>
                    <a:noFill/>
                    <a:ln>
                      <a:noFill/>
                    </a:ln>
                  </pic:spPr>
                </pic:pic>
              </a:graphicData>
            </a:graphic>
          </wp:inline>
        </w:drawing>
      </w:r>
    </w:p>
    <w:p w14:paraId="6DFE75F3" w14:textId="4FC2BFFF" w:rsidR="00630E18" w:rsidRPr="00630E18" w:rsidRDefault="00630E18" w:rsidP="00630E18">
      <w:pPr>
        <w:spacing w:line="360" w:lineRule="auto"/>
        <w:jc w:val="center"/>
        <w:rPr>
          <w:rFonts w:eastAsia="Calibri"/>
          <w:bCs/>
          <w:sz w:val="16"/>
          <w:szCs w:val="16"/>
          <w:lang w:val="es-ES" w:eastAsia="en-US"/>
        </w:rPr>
      </w:pPr>
      <w:r w:rsidRPr="00630E18">
        <w:rPr>
          <w:rFonts w:eastAsia="Calibri"/>
          <w:bCs/>
          <w:sz w:val="16"/>
          <w:szCs w:val="16"/>
          <w:lang w:val="es-ES" w:eastAsia="en-US"/>
        </w:rPr>
        <w:t>APF DM 2: antecedentes patológicos de diabetes mellitus tipo 2; APP HTA: antecedentes patológicos personales de hipertensión arterial; IMC: índice de masa corporal; CA: circunferencia abdominal.</w:t>
      </w:r>
    </w:p>
    <w:p w14:paraId="55FFD78D" w14:textId="26F767F4" w:rsidR="00630E18" w:rsidRPr="00630E18" w:rsidRDefault="00630E18" w:rsidP="00630E18">
      <w:pPr>
        <w:spacing w:line="360" w:lineRule="auto"/>
        <w:jc w:val="center"/>
        <w:rPr>
          <w:rFonts w:eastAsia="Calibri"/>
          <w:bCs/>
          <w:sz w:val="16"/>
          <w:szCs w:val="16"/>
          <w:lang w:val="es-ES" w:eastAsia="en-US"/>
        </w:rPr>
      </w:pPr>
    </w:p>
    <w:p w14:paraId="52FD0D5F" w14:textId="77777777" w:rsidR="00630E18" w:rsidRPr="00630E18" w:rsidRDefault="00630E18" w:rsidP="00630E18">
      <w:pPr>
        <w:spacing w:line="360" w:lineRule="auto"/>
        <w:jc w:val="both"/>
        <w:rPr>
          <w:rFonts w:eastAsia="Calibri"/>
          <w:color w:val="000000"/>
          <w:lang w:val="es-ES" w:eastAsia="en-US"/>
        </w:rPr>
      </w:pPr>
    </w:p>
    <w:p w14:paraId="50F6C47C" w14:textId="61C2C2D2" w:rsidR="00630E18" w:rsidRPr="00630E18" w:rsidRDefault="00630E18" w:rsidP="00630E18">
      <w:pPr>
        <w:spacing w:line="360" w:lineRule="auto"/>
        <w:jc w:val="center"/>
        <w:rPr>
          <w:rFonts w:eastAsia="Calibri"/>
          <w:color w:val="000000"/>
          <w:lang w:val="es-ES" w:eastAsia="en-US"/>
        </w:rPr>
      </w:pPr>
      <w:r w:rsidRPr="00630E18">
        <w:rPr>
          <w:rFonts w:eastAsia="Calibri"/>
          <w:noProof/>
          <w:color w:val="000000"/>
          <w:lang w:val="es-ES" w:eastAsia="en-US"/>
        </w:rPr>
        <w:drawing>
          <wp:inline distT="0" distB="0" distL="0" distR="0" wp14:anchorId="6F1EF874" wp14:editId="150AFE19">
            <wp:extent cx="4865370" cy="3580130"/>
            <wp:effectExtent l="0" t="0" r="0" b="0"/>
            <wp:docPr id="21159217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5370" cy="3580130"/>
                    </a:xfrm>
                    <a:prstGeom prst="rect">
                      <a:avLst/>
                    </a:prstGeom>
                    <a:noFill/>
                    <a:ln>
                      <a:noFill/>
                    </a:ln>
                  </pic:spPr>
                </pic:pic>
              </a:graphicData>
            </a:graphic>
          </wp:inline>
        </w:drawing>
      </w:r>
    </w:p>
    <w:p w14:paraId="25DCB41F" w14:textId="77777777" w:rsidR="00630E18" w:rsidRPr="00630E18" w:rsidRDefault="00630E18" w:rsidP="00630E18">
      <w:pPr>
        <w:spacing w:line="360" w:lineRule="auto"/>
        <w:jc w:val="center"/>
        <w:rPr>
          <w:rFonts w:eastAsia="Calibri"/>
          <w:sz w:val="22"/>
          <w:szCs w:val="22"/>
          <w:lang w:val="es-ES" w:eastAsia="en-US"/>
        </w:rPr>
      </w:pPr>
      <w:r w:rsidRPr="00630E18">
        <w:rPr>
          <w:rFonts w:eastAsia="Calibri"/>
          <w:b/>
          <w:bCs/>
          <w:sz w:val="22"/>
          <w:szCs w:val="22"/>
          <w:lang w:val="es-ES" w:eastAsia="en-US"/>
        </w:rPr>
        <w:t>Fig. 1 -</w:t>
      </w:r>
      <w:r w:rsidRPr="00630E18">
        <w:rPr>
          <w:rFonts w:eastAsia="Calibri"/>
          <w:sz w:val="22"/>
          <w:szCs w:val="22"/>
          <w:lang w:val="es-ES" w:eastAsia="en-US"/>
        </w:rPr>
        <w:t xml:space="preserve"> Análisis de la curva operativa del receptor.</w:t>
      </w:r>
    </w:p>
    <w:p w14:paraId="1EF6D265" w14:textId="77777777" w:rsidR="00630E18" w:rsidRPr="00630E18" w:rsidRDefault="00630E18" w:rsidP="00630E18">
      <w:pPr>
        <w:spacing w:line="360" w:lineRule="auto"/>
        <w:jc w:val="both"/>
        <w:rPr>
          <w:rFonts w:eastAsia="Calibri"/>
          <w:color w:val="000000"/>
          <w:lang w:val="es-ES" w:eastAsia="en-US"/>
        </w:rPr>
      </w:pPr>
    </w:p>
    <w:p w14:paraId="7DF22AF4" w14:textId="77777777" w:rsidR="00630E18" w:rsidRPr="00630E18" w:rsidRDefault="00630E18" w:rsidP="00630E18">
      <w:pPr>
        <w:spacing w:line="360" w:lineRule="auto"/>
        <w:jc w:val="both"/>
        <w:rPr>
          <w:rFonts w:eastAsia="Calibri"/>
          <w:color w:val="000000"/>
          <w:lang w:val="es-ES" w:eastAsia="en-US"/>
        </w:rPr>
      </w:pPr>
      <w:r w:rsidRPr="00630E18">
        <w:rPr>
          <w:rFonts w:eastAsia="Calibri"/>
          <w:color w:val="000000"/>
          <w:lang w:val="es-ES" w:eastAsia="en-US"/>
        </w:rPr>
        <w:t>En la tabla 4 se observa la puntuación para cada una de las variables predictoras del estudio. Para determinar el riesgo se determinó una escala, con puntuación de:</w:t>
      </w:r>
    </w:p>
    <w:p w14:paraId="4E66D0AB" w14:textId="77777777" w:rsidR="00630E18" w:rsidRPr="00630E18" w:rsidRDefault="00630E18" w:rsidP="00661BDB">
      <w:pPr>
        <w:spacing w:line="360" w:lineRule="auto"/>
        <w:jc w:val="both"/>
        <w:rPr>
          <w:rFonts w:eastAsia="Calibri"/>
          <w:color w:val="000000"/>
          <w:lang w:val="es-ES" w:eastAsia="en-US"/>
        </w:rPr>
      </w:pPr>
    </w:p>
    <w:p w14:paraId="59601E0A" w14:textId="77777777" w:rsidR="00630E18" w:rsidRPr="00630E18" w:rsidRDefault="00630E18" w:rsidP="00661BDB">
      <w:pPr>
        <w:numPr>
          <w:ilvl w:val="0"/>
          <w:numId w:val="24"/>
        </w:numPr>
        <w:spacing w:line="360" w:lineRule="auto"/>
        <w:contextualSpacing/>
        <w:jc w:val="both"/>
        <w:rPr>
          <w:rFonts w:eastAsia="Calibri"/>
          <w:lang w:val="es-ES" w:eastAsia="en-US"/>
        </w:rPr>
      </w:pPr>
      <w:r w:rsidRPr="00630E18">
        <w:rPr>
          <w:rFonts w:eastAsia="Calibri"/>
          <w:lang w:val="es-ES" w:eastAsia="en-US"/>
        </w:rPr>
        <w:t>0-9: riesgo bajo;</w:t>
      </w:r>
    </w:p>
    <w:p w14:paraId="576D5161" w14:textId="77777777" w:rsidR="00630E18" w:rsidRPr="00630E18" w:rsidRDefault="00630E18" w:rsidP="00661BDB">
      <w:pPr>
        <w:numPr>
          <w:ilvl w:val="0"/>
          <w:numId w:val="24"/>
        </w:numPr>
        <w:spacing w:line="360" w:lineRule="auto"/>
        <w:contextualSpacing/>
        <w:jc w:val="both"/>
        <w:rPr>
          <w:rFonts w:eastAsia="Calibri"/>
          <w:lang w:val="es-ES" w:eastAsia="en-US"/>
        </w:rPr>
      </w:pPr>
      <w:r w:rsidRPr="00630E18">
        <w:rPr>
          <w:rFonts w:eastAsia="Calibri"/>
          <w:lang w:val="es-ES" w:eastAsia="en-US"/>
        </w:rPr>
        <w:t>10-19: riesgo moderado;</w:t>
      </w:r>
    </w:p>
    <w:p w14:paraId="17D7D7B9" w14:textId="77777777" w:rsidR="00630E18" w:rsidRPr="00630E18" w:rsidRDefault="00630E18" w:rsidP="00661BDB">
      <w:pPr>
        <w:numPr>
          <w:ilvl w:val="0"/>
          <w:numId w:val="24"/>
        </w:numPr>
        <w:spacing w:line="360" w:lineRule="auto"/>
        <w:contextualSpacing/>
        <w:jc w:val="both"/>
        <w:rPr>
          <w:rFonts w:eastAsia="Calibri"/>
          <w:lang w:val="es-ES" w:eastAsia="en-US"/>
        </w:rPr>
      </w:pPr>
      <w:r w:rsidRPr="00630E18">
        <w:rPr>
          <w:rFonts w:eastAsia="Calibri"/>
          <w:lang w:val="es-ES" w:eastAsia="en-US"/>
        </w:rPr>
        <w:t>20-30 riesgo alto.</w:t>
      </w:r>
    </w:p>
    <w:p w14:paraId="4E7B93BF" w14:textId="77777777" w:rsidR="00630E18" w:rsidRPr="00630E18" w:rsidRDefault="00630E18" w:rsidP="00661BDB">
      <w:pPr>
        <w:spacing w:line="360" w:lineRule="auto"/>
        <w:jc w:val="both"/>
        <w:rPr>
          <w:rFonts w:eastAsia="Calibri"/>
          <w:color w:val="000000"/>
          <w:lang w:val="es-ES" w:eastAsia="en-US"/>
        </w:rPr>
      </w:pPr>
    </w:p>
    <w:p w14:paraId="75DFE16C" w14:textId="77777777" w:rsidR="00630E18" w:rsidRPr="00630E18" w:rsidRDefault="00630E18" w:rsidP="00630E18">
      <w:pPr>
        <w:spacing w:line="360" w:lineRule="auto"/>
        <w:jc w:val="both"/>
        <w:rPr>
          <w:rFonts w:eastAsia="Calibri"/>
          <w:color w:val="000000"/>
          <w:lang w:val="es-ES" w:eastAsia="en-US"/>
        </w:rPr>
      </w:pPr>
      <w:r w:rsidRPr="00630E18">
        <w:rPr>
          <w:rFonts w:eastAsia="Calibri"/>
          <w:color w:val="000000"/>
          <w:lang w:val="es-ES" w:eastAsia="en-US"/>
        </w:rPr>
        <w:t>La sumatoria de los puntos de cada una de estas variables presente en un paciente, determina el riesgo final, analizado a través de la escala antes observada.</w:t>
      </w:r>
    </w:p>
    <w:p w14:paraId="28D7E0AD" w14:textId="77777777" w:rsidR="00630E18" w:rsidRPr="00630E18" w:rsidRDefault="00630E18" w:rsidP="00630E18">
      <w:pPr>
        <w:spacing w:line="360" w:lineRule="auto"/>
        <w:jc w:val="both"/>
        <w:rPr>
          <w:rFonts w:eastAsia="Calibri"/>
          <w:color w:val="000000"/>
          <w:lang w:val="es-ES" w:eastAsia="en-US"/>
        </w:rPr>
      </w:pPr>
    </w:p>
    <w:p w14:paraId="29083CB7" w14:textId="77777777" w:rsidR="00661BDB" w:rsidRDefault="00661BDB">
      <w:pPr>
        <w:rPr>
          <w:rFonts w:eastAsia="Calibri"/>
          <w:b/>
          <w:bCs/>
          <w:color w:val="000000"/>
          <w:sz w:val="22"/>
          <w:szCs w:val="22"/>
          <w:lang w:val="es-ES" w:eastAsia="en-US"/>
        </w:rPr>
      </w:pPr>
      <w:r>
        <w:rPr>
          <w:rFonts w:eastAsia="Calibri"/>
          <w:b/>
          <w:bCs/>
          <w:color w:val="000000"/>
          <w:sz w:val="22"/>
          <w:szCs w:val="22"/>
          <w:lang w:val="es-ES" w:eastAsia="en-US"/>
        </w:rPr>
        <w:br w:type="page"/>
      </w:r>
    </w:p>
    <w:p w14:paraId="7CD30ACF" w14:textId="68D75C99" w:rsidR="00630E18" w:rsidRPr="00630E18" w:rsidRDefault="00630E18" w:rsidP="00630E18">
      <w:pPr>
        <w:spacing w:line="360" w:lineRule="auto"/>
        <w:jc w:val="center"/>
        <w:rPr>
          <w:rFonts w:eastAsia="Calibri"/>
          <w:color w:val="000000"/>
          <w:sz w:val="22"/>
          <w:szCs w:val="22"/>
          <w:lang w:val="es-ES" w:eastAsia="en-US"/>
        </w:rPr>
      </w:pPr>
      <w:r w:rsidRPr="00630E18">
        <w:rPr>
          <w:rFonts w:eastAsia="Calibri"/>
          <w:b/>
          <w:bCs/>
          <w:color w:val="000000"/>
          <w:sz w:val="22"/>
          <w:szCs w:val="22"/>
          <w:lang w:val="es-ES" w:eastAsia="en-US"/>
        </w:rPr>
        <w:lastRenderedPageBreak/>
        <w:t>Tabla 4 -</w:t>
      </w:r>
      <w:r w:rsidRPr="00630E18">
        <w:rPr>
          <w:rFonts w:eastAsia="Calibri"/>
          <w:color w:val="000000"/>
          <w:sz w:val="22"/>
          <w:szCs w:val="22"/>
          <w:lang w:val="es-ES" w:eastAsia="en-US"/>
        </w:rPr>
        <w:t xml:space="preserve"> Puntaje de riesgo de diabetes mellitus tipo 2</w:t>
      </w:r>
    </w:p>
    <w:tbl>
      <w:tblPr>
        <w:tblStyle w:val="Tablaconcuadrcula1"/>
        <w:tblW w:w="4770" w:type="dxa"/>
        <w:jc w:val="center"/>
        <w:tblLook w:val="04A0" w:firstRow="1" w:lastRow="0" w:firstColumn="1" w:lastColumn="0" w:noHBand="0" w:noVBand="1"/>
      </w:tblPr>
      <w:tblGrid>
        <w:gridCol w:w="2689"/>
        <w:gridCol w:w="984"/>
        <w:gridCol w:w="1097"/>
      </w:tblGrid>
      <w:tr w:rsidR="00630E18" w:rsidRPr="00630E18" w14:paraId="661B92E6" w14:textId="77777777" w:rsidTr="00736691">
        <w:trPr>
          <w:trHeight w:val="269"/>
          <w:jc w:val="center"/>
        </w:trPr>
        <w:tc>
          <w:tcPr>
            <w:tcW w:w="2689" w:type="dxa"/>
            <w:vAlign w:val="center"/>
          </w:tcPr>
          <w:p w14:paraId="4752AFB8"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b/>
                <w:bCs/>
                <w:sz w:val="18"/>
                <w:szCs w:val="18"/>
                <w:lang w:val="es-ES" w:eastAsia="en-US"/>
              </w:rPr>
              <w:t>Variables</w:t>
            </w:r>
          </w:p>
        </w:tc>
        <w:tc>
          <w:tcPr>
            <w:tcW w:w="984" w:type="dxa"/>
            <w:vAlign w:val="center"/>
          </w:tcPr>
          <w:p w14:paraId="4A2BFDE2"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b/>
                <w:bCs/>
                <w:sz w:val="18"/>
                <w:szCs w:val="18"/>
                <w:lang w:val="es-ES" w:eastAsia="en-US"/>
              </w:rPr>
              <w:t>Exp(B)</w:t>
            </w:r>
          </w:p>
        </w:tc>
        <w:tc>
          <w:tcPr>
            <w:tcW w:w="1097" w:type="dxa"/>
            <w:vAlign w:val="center"/>
          </w:tcPr>
          <w:p w14:paraId="14B7B15A"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b/>
                <w:bCs/>
                <w:sz w:val="18"/>
                <w:szCs w:val="18"/>
                <w:lang w:val="es-ES" w:eastAsia="en-US"/>
              </w:rPr>
              <w:t>Puntuación</w:t>
            </w:r>
          </w:p>
        </w:tc>
      </w:tr>
      <w:tr w:rsidR="00630E18" w:rsidRPr="00630E18" w14:paraId="69D62CC7" w14:textId="77777777" w:rsidTr="00736691">
        <w:trPr>
          <w:trHeight w:val="228"/>
          <w:jc w:val="center"/>
        </w:trPr>
        <w:tc>
          <w:tcPr>
            <w:tcW w:w="2689" w:type="dxa"/>
            <w:vAlign w:val="center"/>
          </w:tcPr>
          <w:p w14:paraId="4ADF6D27" w14:textId="77777777" w:rsidR="00630E18" w:rsidRPr="00630E18" w:rsidRDefault="00630E18" w:rsidP="00630E18">
            <w:pPr>
              <w:spacing w:line="360" w:lineRule="auto"/>
              <w:jc w:val="both"/>
              <w:rPr>
                <w:rFonts w:ascii="Times New Roman" w:hAnsi="Times New Roman" w:cs="Times New Roman"/>
                <w:sz w:val="18"/>
                <w:szCs w:val="18"/>
                <w:lang w:val="es-ES" w:eastAsia="en-US"/>
              </w:rPr>
            </w:pPr>
            <w:r w:rsidRPr="00630E18">
              <w:rPr>
                <w:rFonts w:ascii="Times New Roman" w:hAnsi="Times New Roman" w:cs="Times New Roman"/>
                <w:sz w:val="18"/>
                <w:szCs w:val="18"/>
                <w:lang w:val="es-ES" w:eastAsia="en-US"/>
              </w:rPr>
              <w:t>IMC</w:t>
            </w:r>
          </w:p>
        </w:tc>
        <w:tc>
          <w:tcPr>
            <w:tcW w:w="984" w:type="dxa"/>
            <w:vAlign w:val="center"/>
          </w:tcPr>
          <w:p w14:paraId="786B44B6"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color w:val="010205"/>
                <w:sz w:val="18"/>
                <w:szCs w:val="18"/>
                <w:lang w:val="es-ES" w:eastAsia="en-US"/>
              </w:rPr>
              <w:t>2,618</w:t>
            </w:r>
          </w:p>
        </w:tc>
        <w:tc>
          <w:tcPr>
            <w:tcW w:w="1097" w:type="dxa"/>
            <w:vAlign w:val="center"/>
          </w:tcPr>
          <w:p w14:paraId="4637E843"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sz w:val="18"/>
                <w:szCs w:val="18"/>
                <w:lang w:val="es-ES" w:eastAsia="en-US"/>
              </w:rPr>
              <w:t>3</w:t>
            </w:r>
          </w:p>
        </w:tc>
      </w:tr>
      <w:tr w:rsidR="00630E18" w:rsidRPr="00630E18" w14:paraId="55BB9D34" w14:textId="77777777" w:rsidTr="00736691">
        <w:trPr>
          <w:trHeight w:val="135"/>
          <w:jc w:val="center"/>
        </w:trPr>
        <w:tc>
          <w:tcPr>
            <w:tcW w:w="2689" w:type="dxa"/>
            <w:vAlign w:val="center"/>
          </w:tcPr>
          <w:p w14:paraId="5880B159" w14:textId="77777777" w:rsidR="00630E18" w:rsidRPr="00630E18" w:rsidRDefault="00630E18" w:rsidP="00630E18">
            <w:pPr>
              <w:spacing w:line="360" w:lineRule="auto"/>
              <w:jc w:val="both"/>
              <w:rPr>
                <w:rFonts w:ascii="Times New Roman" w:hAnsi="Times New Roman" w:cs="Times New Roman"/>
                <w:sz w:val="18"/>
                <w:szCs w:val="18"/>
                <w:lang w:val="es-ES" w:eastAsia="en-US"/>
              </w:rPr>
            </w:pPr>
            <w:r w:rsidRPr="00630E18">
              <w:rPr>
                <w:rFonts w:ascii="Times New Roman" w:hAnsi="Times New Roman" w:cs="Times New Roman"/>
                <w:sz w:val="18"/>
                <w:szCs w:val="18"/>
                <w:lang w:val="es-ES" w:eastAsia="en-US"/>
              </w:rPr>
              <w:t xml:space="preserve">Colesterol </w:t>
            </w:r>
          </w:p>
        </w:tc>
        <w:tc>
          <w:tcPr>
            <w:tcW w:w="984" w:type="dxa"/>
            <w:vAlign w:val="center"/>
          </w:tcPr>
          <w:p w14:paraId="5C20821D"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color w:val="010205"/>
                <w:sz w:val="18"/>
                <w:szCs w:val="18"/>
                <w:lang w:val="es-ES" w:eastAsia="en-US"/>
              </w:rPr>
              <w:t>4,005</w:t>
            </w:r>
          </w:p>
        </w:tc>
        <w:tc>
          <w:tcPr>
            <w:tcW w:w="1097" w:type="dxa"/>
            <w:vAlign w:val="center"/>
          </w:tcPr>
          <w:p w14:paraId="662C8A1E"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sz w:val="18"/>
                <w:szCs w:val="18"/>
                <w:lang w:val="es-ES" w:eastAsia="en-US"/>
              </w:rPr>
              <w:t>4</w:t>
            </w:r>
          </w:p>
        </w:tc>
      </w:tr>
      <w:tr w:rsidR="00630E18" w:rsidRPr="00630E18" w14:paraId="63E88BBC" w14:textId="77777777" w:rsidTr="00736691">
        <w:trPr>
          <w:trHeight w:val="196"/>
          <w:jc w:val="center"/>
        </w:trPr>
        <w:tc>
          <w:tcPr>
            <w:tcW w:w="2689" w:type="dxa"/>
            <w:vAlign w:val="center"/>
          </w:tcPr>
          <w:p w14:paraId="198ABAD8" w14:textId="77777777" w:rsidR="00630E18" w:rsidRPr="00630E18" w:rsidRDefault="00630E18" w:rsidP="00630E18">
            <w:pPr>
              <w:spacing w:line="360" w:lineRule="auto"/>
              <w:jc w:val="both"/>
              <w:rPr>
                <w:rFonts w:ascii="Times New Roman" w:hAnsi="Times New Roman" w:cs="Times New Roman"/>
                <w:sz w:val="18"/>
                <w:szCs w:val="18"/>
                <w:lang w:val="es-ES" w:eastAsia="en-US"/>
              </w:rPr>
            </w:pPr>
            <w:r w:rsidRPr="00630E18">
              <w:rPr>
                <w:rFonts w:ascii="Times New Roman" w:hAnsi="Times New Roman" w:cs="Times New Roman"/>
                <w:sz w:val="18"/>
                <w:szCs w:val="18"/>
                <w:lang w:val="es-ES" w:eastAsia="en-US"/>
              </w:rPr>
              <w:t>APF DM</w:t>
            </w:r>
          </w:p>
        </w:tc>
        <w:tc>
          <w:tcPr>
            <w:tcW w:w="984" w:type="dxa"/>
            <w:vAlign w:val="center"/>
          </w:tcPr>
          <w:p w14:paraId="7A2EB9F8"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color w:val="010205"/>
                <w:sz w:val="18"/>
                <w:szCs w:val="18"/>
                <w:lang w:val="es-ES" w:eastAsia="en-US"/>
              </w:rPr>
              <w:t>2,521</w:t>
            </w:r>
          </w:p>
        </w:tc>
        <w:tc>
          <w:tcPr>
            <w:tcW w:w="1097" w:type="dxa"/>
            <w:vAlign w:val="center"/>
          </w:tcPr>
          <w:p w14:paraId="6DA16690"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sz w:val="18"/>
                <w:szCs w:val="18"/>
                <w:lang w:val="es-ES" w:eastAsia="en-US"/>
              </w:rPr>
              <w:t>3</w:t>
            </w:r>
          </w:p>
        </w:tc>
      </w:tr>
      <w:tr w:rsidR="00630E18" w:rsidRPr="00630E18" w14:paraId="6176683B" w14:textId="77777777" w:rsidTr="00736691">
        <w:trPr>
          <w:trHeight w:val="332"/>
          <w:jc w:val="center"/>
        </w:trPr>
        <w:tc>
          <w:tcPr>
            <w:tcW w:w="2689" w:type="dxa"/>
            <w:vAlign w:val="center"/>
          </w:tcPr>
          <w:p w14:paraId="6B459B03" w14:textId="77777777" w:rsidR="00630E18" w:rsidRPr="00630E18" w:rsidRDefault="00630E18" w:rsidP="00630E18">
            <w:pPr>
              <w:spacing w:line="360" w:lineRule="auto"/>
              <w:jc w:val="both"/>
              <w:rPr>
                <w:rFonts w:ascii="Times New Roman" w:hAnsi="Times New Roman" w:cs="Times New Roman"/>
                <w:sz w:val="18"/>
                <w:szCs w:val="18"/>
                <w:lang w:val="es-ES" w:eastAsia="en-US"/>
              </w:rPr>
            </w:pPr>
            <w:r w:rsidRPr="00630E18">
              <w:rPr>
                <w:rFonts w:ascii="Times New Roman" w:hAnsi="Times New Roman" w:cs="Times New Roman"/>
                <w:sz w:val="18"/>
                <w:szCs w:val="18"/>
                <w:lang w:val="es-ES" w:eastAsia="en-US"/>
              </w:rPr>
              <w:t>Tabaquismo</w:t>
            </w:r>
          </w:p>
        </w:tc>
        <w:tc>
          <w:tcPr>
            <w:tcW w:w="984" w:type="dxa"/>
            <w:vAlign w:val="center"/>
          </w:tcPr>
          <w:p w14:paraId="6858BB9F"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color w:val="010205"/>
                <w:sz w:val="18"/>
                <w:szCs w:val="18"/>
                <w:lang w:val="es-ES" w:eastAsia="en-US"/>
              </w:rPr>
              <w:t>3,609</w:t>
            </w:r>
          </w:p>
        </w:tc>
        <w:tc>
          <w:tcPr>
            <w:tcW w:w="1097" w:type="dxa"/>
            <w:vAlign w:val="center"/>
          </w:tcPr>
          <w:p w14:paraId="2F22B494"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sz w:val="18"/>
                <w:szCs w:val="18"/>
                <w:lang w:val="es-ES" w:eastAsia="en-US"/>
              </w:rPr>
              <w:t>4</w:t>
            </w:r>
          </w:p>
        </w:tc>
      </w:tr>
      <w:tr w:rsidR="00630E18" w:rsidRPr="00630E18" w14:paraId="75E7A9A2" w14:textId="77777777" w:rsidTr="00736691">
        <w:trPr>
          <w:trHeight w:val="325"/>
          <w:jc w:val="center"/>
        </w:trPr>
        <w:tc>
          <w:tcPr>
            <w:tcW w:w="2689" w:type="dxa"/>
            <w:vAlign w:val="center"/>
          </w:tcPr>
          <w:p w14:paraId="168990CE" w14:textId="77777777" w:rsidR="00630E18" w:rsidRPr="00630E18" w:rsidRDefault="00630E18" w:rsidP="00630E18">
            <w:pPr>
              <w:spacing w:line="360" w:lineRule="auto"/>
              <w:jc w:val="both"/>
              <w:rPr>
                <w:rFonts w:ascii="Times New Roman" w:hAnsi="Times New Roman" w:cs="Times New Roman"/>
                <w:sz w:val="18"/>
                <w:szCs w:val="18"/>
                <w:lang w:val="es-ES" w:eastAsia="en-US"/>
              </w:rPr>
            </w:pPr>
            <w:r w:rsidRPr="00630E18">
              <w:rPr>
                <w:rFonts w:ascii="Times New Roman" w:hAnsi="Times New Roman" w:cs="Times New Roman"/>
                <w:sz w:val="18"/>
                <w:szCs w:val="18"/>
                <w:lang w:val="es-ES" w:eastAsia="en-US"/>
              </w:rPr>
              <w:t>Presencia de hígado graso</w:t>
            </w:r>
          </w:p>
        </w:tc>
        <w:tc>
          <w:tcPr>
            <w:tcW w:w="984" w:type="dxa"/>
            <w:vAlign w:val="center"/>
          </w:tcPr>
          <w:p w14:paraId="3684DB7E"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color w:val="010205"/>
                <w:sz w:val="18"/>
                <w:szCs w:val="18"/>
                <w:lang w:val="es-ES" w:eastAsia="en-US"/>
              </w:rPr>
              <w:t>3,599</w:t>
            </w:r>
          </w:p>
        </w:tc>
        <w:tc>
          <w:tcPr>
            <w:tcW w:w="1097" w:type="dxa"/>
            <w:vAlign w:val="center"/>
          </w:tcPr>
          <w:p w14:paraId="21E55481"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sz w:val="18"/>
                <w:szCs w:val="18"/>
                <w:lang w:val="es-ES" w:eastAsia="en-US"/>
              </w:rPr>
              <w:t>4</w:t>
            </w:r>
          </w:p>
        </w:tc>
      </w:tr>
      <w:tr w:rsidR="00630E18" w:rsidRPr="00630E18" w14:paraId="78243DE4" w14:textId="77777777" w:rsidTr="00736691">
        <w:trPr>
          <w:trHeight w:val="192"/>
          <w:jc w:val="center"/>
        </w:trPr>
        <w:tc>
          <w:tcPr>
            <w:tcW w:w="2689" w:type="dxa"/>
            <w:vAlign w:val="center"/>
          </w:tcPr>
          <w:p w14:paraId="5363A4B6" w14:textId="77777777" w:rsidR="00630E18" w:rsidRPr="00630E18" w:rsidRDefault="00630E18" w:rsidP="00630E18">
            <w:pPr>
              <w:spacing w:line="360" w:lineRule="auto"/>
              <w:jc w:val="both"/>
              <w:rPr>
                <w:rFonts w:ascii="Times New Roman" w:hAnsi="Times New Roman" w:cs="Times New Roman"/>
                <w:sz w:val="18"/>
                <w:szCs w:val="18"/>
                <w:lang w:val="es-ES" w:eastAsia="en-US"/>
              </w:rPr>
            </w:pPr>
            <w:r w:rsidRPr="00630E18">
              <w:rPr>
                <w:rFonts w:ascii="Times New Roman" w:hAnsi="Times New Roman" w:cs="Times New Roman"/>
                <w:sz w:val="18"/>
                <w:szCs w:val="18"/>
                <w:lang w:val="es-MX" w:eastAsia="en-US"/>
              </w:rPr>
              <w:t>CA</w:t>
            </w:r>
          </w:p>
        </w:tc>
        <w:tc>
          <w:tcPr>
            <w:tcW w:w="984" w:type="dxa"/>
            <w:vAlign w:val="center"/>
          </w:tcPr>
          <w:p w14:paraId="30B2B382"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color w:val="010205"/>
                <w:sz w:val="18"/>
                <w:szCs w:val="18"/>
                <w:lang w:val="es-ES" w:eastAsia="en-US"/>
              </w:rPr>
              <w:t>3,828</w:t>
            </w:r>
          </w:p>
        </w:tc>
        <w:tc>
          <w:tcPr>
            <w:tcW w:w="1097" w:type="dxa"/>
            <w:vAlign w:val="center"/>
          </w:tcPr>
          <w:p w14:paraId="529D5073"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sz w:val="18"/>
                <w:szCs w:val="18"/>
                <w:lang w:val="es-ES" w:eastAsia="en-US"/>
              </w:rPr>
              <w:t>4</w:t>
            </w:r>
          </w:p>
        </w:tc>
      </w:tr>
      <w:tr w:rsidR="00630E18" w:rsidRPr="00630E18" w14:paraId="53D6FE06" w14:textId="77777777" w:rsidTr="00736691">
        <w:trPr>
          <w:trHeight w:val="270"/>
          <w:jc w:val="center"/>
        </w:trPr>
        <w:tc>
          <w:tcPr>
            <w:tcW w:w="2689" w:type="dxa"/>
            <w:vAlign w:val="center"/>
          </w:tcPr>
          <w:p w14:paraId="2167462C" w14:textId="77777777" w:rsidR="00630E18" w:rsidRPr="00630E18" w:rsidRDefault="00630E18" w:rsidP="00630E18">
            <w:pPr>
              <w:spacing w:line="360" w:lineRule="auto"/>
              <w:jc w:val="both"/>
              <w:rPr>
                <w:rFonts w:ascii="Times New Roman" w:hAnsi="Times New Roman" w:cs="Times New Roman"/>
                <w:sz w:val="18"/>
                <w:szCs w:val="18"/>
                <w:lang w:val="es-ES" w:eastAsia="en-US"/>
              </w:rPr>
            </w:pPr>
            <w:r w:rsidRPr="00630E18">
              <w:rPr>
                <w:rFonts w:ascii="Times New Roman" w:hAnsi="Times New Roman" w:cs="Times New Roman"/>
                <w:sz w:val="18"/>
                <w:szCs w:val="18"/>
                <w:lang w:val="es-ES" w:eastAsia="en-US"/>
              </w:rPr>
              <w:t>APP HTA</w:t>
            </w:r>
          </w:p>
        </w:tc>
        <w:tc>
          <w:tcPr>
            <w:tcW w:w="984" w:type="dxa"/>
            <w:vAlign w:val="center"/>
          </w:tcPr>
          <w:p w14:paraId="11FBC0A8"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color w:val="010205"/>
                <w:sz w:val="18"/>
                <w:szCs w:val="18"/>
                <w:lang w:val="es-ES" w:eastAsia="en-US"/>
              </w:rPr>
              <w:t>2,281</w:t>
            </w:r>
          </w:p>
        </w:tc>
        <w:tc>
          <w:tcPr>
            <w:tcW w:w="1097" w:type="dxa"/>
            <w:vAlign w:val="center"/>
          </w:tcPr>
          <w:p w14:paraId="021AA921"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sz w:val="18"/>
                <w:szCs w:val="18"/>
                <w:lang w:val="es-ES" w:eastAsia="en-US"/>
              </w:rPr>
              <w:t>2</w:t>
            </w:r>
          </w:p>
        </w:tc>
      </w:tr>
      <w:tr w:rsidR="00630E18" w:rsidRPr="00630E18" w14:paraId="3CA4CFC6" w14:textId="77777777" w:rsidTr="00736691">
        <w:trPr>
          <w:trHeight w:val="320"/>
          <w:jc w:val="center"/>
        </w:trPr>
        <w:tc>
          <w:tcPr>
            <w:tcW w:w="2689" w:type="dxa"/>
            <w:vAlign w:val="center"/>
          </w:tcPr>
          <w:p w14:paraId="79DC1E5F" w14:textId="77777777" w:rsidR="00630E18" w:rsidRPr="00630E18" w:rsidRDefault="00630E18" w:rsidP="00630E18">
            <w:pPr>
              <w:spacing w:line="360" w:lineRule="auto"/>
              <w:jc w:val="both"/>
              <w:rPr>
                <w:rFonts w:ascii="Times New Roman" w:hAnsi="Times New Roman" w:cs="Times New Roman"/>
                <w:sz w:val="18"/>
                <w:szCs w:val="18"/>
                <w:lang w:val="es-ES" w:eastAsia="en-US"/>
              </w:rPr>
            </w:pPr>
            <w:r w:rsidRPr="00630E18">
              <w:rPr>
                <w:rFonts w:ascii="Times New Roman" w:hAnsi="Times New Roman" w:cs="Times New Roman"/>
                <w:sz w:val="18"/>
                <w:szCs w:val="18"/>
                <w:lang w:val="es-ES" w:eastAsia="en-US"/>
              </w:rPr>
              <w:t>Valor de triglicéridos en sangre</w:t>
            </w:r>
          </w:p>
        </w:tc>
        <w:tc>
          <w:tcPr>
            <w:tcW w:w="984" w:type="dxa"/>
            <w:vAlign w:val="center"/>
          </w:tcPr>
          <w:p w14:paraId="0C860C77"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color w:val="010205"/>
                <w:sz w:val="18"/>
                <w:szCs w:val="18"/>
                <w:lang w:val="es-ES" w:eastAsia="en-US"/>
              </w:rPr>
              <w:t>3,220</w:t>
            </w:r>
          </w:p>
        </w:tc>
        <w:tc>
          <w:tcPr>
            <w:tcW w:w="1097" w:type="dxa"/>
            <w:vAlign w:val="center"/>
          </w:tcPr>
          <w:p w14:paraId="0D98DEB7"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sz w:val="18"/>
                <w:szCs w:val="18"/>
                <w:lang w:val="es-ES" w:eastAsia="en-US"/>
              </w:rPr>
              <w:t>3</w:t>
            </w:r>
          </w:p>
        </w:tc>
      </w:tr>
      <w:tr w:rsidR="00630E18" w:rsidRPr="00630E18" w14:paraId="03EDB410" w14:textId="77777777" w:rsidTr="00736691">
        <w:trPr>
          <w:trHeight w:val="282"/>
          <w:jc w:val="center"/>
        </w:trPr>
        <w:tc>
          <w:tcPr>
            <w:tcW w:w="2689" w:type="dxa"/>
            <w:vAlign w:val="center"/>
          </w:tcPr>
          <w:p w14:paraId="19C3A8BD" w14:textId="77777777" w:rsidR="00630E18" w:rsidRPr="00630E18" w:rsidRDefault="00630E18" w:rsidP="00630E18">
            <w:pPr>
              <w:spacing w:line="360" w:lineRule="auto"/>
              <w:jc w:val="both"/>
              <w:rPr>
                <w:rFonts w:ascii="Times New Roman" w:hAnsi="Times New Roman" w:cs="Times New Roman"/>
                <w:sz w:val="18"/>
                <w:szCs w:val="18"/>
                <w:lang w:val="es-ES" w:eastAsia="en-US"/>
              </w:rPr>
            </w:pPr>
            <w:r w:rsidRPr="00630E18">
              <w:rPr>
                <w:rFonts w:ascii="Times New Roman" w:hAnsi="Times New Roman" w:cs="Times New Roman"/>
                <w:sz w:val="18"/>
                <w:szCs w:val="18"/>
                <w:lang w:val="es-ES" w:eastAsia="en-US"/>
              </w:rPr>
              <w:t xml:space="preserve">Presencia de insulinorresistencia </w:t>
            </w:r>
          </w:p>
        </w:tc>
        <w:tc>
          <w:tcPr>
            <w:tcW w:w="984" w:type="dxa"/>
            <w:vAlign w:val="center"/>
          </w:tcPr>
          <w:p w14:paraId="022D0AEB"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color w:val="010205"/>
                <w:sz w:val="18"/>
                <w:szCs w:val="18"/>
                <w:lang w:val="es-ES" w:eastAsia="en-US"/>
              </w:rPr>
              <w:t>2,971</w:t>
            </w:r>
          </w:p>
        </w:tc>
        <w:tc>
          <w:tcPr>
            <w:tcW w:w="1097" w:type="dxa"/>
            <w:vAlign w:val="center"/>
          </w:tcPr>
          <w:p w14:paraId="15088BF3" w14:textId="77777777" w:rsidR="00630E18" w:rsidRPr="00630E18" w:rsidRDefault="00630E18" w:rsidP="00630E18">
            <w:pPr>
              <w:spacing w:line="360" w:lineRule="auto"/>
              <w:jc w:val="center"/>
              <w:rPr>
                <w:rFonts w:ascii="Times New Roman" w:hAnsi="Times New Roman" w:cs="Times New Roman"/>
                <w:sz w:val="18"/>
                <w:szCs w:val="18"/>
                <w:lang w:val="es-ES" w:eastAsia="en-US"/>
              </w:rPr>
            </w:pPr>
            <w:r w:rsidRPr="00630E18">
              <w:rPr>
                <w:rFonts w:ascii="Times New Roman" w:hAnsi="Times New Roman" w:cs="Times New Roman"/>
                <w:sz w:val="18"/>
                <w:szCs w:val="18"/>
                <w:lang w:val="es-ES" w:eastAsia="en-US"/>
              </w:rPr>
              <w:t>3</w:t>
            </w:r>
          </w:p>
        </w:tc>
      </w:tr>
    </w:tbl>
    <w:p w14:paraId="51217891" w14:textId="77777777" w:rsidR="00630E18" w:rsidRPr="00630E18" w:rsidRDefault="00630E18" w:rsidP="00630E18">
      <w:pPr>
        <w:spacing w:line="360" w:lineRule="auto"/>
        <w:jc w:val="center"/>
        <w:rPr>
          <w:rFonts w:eastAsia="Calibri"/>
          <w:sz w:val="16"/>
          <w:szCs w:val="16"/>
          <w:lang w:val="es-ES" w:eastAsia="en-US"/>
        </w:rPr>
      </w:pPr>
      <w:r w:rsidRPr="00630E18">
        <w:rPr>
          <w:rFonts w:eastAsia="Calibri"/>
          <w:sz w:val="16"/>
          <w:szCs w:val="16"/>
          <w:lang w:val="es-ES" w:eastAsia="en-US"/>
        </w:rPr>
        <w:t>IMC: Índice de masa corporal; APF DM: Antecedentes patológicos familiares de diabetes mellitus; CA: Circunferencia abdominal; APP HTA: Antecedentes patológicos personales de hipertensión arterial.</w:t>
      </w:r>
    </w:p>
    <w:p w14:paraId="0C1B39B5" w14:textId="77777777" w:rsidR="00630E18" w:rsidRPr="00630E18" w:rsidRDefault="00630E18" w:rsidP="00630E18">
      <w:pPr>
        <w:spacing w:line="360" w:lineRule="auto"/>
        <w:jc w:val="both"/>
        <w:rPr>
          <w:rFonts w:eastAsia="Calibri"/>
          <w:lang w:val="es-ES" w:eastAsia="en-US"/>
        </w:rPr>
      </w:pPr>
    </w:p>
    <w:p w14:paraId="0B817EDE"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Al aplicar el puntaje de riesgo en la cohorte de validación; 292 pacientes tuvieron riesgo alto y 158 moderado. Se les realizó PTG y 317 pacientes eran diabéticos. En el análisis del área bajo la curva, el puntaje de riesgo tuvo una sensibilidad de 96,8 %.</w:t>
      </w:r>
    </w:p>
    <w:p w14:paraId="01ECC146" w14:textId="77777777" w:rsidR="00630E18" w:rsidRPr="00630E18" w:rsidRDefault="00630E18" w:rsidP="00630E18">
      <w:pPr>
        <w:spacing w:line="360" w:lineRule="auto"/>
        <w:jc w:val="both"/>
        <w:rPr>
          <w:rFonts w:eastAsia="Calibri"/>
          <w:lang w:val="es-ES" w:eastAsia="en-US"/>
        </w:rPr>
      </w:pPr>
    </w:p>
    <w:p w14:paraId="72BF5DDD" w14:textId="77777777" w:rsidR="00630E18" w:rsidRPr="00630E18" w:rsidRDefault="00630E18" w:rsidP="00630E18">
      <w:pPr>
        <w:spacing w:line="360" w:lineRule="auto"/>
        <w:jc w:val="center"/>
        <w:rPr>
          <w:rFonts w:eastAsia="Calibri"/>
          <w:b/>
          <w:bCs/>
          <w:color w:val="000000"/>
          <w:sz w:val="32"/>
          <w:szCs w:val="32"/>
          <w:lang w:val="es-ES" w:eastAsia="en-US"/>
        </w:rPr>
      </w:pPr>
    </w:p>
    <w:p w14:paraId="3280D369" w14:textId="77777777" w:rsidR="00630E18" w:rsidRPr="00630E18" w:rsidRDefault="00630E18" w:rsidP="00630E18">
      <w:pPr>
        <w:spacing w:line="360" w:lineRule="auto"/>
        <w:jc w:val="center"/>
        <w:rPr>
          <w:rFonts w:eastAsia="Calibri"/>
          <w:b/>
          <w:bCs/>
          <w:color w:val="000000"/>
          <w:sz w:val="32"/>
          <w:szCs w:val="32"/>
          <w:lang w:val="es-ES" w:eastAsia="en-US"/>
        </w:rPr>
      </w:pPr>
      <w:r w:rsidRPr="00630E18">
        <w:rPr>
          <w:rFonts w:eastAsia="Calibri"/>
          <w:b/>
          <w:bCs/>
          <w:color w:val="000000"/>
          <w:sz w:val="32"/>
          <w:szCs w:val="32"/>
          <w:lang w:val="es-ES" w:eastAsia="en-US"/>
        </w:rPr>
        <w:t>DISCUSIÓN</w:t>
      </w:r>
    </w:p>
    <w:p w14:paraId="133B31BF" w14:textId="77777777" w:rsidR="00630E18" w:rsidRPr="00630E18" w:rsidRDefault="00630E18" w:rsidP="00630E18">
      <w:pPr>
        <w:spacing w:line="360" w:lineRule="auto"/>
        <w:jc w:val="both"/>
        <w:rPr>
          <w:rFonts w:eastAsia="Calibri"/>
          <w:color w:val="000000"/>
          <w:vertAlign w:val="superscript"/>
          <w:lang w:val="es-ES" w:eastAsia="en-US"/>
        </w:rPr>
      </w:pPr>
      <w:r w:rsidRPr="00630E18">
        <w:rPr>
          <w:rFonts w:eastAsia="Calibri"/>
          <w:color w:val="000000"/>
          <w:lang w:val="es-ES" w:eastAsia="en-US"/>
        </w:rPr>
        <w:t>Hubo un elevado porcentaje de pacientes con sobrepeso y obesidad en ambas cohortes; además, predominan los que tienen CA patológica, colesterol y triglicéridos elevados, presencia de hígado graso e insulinorresistencia. Cada una de estas variables están relacionadas y su alteración puede favorecer la aparición de enfermedades como la DM. Lo encontrado señala que en los sujetos estudiados, aunque predominen los sanos, tienen una alta tendencia hacia la enfermedad, lo cual coincide con otros estudios,</w:t>
      </w:r>
      <w:r w:rsidRPr="00630E18">
        <w:rPr>
          <w:rFonts w:eastAsia="Calibri"/>
          <w:color w:val="000000"/>
          <w:vertAlign w:val="superscript"/>
          <w:lang w:val="es-ES" w:eastAsia="en-US"/>
        </w:rPr>
        <w:t>(7,9,10,11</w:t>
      </w:r>
      <w:r w:rsidRPr="00630E18">
        <w:rPr>
          <w:rFonts w:eastAsia="Calibri"/>
          <w:vertAlign w:val="superscript"/>
          <w:lang w:val="es-ES" w:eastAsia="en-US"/>
        </w:rPr>
        <w:t>,15)</w:t>
      </w:r>
      <w:r w:rsidRPr="00630E18">
        <w:rPr>
          <w:rFonts w:eastAsia="Calibri"/>
          <w:color w:val="000000"/>
          <w:lang w:val="es-ES" w:eastAsia="en-US"/>
        </w:rPr>
        <w:t xml:space="preserve"> relacionados con el tema.</w:t>
      </w:r>
    </w:p>
    <w:p w14:paraId="60F0349E" w14:textId="77777777" w:rsidR="00630E18" w:rsidRPr="00630E18" w:rsidRDefault="00630E18" w:rsidP="00630E18">
      <w:pPr>
        <w:spacing w:line="360" w:lineRule="auto"/>
        <w:jc w:val="both"/>
        <w:rPr>
          <w:rFonts w:eastAsia="Calibri"/>
          <w:lang w:val="es-ES" w:eastAsia="en-US"/>
        </w:rPr>
      </w:pPr>
      <w:r w:rsidRPr="00630E18">
        <w:rPr>
          <w:rFonts w:eastAsia="Calibri"/>
          <w:color w:val="000000"/>
          <w:lang w:val="es-ES" w:eastAsia="en-US"/>
        </w:rPr>
        <w:t>En ambas cohortes, menos del 50 % de los pacientes desarrollaron DM, pero es un porcentaje alto, superior a otros estudios.</w:t>
      </w:r>
      <w:r w:rsidRPr="00630E18">
        <w:rPr>
          <w:rFonts w:eastAsia="Calibri"/>
          <w:color w:val="000000"/>
          <w:vertAlign w:val="superscript"/>
          <w:lang w:val="es-ES" w:eastAsia="en-US"/>
        </w:rPr>
        <w:t>(9,16)</w:t>
      </w:r>
      <w:r w:rsidRPr="00630E18">
        <w:rPr>
          <w:rFonts w:eastAsia="Calibri"/>
          <w:color w:val="000000"/>
          <w:lang w:val="es-ES" w:eastAsia="en-US"/>
        </w:rPr>
        <w:t xml:space="preserve"> En el estudio </w:t>
      </w:r>
      <w:r w:rsidRPr="00630E18">
        <w:rPr>
          <w:rFonts w:eastAsia="Calibri"/>
          <w:lang w:val="es-CU" w:eastAsia="en-US"/>
        </w:rPr>
        <w:t>ModAsian FINDRISC,</w:t>
      </w:r>
      <w:r w:rsidRPr="00630E18">
        <w:rPr>
          <w:rFonts w:eastAsia="Calibri"/>
          <w:vertAlign w:val="superscript"/>
          <w:lang w:val="es-ES" w:eastAsia="en-US"/>
        </w:rPr>
        <w:t>(16)</w:t>
      </w:r>
      <w:r w:rsidRPr="00630E18">
        <w:rPr>
          <w:rFonts w:eastAsia="Calibri"/>
          <w:color w:val="000000"/>
          <w:lang w:val="es-ES" w:eastAsia="en-US"/>
        </w:rPr>
        <w:t xml:space="preserve"> solo al 7,5 % de los pacientes se le diagnosticó DM. </w:t>
      </w:r>
      <w:r w:rsidRPr="00630E18">
        <w:rPr>
          <w:rFonts w:eastAsia="Calibri"/>
          <w:i/>
          <w:iCs/>
          <w:lang w:val="es-ES" w:eastAsia="en-US"/>
        </w:rPr>
        <w:t xml:space="preserve">Heltberg A </w:t>
      </w:r>
      <w:r w:rsidRPr="00630E18">
        <w:rPr>
          <w:rFonts w:eastAsia="Calibri"/>
          <w:lang w:val="es-ES" w:eastAsia="en-US"/>
        </w:rPr>
        <w:t>y otros,</w:t>
      </w:r>
      <w:r w:rsidRPr="00630E18">
        <w:rPr>
          <w:rFonts w:eastAsia="Calibri"/>
          <w:vertAlign w:val="superscript"/>
          <w:lang w:val="es-ES" w:eastAsia="en-US"/>
        </w:rPr>
        <w:t xml:space="preserve">(17) </w:t>
      </w:r>
      <w:r w:rsidRPr="00630E18">
        <w:rPr>
          <w:rFonts w:eastAsia="Calibri"/>
          <w:lang w:val="es-ES" w:eastAsia="en-US"/>
        </w:rPr>
        <w:t>reportan en un estudio en población danesa, un 20 % de pacientes con DM.</w:t>
      </w:r>
    </w:p>
    <w:p w14:paraId="7A1F6F21" w14:textId="77777777" w:rsidR="00630E18" w:rsidRPr="00630E18" w:rsidRDefault="00630E18" w:rsidP="00630E18">
      <w:pPr>
        <w:spacing w:line="360" w:lineRule="auto"/>
        <w:jc w:val="both"/>
        <w:rPr>
          <w:rFonts w:eastAsia="Calibri"/>
          <w:color w:val="000000"/>
          <w:lang w:val="es-ES" w:eastAsia="en-US"/>
        </w:rPr>
      </w:pPr>
      <w:r w:rsidRPr="00630E18">
        <w:rPr>
          <w:rFonts w:eastAsia="Calibri"/>
          <w:color w:val="000000"/>
          <w:lang w:val="es-ES" w:eastAsia="en-US"/>
        </w:rPr>
        <w:lastRenderedPageBreak/>
        <w:t xml:space="preserve">Existen diversos modelos predictivos de diabetes mellitus, debido a la alta incidencia de esta enfermedad en el mundo. Se utilizan múltiples variables, las cuales han sido de beneficio en el diagnóstico temprano de DM tipo 2. El puntaje de riesgo que se obtuvo, utiliza una combinación de datos invasivos y no invasivos, que proporcionan una herramienta más completa para diagnosticar pacientes de riesgo. </w:t>
      </w:r>
    </w:p>
    <w:p w14:paraId="22F74E1C" w14:textId="77777777" w:rsidR="00630E18" w:rsidRPr="00630E18" w:rsidRDefault="00630E18" w:rsidP="00630E18">
      <w:pPr>
        <w:spacing w:line="360" w:lineRule="auto"/>
        <w:jc w:val="both"/>
        <w:rPr>
          <w:rFonts w:eastAsia="Calibri"/>
          <w:highlight w:val="yellow"/>
          <w:lang w:val="es-ES" w:eastAsia="en-US"/>
        </w:rPr>
      </w:pPr>
      <w:r w:rsidRPr="00630E18">
        <w:rPr>
          <w:rFonts w:eastAsia="Calibri"/>
          <w:i/>
          <w:iCs/>
          <w:lang w:val="es-ES" w:eastAsia="en-US"/>
        </w:rPr>
        <w:t>Lindström J</w:t>
      </w:r>
      <w:r w:rsidRPr="00630E18">
        <w:rPr>
          <w:rFonts w:eastAsia="Calibri"/>
          <w:lang w:val="es-ES" w:eastAsia="en-US"/>
        </w:rPr>
        <w:t xml:space="preserve"> y otros</w:t>
      </w:r>
      <w:r w:rsidRPr="00630E18">
        <w:rPr>
          <w:rFonts w:eastAsia="Calibri"/>
          <w:vertAlign w:val="superscript"/>
          <w:lang w:val="es-ES" w:eastAsia="en-US"/>
        </w:rPr>
        <w:t>(2)</w:t>
      </w:r>
      <w:r w:rsidRPr="00630E18">
        <w:rPr>
          <w:rFonts w:eastAsia="Calibri"/>
          <w:lang w:val="es-ES" w:eastAsia="en-US"/>
        </w:rPr>
        <w:t xml:space="preserve"> utilizan variables no invasivas, reflejadas en el puntaje de riesgo FINDRISC, del cual derivó su estudio. Otros reportes</w:t>
      </w:r>
      <w:r w:rsidRPr="00630E18">
        <w:rPr>
          <w:rFonts w:eastAsia="Calibri"/>
          <w:vertAlign w:val="superscript"/>
          <w:lang w:val="es-ES" w:eastAsia="en-US"/>
        </w:rPr>
        <w:t>(8,9,11,15,16)</w:t>
      </w:r>
      <w:r w:rsidRPr="00630E18">
        <w:rPr>
          <w:rFonts w:eastAsia="Calibri"/>
          <w:lang w:val="es-ES" w:eastAsia="en-US"/>
        </w:rPr>
        <w:t xml:space="preserve"> utilizan la escala de FINDRISC para elaborar sus modelos de riesgo. Además de las variables del FINDRISC, en el presente estudio se incluyen los valores de colesterol, triglicéridos, la resistencia insulínica medida a partir del índice triglicéridos–glicemia y el tabaquismo. En el puntaje de riesgo elaborado se encuentran estas variables, por su significación estadística y asociación con la variable respuesta. Esto coincide con algunos resultados,</w:t>
      </w:r>
      <w:r w:rsidRPr="00630E18">
        <w:rPr>
          <w:rFonts w:eastAsia="Calibri"/>
          <w:vertAlign w:val="superscript"/>
          <w:lang w:val="es-ES" w:eastAsia="en-US"/>
        </w:rPr>
        <w:t>(19,20)</w:t>
      </w:r>
      <w:r w:rsidRPr="00630E18">
        <w:rPr>
          <w:rFonts w:eastAsia="Calibri"/>
          <w:lang w:val="es-ES" w:eastAsia="en-US"/>
        </w:rPr>
        <w:t xml:space="preserve"> excepto en el caso del tabaquismo, que </w:t>
      </w:r>
      <w:r w:rsidRPr="00630E18">
        <w:rPr>
          <w:i/>
          <w:iCs/>
          <w:color w:val="212121"/>
          <w:shd w:val="clear" w:color="auto" w:fill="FFFFFF"/>
          <w:lang w:val="es-ES" w:eastAsia="en-US"/>
        </w:rPr>
        <w:t>Sulaiman N</w:t>
      </w:r>
      <w:r w:rsidRPr="00630E18">
        <w:rPr>
          <w:rFonts w:eastAsia="Calibri"/>
          <w:lang w:val="es-ES" w:eastAsia="en-US"/>
        </w:rPr>
        <w:t xml:space="preserve"> y otros,</w:t>
      </w:r>
      <w:r w:rsidRPr="00630E18">
        <w:rPr>
          <w:rFonts w:eastAsia="Calibri"/>
          <w:vertAlign w:val="superscript"/>
          <w:lang w:val="es-ES" w:eastAsia="en-US"/>
        </w:rPr>
        <w:t>(9)</w:t>
      </w:r>
      <w:r w:rsidRPr="00630E18">
        <w:rPr>
          <w:rFonts w:eastAsia="Calibri"/>
          <w:lang w:val="es-ES" w:eastAsia="en-US"/>
        </w:rPr>
        <w:t xml:space="preserve"> lo descartan por su poca significación estadística.</w:t>
      </w:r>
    </w:p>
    <w:p w14:paraId="047C4B3D"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Respecto al hígado graso y su asociación con el riesgo de DM, tuvo un elevado valor predictivo, tal como se ha reportado.</w:t>
      </w:r>
      <w:r w:rsidRPr="00630E18">
        <w:rPr>
          <w:rFonts w:eastAsia="Calibri"/>
          <w:vertAlign w:val="superscript"/>
          <w:lang w:val="es-ES" w:eastAsia="en-US"/>
        </w:rPr>
        <w:t>(21)</w:t>
      </w:r>
    </w:p>
    <w:p w14:paraId="2F5F0614"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El uso del índice glucemia-triglicéridos elevado tiene la capacidad para demostrar insulinorresistencia y es considerado como predictor de DM,</w:t>
      </w:r>
      <w:r w:rsidRPr="00630E18">
        <w:rPr>
          <w:rFonts w:eastAsia="Calibri"/>
          <w:vertAlign w:val="superscript"/>
          <w:lang w:val="es-ES" w:eastAsia="en-US"/>
        </w:rPr>
        <w:t xml:space="preserve"> (22)</w:t>
      </w:r>
      <w:r w:rsidRPr="00630E18">
        <w:rPr>
          <w:rFonts w:eastAsia="Calibri"/>
          <w:lang w:val="es-ES" w:eastAsia="en-US"/>
        </w:rPr>
        <w:t xml:space="preserve"> similar a los resultados de la presente investigación. </w:t>
      </w:r>
    </w:p>
    <w:p w14:paraId="6B78F977"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La sensibilidad del puntaje obtenido fue muy alta, con una curva operativa del receptor que señala alta capacidad predictiva, superior a investigaciones similares.</w:t>
      </w:r>
      <w:r w:rsidRPr="00630E18">
        <w:rPr>
          <w:rFonts w:eastAsia="Calibri"/>
          <w:vertAlign w:val="superscript"/>
          <w:lang w:val="es-ES" w:eastAsia="en-US"/>
        </w:rPr>
        <w:t xml:space="preserve">(9,11,15,18) </w:t>
      </w:r>
      <w:r w:rsidRPr="00630E18">
        <w:rPr>
          <w:rFonts w:eastAsia="Calibri"/>
          <w:lang w:val="es-ES" w:eastAsia="en-US"/>
        </w:rPr>
        <w:t>Este es el primer estudio de este tipo en Cuba, por tanto, se recomienda replicar los resultados en otras muestras.</w:t>
      </w:r>
    </w:p>
    <w:p w14:paraId="1B074005" w14:textId="77777777" w:rsidR="00630E18" w:rsidRPr="00630E18" w:rsidRDefault="00630E18" w:rsidP="00630E18">
      <w:pPr>
        <w:spacing w:line="360" w:lineRule="auto"/>
        <w:jc w:val="both"/>
        <w:rPr>
          <w:rFonts w:eastAsia="Calibri"/>
          <w:color w:val="000000"/>
          <w:lang w:val="es-ES" w:eastAsia="en-US"/>
        </w:rPr>
      </w:pPr>
      <w:r w:rsidRPr="00630E18">
        <w:rPr>
          <w:rFonts w:eastAsia="Calibri"/>
          <w:lang w:val="es-ES" w:eastAsia="en-US"/>
        </w:rPr>
        <w:t>El puntaje desarrollado predice el riesgo de padecer diabetes mellitus tipo 2 en los pacientes estudiados.</w:t>
      </w:r>
    </w:p>
    <w:p w14:paraId="002FC7FA" w14:textId="77777777" w:rsidR="00630E18" w:rsidRPr="00630E18" w:rsidRDefault="00630E18" w:rsidP="00630E18">
      <w:pPr>
        <w:spacing w:line="360" w:lineRule="auto"/>
        <w:jc w:val="both"/>
        <w:rPr>
          <w:rFonts w:eastAsia="Calibri"/>
          <w:color w:val="000000"/>
          <w:lang w:val="es-ES" w:eastAsia="en-US"/>
        </w:rPr>
      </w:pPr>
    </w:p>
    <w:p w14:paraId="44177239" w14:textId="77777777" w:rsidR="00630E18" w:rsidRPr="00630E18" w:rsidRDefault="00630E18" w:rsidP="00630E18">
      <w:pPr>
        <w:spacing w:line="360" w:lineRule="auto"/>
        <w:jc w:val="both"/>
        <w:rPr>
          <w:rFonts w:eastAsia="Calibri"/>
          <w:color w:val="000000"/>
          <w:lang w:val="es-ES" w:eastAsia="en-US"/>
        </w:rPr>
      </w:pPr>
    </w:p>
    <w:p w14:paraId="5285DB96" w14:textId="77777777" w:rsidR="00630E18" w:rsidRPr="00630E18" w:rsidRDefault="00630E18" w:rsidP="00630E18">
      <w:pPr>
        <w:spacing w:line="360" w:lineRule="auto"/>
        <w:jc w:val="center"/>
        <w:rPr>
          <w:rFonts w:eastAsia="Calibri"/>
          <w:b/>
          <w:bCs/>
          <w:color w:val="000000"/>
          <w:sz w:val="32"/>
          <w:szCs w:val="32"/>
          <w:lang w:val="es-ES" w:eastAsia="en-US"/>
        </w:rPr>
      </w:pPr>
      <w:r w:rsidRPr="00630E18">
        <w:rPr>
          <w:rFonts w:eastAsia="Calibri"/>
          <w:b/>
          <w:bCs/>
          <w:color w:val="000000"/>
          <w:sz w:val="32"/>
          <w:szCs w:val="32"/>
          <w:lang w:val="es-ES" w:eastAsia="en-US"/>
        </w:rPr>
        <w:t>REFERENCIAS BIBLIOGRÁFICAS</w:t>
      </w:r>
    </w:p>
    <w:p w14:paraId="7445DA69" w14:textId="77777777" w:rsidR="00630E18" w:rsidRPr="00630E18" w:rsidRDefault="00630E18" w:rsidP="00630E18">
      <w:pPr>
        <w:spacing w:line="360" w:lineRule="auto"/>
        <w:ind w:right="284"/>
        <w:contextualSpacing/>
        <w:rPr>
          <w:rFonts w:eastAsia="Calibri"/>
          <w:sz w:val="22"/>
          <w:szCs w:val="22"/>
          <w:lang w:val="en-US" w:eastAsia="en-US"/>
        </w:rPr>
      </w:pPr>
      <w:bookmarkStart w:id="0" w:name="_Hlk116660346"/>
      <w:r w:rsidRPr="00630E18">
        <w:rPr>
          <w:rFonts w:eastAsia="Calibri"/>
          <w:sz w:val="22"/>
          <w:szCs w:val="22"/>
          <w:lang w:val="es-CU" w:eastAsia="en-US"/>
        </w:rPr>
        <w:t xml:space="preserve">1. Saeedi P, Petersohn I, Salpea P, Malanda B, Karuranga S, Unwin N, et al. </w:t>
      </w:r>
      <w:r w:rsidRPr="00630E18">
        <w:rPr>
          <w:rFonts w:eastAsia="Calibri"/>
          <w:sz w:val="22"/>
          <w:szCs w:val="22"/>
          <w:lang w:val="en-US" w:eastAsia="en-US"/>
        </w:rPr>
        <w:t xml:space="preserve">Global and regional diabetes prevalence estimates for 2019 and projections for 2030 and 2045: Results from the International Diabetes Federation Diabetes Atlas, 9th edition. Diabetes Res Clin Pract. 2019; 157:107843. DOI: 1016/j.diabres.2019.107843 </w:t>
      </w:r>
    </w:p>
    <w:p w14:paraId="36D8F4F1" w14:textId="77777777" w:rsidR="00630E18" w:rsidRPr="00630E18" w:rsidRDefault="00630E18" w:rsidP="00630E18">
      <w:pPr>
        <w:spacing w:line="360" w:lineRule="auto"/>
        <w:ind w:right="284"/>
        <w:contextualSpacing/>
        <w:rPr>
          <w:rFonts w:eastAsia="Calibri"/>
          <w:sz w:val="22"/>
          <w:szCs w:val="22"/>
          <w:lang w:val="en-US" w:eastAsia="en-US"/>
        </w:rPr>
      </w:pPr>
      <w:r w:rsidRPr="00630E18">
        <w:rPr>
          <w:rFonts w:eastAsia="Calibri"/>
          <w:sz w:val="22"/>
          <w:szCs w:val="22"/>
          <w:lang w:val="en-US" w:eastAsia="en-US"/>
        </w:rPr>
        <w:t xml:space="preserve">2. Lindström J, Tuomilehto J. The diabetes risk score: a practical tool to predict type 2 diabetes risk. Diabetes Care. 2003; 26(3):725-31. DOI: 10.2337/diacare.26.3.725 </w:t>
      </w:r>
    </w:p>
    <w:p w14:paraId="3C3992B3" w14:textId="77777777" w:rsidR="00630E18" w:rsidRPr="00630E18" w:rsidRDefault="00630E18" w:rsidP="00630E18">
      <w:pPr>
        <w:spacing w:line="360" w:lineRule="auto"/>
        <w:ind w:right="284"/>
        <w:contextualSpacing/>
        <w:rPr>
          <w:rFonts w:eastAsia="Calibri"/>
          <w:sz w:val="22"/>
          <w:szCs w:val="22"/>
          <w:lang w:val="es-ES" w:eastAsia="en-US"/>
        </w:rPr>
      </w:pPr>
      <w:r w:rsidRPr="00630E18">
        <w:rPr>
          <w:rFonts w:eastAsia="Calibri"/>
          <w:sz w:val="22"/>
          <w:szCs w:val="22"/>
          <w:lang w:val="en-US" w:eastAsia="en-US"/>
        </w:rPr>
        <w:lastRenderedPageBreak/>
        <w:t xml:space="preserve">3. Burden ML, Burden AC. The American Diabetes Association Screening Questionnaire for Diabetes. </w:t>
      </w:r>
      <w:r w:rsidRPr="00630E18">
        <w:rPr>
          <w:rFonts w:eastAsia="Calibri"/>
          <w:sz w:val="22"/>
          <w:szCs w:val="22"/>
          <w:lang w:val="es-CU" w:eastAsia="en-US"/>
        </w:rPr>
        <w:t xml:space="preserve">Diabetes Care. 1994; 17(1):97. </w:t>
      </w:r>
      <w:r w:rsidRPr="00630E18">
        <w:rPr>
          <w:rFonts w:eastAsia="Calibri"/>
          <w:sz w:val="22"/>
          <w:szCs w:val="22"/>
          <w:lang w:val="es-ES" w:eastAsia="en-US"/>
        </w:rPr>
        <w:t xml:space="preserve">Disponible en: </w:t>
      </w:r>
      <w:hyperlink r:id="rId15" w:history="1">
        <w:r w:rsidRPr="00630E18">
          <w:rPr>
            <w:rFonts w:eastAsia="Calibri"/>
            <w:color w:val="0000FF"/>
            <w:sz w:val="22"/>
            <w:szCs w:val="22"/>
            <w:lang w:val="es-ES" w:eastAsia="en-US"/>
          </w:rPr>
          <w:t>https://diabetesjournals.org/care/article-pdf/17/1/97/442471/17-1-97.pdf</w:t>
        </w:r>
      </w:hyperlink>
      <w:r w:rsidRPr="00630E18">
        <w:rPr>
          <w:rFonts w:eastAsia="Calibri"/>
          <w:sz w:val="22"/>
          <w:szCs w:val="22"/>
          <w:lang w:val="es-ES" w:eastAsia="en-US"/>
        </w:rPr>
        <w:t xml:space="preserve">  </w:t>
      </w:r>
    </w:p>
    <w:p w14:paraId="07BDAC01" w14:textId="77777777" w:rsidR="00630E18" w:rsidRPr="00630E18" w:rsidRDefault="00630E18" w:rsidP="00630E18">
      <w:pPr>
        <w:spacing w:line="360" w:lineRule="auto"/>
        <w:ind w:right="284"/>
        <w:contextualSpacing/>
        <w:rPr>
          <w:rFonts w:eastAsia="Calibri"/>
          <w:sz w:val="22"/>
          <w:szCs w:val="22"/>
          <w:lang w:val="en-US" w:eastAsia="en-US"/>
        </w:rPr>
      </w:pPr>
      <w:r w:rsidRPr="00630E18">
        <w:rPr>
          <w:rFonts w:eastAsia="Calibri"/>
          <w:sz w:val="22"/>
          <w:szCs w:val="22"/>
          <w:lang w:val="en-US" w:eastAsia="en-US"/>
        </w:rPr>
        <w:t>4. Herman WH, Smith PJ, Thompson TJ, Engelgau MM, Aubert RE. A new and simple questionnaire to identify people at increased risk for undiagnosed diabetes. Diabetes Care. 1995; 18(3):382-7. DOI: 10.2337/diacare.18.3.382</w:t>
      </w:r>
    </w:p>
    <w:p w14:paraId="127C6713" w14:textId="77777777" w:rsidR="00630E18" w:rsidRPr="00630E18" w:rsidRDefault="00630E18" w:rsidP="00630E18">
      <w:pPr>
        <w:spacing w:line="360" w:lineRule="auto"/>
        <w:ind w:right="284"/>
        <w:contextualSpacing/>
        <w:rPr>
          <w:rFonts w:eastAsia="Calibri"/>
          <w:sz w:val="22"/>
          <w:szCs w:val="22"/>
          <w:lang w:val="en-US" w:eastAsia="en-US"/>
        </w:rPr>
      </w:pPr>
      <w:r w:rsidRPr="00630E18">
        <w:rPr>
          <w:rFonts w:eastAsia="Calibri"/>
          <w:sz w:val="22"/>
          <w:szCs w:val="22"/>
          <w:lang w:val="en-US" w:eastAsia="en-US"/>
        </w:rPr>
        <w:t xml:space="preserve">5. Ruige JB, de Neeling JN, Kostense PJ, Bouter LM, Heine RJ. Performance of an NIDDM screening questionnaire based on symptoms and risk factors. Diabetes Care. 1997; 20(4):491-6. DOI: 10.2337/diacare.20.4.491 </w:t>
      </w:r>
    </w:p>
    <w:p w14:paraId="498B0D08" w14:textId="77777777" w:rsidR="00630E18" w:rsidRPr="00630E18" w:rsidRDefault="00630E18" w:rsidP="00630E18">
      <w:pPr>
        <w:spacing w:line="360" w:lineRule="auto"/>
        <w:ind w:right="284"/>
        <w:contextualSpacing/>
        <w:rPr>
          <w:rFonts w:eastAsia="Calibri"/>
          <w:sz w:val="22"/>
          <w:szCs w:val="22"/>
          <w:lang w:val="en-US" w:eastAsia="en-US"/>
        </w:rPr>
      </w:pPr>
      <w:r w:rsidRPr="00630E18">
        <w:rPr>
          <w:rFonts w:eastAsia="Calibri"/>
          <w:sz w:val="22"/>
          <w:szCs w:val="22"/>
          <w:lang w:val="en-US" w:eastAsia="en-US"/>
        </w:rPr>
        <w:t>6. Von Eckardstein A, Schulte H, Assmann G. Risk for diabetes mellitus in middle-aged Caucasian male participants of the PROCAM study: implications for the definition of impaired fasting glucose by the American Diabetes Association. Prospective Cardiovascular Münster. J Clin Endocrinol Metab. 2000; 85(9):3101-8. DOI: 10.1210/jcem.85.9.6773</w:t>
      </w:r>
    </w:p>
    <w:p w14:paraId="767FD088" w14:textId="77777777" w:rsidR="00630E18" w:rsidRPr="00630E18" w:rsidRDefault="00630E18" w:rsidP="00630E18">
      <w:pPr>
        <w:spacing w:line="360" w:lineRule="auto"/>
        <w:ind w:right="284"/>
        <w:contextualSpacing/>
        <w:rPr>
          <w:rFonts w:eastAsia="Calibri"/>
          <w:sz w:val="22"/>
          <w:szCs w:val="22"/>
          <w:lang w:val="en-US" w:eastAsia="en-US"/>
        </w:rPr>
      </w:pPr>
      <w:r w:rsidRPr="00630E18">
        <w:rPr>
          <w:rFonts w:eastAsia="Calibri"/>
          <w:sz w:val="22"/>
          <w:szCs w:val="22"/>
          <w:lang w:val="en-US" w:eastAsia="en-US"/>
        </w:rPr>
        <w:t>7. Kaushal K, Mahajan A, Parashar A, Dhadwal DS, Jaswal VMS, Jaret P, et al. Validity of Madras Diabetes Research Foundation: Indian Diabetes Risk Score for Screening of Diabetes Mellitus among Adult Population of Urban Field Practice Area, Indira Gandhi Medical College, Shimla, Himachal Pradesh, India. Indian J Endocrinol Metab. 2017; 21(6):876-81. DOI: 10.4103/ijem.IJEM_361_16</w:t>
      </w:r>
    </w:p>
    <w:p w14:paraId="206FEF70" w14:textId="77777777" w:rsidR="00630E18" w:rsidRPr="00630E18" w:rsidRDefault="00630E18" w:rsidP="00630E18">
      <w:pPr>
        <w:spacing w:line="360" w:lineRule="auto"/>
        <w:ind w:right="284"/>
        <w:contextualSpacing/>
        <w:rPr>
          <w:rFonts w:eastAsia="Calibri"/>
          <w:sz w:val="22"/>
          <w:szCs w:val="22"/>
          <w:lang w:val="en-US" w:eastAsia="en-US"/>
        </w:rPr>
      </w:pPr>
      <w:r w:rsidRPr="00630E18">
        <w:rPr>
          <w:rFonts w:eastAsia="Calibri"/>
          <w:sz w:val="22"/>
          <w:szCs w:val="22"/>
          <w:lang w:val="en-US" w:eastAsia="en-US"/>
        </w:rPr>
        <w:t>8. Lim HM, Chia YC, Koay ZL. Performance of the Finnish Diabetes Risk Score (FINDRISC) and Modified Asian FINDRISC (ModAsian FINDRISC) for screening of undiagnosed type 2 diabetes mellitus and dysglycaemia in primary care. Prim Care Diabetes. 2020; 14(5):494-500. DOI: 10.1016/j.pcd.2020.02.008</w:t>
      </w:r>
    </w:p>
    <w:p w14:paraId="01416340" w14:textId="77777777" w:rsidR="00630E18" w:rsidRPr="00630E18" w:rsidRDefault="00630E18" w:rsidP="00630E18">
      <w:pPr>
        <w:spacing w:line="360" w:lineRule="auto"/>
        <w:ind w:right="284"/>
        <w:contextualSpacing/>
        <w:rPr>
          <w:rFonts w:eastAsia="Calibri"/>
          <w:sz w:val="22"/>
          <w:szCs w:val="22"/>
          <w:lang w:val="en-US" w:eastAsia="en-US"/>
        </w:rPr>
      </w:pPr>
      <w:r w:rsidRPr="00630E18">
        <w:rPr>
          <w:rFonts w:eastAsia="Calibri"/>
          <w:sz w:val="22"/>
          <w:szCs w:val="22"/>
          <w:lang w:val="en-US" w:eastAsia="en-US"/>
        </w:rPr>
        <w:t>9. Sulaiman N, Mahmoud I, Hussein A, Elbadawi S, Abusnana S, Zimmet P, et al. Diabetes risk score in the United Arab Emirates: a screening tool for the early detection of type 2 diabetes mellitus. BMJ Open Diabetes Res Care. 2018; 6(1):e000489. DOI: 10.1136/bmjdrc-2017-000489</w:t>
      </w:r>
    </w:p>
    <w:p w14:paraId="44892D45" w14:textId="77777777" w:rsidR="00630E18" w:rsidRPr="00630E18" w:rsidRDefault="00630E18" w:rsidP="00630E18">
      <w:pPr>
        <w:spacing w:line="360" w:lineRule="auto"/>
        <w:ind w:right="284"/>
        <w:contextualSpacing/>
        <w:rPr>
          <w:rFonts w:eastAsia="Calibri"/>
          <w:sz w:val="22"/>
          <w:szCs w:val="22"/>
          <w:lang w:val="en-US" w:eastAsia="en-US"/>
        </w:rPr>
      </w:pPr>
      <w:r w:rsidRPr="00630E18">
        <w:rPr>
          <w:rFonts w:eastAsia="Calibri"/>
          <w:sz w:val="22"/>
          <w:szCs w:val="22"/>
          <w:lang w:val="en-US" w:eastAsia="en-US"/>
        </w:rPr>
        <w:t>10. Bahijri S, Al-Raddadi R, Ajabnoor G, Jambi H, Al Ahmadi J, Borai A, et al. Dysglycemia risk score in Saudi Arabia: A tool to identify people at high future risk of developing type 2 diabetes. J Diabetes Investig. 2020; 11(4):844-55. DOI: 10.1111/jdi.13213</w:t>
      </w:r>
    </w:p>
    <w:p w14:paraId="5D9A918C" w14:textId="77777777" w:rsidR="00630E18" w:rsidRPr="00630E18" w:rsidRDefault="00630E18" w:rsidP="00630E18">
      <w:pPr>
        <w:spacing w:line="360" w:lineRule="auto"/>
        <w:ind w:right="284"/>
        <w:contextualSpacing/>
        <w:rPr>
          <w:rFonts w:eastAsia="Calibri"/>
          <w:sz w:val="22"/>
          <w:szCs w:val="22"/>
          <w:lang w:val="en-US" w:eastAsia="en-US"/>
        </w:rPr>
      </w:pPr>
      <w:r w:rsidRPr="00630E18">
        <w:rPr>
          <w:rFonts w:eastAsia="Calibri"/>
          <w:sz w:val="22"/>
          <w:szCs w:val="22"/>
          <w:lang w:val="en-US" w:eastAsia="en-US"/>
        </w:rPr>
        <w:t>11. Bernabe-Ortiz A, Perel P, Miranda JJ, Smeeth L. Diagnostic accuracy of the Finnish Diabetes Risk Score (FINDRISC) for undiagnosed T2DM in Peruvian population. Prim Care Diabetes. 2018; 12(6):517-25. DOI: 10.1016/j.pcd.2018.07.015</w:t>
      </w:r>
    </w:p>
    <w:p w14:paraId="0DCE993B" w14:textId="77777777" w:rsidR="00630E18" w:rsidRPr="00630E18" w:rsidRDefault="00630E18" w:rsidP="00630E18">
      <w:pPr>
        <w:spacing w:line="360" w:lineRule="auto"/>
        <w:ind w:right="284"/>
        <w:contextualSpacing/>
        <w:rPr>
          <w:rFonts w:eastAsia="Calibri"/>
          <w:sz w:val="22"/>
          <w:szCs w:val="22"/>
          <w:lang w:val="en-US" w:eastAsia="en-US"/>
        </w:rPr>
      </w:pPr>
      <w:r w:rsidRPr="00630E18">
        <w:rPr>
          <w:rFonts w:eastAsia="Calibri"/>
          <w:sz w:val="22"/>
          <w:szCs w:val="22"/>
          <w:lang w:val="en-US" w:eastAsia="en-US"/>
        </w:rPr>
        <w:t>12. ElSayed NA, Aleppo G, Aroda VR, et al. 2. Classification and Diagnosis of Diabetes: Standards of Care in Diabetes-2023. Diabetes Care. 2023 [acceso: 16/03/2021); 46(Suppl 1):S19-S40. Disponible en:</w:t>
      </w:r>
    </w:p>
    <w:p w14:paraId="49D91917" w14:textId="77777777" w:rsidR="00630E18" w:rsidRPr="00630E18" w:rsidRDefault="00000000" w:rsidP="00630E18">
      <w:pPr>
        <w:spacing w:line="360" w:lineRule="auto"/>
        <w:ind w:right="284"/>
        <w:contextualSpacing/>
        <w:rPr>
          <w:rFonts w:eastAsia="Calibri"/>
          <w:sz w:val="22"/>
          <w:szCs w:val="22"/>
          <w:lang w:val="en-US" w:eastAsia="en-US"/>
        </w:rPr>
      </w:pPr>
      <w:hyperlink r:id="rId16" w:history="1">
        <w:r w:rsidR="00630E18" w:rsidRPr="00630E18">
          <w:rPr>
            <w:rFonts w:eastAsia="Calibri"/>
            <w:color w:val="0000FF"/>
            <w:sz w:val="22"/>
            <w:szCs w:val="22"/>
            <w:lang w:val="en-US" w:eastAsia="en-US"/>
          </w:rPr>
          <w:t>https://diabetesjournals.org/care/article/46/Supplement_1/S19/148056/2-Classification-and-Diagnosis-of-Diabetes</w:t>
        </w:r>
      </w:hyperlink>
      <w:r w:rsidR="00630E18" w:rsidRPr="00630E18">
        <w:rPr>
          <w:rFonts w:eastAsia="Calibri"/>
          <w:sz w:val="22"/>
          <w:szCs w:val="22"/>
          <w:lang w:val="en-US" w:eastAsia="en-US"/>
        </w:rPr>
        <w:t xml:space="preserve"> </w:t>
      </w:r>
    </w:p>
    <w:p w14:paraId="28A46B16" w14:textId="77777777" w:rsidR="00630E18" w:rsidRPr="00C946F2" w:rsidRDefault="00630E18" w:rsidP="00630E18">
      <w:pPr>
        <w:spacing w:line="360" w:lineRule="auto"/>
        <w:ind w:right="284"/>
        <w:contextualSpacing/>
        <w:rPr>
          <w:rFonts w:eastAsia="Calibri"/>
          <w:sz w:val="22"/>
          <w:szCs w:val="22"/>
          <w:lang w:val="en-US" w:eastAsia="en-US"/>
        </w:rPr>
      </w:pPr>
      <w:r w:rsidRPr="00630E18">
        <w:rPr>
          <w:rFonts w:eastAsia="Calibri"/>
          <w:sz w:val="22"/>
          <w:szCs w:val="22"/>
          <w:lang w:val="en-US" w:eastAsia="en-US"/>
        </w:rPr>
        <w:t xml:space="preserve">13. Collins GS, Dhiman P, Andaur Navarro CL, Ma J, Hooft L, Reitsma JB, et al. Protocol for development of a reporting guideline (TRIPOD-AI) and risk of bias tool (PROBAST-AI) for diagnostic and prognostic prediction model studies based on artificial intelligence. </w:t>
      </w:r>
      <w:r w:rsidRPr="00C946F2">
        <w:rPr>
          <w:rFonts w:eastAsia="Calibri"/>
          <w:sz w:val="22"/>
          <w:szCs w:val="22"/>
          <w:lang w:val="en-US" w:eastAsia="en-US"/>
        </w:rPr>
        <w:t>BMJ Open. 2021 [12/02/2022); 11(7):e048008. Disponible en:</w:t>
      </w:r>
    </w:p>
    <w:p w14:paraId="46ACFBC4" w14:textId="77777777" w:rsidR="00630E18" w:rsidRPr="00C946F2" w:rsidRDefault="00000000" w:rsidP="00630E18">
      <w:pPr>
        <w:spacing w:line="360" w:lineRule="auto"/>
        <w:ind w:right="284"/>
        <w:contextualSpacing/>
        <w:rPr>
          <w:rFonts w:eastAsia="Calibri"/>
          <w:sz w:val="22"/>
          <w:szCs w:val="22"/>
          <w:lang w:val="en-US" w:eastAsia="en-US"/>
        </w:rPr>
      </w:pPr>
      <w:hyperlink r:id="rId17" w:history="1">
        <w:r w:rsidR="00630E18" w:rsidRPr="00C946F2">
          <w:rPr>
            <w:rFonts w:eastAsia="Calibri"/>
            <w:color w:val="0000FF"/>
            <w:sz w:val="22"/>
            <w:szCs w:val="22"/>
            <w:lang w:val="en-US" w:eastAsia="en-US"/>
          </w:rPr>
          <w:t>https://pubmed.ncbi.nlm.nih.gov/34244270/</w:t>
        </w:r>
      </w:hyperlink>
      <w:r w:rsidR="00630E18" w:rsidRPr="00C946F2">
        <w:rPr>
          <w:rFonts w:eastAsia="Calibri"/>
          <w:sz w:val="22"/>
          <w:szCs w:val="22"/>
          <w:lang w:val="en-US" w:eastAsia="en-US"/>
        </w:rPr>
        <w:t xml:space="preserve">  </w:t>
      </w:r>
    </w:p>
    <w:p w14:paraId="754360B2" w14:textId="77777777" w:rsidR="00630E18" w:rsidRPr="00630E18" w:rsidRDefault="00630E18" w:rsidP="00630E18">
      <w:pPr>
        <w:spacing w:line="360" w:lineRule="auto"/>
        <w:ind w:right="284"/>
        <w:contextualSpacing/>
        <w:rPr>
          <w:rFonts w:eastAsia="Calibri"/>
          <w:sz w:val="22"/>
          <w:szCs w:val="22"/>
          <w:lang w:val="en-US" w:eastAsia="en-US"/>
        </w:rPr>
      </w:pPr>
      <w:r w:rsidRPr="00630E18">
        <w:rPr>
          <w:rFonts w:eastAsia="Calibri"/>
          <w:sz w:val="22"/>
          <w:szCs w:val="22"/>
          <w:lang w:val="en-US" w:eastAsia="en-US"/>
        </w:rPr>
        <w:t>14. World Medical Association. World Medical Association Declaration of Helsinki: ethical principles for medical research involving human subjects. JAMA. 2013; 310(20):2191-4. DOI: 10.1001/jama.2013.281053</w:t>
      </w:r>
    </w:p>
    <w:p w14:paraId="34E18C58" w14:textId="77777777" w:rsidR="00630E18" w:rsidRPr="00630E18" w:rsidRDefault="00630E18" w:rsidP="00630E18">
      <w:pPr>
        <w:spacing w:line="360" w:lineRule="auto"/>
        <w:ind w:right="284"/>
        <w:contextualSpacing/>
        <w:rPr>
          <w:rFonts w:eastAsia="Calibri"/>
          <w:sz w:val="22"/>
          <w:szCs w:val="22"/>
          <w:lang w:val="en-US" w:eastAsia="en-US"/>
        </w:rPr>
      </w:pPr>
      <w:r w:rsidRPr="00630E18">
        <w:rPr>
          <w:rFonts w:eastAsia="Calibri"/>
          <w:sz w:val="22"/>
          <w:szCs w:val="22"/>
          <w:lang w:val="en-US" w:eastAsia="en-US"/>
        </w:rPr>
        <w:t>15. Nieto-Martínez R, González-Rivas JP, Ugel E, Marulanda MI, Durán M, Mechanick JI, Aschner P. External validation of the Finnish diabetes risk score in Venezuela using a national sample: The EVESCAM. Prim Care Diabetes. 2019; 13(6):574-82. DOI: 10.1016/j.pcd.2019.04.006</w:t>
      </w:r>
    </w:p>
    <w:p w14:paraId="4BD1D33A" w14:textId="77777777" w:rsidR="00630E18" w:rsidRPr="00630E18" w:rsidRDefault="00630E18" w:rsidP="00630E18">
      <w:pPr>
        <w:spacing w:line="360" w:lineRule="auto"/>
        <w:ind w:right="284"/>
        <w:contextualSpacing/>
        <w:rPr>
          <w:rFonts w:eastAsia="Calibri"/>
          <w:sz w:val="22"/>
          <w:szCs w:val="22"/>
          <w:lang w:val="en-US" w:eastAsia="en-US"/>
        </w:rPr>
      </w:pPr>
      <w:r w:rsidRPr="00630E18">
        <w:rPr>
          <w:rFonts w:eastAsia="Calibri"/>
          <w:sz w:val="22"/>
          <w:szCs w:val="22"/>
          <w:lang w:val="en-US" w:eastAsia="en-US"/>
        </w:rPr>
        <w:t>16. Lim HM, Chia YC, Koay ZL. Performance of the Finnish Diabetes Risk Score (FINDRISC) and Modified Asian FINDRISC (ModAsian FINDRISC) for screening of undiagnosed type 2 diabetes mellitus and dysglycaemia in primary care. Prim Care Diabetes. 2020; 14(5):494-500. DOI: 10.1016/j.pcd.2020.02.008</w:t>
      </w:r>
    </w:p>
    <w:p w14:paraId="4BA127F2" w14:textId="77777777" w:rsidR="00630E18" w:rsidRPr="00630E18" w:rsidRDefault="00630E18" w:rsidP="00630E18">
      <w:pPr>
        <w:spacing w:line="360" w:lineRule="auto"/>
        <w:ind w:right="284"/>
        <w:contextualSpacing/>
        <w:rPr>
          <w:rFonts w:eastAsia="Calibri"/>
          <w:sz w:val="22"/>
          <w:szCs w:val="22"/>
          <w:lang w:val="en-US" w:eastAsia="en-US"/>
        </w:rPr>
      </w:pPr>
      <w:r w:rsidRPr="00630E18">
        <w:rPr>
          <w:rFonts w:eastAsia="Calibri"/>
          <w:sz w:val="22"/>
          <w:szCs w:val="22"/>
          <w:lang w:val="en-US" w:eastAsia="en-US"/>
        </w:rPr>
        <w:t>17. Heltberg A, Andersen JS, Sandholdt H, Siersma V, Kragstrup J, Ellervik C. Predictors of undiagnosed prevalent type 2 diabetes – The Danish General Suburban Population Study. Prim Care Diabetes. 2018; 12(1):13-22. DOI: 10.1016/j.pcd.2017.08.005</w:t>
      </w:r>
    </w:p>
    <w:p w14:paraId="00863A85" w14:textId="77777777" w:rsidR="00630E18" w:rsidRPr="00630E18" w:rsidRDefault="00630E18" w:rsidP="00630E18">
      <w:pPr>
        <w:spacing w:line="360" w:lineRule="auto"/>
        <w:ind w:right="284"/>
        <w:contextualSpacing/>
        <w:rPr>
          <w:rFonts w:eastAsia="Calibri"/>
          <w:sz w:val="22"/>
          <w:szCs w:val="22"/>
          <w:lang w:val="en-US" w:eastAsia="en-US"/>
        </w:rPr>
      </w:pPr>
      <w:r w:rsidRPr="00630E18">
        <w:rPr>
          <w:rFonts w:eastAsia="Calibri"/>
          <w:sz w:val="22"/>
          <w:szCs w:val="22"/>
          <w:lang w:val="en-US" w:eastAsia="en-US"/>
        </w:rPr>
        <w:t>18. Silvestre MP, Jiang Y, Volkova K, Chisholm H, Lee W, Poppitt SD. Evaluating FINDRISC as a screening tool for type 2 diabetes among overweight adults in the PREVIEW:NZ cohort. Prim Care Diabetes. 2017; 11(6):561-9. DOI: 10.1016/j.pcd.2017.07.003</w:t>
      </w:r>
    </w:p>
    <w:p w14:paraId="387FBE5C" w14:textId="77777777" w:rsidR="00630E18" w:rsidRPr="00630E18" w:rsidRDefault="00630E18" w:rsidP="00630E18">
      <w:pPr>
        <w:spacing w:line="360" w:lineRule="auto"/>
        <w:ind w:right="284"/>
        <w:contextualSpacing/>
        <w:rPr>
          <w:rFonts w:eastAsia="Calibri"/>
          <w:sz w:val="22"/>
          <w:szCs w:val="22"/>
          <w:lang w:val="en-US" w:eastAsia="en-US"/>
        </w:rPr>
      </w:pPr>
      <w:r w:rsidRPr="00630E18">
        <w:rPr>
          <w:rFonts w:eastAsia="Calibri"/>
          <w:sz w:val="22"/>
          <w:szCs w:val="22"/>
          <w:lang w:val="en-US" w:eastAsia="en-US"/>
        </w:rPr>
        <w:t>19. Stiglic G, Wang F, Sheikh A, Cilar L. Development and validation of the type 2 diabetes mellitus 10-year risk score prediction models from survey data. Prim Care Diabetes. 2021; 15(4):699-705. DOI: 10.1016/j.pcd.2021.04.008</w:t>
      </w:r>
    </w:p>
    <w:p w14:paraId="17B69230" w14:textId="77777777" w:rsidR="00630E18" w:rsidRPr="00630E18" w:rsidRDefault="00630E18" w:rsidP="00630E18">
      <w:pPr>
        <w:spacing w:line="360" w:lineRule="auto"/>
        <w:ind w:right="284"/>
        <w:contextualSpacing/>
        <w:rPr>
          <w:rFonts w:eastAsia="Calibri"/>
          <w:sz w:val="22"/>
          <w:szCs w:val="22"/>
          <w:lang w:val="en-US" w:eastAsia="en-US"/>
        </w:rPr>
      </w:pPr>
      <w:r w:rsidRPr="00630E18">
        <w:rPr>
          <w:rFonts w:eastAsia="Calibri"/>
          <w:sz w:val="22"/>
          <w:szCs w:val="22"/>
          <w:lang w:val="en-US" w:eastAsia="en-US"/>
        </w:rPr>
        <w:t>20. Awad SF, Dargham SR, Toumi AA, Dumit EM, El-Nahas KG, Al-Hamaq AO, et al. A diabetes risk score for Qatar utilizing a novel mathematical modeling approach to identify individuals at high risk for diabetes. Sci Rep. 2021; 11(1):1811. DOI: 10.1038/s41598-021-81385-3</w:t>
      </w:r>
    </w:p>
    <w:p w14:paraId="5212F44F" w14:textId="77777777" w:rsidR="00630E18" w:rsidRPr="00630E18" w:rsidRDefault="00630E18" w:rsidP="00630E18">
      <w:pPr>
        <w:spacing w:line="360" w:lineRule="auto"/>
        <w:ind w:right="284"/>
        <w:contextualSpacing/>
        <w:rPr>
          <w:rFonts w:eastAsia="Calibri"/>
          <w:sz w:val="22"/>
          <w:szCs w:val="22"/>
          <w:lang w:val="es-ES" w:eastAsia="en-US"/>
        </w:rPr>
      </w:pPr>
      <w:r w:rsidRPr="00630E18">
        <w:rPr>
          <w:rFonts w:eastAsia="Calibri"/>
          <w:sz w:val="22"/>
          <w:szCs w:val="22"/>
          <w:lang w:val="en-US" w:eastAsia="en-US"/>
        </w:rPr>
        <w:t xml:space="preserve">21. Sinn DH, Kang D, Cho SJ, Paik SW, Guallar E, Cho J, et al. </w:t>
      </w:r>
      <w:r w:rsidRPr="00630E18">
        <w:rPr>
          <w:rFonts w:eastAsia="Calibri"/>
          <w:sz w:val="22"/>
          <w:szCs w:val="22"/>
          <w:lang w:val="es-ES" w:eastAsia="en-US"/>
        </w:rPr>
        <w:t>Enfermedad del hígado graso no alcohólico magro y desarrollo de diabetes: un estudio de cohorte. Eur J Endocrinol. 2019; 181(2):185–92. DOI: 10.1530/EJE-19-0143</w:t>
      </w:r>
    </w:p>
    <w:p w14:paraId="3C334F5E" w14:textId="77777777" w:rsidR="00630E18" w:rsidRPr="00630E18" w:rsidRDefault="00630E18" w:rsidP="00630E18">
      <w:pPr>
        <w:spacing w:line="360" w:lineRule="auto"/>
        <w:ind w:right="284"/>
        <w:contextualSpacing/>
        <w:rPr>
          <w:rFonts w:eastAsia="Calibri"/>
          <w:sz w:val="22"/>
          <w:szCs w:val="22"/>
          <w:lang w:val="es-ES" w:eastAsia="en-US"/>
        </w:rPr>
      </w:pPr>
      <w:r w:rsidRPr="00630E18">
        <w:rPr>
          <w:rFonts w:eastAsia="Calibri"/>
          <w:sz w:val="22"/>
          <w:szCs w:val="22"/>
          <w:lang w:val="es-ES" w:eastAsia="en-US"/>
        </w:rPr>
        <w:lastRenderedPageBreak/>
        <w:t xml:space="preserve">22. Ming Z, Bingyuan W, Yu L, Xizhuo S, Xinping L, Chongjian W, et al. </w:t>
      </w:r>
      <w:r w:rsidRPr="00630E18">
        <w:rPr>
          <w:rFonts w:eastAsia="Calibri"/>
          <w:sz w:val="22"/>
          <w:szCs w:val="22"/>
          <w:lang w:val="en-US" w:eastAsia="en-US"/>
        </w:rPr>
        <w:t xml:space="preserve">Cumulative increased risk of incident type 2 diabetes mellitus with increasing triglyceride glucose index in normal-weight people: The Rural Chinese Cohort Study. </w:t>
      </w:r>
      <w:r w:rsidRPr="00630E18">
        <w:rPr>
          <w:rFonts w:eastAsia="Calibri"/>
          <w:sz w:val="22"/>
          <w:szCs w:val="22"/>
          <w:lang w:val="es-ES" w:eastAsia="en-US"/>
        </w:rPr>
        <w:t>Cardiovasc Diabetol 2017; 16:30. DOI: 10.1186/s12933-017-0514-x</w:t>
      </w:r>
    </w:p>
    <w:bookmarkEnd w:id="0"/>
    <w:p w14:paraId="1778ACBB" w14:textId="77777777" w:rsidR="00630E18" w:rsidRPr="00630E18" w:rsidRDefault="00630E18" w:rsidP="00630E18">
      <w:pPr>
        <w:spacing w:line="360" w:lineRule="auto"/>
        <w:jc w:val="both"/>
        <w:rPr>
          <w:rFonts w:ascii="Calibri" w:eastAsia="Calibri" w:hAnsi="Calibri" w:cs="SimSun"/>
          <w:sz w:val="22"/>
          <w:szCs w:val="22"/>
          <w:lang w:val="es-ES" w:eastAsia="en-US"/>
        </w:rPr>
      </w:pPr>
    </w:p>
    <w:p w14:paraId="0B8744C6" w14:textId="77777777" w:rsidR="00630E18" w:rsidRPr="00630E18" w:rsidRDefault="00630E18" w:rsidP="00630E18">
      <w:pPr>
        <w:spacing w:line="360" w:lineRule="auto"/>
        <w:jc w:val="both"/>
        <w:rPr>
          <w:rFonts w:eastAsia="Calibri"/>
          <w:b/>
          <w:bCs/>
          <w:sz w:val="28"/>
          <w:szCs w:val="28"/>
          <w:lang w:val="es-ES" w:eastAsia="en-US"/>
        </w:rPr>
      </w:pPr>
    </w:p>
    <w:p w14:paraId="5F66144E" w14:textId="77777777" w:rsidR="00630E18" w:rsidRPr="00630E18" w:rsidRDefault="00630E18" w:rsidP="00630E18">
      <w:pPr>
        <w:spacing w:line="360" w:lineRule="auto"/>
        <w:jc w:val="center"/>
        <w:rPr>
          <w:rFonts w:eastAsia="Calibri"/>
          <w:b/>
          <w:bCs/>
          <w:lang w:val="es-ES" w:eastAsia="en-US"/>
        </w:rPr>
      </w:pPr>
      <w:r w:rsidRPr="00630E18">
        <w:rPr>
          <w:rFonts w:eastAsia="Calibri"/>
          <w:b/>
          <w:bCs/>
          <w:lang w:val="es-ES" w:eastAsia="en-US"/>
        </w:rPr>
        <w:t>Conflictos de interés</w:t>
      </w:r>
    </w:p>
    <w:p w14:paraId="6A25CCE6" w14:textId="77777777" w:rsidR="00630E18" w:rsidRPr="00630E18" w:rsidRDefault="00630E18" w:rsidP="00630E18">
      <w:pPr>
        <w:spacing w:line="360" w:lineRule="auto"/>
        <w:jc w:val="both"/>
        <w:rPr>
          <w:rFonts w:eastAsia="Calibri"/>
          <w:lang w:val="es-ES" w:eastAsia="en-US"/>
        </w:rPr>
      </w:pPr>
      <w:r w:rsidRPr="00630E18">
        <w:rPr>
          <w:rFonts w:eastAsia="Calibri"/>
          <w:lang w:val="es-ES" w:eastAsia="en-US"/>
        </w:rPr>
        <w:t>Los autores no declaran conflictos de interés.</w:t>
      </w:r>
    </w:p>
    <w:p w14:paraId="47328838" w14:textId="77777777" w:rsidR="00630E18" w:rsidRPr="00630E18" w:rsidRDefault="00630E18" w:rsidP="00630E18">
      <w:pPr>
        <w:spacing w:line="360" w:lineRule="auto"/>
        <w:jc w:val="both"/>
        <w:rPr>
          <w:rFonts w:eastAsia="Calibri"/>
          <w:lang w:val="es-ES" w:eastAsia="en-US"/>
        </w:rPr>
      </w:pPr>
    </w:p>
    <w:p w14:paraId="78A09F10" w14:textId="77777777" w:rsidR="00630E18" w:rsidRPr="00630E18" w:rsidRDefault="00630E18" w:rsidP="00630E18">
      <w:pPr>
        <w:spacing w:line="360" w:lineRule="auto"/>
        <w:jc w:val="center"/>
        <w:rPr>
          <w:rFonts w:eastAsia="Calibri"/>
          <w:b/>
          <w:bCs/>
          <w:lang w:val="es-ES" w:eastAsia="en-US"/>
        </w:rPr>
      </w:pPr>
      <w:r w:rsidRPr="00630E18">
        <w:rPr>
          <w:rFonts w:eastAsia="Calibri"/>
          <w:b/>
          <w:bCs/>
          <w:lang w:val="es-ES" w:eastAsia="en-US"/>
        </w:rPr>
        <w:t>Contribuciones de los autores</w:t>
      </w:r>
    </w:p>
    <w:p w14:paraId="45031708" w14:textId="77777777" w:rsidR="00630E18" w:rsidRPr="00630E18" w:rsidRDefault="00630E18" w:rsidP="00630E18">
      <w:pPr>
        <w:spacing w:line="360" w:lineRule="auto"/>
        <w:jc w:val="both"/>
        <w:rPr>
          <w:rFonts w:eastAsia="Calibri"/>
          <w:lang w:val="es-ES" w:eastAsia="en-US"/>
        </w:rPr>
      </w:pPr>
      <w:r w:rsidRPr="00630E18">
        <w:rPr>
          <w:rFonts w:eastAsia="Calibri"/>
          <w:bCs/>
          <w:lang w:val="es-ES" w:eastAsia="en-US"/>
        </w:rPr>
        <w:t>Conceptualización</w:t>
      </w:r>
      <w:r w:rsidRPr="00630E18">
        <w:rPr>
          <w:rFonts w:eastAsia="Calibri"/>
          <w:lang w:val="es-ES" w:eastAsia="en-US"/>
        </w:rPr>
        <w:t xml:space="preserve">: </w:t>
      </w:r>
      <w:r w:rsidRPr="00630E18">
        <w:rPr>
          <w:rFonts w:eastAsia="Calibri"/>
          <w:i/>
          <w:iCs/>
          <w:lang w:val="es-ES" w:eastAsia="en-US"/>
        </w:rPr>
        <w:t>Maurio González Hernández.</w:t>
      </w:r>
      <w:r w:rsidRPr="00630E18">
        <w:rPr>
          <w:rFonts w:eastAsia="Calibri"/>
          <w:lang w:val="es-ES" w:eastAsia="en-US"/>
        </w:rPr>
        <w:t xml:space="preserve"> </w:t>
      </w:r>
    </w:p>
    <w:p w14:paraId="22976F3D" w14:textId="77777777" w:rsidR="00630E18" w:rsidRPr="00630E18" w:rsidRDefault="00630E18" w:rsidP="00630E18">
      <w:pPr>
        <w:spacing w:line="360" w:lineRule="auto"/>
        <w:jc w:val="both"/>
        <w:rPr>
          <w:rFonts w:eastAsia="Calibri"/>
          <w:lang w:val="es-ES" w:eastAsia="en-US"/>
        </w:rPr>
      </w:pPr>
      <w:r w:rsidRPr="00630E18">
        <w:rPr>
          <w:rFonts w:eastAsia="Calibri"/>
          <w:bCs/>
          <w:lang w:val="es-ES" w:eastAsia="en-US"/>
        </w:rPr>
        <w:t xml:space="preserve">Curación de datos: </w:t>
      </w:r>
      <w:r w:rsidRPr="00630E18">
        <w:rPr>
          <w:rFonts w:eastAsia="Calibri"/>
          <w:i/>
          <w:iCs/>
          <w:lang w:val="es-ES" w:eastAsia="en-US"/>
        </w:rPr>
        <w:t>Juan Bruno Ruiz Nápoles.</w:t>
      </w:r>
    </w:p>
    <w:p w14:paraId="26934F21" w14:textId="77777777" w:rsidR="00630E18" w:rsidRPr="00630E18" w:rsidRDefault="00630E18" w:rsidP="00630E18">
      <w:pPr>
        <w:spacing w:line="360" w:lineRule="auto"/>
        <w:jc w:val="both"/>
        <w:rPr>
          <w:rFonts w:eastAsia="Calibri"/>
          <w:lang w:val="es-ES" w:eastAsia="en-US"/>
        </w:rPr>
      </w:pPr>
      <w:r w:rsidRPr="00630E18">
        <w:rPr>
          <w:rFonts w:eastAsia="Calibri"/>
          <w:bCs/>
          <w:lang w:val="es-ES" w:eastAsia="en-US"/>
        </w:rPr>
        <w:t>Análisis formal:</w:t>
      </w:r>
      <w:r w:rsidRPr="00630E18">
        <w:rPr>
          <w:rFonts w:eastAsia="Calibri"/>
          <w:i/>
          <w:iCs/>
          <w:lang w:val="es-ES" w:eastAsia="en-US"/>
        </w:rPr>
        <w:t xml:space="preserve"> Maurio González Hernández.</w:t>
      </w:r>
      <w:r w:rsidRPr="00630E18">
        <w:rPr>
          <w:rFonts w:eastAsia="Calibri"/>
          <w:lang w:val="es-ES" w:eastAsia="en-US"/>
        </w:rPr>
        <w:t xml:space="preserve"> </w:t>
      </w:r>
    </w:p>
    <w:p w14:paraId="7C4F61E7" w14:textId="77777777" w:rsidR="00630E18" w:rsidRPr="00630E18" w:rsidRDefault="00630E18" w:rsidP="00630E18">
      <w:pPr>
        <w:spacing w:line="360" w:lineRule="auto"/>
        <w:jc w:val="both"/>
        <w:rPr>
          <w:rFonts w:eastAsia="Calibri"/>
          <w:lang w:val="es-ES" w:eastAsia="en-US"/>
        </w:rPr>
      </w:pPr>
      <w:r w:rsidRPr="00630E18">
        <w:rPr>
          <w:rFonts w:eastAsia="Calibri"/>
          <w:bCs/>
          <w:lang w:val="es-ES" w:eastAsia="en-US"/>
        </w:rPr>
        <w:t>Investigación</w:t>
      </w:r>
      <w:r w:rsidRPr="00630E18">
        <w:rPr>
          <w:rFonts w:eastAsia="Calibri"/>
          <w:lang w:val="es-ES" w:eastAsia="en-US"/>
        </w:rPr>
        <w:t xml:space="preserve">: </w:t>
      </w:r>
      <w:r w:rsidRPr="00630E18">
        <w:rPr>
          <w:rFonts w:eastAsia="Calibri"/>
          <w:i/>
          <w:iCs/>
          <w:lang w:val="es-ES" w:eastAsia="en-US"/>
        </w:rPr>
        <w:t>Maurio González Hernández.</w:t>
      </w:r>
      <w:r w:rsidRPr="00630E18">
        <w:rPr>
          <w:rFonts w:eastAsia="Calibri"/>
          <w:lang w:val="es-ES" w:eastAsia="en-US"/>
        </w:rPr>
        <w:t xml:space="preserve"> </w:t>
      </w:r>
    </w:p>
    <w:p w14:paraId="0C6BCE9C" w14:textId="77777777" w:rsidR="00630E18" w:rsidRPr="00630E18" w:rsidRDefault="00630E18" w:rsidP="00630E18">
      <w:pPr>
        <w:spacing w:line="360" w:lineRule="auto"/>
        <w:jc w:val="both"/>
        <w:rPr>
          <w:rFonts w:eastAsia="Calibri"/>
          <w:lang w:val="es-ES" w:eastAsia="en-US"/>
        </w:rPr>
      </w:pPr>
      <w:r w:rsidRPr="00630E18">
        <w:rPr>
          <w:rFonts w:eastAsia="Calibri"/>
          <w:bCs/>
          <w:lang w:val="es-ES" w:eastAsia="en-US"/>
        </w:rPr>
        <w:t>Metodología</w:t>
      </w:r>
      <w:r w:rsidRPr="00630E18">
        <w:rPr>
          <w:rFonts w:eastAsia="Calibri"/>
          <w:lang w:val="es-ES" w:eastAsia="en-US"/>
        </w:rPr>
        <w:t xml:space="preserve">: </w:t>
      </w:r>
      <w:r w:rsidRPr="00630E18">
        <w:rPr>
          <w:rFonts w:eastAsia="Calibri"/>
          <w:i/>
          <w:iCs/>
          <w:lang w:val="es-ES" w:eastAsia="en-US"/>
        </w:rPr>
        <w:t>Maurio González Hernández, Juan Bruno Ruiz Nápoles.</w:t>
      </w:r>
    </w:p>
    <w:p w14:paraId="1EE1FB89" w14:textId="77777777" w:rsidR="00630E18" w:rsidRPr="00630E18" w:rsidRDefault="00630E18" w:rsidP="00630E18">
      <w:pPr>
        <w:spacing w:line="360" w:lineRule="auto"/>
        <w:jc w:val="both"/>
        <w:rPr>
          <w:rFonts w:eastAsia="Calibri"/>
          <w:lang w:val="es-ES" w:eastAsia="en-US"/>
        </w:rPr>
      </w:pPr>
      <w:r w:rsidRPr="00630E18">
        <w:rPr>
          <w:rFonts w:eastAsia="Calibri"/>
          <w:bCs/>
          <w:lang w:val="es-ES" w:eastAsia="en-US"/>
        </w:rPr>
        <w:t>Administración del proyecto:</w:t>
      </w:r>
      <w:r w:rsidRPr="00630E18">
        <w:rPr>
          <w:rFonts w:eastAsia="Calibri"/>
          <w:i/>
          <w:iCs/>
          <w:lang w:val="es-ES" w:eastAsia="en-US"/>
        </w:rPr>
        <w:t xml:space="preserve"> Maurio González Hernández.</w:t>
      </w:r>
      <w:r w:rsidRPr="00630E18">
        <w:rPr>
          <w:rFonts w:eastAsia="Calibri"/>
          <w:lang w:val="es-ES" w:eastAsia="en-US"/>
        </w:rPr>
        <w:t xml:space="preserve"> </w:t>
      </w:r>
    </w:p>
    <w:p w14:paraId="5E7B6779" w14:textId="77777777" w:rsidR="00630E18" w:rsidRPr="00630E18" w:rsidRDefault="00630E18" w:rsidP="00630E18">
      <w:pPr>
        <w:spacing w:line="360" w:lineRule="auto"/>
        <w:jc w:val="both"/>
        <w:rPr>
          <w:rFonts w:eastAsia="Calibri"/>
          <w:bCs/>
          <w:i/>
          <w:iCs/>
          <w:lang w:val="es-ES" w:eastAsia="en-US"/>
        </w:rPr>
      </w:pPr>
      <w:r w:rsidRPr="00630E18">
        <w:rPr>
          <w:rFonts w:eastAsia="Calibri"/>
          <w:bCs/>
          <w:lang w:val="es-ES" w:eastAsia="en-US"/>
        </w:rPr>
        <w:t>Recursos:</w:t>
      </w:r>
      <w:r w:rsidRPr="00630E18">
        <w:rPr>
          <w:rFonts w:eastAsia="Calibri"/>
          <w:i/>
          <w:iCs/>
          <w:lang w:val="es-ES" w:eastAsia="en-US"/>
        </w:rPr>
        <w:t xml:space="preserve"> Maurio González Hernández, </w:t>
      </w:r>
      <w:r w:rsidRPr="00630E18">
        <w:rPr>
          <w:rFonts w:eastAsia="Calibri"/>
          <w:bCs/>
          <w:i/>
          <w:iCs/>
          <w:color w:val="000000"/>
          <w:lang w:val="es-CU" w:eastAsia="en-US"/>
        </w:rPr>
        <w:t>Sandra Velásquez Almaguer.</w:t>
      </w:r>
      <w:r w:rsidRPr="00630E18">
        <w:rPr>
          <w:rFonts w:eastAsia="Calibri"/>
          <w:bCs/>
          <w:i/>
          <w:iCs/>
          <w:lang w:val="es-ES" w:eastAsia="en-US"/>
        </w:rPr>
        <w:t xml:space="preserve"> </w:t>
      </w:r>
    </w:p>
    <w:p w14:paraId="3F3D6958" w14:textId="77777777" w:rsidR="00630E18" w:rsidRPr="00630E18" w:rsidRDefault="00630E18" w:rsidP="00630E18">
      <w:pPr>
        <w:spacing w:line="360" w:lineRule="auto"/>
        <w:jc w:val="both"/>
        <w:rPr>
          <w:rFonts w:eastAsia="Calibri"/>
          <w:lang w:val="es-ES" w:eastAsia="en-US"/>
        </w:rPr>
      </w:pPr>
      <w:r w:rsidRPr="00630E18">
        <w:rPr>
          <w:rFonts w:eastAsia="Calibri"/>
          <w:bCs/>
          <w:lang w:val="es-ES" w:eastAsia="en-US"/>
        </w:rPr>
        <w:t xml:space="preserve">Supervisión: </w:t>
      </w:r>
      <w:r w:rsidRPr="00630E18">
        <w:rPr>
          <w:rFonts w:eastAsia="Calibri"/>
          <w:i/>
          <w:iCs/>
          <w:lang w:val="es-ES" w:eastAsia="en-US"/>
        </w:rPr>
        <w:t>Juan Bruno Ruiz Nápoles.</w:t>
      </w:r>
    </w:p>
    <w:p w14:paraId="31FF2D63" w14:textId="77777777" w:rsidR="00630E18" w:rsidRPr="00630E18" w:rsidRDefault="00630E18" w:rsidP="00630E18">
      <w:pPr>
        <w:spacing w:line="360" w:lineRule="auto"/>
        <w:jc w:val="both"/>
        <w:rPr>
          <w:rFonts w:eastAsia="Calibri"/>
          <w:lang w:val="es-ES" w:eastAsia="en-US"/>
        </w:rPr>
      </w:pPr>
      <w:r w:rsidRPr="00630E18">
        <w:rPr>
          <w:rFonts w:eastAsia="Calibri"/>
          <w:bCs/>
          <w:lang w:val="es-ES" w:eastAsia="en-US"/>
        </w:rPr>
        <w:t>Validación:</w:t>
      </w:r>
      <w:r w:rsidRPr="00630E18">
        <w:rPr>
          <w:rFonts w:eastAsia="Calibri"/>
          <w:i/>
          <w:iCs/>
          <w:lang w:val="es-ES" w:eastAsia="en-US"/>
        </w:rPr>
        <w:t xml:space="preserve"> Juan Bruno Ruiz Nápoles.</w:t>
      </w:r>
    </w:p>
    <w:p w14:paraId="257CEF55" w14:textId="77777777" w:rsidR="00630E18" w:rsidRPr="00630E18" w:rsidRDefault="00630E18" w:rsidP="00630E18">
      <w:pPr>
        <w:spacing w:line="360" w:lineRule="auto"/>
        <w:jc w:val="both"/>
        <w:rPr>
          <w:rFonts w:eastAsia="Calibri"/>
          <w:bCs/>
          <w:lang w:val="es-ES" w:eastAsia="en-US"/>
        </w:rPr>
      </w:pPr>
      <w:r w:rsidRPr="00630E18">
        <w:rPr>
          <w:rFonts w:eastAsia="Calibri"/>
          <w:bCs/>
          <w:lang w:val="es-ES" w:eastAsia="en-US"/>
        </w:rPr>
        <w:t>Visualización:</w:t>
      </w:r>
      <w:r w:rsidRPr="00630E18">
        <w:rPr>
          <w:rFonts w:eastAsia="Calibri"/>
          <w:i/>
          <w:iCs/>
          <w:lang w:val="es-ES" w:eastAsia="en-US"/>
        </w:rPr>
        <w:t xml:space="preserve"> Maurio González Hernández, Juan Bruno Ruiz Nápoles.</w:t>
      </w:r>
    </w:p>
    <w:p w14:paraId="44F6447B" w14:textId="77777777" w:rsidR="00630E18" w:rsidRPr="00630E18" w:rsidRDefault="00630E18" w:rsidP="00630E18">
      <w:pPr>
        <w:spacing w:line="360" w:lineRule="auto"/>
        <w:jc w:val="both"/>
        <w:rPr>
          <w:rFonts w:eastAsia="Calibri"/>
          <w:bCs/>
          <w:lang w:val="es-ES" w:eastAsia="en-US"/>
        </w:rPr>
      </w:pPr>
      <w:r w:rsidRPr="00630E18">
        <w:rPr>
          <w:rFonts w:eastAsia="Calibri"/>
          <w:bCs/>
          <w:lang w:val="es-ES" w:eastAsia="en-US"/>
        </w:rPr>
        <w:t>Redacción – borrador original</w:t>
      </w:r>
      <w:r w:rsidRPr="00630E18">
        <w:rPr>
          <w:rFonts w:eastAsia="Calibri"/>
          <w:lang w:val="es-ES" w:eastAsia="en-US"/>
        </w:rPr>
        <w:t xml:space="preserve">: </w:t>
      </w:r>
      <w:r w:rsidRPr="00630E18">
        <w:rPr>
          <w:rFonts w:eastAsia="Calibri"/>
          <w:i/>
          <w:iCs/>
          <w:lang w:val="es-ES" w:eastAsia="en-US"/>
        </w:rPr>
        <w:t xml:space="preserve">Maurio González Hernández, Juan Bruno Ruiz Nápoles, </w:t>
      </w:r>
      <w:r w:rsidRPr="00630E18">
        <w:rPr>
          <w:rFonts w:eastAsia="Calibri"/>
          <w:bCs/>
          <w:i/>
          <w:iCs/>
          <w:color w:val="000000"/>
          <w:lang w:val="es-CU" w:eastAsia="en-US"/>
        </w:rPr>
        <w:t>Sandra Velásquez Almaguer.</w:t>
      </w:r>
      <w:r w:rsidRPr="00630E18">
        <w:rPr>
          <w:rFonts w:eastAsia="Calibri"/>
          <w:bCs/>
          <w:i/>
          <w:iCs/>
          <w:lang w:val="es-ES" w:eastAsia="en-US"/>
        </w:rPr>
        <w:t xml:space="preserve"> </w:t>
      </w:r>
    </w:p>
    <w:p w14:paraId="36ADE9CB" w14:textId="77777777" w:rsidR="00630E18" w:rsidRPr="00630E18" w:rsidRDefault="00630E18" w:rsidP="00630E18">
      <w:pPr>
        <w:spacing w:line="360" w:lineRule="auto"/>
        <w:jc w:val="both"/>
        <w:rPr>
          <w:rFonts w:ascii="Calibri" w:eastAsia="Calibri" w:hAnsi="Calibri" w:cs="SimSun"/>
          <w:sz w:val="22"/>
          <w:szCs w:val="22"/>
          <w:lang w:val="es-ES" w:eastAsia="en-US"/>
        </w:rPr>
      </w:pPr>
      <w:r w:rsidRPr="00630E18">
        <w:rPr>
          <w:rFonts w:eastAsia="Calibri"/>
          <w:bCs/>
          <w:lang w:val="es-ES" w:eastAsia="en-US"/>
        </w:rPr>
        <w:t>Redacción – revisión y edición</w:t>
      </w:r>
      <w:r w:rsidRPr="00630E18">
        <w:rPr>
          <w:rFonts w:eastAsia="Calibri"/>
          <w:lang w:val="es-ES" w:eastAsia="en-US"/>
        </w:rPr>
        <w:t xml:space="preserve">: </w:t>
      </w:r>
      <w:r w:rsidRPr="00630E18">
        <w:rPr>
          <w:rFonts w:eastAsia="Calibri"/>
          <w:i/>
          <w:iCs/>
          <w:lang w:val="es-ES" w:eastAsia="en-US"/>
        </w:rPr>
        <w:t>Maurio González Hernández, Juan Bruno Ruiz Nápoles.</w:t>
      </w:r>
    </w:p>
    <w:p w14:paraId="655AA454" w14:textId="77777777" w:rsidR="00675476" w:rsidRPr="0055115D" w:rsidRDefault="00675476" w:rsidP="00EA1FEF">
      <w:pPr>
        <w:pStyle w:val="PDFRevista"/>
      </w:pPr>
    </w:p>
    <w:sectPr w:rsidR="00675476" w:rsidRPr="0055115D" w:rsidSect="00FD3DF8">
      <w:headerReference w:type="default" r:id="rId18"/>
      <w:footerReference w:type="even" r:id="rId19"/>
      <w:footerReference w:type="default" r:id="rId2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5A71" w14:textId="77777777" w:rsidR="00050750" w:rsidRDefault="00050750">
      <w:r>
        <w:separator/>
      </w:r>
    </w:p>
  </w:endnote>
  <w:endnote w:type="continuationSeparator" w:id="0">
    <w:p w14:paraId="0B884C52" w14:textId="77777777" w:rsidR="00050750" w:rsidRDefault="0005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541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101C9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D11D" w14:textId="4370A730" w:rsidR="000F3690" w:rsidRPr="00AE044C" w:rsidRDefault="00630E18"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32EB77F" wp14:editId="39887802">
              <wp:simplePos x="0" y="0"/>
              <wp:positionH relativeFrom="column">
                <wp:posOffset>3810</wp:posOffset>
              </wp:positionH>
              <wp:positionV relativeFrom="paragraph">
                <wp:posOffset>50165</wp:posOffset>
              </wp:positionV>
              <wp:extent cx="6286500" cy="19050"/>
              <wp:effectExtent l="19050" t="19050" r="0" b="0"/>
              <wp:wrapNone/>
              <wp:docPr id="178732499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48B568"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BB2200C"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B845662"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0EF2C858" w14:textId="32D70705"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630E18" w:rsidRPr="00630E18">
      <w:rPr>
        <w:rFonts w:ascii="Verdana" w:hAnsi="Verdana"/>
        <w:noProof/>
        <w:sz w:val="18"/>
        <w:szCs w:val="18"/>
        <w:lang w:val="en-US" w:eastAsia="en-US"/>
      </w:rPr>
      <w:drawing>
        <wp:inline distT="0" distB="0" distL="0" distR="0" wp14:anchorId="52425422" wp14:editId="1E18A74D">
          <wp:extent cx="638175" cy="146685"/>
          <wp:effectExtent l="0" t="0" r="0" b="0"/>
          <wp:docPr id="1117376827"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FF767" w14:textId="77777777" w:rsidR="00050750" w:rsidRDefault="00050750">
      <w:r>
        <w:separator/>
      </w:r>
    </w:p>
  </w:footnote>
  <w:footnote w:type="continuationSeparator" w:id="0">
    <w:p w14:paraId="5E41595A" w14:textId="77777777" w:rsidR="00050750" w:rsidRDefault="00050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4975" w14:textId="11489D65" w:rsidR="00CC376A" w:rsidRPr="00AE044C" w:rsidRDefault="00630E18"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noProof/>
      </w:rPr>
      <w:drawing>
        <wp:anchor distT="0" distB="0" distL="114300" distR="114300" simplePos="0" relativeHeight="251663360" behindDoc="1" locked="0" layoutInCell="1" allowOverlap="1" wp14:anchorId="22722B3E" wp14:editId="3F6B4526">
          <wp:simplePos x="0" y="0"/>
          <wp:positionH relativeFrom="column">
            <wp:posOffset>2540</wp:posOffset>
          </wp:positionH>
          <wp:positionV relativeFrom="paragraph">
            <wp:posOffset>-598805</wp:posOffset>
          </wp:positionV>
          <wp:extent cx="6333490" cy="593725"/>
          <wp:effectExtent l="0" t="0" r="0" b="0"/>
          <wp:wrapNone/>
          <wp:docPr id="180979198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e02302509</w:t>
    </w:r>
  </w:p>
  <w:p w14:paraId="368BC866" w14:textId="339B526F" w:rsidR="00A477DE" w:rsidRDefault="00630E18">
    <w:r>
      <w:rPr>
        <w:noProof/>
      </w:rPr>
      <mc:AlternateContent>
        <mc:Choice Requires="wps">
          <w:drawing>
            <wp:anchor distT="0" distB="0" distL="114300" distR="114300" simplePos="0" relativeHeight="251654144" behindDoc="0" locked="0" layoutInCell="1" allowOverlap="1" wp14:anchorId="10F1B162" wp14:editId="2AA5BEF4">
              <wp:simplePos x="0" y="0"/>
              <wp:positionH relativeFrom="column">
                <wp:posOffset>635</wp:posOffset>
              </wp:positionH>
              <wp:positionV relativeFrom="paragraph">
                <wp:posOffset>42545</wp:posOffset>
              </wp:positionV>
              <wp:extent cx="6307455" cy="28575"/>
              <wp:effectExtent l="19050" t="19050" r="17145" b="9525"/>
              <wp:wrapNone/>
              <wp:docPr id="1900504268"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52D17C"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856637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A24A8840"/>
    <w:lvl w:ilvl="0" w:tplc="993E4D2C">
      <w:start w:val="1"/>
      <w:numFmt w:val="decimal"/>
      <w:lvlText w:val="%1."/>
      <w:lvlJc w:val="left"/>
      <w:pPr>
        <w:ind w:left="360" w:hanging="360"/>
      </w:pPr>
      <w:rPr>
        <w:rFonts w:hint="default"/>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000003"/>
    <w:multiLevelType w:val="hybridMultilevel"/>
    <w:tmpl w:val="E60C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960A7A7C"/>
    <w:lvl w:ilvl="0" w:tplc="040A0001">
      <w:start w:val="1"/>
      <w:numFmt w:val="bullet"/>
      <w:lvlText w:val=""/>
      <w:lvlJc w:val="left"/>
      <w:pPr>
        <w:tabs>
          <w:tab w:val="left" w:pos="644"/>
        </w:tabs>
        <w:ind w:left="644" w:hanging="360"/>
      </w:pPr>
      <w:rPr>
        <w:rFonts w:ascii="Symbol" w:hAnsi="Symbol" w:hint="default"/>
      </w:rPr>
    </w:lvl>
    <w:lvl w:ilvl="1" w:tplc="040A0003" w:tentative="1">
      <w:start w:val="1"/>
      <w:numFmt w:val="bullet"/>
      <w:lvlText w:val="o"/>
      <w:lvlJc w:val="left"/>
      <w:pPr>
        <w:tabs>
          <w:tab w:val="left" w:pos="1789"/>
        </w:tabs>
        <w:ind w:left="1789" w:hanging="360"/>
      </w:pPr>
      <w:rPr>
        <w:rFonts w:ascii="Courier New" w:hAnsi="Courier New" w:cs="Courier New" w:hint="default"/>
      </w:rPr>
    </w:lvl>
    <w:lvl w:ilvl="2" w:tplc="040A0005" w:tentative="1">
      <w:start w:val="1"/>
      <w:numFmt w:val="bullet"/>
      <w:lvlText w:val=""/>
      <w:lvlJc w:val="left"/>
      <w:pPr>
        <w:tabs>
          <w:tab w:val="left" w:pos="2509"/>
        </w:tabs>
        <w:ind w:left="2509" w:hanging="360"/>
      </w:pPr>
      <w:rPr>
        <w:rFonts w:ascii="Wingdings" w:hAnsi="Wingdings" w:hint="default"/>
      </w:rPr>
    </w:lvl>
    <w:lvl w:ilvl="3" w:tplc="040A0001" w:tentative="1">
      <w:start w:val="1"/>
      <w:numFmt w:val="bullet"/>
      <w:lvlText w:val=""/>
      <w:lvlJc w:val="left"/>
      <w:pPr>
        <w:tabs>
          <w:tab w:val="left" w:pos="3229"/>
        </w:tabs>
        <w:ind w:left="3229" w:hanging="360"/>
      </w:pPr>
      <w:rPr>
        <w:rFonts w:ascii="Symbol" w:hAnsi="Symbol" w:hint="default"/>
      </w:rPr>
    </w:lvl>
    <w:lvl w:ilvl="4" w:tplc="040A0003" w:tentative="1">
      <w:start w:val="1"/>
      <w:numFmt w:val="bullet"/>
      <w:lvlText w:val="o"/>
      <w:lvlJc w:val="left"/>
      <w:pPr>
        <w:tabs>
          <w:tab w:val="left" w:pos="3949"/>
        </w:tabs>
        <w:ind w:left="3949" w:hanging="360"/>
      </w:pPr>
      <w:rPr>
        <w:rFonts w:ascii="Courier New" w:hAnsi="Courier New" w:cs="Courier New" w:hint="default"/>
      </w:rPr>
    </w:lvl>
    <w:lvl w:ilvl="5" w:tplc="040A0005" w:tentative="1">
      <w:start w:val="1"/>
      <w:numFmt w:val="bullet"/>
      <w:lvlText w:val=""/>
      <w:lvlJc w:val="left"/>
      <w:pPr>
        <w:tabs>
          <w:tab w:val="left" w:pos="4669"/>
        </w:tabs>
        <w:ind w:left="4669" w:hanging="360"/>
      </w:pPr>
      <w:rPr>
        <w:rFonts w:ascii="Wingdings" w:hAnsi="Wingdings" w:hint="default"/>
      </w:rPr>
    </w:lvl>
    <w:lvl w:ilvl="6" w:tplc="040A0001" w:tentative="1">
      <w:start w:val="1"/>
      <w:numFmt w:val="bullet"/>
      <w:lvlText w:val=""/>
      <w:lvlJc w:val="left"/>
      <w:pPr>
        <w:tabs>
          <w:tab w:val="left" w:pos="5389"/>
        </w:tabs>
        <w:ind w:left="5389" w:hanging="360"/>
      </w:pPr>
      <w:rPr>
        <w:rFonts w:ascii="Symbol" w:hAnsi="Symbol" w:hint="default"/>
      </w:rPr>
    </w:lvl>
    <w:lvl w:ilvl="7" w:tplc="040A0003" w:tentative="1">
      <w:start w:val="1"/>
      <w:numFmt w:val="bullet"/>
      <w:lvlText w:val="o"/>
      <w:lvlJc w:val="left"/>
      <w:pPr>
        <w:tabs>
          <w:tab w:val="left" w:pos="6109"/>
        </w:tabs>
        <w:ind w:left="6109" w:hanging="360"/>
      </w:pPr>
      <w:rPr>
        <w:rFonts w:ascii="Courier New" w:hAnsi="Courier New" w:cs="Courier New" w:hint="default"/>
      </w:rPr>
    </w:lvl>
    <w:lvl w:ilvl="8" w:tplc="040A0005" w:tentative="1">
      <w:start w:val="1"/>
      <w:numFmt w:val="bullet"/>
      <w:lvlText w:val=""/>
      <w:lvlJc w:val="left"/>
      <w:pPr>
        <w:tabs>
          <w:tab w:val="left" w:pos="6829"/>
        </w:tabs>
        <w:ind w:left="6829" w:hanging="360"/>
      </w:pPr>
      <w:rPr>
        <w:rFonts w:ascii="Wingdings" w:hAnsi="Wingdings" w:hint="default"/>
      </w:rPr>
    </w:lvl>
  </w:abstractNum>
  <w:abstractNum w:abstractNumId="4" w15:restartNumberingAfterBreak="0">
    <w:nsid w:val="00000005"/>
    <w:multiLevelType w:val="hybridMultilevel"/>
    <w:tmpl w:val="2B943E0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6E809C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C674DC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0000008"/>
    <w:multiLevelType w:val="hybridMultilevel"/>
    <w:tmpl w:val="F0EC4586"/>
    <w:lvl w:ilvl="0" w:tplc="040A0001">
      <w:start w:val="1"/>
      <w:numFmt w:val="bullet"/>
      <w:lvlText w:val=""/>
      <w:lvlJc w:val="left"/>
      <w:pPr>
        <w:tabs>
          <w:tab w:val="left" w:pos="1428"/>
        </w:tabs>
        <w:ind w:left="1428" w:hanging="360"/>
      </w:pPr>
      <w:rPr>
        <w:rFonts w:ascii="Symbol" w:hAnsi="Symbol" w:hint="default"/>
      </w:rPr>
    </w:lvl>
    <w:lvl w:ilvl="1" w:tplc="040A0003" w:tentative="1">
      <w:start w:val="1"/>
      <w:numFmt w:val="bullet"/>
      <w:lvlText w:val="o"/>
      <w:lvlJc w:val="left"/>
      <w:pPr>
        <w:tabs>
          <w:tab w:val="left" w:pos="2148"/>
        </w:tabs>
        <w:ind w:left="2148" w:hanging="360"/>
      </w:pPr>
      <w:rPr>
        <w:rFonts w:ascii="Courier New" w:hAnsi="Courier New" w:cs="Courier New" w:hint="default"/>
      </w:rPr>
    </w:lvl>
    <w:lvl w:ilvl="2" w:tplc="040A0005" w:tentative="1">
      <w:start w:val="1"/>
      <w:numFmt w:val="bullet"/>
      <w:lvlText w:val=""/>
      <w:lvlJc w:val="left"/>
      <w:pPr>
        <w:tabs>
          <w:tab w:val="left" w:pos="2868"/>
        </w:tabs>
        <w:ind w:left="2868" w:hanging="360"/>
      </w:pPr>
      <w:rPr>
        <w:rFonts w:ascii="Wingdings" w:hAnsi="Wingdings" w:hint="default"/>
      </w:rPr>
    </w:lvl>
    <w:lvl w:ilvl="3" w:tplc="040A0001" w:tentative="1">
      <w:start w:val="1"/>
      <w:numFmt w:val="bullet"/>
      <w:lvlText w:val=""/>
      <w:lvlJc w:val="left"/>
      <w:pPr>
        <w:tabs>
          <w:tab w:val="left" w:pos="3588"/>
        </w:tabs>
        <w:ind w:left="3588" w:hanging="360"/>
      </w:pPr>
      <w:rPr>
        <w:rFonts w:ascii="Symbol" w:hAnsi="Symbol" w:hint="default"/>
      </w:rPr>
    </w:lvl>
    <w:lvl w:ilvl="4" w:tplc="040A0003" w:tentative="1">
      <w:start w:val="1"/>
      <w:numFmt w:val="bullet"/>
      <w:lvlText w:val="o"/>
      <w:lvlJc w:val="left"/>
      <w:pPr>
        <w:tabs>
          <w:tab w:val="left" w:pos="4308"/>
        </w:tabs>
        <w:ind w:left="4308" w:hanging="360"/>
      </w:pPr>
      <w:rPr>
        <w:rFonts w:ascii="Courier New" w:hAnsi="Courier New" w:cs="Courier New" w:hint="default"/>
      </w:rPr>
    </w:lvl>
    <w:lvl w:ilvl="5" w:tplc="040A0005" w:tentative="1">
      <w:start w:val="1"/>
      <w:numFmt w:val="bullet"/>
      <w:lvlText w:val=""/>
      <w:lvlJc w:val="left"/>
      <w:pPr>
        <w:tabs>
          <w:tab w:val="left" w:pos="5028"/>
        </w:tabs>
        <w:ind w:left="5028" w:hanging="360"/>
      </w:pPr>
      <w:rPr>
        <w:rFonts w:ascii="Wingdings" w:hAnsi="Wingdings" w:hint="default"/>
      </w:rPr>
    </w:lvl>
    <w:lvl w:ilvl="6" w:tplc="040A0001" w:tentative="1">
      <w:start w:val="1"/>
      <w:numFmt w:val="bullet"/>
      <w:lvlText w:val=""/>
      <w:lvlJc w:val="left"/>
      <w:pPr>
        <w:tabs>
          <w:tab w:val="left" w:pos="5748"/>
        </w:tabs>
        <w:ind w:left="5748" w:hanging="360"/>
      </w:pPr>
      <w:rPr>
        <w:rFonts w:ascii="Symbol" w:hAnsi="Symbol" w:hint="default"/>
      </w:rPr>
    </w:lvl>
    <w:lvl w:ilvl="7" w:tplc="040A0003" w:tentative="1">
      <w:start w:val="1"/>
      <w:numFmt w:val="bullet"/>
      <w:lvlText w:val="o"/>
      <w:lvlJc w:val="left"/>
      <w:pPr>
        <w:tabs>
          <w:tab w:val="left" w:pos="6468"/>
        </w:tabs>
        <w:ind w:left="6468" w:hanging="360"/>
      </w:pPr>
      <w:rPr>
        <w:rFonts w:ascii="Courier New" w:hAnsi="Courier New" w:cs="Courier New" w:hint="default"/>
      </w:rPr>
    </w:lvl>
    <w:lvl w:ilvl="8" w:tplc="040A0005" w:tentative="1">
      <w:start w:val="1"/>
      <w:numFmt w:val="bullet"/>
      <w:lvlText w:val=""/>
      <w:lvlJc w:val="left"/>
      <w:pPr>
        <w:tabs>
          <w:tab w:val="left" w:pos="7188"/>
        </w:tabs>
        <w:ind w:left="7188" w:hanging="360"/>
      </w:pPr>
      <w:rPr>
        <w:rFonts w:ascii="Wingdings" w:hAnsi="Wingdings" w:hint="default"/>
      </w:rPr>
    </w:lvl>
  </w:abstractNum>
  <w:abstractNum w:abstractNumId="8" w15:restartNumberingAfterBreak="0">
    <w:nsid w:val="1B5C44A2"/>
    <w:multiLevelType w:val="hybridMultilevel"/>
    <w:tmpl w:val="FFB2F74A"/>
    <w:lvl w:ilvl="0" w:tplc="6F3CD1E8">
      <w:start w:val="1"/>
      <w:numFmt w:val="decimal"/>
      <w:lvlText w:val="%1."/>
      <w:lvlJc w:val="left"/>
      <w:pPr>
        <w:tabs>
          <w:tab w:val="num" w:pos="720"/>
        </w:tabs>
        <w:ind w:left="720" w:hanging="360"/>
      </w:pPr>
      <w:rPr>
        <w:b w:val="0"/>
        <w:lang w:val="es-ES"/>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9" w15:restartNumberingAfterBreak="0">
    <w:nsid w:val="31287757"/>
    <w:multiLevelType w:val="hybridMultilevel"/>
    <w:tmpl w:val="4E8A86A2"/>
    <w:lvl w:ilvl="0" w:tplc="0816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A3BCF"/>
    <w:multiLevelType w:val="hybridMultilevel"/>
    <w:tmpl w:val="0C9E8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F7924"/>
    <w:multiLevelType w:val="multilevel"/>
    <w:tmpl w:val="D0EA3D4E"/>
    <w:lvl w:ilvl="0">
      <w:start w:val="1"/>
      <w:numFmt w:val="decimal"/>
      <w:lvlText w:val="%1."/>
      <w:lvlJc w:val="left"/>
      <w:pPr>
        <w:ind w:left="360" w:hanging="360"/>
      </w:pPr>
      <w:rPr>
        <w:color w:val="auto"/>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3D9836C2"/>
    <w:multiLevelType w:val="hybridMultilevel"/>
    <w:tmpl w:val="F0EC4586"/>
    <w:lvl w:ilvl="0" w:tplc="040A0001">
      <w:start w:val="1"/>
      <w:numFmt w:val="bullet"/>
      <w:lvlText w:val=""/>
      <w:lvlJc w:val="left"/>
      <w:pPr>
        <w:tabs>
          <w:tab w:val="num" w:pos="1428"/>
        </w:tabs>
        <w:ind w:left="1428" w:hanging="360"/>
      </w:pPr>
      <w:rPr>
        <w:rFonts w:ascii="Symbol" w:hAnsi="Symbol" w:hint="default"/>
      </w:rPr>
    </w:lvl>
    <w:lvl w:ilvl="1" w:tplc="040A0003" w:tentative="1">
      <w:start w:val="1"/>
      <w:numFmt w:val="bullet"/>
      <w:lvlText w:val="o"/>
      <w:lvlJc w:val="left"/>
      <w:pPr>
        <w:tabs>
          <w:tab w:val="num" w:pos="2148"/>
        </w:tabs>
        <w:ind w:left="2148" w:hanging="360"/>
      </w:pPr>
      <w:rPr>
        <w:rFonts w:ascii="Courier New" w:hAnsi="Courier New" w:cs="Courier New" w:hint="default"/>
      </w:rPr>
    </w:lvl>
    <w:lvl w:ilvl="2" w:tplc="040A0005" w:tentative="1">
      <w:start w:val="1"/>
      <w:numFmt w:val="bullet"/>
      <w:lvlText w:val=""/>
      <w:lvlJc w:val="left"/>
      <w:pPr>
        <w:tabs>
          <w:tab w:val="num" w:pos="2868"/>
        </w:tabs>
        <w:ind w:left="2868" w:hanging="360"/>
      </w:pPr>
      <w:rPr>
        <w:rFonts w:ascii="Wingdings" w:hAnsi="Wingdings" w:hint="default"/>
      </w:rPr>
    </w:lvl>
    <w:lvl w:ilvl="3" w:tplc="040A0001" w:tentative="1">
      <w:start w:val="1"/>
      <w:numFmt w:val="bullet"/>
      <w:lvlText w:val=""/>
      <w:lvlJc w:val="left"/>
      <w:pPr>
        <w:tabs>
          <w:tab w:val="num" w:pos="3588"/>
        </w:tabs>
        <w:ind w:left="3588" w:hanging="360"/>
      </w:pPr>
      <w:rPr>
        <w:rFonts w:ascii="Symbol" w:hAnsi="Symbol" w:hint="default"/>
      </w:rPr>
    </w:lvl>
    <w:lvl w:ilvl="4" w:tplc="040A0003" w:tentative="1">
      <w:start w:val="1"/>
      <w:numFmt w:val="bullet"/>
      <w:lvlText w:val="o"/>
      <w:lvlJc w:val="left"/>
      <w:pPr>
        <w:tabs>
          <w:tab w:val="num" w:pos="4308"/>
        </w:tabs>
        <w:ind w:left="4308" w:hanging="360"/>
      </w:pPr>
      <w:rPr>
        <w:rFonts w:ascii="Courier New" w:hAnsi="Courier New" w:cs="Courier New" w:hint="default"/>
      </w:rPr>
    </w:lvl>
    <w:lvl w:ilvl="5" w:tplc="040A0005" w:tentative="1">
      <w:start w:val="1"/>
      <w:numFmt w:val="bullet"/>
      <w:lvlText w:val=""/>
      <w:lvlJc w:val="left"/>
      <w:pPr>
        <w:tabs>
          <w:tab w:val="num" w:pos="5028"/>
        </w:tabs>
        <w:ind w:left="5028" w:hanging="360"/>
      </w:pPr>
      <w:rPr>
        <w:rFonts w:ascii="Wingdings" w:hAnsi="Wingdings" w:hint="default"/>
      </w:rPr>
    </w:lvl>
    <w:lvl w:ilvl="6" w:tplc="040A0001" w:tentative="1">
      <w:start w:val="1"/>
      <w:numFmt w:val="bullet"/>
      <w:lvlText w:val=""/>
      <w:lvlJc w:val="left"/>
      <w:pPr>
        <w:tabs>
          <w:tab w:val="num" w:pos="5748"/>
        </w:tabs>
        <w:ind w:left="5748" w:hanging="360"/>
      </w:pPr>
      <w:rPr>
        <w:rFonts w:ascii="Symbol" w:hAnsi="Symbol" w:hint="default"/>
      </w:rPr>
    </w:lvl>
    <w:lvl w:ilvl="7" w:tplc="040A0003" w:tentative="1">
      <w:start w:val="1"/>
      <w:numFmt w:val="bullet"/>
      <w:lvlText w:val="o"/>
      <w:lvlJc w:val="left"/>
      <w:pPr>
        <w:tabs>
          <w:tab w:val="num" w:pos="6468"/>
        </w:tabs>
        <w:ind w:left="6468" w:hanging="360"/>
      </w:pPr>
      <w:rPr>
        <w:rFonts w:ascii="Courier New" w:hAnsi="Courier New" w:cs="Courier New" w:hint="default"/>
      </w:rPr>
    </w:lvl>
    <w:lvl w:ilvl="8" w:tplc="040A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42B00C5C"/>
    <w:multiLevelType w:val="hybridMultilevel"/>
    <w:tmpl w:val="B6E606A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4A5F6003"/>
    <w:multiLevelType w:val="hybridMultilevel"/>
    <w:tmpl w:val="F0EC4586"/>
    <w:lvl w:ilvl="0" w:tplc="040A0001">
      <w:start w:val="1"/>
      <w:numFmt w:val="bullet"/>
      <w:lvlText w:val=""/>
      <w:lvlJc w:val="left"/>
      <w:pPr>
        <w:tabs>
          <w:tab w:val="left" w:pos="1428"/>
        </w:tabs>
        <w:ind w:left="1428" w:hanging="360"/>
      </w:pPr>
      <w:rPr>
        <w:rFonts w:ascii="Symbol" w:hAnsi="Symbol" w:hint="default"/>
      </w:rPr>
    </w:lvl>
    <w:lvl w:ilvl="1" w:tplc="040A0003" w:tentative="1">
      <w:start w:val="1"/>
      <w:numFmt w:val="bullet"/>
      <w:lvlText w:val="o"/>
      <w:lvlJc w:val="left"/>
      <w:pPr>
        <w:tabs>
          <w:tab w:val="left" w:pos="2148"/>
        </w:tabs>
        <w:ind w:left="2148" w:hanging="360"/>
      </w:pPr>
      <w:rPr>
        <w:rFonts w:ascii="Courier New" w:hAnsi="Courier New" w:cs="Courier New" w:hint="default"/>
      </w:rPr>
    </w:lvl>
    <w:lvl w:ilvl="2" w:tplc="040A0005" w:tentative="1">
      <w:start w:val="1"/>
      <w:numFmt w:val="bullet"/>
      <w:lvlText w:val=""/>
      <w:lvlJc w:val="left"/>
      <w:pPr>
        <w:tabs>
          <w:tab w:val="left" w:pos="2868"/>
        </w:tabs>
        <w:ind w:left="2868" w:hanging="360"/>
      </w:pPr>
      <w:rPr>
        <w:rFonts w:ascii="Wingdings" w:hAnsi="Wingdings" w:hint="default"/>
      </w:rPr>
    </w:lvl>
    <w:lvl w:ilvl="3" w:tplc="040A0001" w:tentative="1">
      <w:start w:val="1"/>
      <w:numFmt w:val="bullet"/>
      <w:lvlText w:val=""/>
      <w:lvlJc w:val="left"/>
      <w:pPr>
        <w:tabs>
          <w:tab w:val="left" w:pos="3588"/>
        </w:tabs>
        <w:ind w:left="3588" w:hanging="360"/>
      </w:pPr>
      <w:rPr>
        <w:rFonts w:ascii="Symbol" w:hAnsi="Symbol" w:hint="default"/>
      </w:rPr>
    </w:lvl>
    <w:lvl w:ilvl="4" w:tplc="040A0003" w:tentative="1">
      <w:start w:val="1"/>
      <w:numFmt w:val="bullet"/>
      <w:lvlText w:val="o"/>
      <w:lvlJc w:val="left"/>
      <w:pPr>
        <w:tabs>
          <w:tab w:val="left" w:pos="4308"/>
        </w:tabs>
        <w:ind w:left="4308" w:hanging="360"/>
      </w:pPr>
      <w:rPr>
        <w:rFonts w:ascii="Courier New" w:hAnsi="Courier New" w:cs="Courier New" w:hint="default"/>
      </w:rPr>
    </w:lvl>
    <w:lvl w:ilvl="5" w:tplc="040A0005" w:tentative="1">
      <w:start w:val="1"/>
      <w:numFmt w:val="bullet"/>
      <w:lvlText w:val=""/>
      <w:lvlJc w:val="left"/>
      <w:pPr>
        <w:tabs>
          <w:tab w:val="left" w:pos="5028"/>
        </w:tabs>
        <w:ind w:left="5028" w:hanging="360"/>
      </w:pPr>
      <w:rPr>
        <w:rFonts w:ascii="Wingdings" w:hAnsi="Wingdings" w:hint="default"/>
      </w:rPr>
    </w:lvl>
    <w:lvl w:ilvl="6" w:tplc="040A0001" w:tentative="1">
      <w:start w:val="1"/>
      <w:numFmt w:val="bullet"/>
      <w:lvlText w:val=""/>
      <w:lvlJc w:val="left"/>
      <w:pPr>
        <w:tabs>
          <w:tab w:val="left" w:pos="5748"/>
        </w:tabs>
        <w:ind w:left="5748" w:hanging="360"/>
      </w:pPr>
      <w:rPr>
        <w:rFonts w:ascii="Symbol" w:hAnsi="Symbol" w:hint="default"/>
      </w:rPr>
    </w:lvl>
    <w:lvl w:ilvl="7" w:tplc="040A0003" w:tentative="1">
      <w:start w:val="1"/>
      <w:numFmt w:val="bullet"/>
      <w:lvlText w:val="o"/>
      <w:lvlJc w:val="left"/>
      <w:pPr>
        <w:tabs>
          <w:tab w:val="left" w:pos="6468"/>
        </w:tabs>
        <w:ind w:left="6468" w:hanging="360"/>
      </w:pPr>
      <w:rPr>
        <w:rFonts w:ascii="Courier New" w:hAnsi="Courier New" w:cs="Courier New" w:hint="default"/>
      </w:rPr>
    </w:lvl>
    <w:lvl w:ilvl="8" w:tplc="040A0005" w:tentative="1">
      <w:start w:val="1"/>
      <w:numFmt w:val="bullet"/>
      <w:lvlText w:val=""/>
      <w:lvlJc w:val="left"/>
      <w:pPr>
        <w:tabs>
          <w:tab w:val="left" w:pos="7188"/>
        </w:tabs>
        <w:ind w:left="7188" w:hanging="360"/>
      </w:pPr>
      <w:rPr>
        <w:rFonts w:ascii="Wingdings" w:hAnsi="Wingdings" w:hint="default"/>
      </w:rPr>
    </w:lvl>
  </w:abstractNum>
  <w:abstractNum w:abstractNumId="1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6" w15:restartNumberingAfterBreak="0">
    <w:nsid w:val="4E8E6634"/>
    <w:multiLevelType w:val="hybridMultilevel"/>
    <w:tmpl w:val="2910AA0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52BD53C6"/>
    <w:multiLevelType w:val="hybridMultilevel"/>
    <w:tmpl w:val="3F74D73E"/>
    <w:lvl w:ilvl="0" w:tplc="5C0A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20F1C57"/>
    <w:multiLevelType w:val="hybridMultilevel"/>
    <w:tmpl w:val="979CDD98"/>
    <w:lvl w:ilvl="0" w:tplc="5C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5EC4D6E"/>
    <w:multiLevelType w:val="hybridMultilevel"/>
    <w:tmpl w:val="7BE0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D53A9"/>
    <w:multiLevelType w:val="hybridMultilevel"/>
    <w:tmpl w:val="F5D82898"/>
    <w:lvl w:ilvl="0" w:tplc="5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EDA7C85"/>
    <w:multiLevelType w:val="hybridMultilevel"/>
    <w:tmpl w:val="960A7A7C"/>
    <w:lvl w:ilvl="0" w:tplc="040A0001">
      <w:start w:val="1"/>
      <w:numFmt w:val="bullet"/>
      <w:lvlText w:val=""/>
      <w:lvlJc w:val="left"/>
      <w:pPr>
        <w:tabs>
          <w:tab w:val="num" w:pos="644"/>
        </w:tabs>
        <w:ind w:left="644" w:hanging="360"/>
      </w:pPr>
      <w:rPr>
        <w:rFonts w:ascii="Symbol" w:hAnsi="Symbol" w:hint="default"/>
      </w:rPr>
    </w:lvl>
    <w:lvl w:ilvl="1" w:tplc="040A0003" w:tentative="1">
      <w:start w:val="1"/>
      <w:numFmt w:val="bullet"/>
      <w:lvlText w:val="o"/>
      <w:lvlJc w:val="left"/>
      <w:pPr>
        <w:tabs>
          <w:tab w:val="num" w:pos="1789"/>
        </w:tabs>
        <w:ind w:left="1789" w:hanging="360"/>
      </w:pPr>
      <w:rPr>
        <w:rFonts w:ascii="Courier New" w:hAnsi="Courier New" w:cs="Courier New" w:hint="default"/>
      </w:rPr>
    </w:lvl>
    <w:lvl w:ilvl="2" w:tplc="040A0005" w:tentative="1">
      <w:start w:val="1"/>
      <w:numFmt w:val="bullet"/>
      <w:lvlText w:val=""/>
      <w:lvlJc w:val="left"/>
      <w:pPr>
        <w:tabs>
          <w:tab w:val="num" w:pos="2509"/>
        </w:tabs>
        <w:ind w:left="2509" w:hanging="360"/>
      </w:pPr>
      <w:rPr>
        <w:rFonts w:ascii="Wingdings" w:hAnsi="Wingdings" w:hint="default"/>
      </w:rPr>
    </w:lvl>
    <w:lvl w:ilvl="3" w:tplc="040A0001" w:tentative="1">
      <w:start w:val="1"/>
      <w:numFmt w:val="bullet"/>
      <w:lvlText w:val=""/>
      <w:lvlJc w:val="left"/>
      <w:pPr>
        <w:tabs>
          <w:tab w:val="num" w:pos="3229"/>
        </w:tabs>
        <w:ind w:left="3229" w:hanging="360"/>
      </w:pPr>
      <w:rPr>
        <w:rFonts w:ascii="Symbol" w:hAnsi="Symbol" w:hint="default"/>
      </w:rPr>
    </w:lvl>
    <w:lvl w:ilvl="4" w:tplc="040A0003" w:tentative="1">
      <w:start w:val="1"/>
      <w:numFmt w:val="bullet"/>
      <w:lvlText w:val="o"/>
      <w:lvlJc w:val="left"/>
      <w:pPr>
        <w:tabs>
          <w:tab w:val="num" w:pos="3949"/>
        </w:tabs>
        <w:ind w:left="3949" w:hanging="360"/>
      </w:pPr>
      <w:rPr>
        <w:rFonts w:ascii="Courier New" w:hAnsi="Courier New" w:cs="Courier New" w:hint="default"/>
      </w:rPr>
    </w:lvl>
    <w:lvl w:ilvl="5" w:tplc="040A0005" w:tentative="1">
      <w:start w:val="1"/>
      <w:numFmt w:val="bullet"/>
      <w:lvlText w:val=""/>
      <w:lvlJc w:val="left"/>
      <w:pPr>
        <w:tabs>
          <w:tab w:val="num" w:pos="4669"/>
        </w:tabs>
        <w:ind w:left="4669" w:hanging="360"/>
      </w:pPr>
      <w:rPr>
        <w:rFonts w:ascii="Wingdings" w:hAnsi="Wingdings" w:hint="default"/>
      </w:rPr>
    </w:lvl>
    <w:lvl w:ilvl="6" w:tplc="040A0001" w:tentative="1">
      <w:start w:val="1"/>
      <w:numFmt w:val="bullet"/>
      <w:lvlText w:val=""/>
      <w:lvlJc w:val="left"/>
      <w:pPr>
        <w:tabs>
          <w:tab w:val="num" w:pos="5389"/>
        </w:tabs>
        <w:ind w:left="5389" w:hanging="360"/>
      </w:pPr>
      <w:rPr>
        <w:rFonts w:ascii="Symbol" w:hAnsi="Symbol" w:hint="default"/>
      </w:rPr>
    </w:lvl>
    <w:lvl w:ilvl="7" w:tplc="040A0003" w:tentative="1">
      <w:start w:val="1"/>
      <w:numFmt w:val="bullet"/>
      <w:lvlText w:val="o"/>
      <w:lvlJc w:val="left"/>
      <w:pPr>
        <w:tabs>
          <w:tab w:val="num" w:pos="6109"/>
        </w:tabs>
        <w:ind w:left="6109" w:hanging="360"/>
      </w:pPr>
      <w:rPr>
        <w:rFonts w:ascii="Courier New" w:hAnsi="Courier New" w:cs="Courier New" w:hint="default"/>
      </w:rPr>
    </w:lvl>
    <w:lvl w:ilvl="8" w:tplc="040A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78330D37"/>
    <w:multiLevelType w:val="hybridMultilevel"/>
    <w:tmpl w:val="67A8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92290D"/>
    <w:multiLevelType w:val="hybridMultilevel"/>
    <w:tmpl w:val="43C669B6"/>
    <w:lvl w:ilvl="0" w:tplc="0C0A000B">
      <w:start w:val="1"/>
      <w:numFmt w:val="bullet"/>
      <w:lvlText w:val=""/>
      <w:lvlJc w:val="left"/>
      <w:pPr>
        <w:ind w:left="502"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num w:numId="1" w16cid:durableId="1490291865">
    <w:abstractNumId w:val="15"/>
  </w:num>
  <w:num w:numId="2" w16cid:durableId="2067297168">
    <w:abstractNumId w:val="14"/>
  </w:num>
  <w:num w:numId="3" w16cid:durableId="968629815">
    <w:abstractNumId w:val="1"/>
  </w:num>
  <w:num w:numId="4" w16cid:durableId="1603298065">
    <w:abstractNumId w:val="4"/>
  </w:num>
  <w:num w:numId="5" w16cid:durableId="1445081146">
    <w:abstractNumId w:val="0"/>
  </w:num>
  <w:num w:numId="6" w16cid:durableId="1791392778">
    <w:abstractNumId w:val="3"/>
  </w:num>
  <w:num w:numId="7" w16cid:durableId="1536119171">
    <w:abstractNumId w:val="5"/>
  </w:num>
  <w:num w:numId="8" w16cid:durableId="1472751264">
    <w:abstractNumId w:val="6"/>
  </w:num>
  <w:num w:numId="9" w16cid:durableId="1243561627">
    <w:abstractNumId w:val="2"/>
  </w:num>
  <w:num w:numId="10" w16cid:durableId="216473229">
    <w:abstractNumId w:val="7"/>
  </w:num>
  <w:num w:numId="11" w16cid:durableId="741105903">
    <w:abstractNumId w:val="11"/>
  </w:num>
  <w:num w:numId="12" w16cid:durableId="2122871100">
    <w:abstractNumId w:val="22"/>
  </w:num>
  <w:num w:numId="13" w16cid:durableId="1391732523">
    <w:abstractNumId w:val="8"/>
  </w:num>
  <w:num w:numId="14" w16cid:durableId="1139420533">
    <w:abstractNumId w:val="10"/>
  </w:num>
  <w:num w:numId="15" w16cid:durableId="303201205">
    <w:abstractNumId w:val="19"/>
  </w:num>
  <w:num w:numId="16" w16cid:durableId="323120514">
    <w:abstractNumId w:val="23"/>
  </w:num>
  <w:num w:numId="17" w16cid:durableId="1848246979">
    <w:abstractNumId w:val="21"/>
  </w:num>
  <w:num w:numId="18" w16cid:durableId="368068725">
    <w:abstractNumId w:val="12"/>
  </w:num>
  <w:num w:numId="19" w16cid:durableId="1658726058">
    <w:abstractNumId w:val="9"/>
  </w:num>
  <w:num w:numId="20" w16cid:durableId="2124108342">
    <w:abstractNumId w:val="13"/>
  </w:num>
  <w:num w:numId="21" w16cid:durableId="965549879">
    <w:abstractNumId w:val="16"/>
  </w:num>
  <w:num w:numId="22" w16cid:durableId="748818470">
    <w:abstractNumId w:val="18"/>
  </w:num>
  <w:num w:numId="23" w16cid:durableId="1045299592">
    <w:abstractNumId w:val="17"/>
  </w:num>
  <w:num w:numId="24" w16cid:durableId="18218453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18"/>
    <w:rsid w:val="00012D98"/>
    <w:rsid w:val="00050750"/>
    <w:rsid w:val="00057F45"/>
    <w:rsid w:val="000D3958"/>
    <w:rsid w:val="000E3FCA"/>
    <w:rsid w:val="000F3690"/>
    <w:rsid w:val="001221D1"/>
    <w:rsid w:val="00165CB5"/>
    <w:rsid w:val="00170C8C"/>
    <w:rsid w:val="00180CE9"/>
    <w:rsid w:val="00204458"/>
    <w:rsid w:val="00230DD5"/>
    <w:rsid w:val="00250AE9"/>
    <w:rsid w:val="00380D64"/>
    <w:rsid w:val="00391509"/>
    <w:rsid w:val="003A3709"/>
    <w:rsid w:val="003E03D5"/>
    <w:rsid w:val="00486BFA"/>
    <w:rsid w:val="00493701"/>
    <w:rsid w:val="004E2065"/>
    <w:rsid w:val="005508A2"/>
    <w:rsid w:val="0055115D"/>
    <w:rsid w:val="00566F71"/>
    <w:rsid w:val="005918BD"/>
    <w:rsid w:val="005A0D92"/>
    <w:rsid w:val="006173A6"/>
    <w:rsid w:val="00630E18"/>
    <w:rsid w:val="00661BDB"/>
    <w:rsid w:val="00675476"/>
    <w:rsid w:val="007C430F"/>
    <w:rsid w:val="007D2D0C"/>
    <w:rsid w:val="007D614D"/>
    <w:rsid w:val="00915D3C"/>
    <w:rsid w:val="00960D6A"/>
    <w:rsid w:val="009A0560"/>
    <w:rsid w:val="009B0917"/>
    <w:rsid w:val="009F0F96"/>
    <w:rsid w:val="00A23C0C"/>
    <w:rsid w:val="00A477DE"/>
    <w:rsid w:val="00A66186"/>
    <w:rsid w:val="00A71E65"/>
    <w:rsid w:val="00AE044C"/>
    <w:rsid w:val="00B14D12"/>
    <w:rsid w:val="00B31971"/>
    <w:rsid w:val="00B4380A"/>
    <w:rsid w:val="00B66ECB"/>
    <w:rsid w:val="00C7523A"/>
    <w:rsid w:val="00C946F2"/>
    <w:rsid w:val="00CC1B6E"/>
    <w:rsid w:val="00CC376A"/>
    <w:rsid w:val="00CC48A1"/>
    <w:rsid w:val="00CF3BBE"/>
    <w:rsid w:val="00CF50E0"/>
    <w:rsid w:val="00D85951"/>
    <w:rsid w:val="00E57596"/>
    <w:rsid w:val="00E62606"/>
    <w:rsid w:val="00EA1FEF"/>
    <w:rsid w:val="00EB13BB"/>
    <w:rsid w:val="00EC5A6B"/>
    <w:rsid w:val="00ED2AE9"/>
    <w:rsid w:val="00EE301D"/>
    <w:rsid w:val="00EF0225"/>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55010"/>
  <w15:docId w15:val="{0D3C99CD-053A-45FB-8880-BAB13DF7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630E18"/>
  </w:style>
  <w:style w:type="paragraph" w:styleId="Prrafodelista">
    <w:name w:val="List Paragraph"/>
    <w:basedOn w:val="Normal"/>
    <w:uiPriority w:val="34"/>
    <w:qFormat/>
    <w:rsid w:val="00630E18"/>
    <w:pPr>
      <w:spacing w:after="160" w:line="259" w:lineRule="auto"/>
      <w:ind w:left="720"/>
      <w:contextualSpacing/>
    </w:pPr>
    <w:rPr>
      <w:rFonts w:ascii="Calibri" w:eastAsia="Calibri" w:hAnsi="Calibri" w:cs="SimSun"/>
      <w:sz w:val="22"/>
      <w:szCs w:val="22"/>
      <w:lang w:val="es-ES" w:eastAsia="en-US"/>
    </w:rPr>
  </w:style>
  <w:style w:type="table" w:customStyle="1" w:styleId="Tablaconcuadrcula1">
    <w:name w:val="Tabla con cuadrícula1"/>
    <w:basedOn w:val="Tablanormal"/>
    <w:next w:val="Tablaconcuadrcula"/>
    <w:uiPriority w:val="39"/>
    <w:rsid w:val="00630E18"/>
    <w:rPr>
      <w:rFonts w:ascii="Calibri" w:eastAsia="Calibri" w:hAnsi="Calibri" w:cs="SimSu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qFormat/>
    <w:rsid w:val="00630E18"/>
    <w:pPr>
      <w:spacing w:after="160"/>
    </w:pPr>
    <w:rPr>
      <w:rFonts w:ascii="Calibri" w:eastAsia="Calibri" w:hAnsi="Calibri" w:cs="SimSun"/>
      <w:sz w:val="20"/>
      <w:szCs w:val="20"/>
      <w:lang w:val="es-ES" w:eastAsia="en-US"/>
    </w:rPr>
  </w:style>
  <w:style w:type="character" w:customStyle="1" w:styleId="TextocomentarioCar">
    <w:name w:val="Texto comentario Car"/>
    <w:basedOn w:val="Fuentedeprrafopredeter"/>
    <w:link w:val="Textocomentario"/>
    <w:uiPriority w:val="99"/>
    <w:qFormat/>
    <w:rsid w:val="00630E18"/>
    <w:rPr>
      <w:rFonts w:ascii="Calibri" w:eastAsia="Calibri" w:hAnsi="Calibri" w:cs="SimSun"/>
      <w:lang w:val="es-ES"/>
    </w:rPr>
  </w:style>
  <w:style w:type="character" w:styleId="Refdecomentario">
    <w:name w:val="annotation reference"/>
    <w:uiPriority w:val="99"/>
    <w:rsid w:val="00630E18"/>
    <w:rPr>
      <w:sz w:val="16"/>
      <w:szCs w:val="16"/>
    </w:rPr>
  </w:style>
  <w:style w:type="character" w:styleId="Textoennegrita">
    <w:name w:val="Strong"/>
    <w:uiPriority w:val="22"/>
    <w:qFormat/>
    <w:rsid w:val="00630E18"/>
    <w:rPr>
      <w:b/>
      <w:bCs/>
    </w:rPr>
  </w:style>
  <w:style w:type="paragraph" w:customStyle="1" w:styleId="style3">
    <w:name w:val="style3"/>
    <w:basedOn w:val="Normal"/>
    <w:rsid w:val="00630E18"/>
    <w:pPr>
      <w:spacing w:before="100" w:beforeAutospacing="1" w:after="100" w:afterAutospacing="1"/>
    </w:pPr>
    <w:rPr>
      <w:lang w:val="es-ES" w:eastAsia="es-ES"/>
    </w:rPr>
  </w:style>
  <w:style w:type="character" w:styleId="Hipervnculovisitado">
    <w:name w:val="FollowedHyperlink"/>
    <w:uiPriority w:val="99"/>
    <w:rsid w:val="00630E18"/>
    <w:rPr>
      <w:color w:val="954F72"/>
      <w:u w:val="single"/>
    </w:rPr>
  </w:style>
  <w:style w:type="paragraph" w:styleId="Asuntodelcomentario">
    <w:name w:val="annotation subject"/>
    <w:basedOn w:val="Textocomentario"/>
    <w:next w:val="Textocomentario"/>
    <w:link w:val="AsuntodelcomentarioCar"/>
    <w:uiPriority w:val="99"/>
    <w:rsid w:val="00630E18"/>
    <w:rPr>
      <w:b/>
      <w:bCs/>
    </w:rPr>
  </w:style>
  <w:style w:type="character" w:customStyle="1" w:styleId="AsuntodelcomentarioCar">
    <w:name w:val="Asunto del comentario Car"/>
    <w:basedOn w:val="TextocomentarioCar"/>
    <w:link w:val="Asuntodelcomentario"/>
    <w:uiPriority w:val="99"/>
    <w:rsid w:val="00630E18"/>
    <w:rPr>
      <w:rFonts w:ascii="Calibri" w:eastAsia="Calibri" w:hAnsi="Calibri" w:cs="SimSun"/>
      <w:b/>
      <w:bCs/>
      <w:lang w:val="es-ES"/>
    </w:rPr>
  </w:style>
  <w:style w:type="paragraph" w:styleId="Textoindependiente">
    <w:name w:val="Body Text"/>
    <w:basedOn w:val="Normal"/>
    <w:link w:val="TextoindependienteCar"/>
    <w:uiPriority w:val="99"/>
    <w:unhideWhenUsed/>
    <w:rsid w:val="00630E18"/>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630E18"/>
    <w:rPr>
      <w:rFonts w:ascii="Arial" w:hAnsi="Arial" w:cs="Arial"/>
      <w:sz w:val="12"/>
      <w:szCs w:val="12"/>
      <w:lang w:val="es-ES" w:eastAsia="es-ES"/>
    </w:rPr>
  </w:style>
  <w:style w:type="character" w:styleId="nfasis">
    <w:name w:val="Emphasis"/>
    <w:uiPriority w:val="20"/>
    <w:qFormat/>
    <w:rsid w:val="00630E18"/>
    <w:rPr>
      <w:i/>
      <w:iCs/>
    </w:rPr>
  </w:style>
  <w:style w:type="paragraph" w:styleId="Lista">
    <w:name w:val="List"/>
    <w:basedOn w:val="Normal"/>
    <w:uiPriority w:val="99"/>
    <w:unhideWhenUsed/>
    <w:rsid w:val="00630E18"/>
    <w:pPr>
      <w:ind w:left="283" w:hanging="283"/>
      <w:contextualSpacing/>
    </w:pPr>
    <w:rPr>
      <w:rFonts w:ascii="Arial" w:hAnsi="Arial" w:cs="Arial"/>
      <w:sz w:val="12"/>
      <w:szCs w:val="12"/>
      <w:lang w:val="es-ES" w:eastAsia="es-ES"/>
    </w:rPr>
  </w:style>
  <w:style w:type="paragraph" w:styleId="HTMLconformatoprevio">
    <w:name w:val="HTML Preformatted"/>
    <w:basedOn w:val="Normal"/>
    <w:link w:val="HTMLconformatoprevioCar"/>
    <w:uiPriority w:val="99"/>
    <w:semiHidden/>
    <w:unhideWhenUsed/>
    <w:rsid w:val="00630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PT" w:eastAsia="pt-PT"/>
    </w:rPr>
  </w:style>
  <w:style w:type="character" w:customStyle="1" w:styleId="HTMLconformatoprevioCar">
    <w:name w:val="HTML con formato previo Car"/>
    <w:basedOn w:val="Fuentedeprrafopredeter"/>
    <w:link w:val="HTMLconformatoprevio"/>
    <w:uiPriority w:val="99"/>
    <w:semiHidden/>
    <w:rsid w:val="00630E18"/>
    <w:rPr>
      <w:rFonts w:ascii="Courier New" w:hAnsi="Courier New" w:cs="Courier New"/>
      <w:lang w:val="pt-PT" w:eastAsia="pt-PT"/>
    </w:rPr>
  </w:style>
  <w:style w:type="character" w:customStyle="1" w:styleId="y2iqfc">
    <w:name w:val="y2iqfc"/>
    <w:basedOn w:val="Fuentedeprrafopredeter"/>
    <w:rsid w:val="00630E18"/>
  </w:style>
  <w:style w:type="character" w:customStyle="1" w:styleId="Mencinsinresolver1">
    <w:name w:val="Mención sin resolver1"/>
    <w:uiPriority w:val="99"/>
    <w:semiHidden/>
    <w:unhideWhenUsed/>
    <w:rsid w:val="00630E18"/>
    <w:rPr>
      <w:color w:val="605E5C"/>
      <w:shd w:val="clear" w:color="auto" w:fill="E1DFDD"/>
    </w:rPr>
  </w:style>
  <w:style w:type="paragraph" w:styleId="Revisin">
    <w:name w:val="Revision"/>
    <w:hidden/>
    <w:uiPriority w:val="99"/>
    <w:semiHidden/>
    <w:rsid w:val="00630E18"/>
    <w:rPr>
      <w:rFonts w:ascii="Calibri" w:eastAsia="Calibri" w:hAnsi="Calibri" w:cs="SimSun"/>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942-3333"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1-5759-1997" TargetMode="External"/><Relationship Id="rId12" Type="http://schemas.openxmlformats.org/officeDocument/2006/relationships/image" Target="media/image2.png"/><Relationship Id="rId17" Type="http://schemas.openxmlformats.org/officeDocument/2006/relationships/hyperlink" Target="https://pubmed.ncbi.nlm.nih.gov/34244270/" TargetMode="External"/><Relationship Id="rId2" Type="http://schemas.openxmlformats.org/officeDocument/2006/relationships/styles" Target="styles.xml"/><Relationship Id="rId16" Type="http://schemas.openxmlformats.org/officeDocument/2006/relationships/hyperlink" Target="https://diabetesjournals.org/care/article/46/Supplement_1/S19/148056/2-Classification-and-Diagnosis-of-Diabet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diabetesjournals.org/care/article-pdf/17/1/97/442471/17-1-97.pdf" TargetMode="External"/><Relationship Id="rId10" Type="http://schemas.openxmlformats.org/officeDocument/2006/relationships/hyperlink" Target="mailto:maurio.gonzalez07@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9-0007-1804-7084" TargetMode="External"/><Relationship Id="rId14" Type="http://schemas.openxmlformats.org/officeDocument/2006/relationships/image" Target="media/image4.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30</TotalTime>
  <Pages>16</Pages>
  <Words>3983</Words>
  <Characters>22708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26638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15</cp:revision>
  <cp:lastPrinted>2023-10-16T17:26:00Z</cp:lastPrinted>
  <dcterms:created xsi:type="dcterms:W3CDTF">2023-10-16T17:12:00Z</dcterms:created>
  <dcterms:modified xsi:type="dcterms:W3CDTF">2023-10-17T21:03:00Z</dcterms:modified>
</cp:coreProperties>
</file>