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A67B" w14:textId="77777777" w:rsidR="00893E50" w:rsidRPr="00893E50" w:rsidRDefault="00893E50" w:rsidP="00893E50">
      <w:pPr>
        <w:spacing w:line="360" w:lineRule="auto"/>
        <w:jc w:val="right"/>
        <w:rPr>
          <w:rFonts w:eastAsia="Calibri"/>
          <w:bCs/>
          <w:sz w:val="20"/>
          <w:szCs w:val="20"/>
          <w:lang w:eastAsia="en-US"/>
        </w:rPr>
      </w:pPr>
      <w:r w:rsidRPr="00893E50">
        <w:rPr>
          <w:rFonts w:eastAsia="Calibri"/>
          <w:bCs/>
          <w:sz w:val="20"/>
          <w:szCs w:val="20"/>
          <w:lang w:eastAsia="en-US"/>
        </w:rPr>
        <w:t>Artículo de investigación</w:t>
      </w:r>
    </w:p>
    <w:p w14:paraId="3F8D7302" w14:textId="77777777" w:rsidR="00893E50" w:rsidRPr="00893E50" w:rsidRDefault="00893E50" w:rsidP="00893E50">
      <w:pPr>
        <w:spacing w:line="360" w:lineRule="auto"/>
        <w:jc w:val="right"/>
        <w:rPr>
          <w:rFonts w:eastAsia="Calibri"/>
          <w:bCs/>
          <w:sz w:val="20"/>
          <w:szCs w:val="20"/>
          <w:lang w:eastAsia="en-US"/>
        </w:rPr>
      </w:pPr>
    </w:p>
    <w:p w14:paraId="3081E1A7"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 xml:space="preserve">Traducción y validez de la </w:t>
      </w:r>
      <w:proofErr w:type="spellStart"/>
      <w:r w:rsidRPr="00893E50">
        <w:rPr>
          <w:rFonts w:eastAsia="Calibri"/>
          <w:b/>
          <w:bCs/>
          <w:i/>
          <w:iCs/>
          <w:sz w:val="28"/>
          <w:szCs w:val="28"/>
          <w:lang w:eastAsia="en-US"/>
        </w:rPr>
        <w:t>Stigma</w:t>
      </w:r>
      <w:proofErr w:type="spellEnd"/>
      <w:r w:rsidRPr="00893E50">
        <w:rPr>
          <w:rFonts w:eastAsia="Calibri"/>
          <w:b/>
          <w:bCs/>
          <w:i/>
          <w:iCs/>
          <w:sz w:val="28"/>
          <w:szCs w:val="28"/>
          <w:lang w:eastAsia="en-US"/>
        </w:rPr>
        <w:t xml:space="preserve"> </w:t>
      </w:r>
      <w:proofErr w:type="spellStart"/>
      <w:r w:rsidRPr="00893E50">
        <w:rPr>
          <w:rFonts w:eastAsia="Calibri"/>
          <w:b/>
          <w:bCs/>
          <w:i/>
          <w:iCs/>
          <w:sz w:val="28"/>
          <w:szCs w:val="28"/>
          <w:lang w:eastAsia="en-US"/>
        </w:rPr>
        <w:t>of</w:t>
      </w:r>
      <w:proofErr w:type="spellEnd"/>
      <w:r w:rsidRPr="00893E50">
        <w:rPr>
          <w:rFonts w:eastAsia="Calibri"/>
          <w:b/>
          <w:bCs/>
          <w:i/>
          <w:iCs/>
          <w:sz w:val="28"/>
          <w:szCs w:val="28"/>
          <w:lang w:eastAsia="en-US"/>
        </w:rPr>
        <w:t xml:space="preserve"> Suicide </w:t>
      </w:r>
      <w:proofErr w:type="spellStart"/>
      <w:r w:rsidRPr="00893E50">
        <w:rPr>
          <w:rFonts w:eastAsia="Calibri"/>
          <w:b/>
          <w:bCs/>
          <w:i/>
          <w:iCs/>
          <w:sz w:val="28"/>
          <w:szCs w:val="28"/>
          <w:lang w:eastAsia="en-US"/>
        </w:rPr>
        <w:t>Scale</w:t>
      </w:r>
      <w:proofErr w:type="spellEnd"/>
      <w:r w:rsidRPr="00893E50">
        <w:rPr>
          <w:rFonts w:eastAsia="Calibri"/>
          <w:b/>
          <w:bCs/>
          <w:i/>
          <w:iCs/>
          <w:sz w:val="28"/>
          <w:szCs w:val="28"/>
          <w:lang w:eastAsia="en-US"/>
        </w:rPr>
        <w:t xml:space="preserve"> Short </w:t>
      </w:r>
      <w:proofErr w:type="spellStart"/>
      <w:r w:rsidRPr="00893E50">
        <w:rPr>
          <w:rFonts w:eastAsia="Calibri"/>
          <w:b/>
          <w:bCs/>
          <w:i/>
          <w:iCs/>
          <w:sz w:val="28"/>
          <w:szCs w:val="28"/>
          <w:lang w:eastAsia="en-US"/>
        </w:rPr>
        <w:t>Form</w:t>
      </w:r>
      <w:proofErr w:type="spellEnd"/>
      <w:r w:rsidRPr="00893E50">
        <w:rPr>
          <w:rFonts w:eastAsia="Calibri"/>
          <w:b/>
          <w:bCs/>
          <w:sz w:val="28"/>
          <w:szCs w:val="28"/>
          <w:lang w:eastAsia="en-US"/>
        </w:rPr>
        <w:t xml:space="preserve"> (</w:t>
      </w:r>
      <w:proofErr w:type="spellStart"/>
      <w:r w:rsidRPr="00893E50">
        <w:rPr>
          <w:rFonts w:eastAsia="Calibri"/>
          <w:b/>
          <w:bCs/>
          <w:sz w:val="28"/>
          <w:szCs w:val="28"/>
          <w:lang w:eastAsia="en-US"/>
        </w:rPr>
        <w:t>SOSS-SF</w:t>
      </w:r>
      <w:proofErr w:type="spellEnd"/>
      <w:r w:rsidRPr="00893E50">
        <w:rPr>
          <w:rFonts w:eastAsia="Calibri"/>
          <w:b/>
          <w:bCs/>
          <w:sz w:val="28"/>
          <w:szCs w:val="28"/>
          <w:lang w:eastAsia="en-US"/>
        </w:rPr>
        <w:t>) en población peruana</w:t>
      </w:r>
    </w:p>
    <w:p w14:paraId="01BA99EA" w14:textId="77777777" w:rsidR="00893E50" w:rsidRPr="00893E50" w:rsidRDefault="00893E50" w:rsidP="00893E50">
      <w:pPr>
        <w:spacing w:line="360" w:lineRule="auto"/>
        <w:jc w:val="center"/>
        <w:rPr>
          <w:rFonts w:eastAsia="Calibri"/>
          <w:sz w:val="28"/>
          <w:szCs w:val="28"/>
          <w:lang w:val="en-US" w:eastAsia="en-US"/>
        </w:rPr>
      </w:pPr>
      <w:r w:rsidRPr="00893E50">
        <w:rPr>
          <w:rFonts w:eastAsia="Calibri"/>
          <w:sz w:val="28"/>
          <w:szCs w:val="28"/>
          <w:lang w:val="en-US" w:eastAsia="en-US"/>
        </w:rPr>
        <w:t>Translation and validity of the Stigma of Suicide Scale Short Form (SOSS-SF) in Peruvian population</w:t>
      </w:r>
    </w:p>
    <w:p w14:paraId="6EAF5C1B" w14:textId="77777777" w:rsidR="00893E50" w:rsidRPr="00893E50" w:rsidRDefault="00893E50" w:rsidP="00893E50">
      <w:pPr>
        <w:spacing w:line="360" w:lineRule="auto"/>
        <w:jc w:val="both"/>
        <w:rPr>
          <w:rFonts w:eastAsia="Calibri"/>
          <w:lang w:val="en-US" w:eastAsia="en-US"/>
        </w:rPr>
      </w:pPr>
    </w:p>
    <w:p w14:paraId="586D5732" w14:textId="77777777" w:rsidR="00893E50" w:rsidRPr="00893E50" w:rsidRDefault="00893E50" w:rsidP="00893E50">
      <w:pPr>
        <w:spacing w:line="360" w:lineRule="auto"/>
        <w:jc w:val="both"/>
        <w:rPr>
          <w:rFonts w:eastAsia="Calibri"/>
          <w:lang w:eastAsia="en-US"/>
        </w:rPr>
      </w:pPr>
      <w:r w:rsidRPr="00893E50">
        <w:rPr>
          <w:rFonts w:eastAsia="Calibri"/>
          <w:lang w:eastAsia="en-US"/>
        </w:rPr>
        <w:t>Jonatan Baños-</w:t>
      </w:r>
      <w:proofErr w:type="spellStart"/>
      <w:r w:rsidRPr="00893E50">
        <w:rPr>
          <w:rFonts w:eastAsia="Calibri"/>
          <w:lang w:eastAsia="en-US"/>
        </w:rPr>
        <w:t>Chaparro</w:t>
      </w:r>
      <w:r w:rsidRPr="00893E50">
        <w:rPr>
          <w:rFonts w:eastAsia="Calibri"/>
          <w:vertAlign w:val="superscript"/>
          <w:lang w:eastAsia="en-US"/>
        </w:rPr>
        <w:t>1</w:t>
      </w:r>
      <w:proofErr w:type="spellEnd"/>
      <w:r w:rsidRPr="00893E50">
        <w:rPr>
          <w:rFonts w:eastAsia="Calibri"/>
          <w:lang w:eastAsia="en-US"/>
        </w:rPr>
        <w:t xml:space="preserve">* </w:t>
      </w:r>
      <w:hyperlink r:id="rId7" w:tgtFrame="_blank" w:history="1">
        <w:r w:rsidRPr="00893E50">
          <w:rPr>
            <w:rFonts w:eastAsia="Calibri"/>
            <w:color w:val="0563C1"/>
            <w:lang w:eastAsia="en-US"/>
          </w:rPr>
          <w:t>https://orcid.org/0000-0002-2604-7822</w:t>
        </w:r>
      </w:hyperlink>
    </w:p>
    <w:p w14:paraId="75B6EC68" w14:textId="77777777" w:rsidR="00893E50" w:rsidRPr="00893E50" w:rsidRDefault="00893E50" w:rsidP="00893E50">
      <w:pPr>
        <w:spacing w:line="360" w:lineRule="auto"/>
        <w:jc w:val="both"/>
        <w:rPr>
          <w:rFonts w:eastAsia="Calibri"/>
          <w:lang w:eastAsia="en-US"/>
        </w:rPr>
      </w:pPr>
      <w:r w:rsidRPr="00893E50">
        <w:rPr>
          <w:rFonts w:eastAsia="Calibri"/>
          <w:lang w:eastAsia="en-US"/>
        </w:rPr>
        <w:t>Daniel Jesús López-</w:t>
      </w:r>
      <w:proofErr w:type="spellStart"/>
      <w:r w:rsidRPr="00893E50">
        <w:rPr>
          <w:rFonts w:eastAsia="Calibri"/>
          <w:lang w:eastAsia="en-US"/>
        </w:rPr>
        <w:t>Vega</w:t>
      </w:r>
      <w:r w:rsidRPr="00893E50">
        <w:rPr>
          <w:rFonts w:eastAsia="Calibri"/>
          <w:vertAlign w:val="superscript"/>
          <w:lang w:eastAsia="en-US"/>
        </w:rPr>
        <w:t>2</w:t>
      </w:r>
      <w:proofErr w:type="spellEnd"/>
      <w:r w:rsidRPr="00893E50">
        <w:rPr>
          <w:rFonts w:eastAsia="Calibri"/>
          <w:lang w:eastAsia="en-US"/>
        </w:rPr>
        <w:t xml:space="preserve"> </w:t>
      </w:r>
      <w:hyperlink r:id="rId8" w:history="1">
        <w:r w:rsidRPr="00893E50">
          <w:rPr>
            <w:rFonts w:eastAsia="Calibri"/>
            <w:color w:val="0563C1"/>
            <w:lang w:eastAsia="en-US"/>
          </w:rPr>
          <w:t>https://orcid.org/0000-0002-5393-7660</w:t>
        </w:r>
      </w:hyperlink>
      <w:r w:rsidRPr="00893E50">
        <w:rPr>
          <w:rFonts w:eastAsia="Calibri"/>
          <w:lang w:eastAsia="en-US"/>
        </w:rPr>
        <w:t xml:space="preserve"> </w:t>
      </w:r>
    </w:p>
    <w:p w14:paraId="05984A6B"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Fernando Lamas </w:t>
      </w:r>
      <w:proofErr w:type="spellStart"/>
      <w:r w:rsidRPr="00893E50">
        <w:rPr>
          <w:rFonts w:eastAsia="Calibri"/>
          <w:lang w:eastAsia="en-US"/>
        </w:rPr>
        <w:t>Delgado</w:t>
      </w:r>
      <w:r w:rsidRPr="00893E50">
        <w:rPr>
          <w:rFonts w:eastAsia="Calibri"/>
          <w:vertAlign w:val="superscript"/>
          <w:lang w:eastAsia="en-US"/>
        </w:rPr>
        <w:t>3</w:t>
      </w:r>
      <w:proofErr w:type="spellEnd"/>
      <w:r w:rsidRPr="00893E50">
        <w:rPr>
          <w:rFonts w:eastAsia="Calibri"/>
          <w:lang w:eastAsia="en-US"/>
        </w:rPr>
        <w:t xml:space="preserve"> </w:t>
      </w:r>
      <w:hyperlink r:id="rId9" w:history="1">
        <w:r w:rsidRPr="00893E50">
          <w:rPr>
            <w:rFonts w:eastAsia="Calibri"/>
            <w:color w:val="0563C1"/>
            <w:lang w:eastAsia="en-US"/>
          </w:rPr>
          <w:t>https://orcid.org/0000-0001-6025-8415</w:t>
        </w:r>
      </w:hyperlink>
      <w:r w:rsidRPr="00893E50">
        <w:rPr>
          <w:rFonts w:eastAsia="Calibri"/>
          <w:lang w:eastAsia="en-US"/>
        </w:rPr>
        <w:t xml:space="preserve"> </w:t>
      </w:r>
    </w:p>
    <w:p w14:paraId="3E6BAF6E"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Dante </w:t>
      </w:r>
      <w:proofErr w:type="spellStart"/>
      <w:r w:rsidRPr="00893E50">
        <w:rPr>
          <w:rFonts w:eastAsia="Calibri"/>
          <w:lang w:eastAsia="en-US"/>
        </w:rPr>
        <w:t>Jesus</w:t>
      </w:r>
      <w:proofErr w:type="spellEnd"/>
      <w:r w:rsidRPr="00893E50">
        <w:rPr>
          <w:rFonts w:eastAsia="Calibri"/>
          <w:lang w:eastAsia="en-US"/>
        </w:rPr>
        <w:t xml:space="preserve"> </w:t>
      </w:r>
      <w:proofErr w:type="spellStart"/>
      <w:r w:rsidRPr="00893E50">
        <w:rPr>
          <w:rFonts w:eastAsia="Calibri"/>
          <w:lang w:eastAsia="en-US"/>
        </w:rPr>
        <w:t>Jacobi-Romero</w:t>
      </w:r>
      <w:r w:rsidRPr="00893E50">
        <w:rPr>
          <w:rFonts w:eastAsia="Calibri"/>
          <w:vertAlign w:val="superscript"/>
          <w:lang w:eastAsia="en-US"/>
        </w:rPr>
        <w:t>4</w:t>
      </w:r>
      <w:proofErr w:type="spellEnd"/>
      <w:r w:rsidRPr="00893E50">
        <w:rPr>
          <w:rFonts w:eastAsia="Calibri"/>
          <w:lang w:eastAsia="en-US"/>
        </w:rPr>
        <w:t xml:space="preserve"> </w:t>
      </w:r>
      <w:hyperlink r:id="rId10" w:history="1">
        <w:r w:rsidRPr="00893E50">
          <w:rPr>
            <w:rFonts w:eastAsia="Calibri"/>
            <w:color w:val="0563C1"/>
            <w:lang w:eastAsia="en-US"/>
          </w:rPr>
          <w:t>https://orcid.org/0000-0002-3062-328X</w:t>
        </w:r>
      </w:hyperlink>
      <w:r w:rsidRPr="00893E50">
        <w:rPr>
          <w:rFonts w:eastAsia="Calibri"/>
          <w:lang w:eastAsia="en-US"/>
        </w:rPr>
        <w:t xml:space="preserve"> </w:t>
      </w:r>
    </w:p>
    <w:p w14:paraId="4435F085" w14:textId="77777777" w:rsidR="00893E50" w:rsidRPr="00893E50" w:rsidRDefault="00893E50" w:rsidP="00893E50">
      <w:pPr>
        <w:spacing w:line="360" w:lineRule="auto"/>
        <w:jc w:val="both"/>
        <w:rPr>
          <w:rFonts w:eastAsia="Calibri"/>
          <w:lang w:eastAsia="en-US"/>
        </w:rPr>
      </w:pPr>
      <w:r w:rsidRPr="00893E50">
        <w:rPr>
          <w:rFonts w:eastAsia="Calibri"/>
          <w:lang w:eastAsia="en-US"/>
        </w:rPr>
        <w:t>Johnny Marín-</w:t>
      </w:r>
      <w:proofErr w:type="spellStart"/>
      <w:r w:rsidRPr="00893E50">
        <w:rPr>
          <w:rFonts w:eastAsia="Calibri"/>
          <w:lang w:eastAsia="en-US"/>
        </w:rPr>
        <w:t>Contreras</w:t>
      </w:r>
      <w:r w:rsidRPr="00893E50">
        <w:rPr>
          <w:rFonts w:eastAsia="Calibri"/>
          <w:vertAlign w:val="superscript"/>
          <w:lang w:eastAsia="en-US"/>
        </w:rPr>
        <w:t>4</w:t>
      </w:r>
      <w:proofErr w:type="spellEnd"/>
      <w:r w:rsidRPr="00893E50">
        <w:rPr>
          <w:rFonts w:eastAsia="Calibri"/>
          <w:lang w:eastAsia="en-US"/>
        </w:rPr>
        <w:t xml:space="preserve"> </w:t>
      </w:r>
      <w:hyperlink r:id="rId11" w:history="1">
        <w:r w:rsidRPr="00893E50">
          <w:rPr>
            <w:rFonts w:eastAsia="Calibri"/>
            <w:color w:val="0563C1"/>
            <w:lang w:eastAsia="en-US"/>
          </w:rPr>
          <w:t>https://orcid.org/0000-0001-7275-1055</w:t>
        </w:r>
      </w:hyperlink>
      <w:r w:rsidRPr="00893E50">
        <w:rPr>
          <w:rFonts w:eastAsia="Calibri"/>
          <w:lang w:eastAsia="en-US"/>
        </w:rPr>
        <w:t xml:space="preserve"> </w:t>
      </w:r>
    </w:p>
    <w:p w14:paraId="6458E4D2"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Paul </w:t>
      </w:r>
      <w:proofErr w:type="spellStart"/>
      <w:r w:rsidRPr="00893E50">
        <w:rPr>
          <w:rFonts w:eastAsia="Calibri"/>
          <w:lang w:eastAsia="en-US"/>
        </w:rPr>
        <w:t>Ynquillay-Lima</w:t>
      </w:r>
      <w:r w:rsidRPr="00893E50">
        <w:rPr>
          <w:rFonts w:eastAsia="Calibri"/>
          <w:vertAlign w:val="superscript"/>
          <w:lang w:eastAsia="en-US"/>
        </w:rPr>
        <w:t>5</w:t>
      </w:r>
      <w:proofErr w:type="spellEnd"/>
      <w:r w:rsidRPr="00893E50">
        <w:rPr>
          <w:rFonts w:eastAsia="Calibri"/>
          <w:lang w:eastAsia="en-US"/>
        </w:rPr>
        <w:t xml:space="preserve"> </w:t>
      </w:r>
      <w:hyperlink r:id="rId12" w:history="1">
        <w:r w:rsidRPr="00893E50">
          <w:rPr>
            <w:rFonts w:eastAsia="Calibri"/>
            <w:color w:val="0563C1"/>
            <w:lang w:eastAsia="en-US"/>
          </w:rPr>
          <w:t>https://orcid.org/0000-0002-8101-3932</w:t>
        </w:r>
      </w:hyperlink>
      <w:r w:rsidRPr="00893E50">
        <w:rPr>
          <w:rFonts w:eastAsia="Calibri"/>
          <w:lang w:eastAsia="en-US"/>
        </w:rPr>
        <w:t xml:space="preserve"> </w:t>
      </w:r>
    </w:p>
    <w:p w14:paraId="414F4992" w14:textId="77777777" w:rsidR="00893E50" w:rsidRPr="00893E50" w:rsidRDefault="00893E50" w:rsidP="00893E50">
      <w:pPr>
        <w:spacing w:line="360" w:lineRule="auto"/>
        <w:jc w:val="both"/>
        <w:rPr>
          <w:rFonts w:eastAsia="Calibri"/>
          <w:lang w:eastAsia="en-US"/>
        </w:rPr>
      </w:pPr>
    </w:p>
    <w:p w14:paraId="19C6347E" w14:textId="77777777" w:rsidR="00893E50" w:rsidRPr="00893E50" w:rsidRDefault="00893E50" w:rsidP="00893E50">
      <w:pPr>
        <w:spacing w:line="360" w:lineRule="auto"/>
        <w:jc w:val="both"/>
        <w:rPr>
          <w:rFonts w:eastAsia="Calibri"/>
          <w:lang w:eastAsia="en-US"/>
        </w:rPr>
      </w:pPr>
      <w:proofErr w:type="spellStart"/>
      <w:r w:rsidRPr="00893E50">
        <w:rPr>
          <w:rFonts w:eastAsia="Calibri"/>
          <w:vertAlign w:val="superscript"/>
          <w:lang w:eastAsia="en-US"/>
        </w:rPr>
        <w:t>1</w:t>
      </w:r>
      <w:r w:rsidRPr="00893E50">
        <w:rPr>
          <w:rFonts w:eastAsia="Calibri"/>
          <w:lang w:eastAsia="en-US"/>
        </w:rPr>
        <w:t>Universidad</w:t>
      </w:r>
      <w:proofErr w:type="spellEnd"/>
      <w:r w:rsidRPr="00893E50">
        <w:rPr>
          <w:rFonts w:eastAsia="Calibri"/>
          <w:lang w:eastAsia="en-US"/>
        </w:rPr>
        <w:t xml:space="preserve"> Científica del Sur. Escuela de Psicología. Lima, Perú.</w:t>
      </w:r>
    </w:p>
    <w:p w14:paraId="63D88011" w14:textId="77777777" w:rsidR="00893E50" w:rsidRPr="00893E50" w:rsidRDefault="00893E50" w:rsidP="00893E50">
      <w:pPr>
        <w:spacing w:line="360" w:lineRule="auto"/>
        <w:jc w:val="both"/>
        <w:rPr>
          <w:rFonts w:eastAsia="Calibri"/>
          <w:lang w:eastAsia="en-US"/>
        </w:rPr>
      </w:pPr>
      <w:proofErr w:type="spellStart"/>
      <w:r w:rsidRPr="00893E50">
        <w:rPr>
          <w:rFonts w:eastAsia="Calibri"/>
          <w:vertAlign w:val="superscript"/>
          <w:lang w:eastAsia="en-US"/>
        </w:rPr>
        <w:t>2</w:t>
      </w:r>
      <w:r w:rsidRPr="00893E50">
        <w:rPr>
          <w:rFonts w:eastAsia="Calibri"/>
          <w:lang w:eastAsia="en-US"/>
        </w:rPr>
        <w:t>Asociación</w:t>
      </w:r>
      <w:proofErr w:type="spellEnd"/>
      <w:r w:rsidRPr="00893E50">
        <w:rPr>
          <w:rFonts w:eastAsia="Calibri"/>
          <w:lang w:eastAsia="en-US"/>
        </w:rPr>
        <w:t xml:space="preserve"> de Profesionales en Prevención y </w:t>
      </w:r>
      <w:proofErr w:type="spellStart"/>
      <w:r w:rsidRPr="00893E50">
        <w:rPr>
          <w:rFonts w:eastAsia="Calibri"/>
          <w:lang w:eastAsia="en-US"/>
        </w:rPr>
        <w:t>Posvención</w:t>
      </w:r>
      <w:proofErr w:type="spellEnd"/>
      <w:r w:rsidRPr="00893E50">
        <w:rPr>
          <w:rFonts w:eastAsia="Calibri"/>
          <w:lang w:eastAsia="en-US"/>
        </w:rPr>
        <w:t xml:space="preserve"> de la Conducta Suicida, </w:t>
      </w:r>
      <w:proofErr w:type="spellStart"/>
      <w:r w:rsidRPr="00893E50">
        <w:rPr>
          <w:rFonts w:eastAsia="Calibri"/>
          <w:lang w:eastAsia="en-US"/>
        </w:rPr>
        <w:t>Papageno</w:t>
      </w:r>
      <w:proofErr w:type="spellEnd"/>
      <w:r w:rsidRPr="00893E50">
        <w:rPr>
          <w:rFonts w:eastAsia="Calibri"/>
          <w:lang w:eastAsia="en-US"/>
        </w:rPr>
        <w:t>. Área de Investigación. Sevilla, España.</w:t>
      </w:r>
    </w:p>
    <w:p w14:paraId="03B5F228" w14:textId="77777777" w:rsidR="00893E50" w:rsidRPr="00893E50" w:rsidRDefault="00893E50" w:rsidP="00893E50">
      <w:pPr>
        <w:spacing w:line="360" w:lineRule="auto"/>
        <w:jc w:val="both"/>
        <w:rPr>
          <w:rFonts w:eastAsia="Calibri"/>
          <w:lang w:eastAsia="en-US"/>
        </w:rPr>
      </w:pPr>
      <w:proofErr w:type="spellStart"/>
      <w:r w:rsidRPr="00893E50">
        <w:rPr>
          <w:rFonts w:eastAsia="Calibri"/>
          <w:vertAlign w:val="superscript"/>
          <w:lang w:eastAsia="en-US"/>
        </w:rPr>
        <w:t>3</w:t>
      </w:r>
      <w:r w:rsidRPr="00893E50">
        <w:rPr>
          <w:rFonts w:eastAsia="Calibri"/>
          <w:lang w:eastAsia="en-US"/>
        </w:rPr>
        <w:t>Universidad</w:t>
      </w:r>
      <w:proofErr w:type="spellEnd"/>
      <w:r w:rsidRPr="00893E50">
        <w:rPr>
          <w:rFonts w:eastAsia="Calibri"/>
          <w:lang w:eastAsia="en-US"/>
        </w:rPr>
        <w:t xml:space="preserve"> Ricardo Palma. Escuela de Posgrado Psicología. Lima, Perú.</w:t>
      </w:r>
    </w:p>
    <w:p w14:paraId="7617A42C" w14:textId="77777777" w:rsidR="00893E50" w:rsidRPr="00893E50" w:rsidRDefault="00893E50" w:rsidP="00893E50">
      <w:pPr>
        <w:spacing w:line="360" w:lineRule="auto"/>
        <w:jc w:val="both"/>
        <w:rPr>
          <w:rFonts w:eastAsia="Calibri"/>
          <w:lang w:eastAsia="en-US"/>
        </w:rPr>
      </w:pPr>
      <w:proofErr w:type="spellStart"/>
      <w:r w:rsidRPr="00893E50">
        <w:rPr>
          <w:rFonts w:eastAsia="Calibri"/>
          <w:vertAlign w:val="superscript"/>
          <w:lang w:eastAsia="en-US"/>
        </w:rPr>
        <w:t>4</w:t>
      </w:r>
      <w:r w:rsidRPr="00893E50">
        <w:rPr>
          <w:rFonts w:eastAsia="Calibri"/>
          <w:lang w:eastAsia="en-US"/>
        </w:rPr>
        <w:t>Universidad</w:t>
      </w:r>
      <w:proofErr w:type="spellEnd"/>
      <w:r w:rsidRPr="00893E50">
        <w:rPr>
          <w:rFonts w:eastAsia="Calibri"/>
          <w:lang w:eastAsia="en-US"/>
        </w:rPr>
        <w:t xml:space="preserve"> César Vallejo. Facultad de Ciencias de la Salud. Lima, Perú. </w:t>
      </w:r>
    </w:p>
    <w:p w14:paraId="04021C4E" w14:textId="77777777" w:rsidR="00893E50" w:rsidRPr="00893E50" w:rsidRDefault="00893E50" w:rsidP="00893E50">
      <w:pPr>
        <w:spacing w:line="360" w:lineRule="auto"/>
        <w:jc w:val="both"/>
        <w:rPr>
          <w:rFonts w:eastAsia="Calibri"/>
          <w:lang w:eastAsia="en-US"/>
        </w:rPr>
      </w:pPr>
      <w:proofErr w:type="spellStart"/>
      <w:r w:rsidRPr="00893E50">
        <w:rPr>
          <w:rFonts w:eastAsia="Calibri"/>
          <w:vertAlign w:val="superscript"/>
          <w:lang w:eastAsia="en-US"/>
        </w:rPr>
        <w:t>5</w:t>
      </w:r>
      <w:r w:rsidRPr="00893E50">
        <w:rPr>
          <w:rFonts w:eastAsia="Calibri"/>
          <w:lang w:eastAsia="en-US"/>
        </w:rPr>
        <w:t>Institución</w:t>
      </w:r>
      <w:proofErr w:type="spellEnd"/>
      <w:r w:rsidRPr="00893E50">
        <w:rPr>
          <w:rFonts w:eastAsia="Calibri"/>
          <w:lang w:eastAsia="en-US"/>
        </w:rPr>
        <w:t xml:space="preserve"> Educativa José Carlos Mariátegui. Departamento de Psicología. Huancavelica, Perú. </w:t>
      </w:r>
    </w:p>
    <w:p w14:paraId="60049A9A" w14:textId="77777777" w:rsidR="00893E50" w:rsidRPr="00893E50" w:rsidRDefault="00893E50" w:rsidP="00893E50">
      <w:pPr>
        <w:spacing w:line="360" w:lineRule="auto"/>
        <w:jc w:val="both"/>
        <w:rPr>
          <w:rFonts w:eastAsia="Calibri"/>
          <w:b/>
          <w:bCs/>
          <w:vertAlign w:val="superscript"/>
          <w:lang w:eastAsia="en-US"/>
        </w:rPr>
      </w:pPr>
    </w:p>
    <w:p w14:paraId="2BABDD9D" w14:textId="77777777" w:rsidR="00893E50" w:rsidRPr="00893E50" w:rsidRDefault="00893E50" w:rsidP="00893E50">
      <w:pPr>
        <w:spacing w:line="360" w:lineRule="auto"/>
        <w:jc w:val="both"/>
        <w:rPr>
          <w:rFonts w:eastAsia="Calibri"/>
          <w:b/>
          <w:bCs/>
          <w:lang w:eastAsia="en-US"/>
        </w:rPr>
      </w:pPr>
      <w:r w:rsidRPr="00893E50">
        <w:rPr>
          <w:rFonts w:eastAsia="Calibri"/>
          <w:b/>
          <w:bCs/>
          <w:lang w:eastAsia="en-US"/>
        </w:rPr>
        <w:t>*</w:t>
      </w:r>
      <w:r w:rsidRPr="00893E50">
        <w:rPr>
          <w:rFonts w:eastAsia="Calibri"/>
          <w:lang w:eastAsia="en-US"/>
        </w:rPr>
        <w:t xml:space="preserve">Autor para la correspondencia. Correo electrónico: </w:t>
      </w:r>
      <w:hyperlink r:id="rId13" w:history="1">
        <w:r w:rsidRPr="00893E50">
          <w:rPr>
            <w:rFonts w:eastAsia="Calibri"/>
            <w:color w:val="0563C1"/>
            <w:lang w:eastAsia="en-US"/>
          </w:rPr>
          <w:t>jbanos@cientifica.edu.pe</w:t>
        </w:r>
      </w:hyperlink>
      <w:r w:rsidRPr="00893E50">
        <w:rPr>
          <w:rFonts w:eastAsia="Calibri"/>
          <w:lang w:eastAsia="en-US"/>
        </w:rPr>
        <w:t xml:space="preserve">  </w:t>
      </w:r>
    </w:p>
    <w:p w14:paraId="7B619770" w14:textId="77777777" w:rsidR="00893E50" w:rsidRPr="00893E50" w:rsidRDefault="00893E50" w:rsidP="00893E50">
      <w:pPr>
        <w:spacing w:line="360" w:lineRule="auto"/>
        <w:jc w:val="both"/>
        <w:rPr>
          <w:rFonts w:eastAsia="Calibri"/>
          <w:lang w:eastAsia="en-US"/>
        </w:rPr>
      </w:pPr>
    </w:p>
    <w:p w14:paraId="69FBA7DC" w14:textId="77777777" w:rsidR="00893E50" w:rsidRPr="00893E50" w:rsidRDefault="00893E50" w:rsidP="00893E50">
      <w:pPr>
        <w:spacing w:line="360" w:lineRule="auto"/>
        <w:jc w:val="both"/>
        <w:rPr>
          <w:rFonts w:eastAsia="Calibri"/>
          <w:b/>
          <w:bCs/>
          <w:lang w:eastAsia="en-US"/>
        </w:rPr>
      </w:pPr>
      <w:r w:rsidRPr="00893E50">
        <w:rPr>
          <w:rFonts w:eastAsia="Calibri"/>
          <w:b/>
          <w:bCs/>
          <w:lang w:eastAsia="en-US"/>
        </w:rPr>
        <w:t>RESUMEN</w:t>
      </w:r>
    </w:p>
    <w:p w14:paraId="76638CA5" w14:textId="77777777" w:rsidR="00893E50" w:rsidRPr="00893E50" w:rsidRDefault="00893E50" w:rsidP="00893E50">
      <w:pPr>
        <w:spacing w:line="360" w:lineRule="auto"/>
        <w:jc w:val="both"/>
        <w:rPr>
          <w:rFonts w:eastAsia="Calibri"/>
          <w:lang w:eastAsia="en-US"/>
        </w:rPr>
      </w:pPr>
      <w:r w:rsidRPr="00893E50">
        <w:rPr>
          <w:rFonts w:eastAsia="Calibri"/>
          <w:b/>
          <w:bCs/>
          <w:lang w:eastAsia="en-US"/>
        </w:rPr>
        <w:t>Introducción:</w:t>
      </w:r>
      <w:r w:rsidRPr="00893E50">
        <w:rPr>
          <w:rFonts w:eastAsia="Calibri"/>
          <w:lang w:eastAsia="en-US"/>
        </w:rPr>
        <w:t xml:space="preserve"> El estigma hacia las personas que mueren por suicidio o presentan conductas suicidas se considera una barrera para la búsqueda de apoyo profesional y porque tiene efectos en el bienestar psicológico, físico y social. La sociedad cumple un rol importante en la prevención y tratamiento del suicidio, siendo un apoyo necesario para las personas. </w:t>
      </w:r>
    </w:p>
    <w:p w14:paraId="64177B18" w14:textId="77777777" w:rsidR="00893E50" w:rsidRPr="00893E50" w:rsidRDefault="00893E50" w:rsidP="00893E50">
      <w:pPr>
        <w:spacing w:line="360" w:lineRule="auto"/>
        <w:jc w:val="both"/>
        <w:rPr>
          <w:rFonts w:eastAsia="Calibri"/>
          <w:lang w:eastAsia="en-US"/>
        </w:rPr>
      </w:pPr>
      <w:r w:rsidRPr="00893E50">
        <w:rPr>
          <w:rFonts w:eastAsia="Calibri"/>
          <w:b/>
          <w:bCs/>
          <w:lang w:eastAsia="en-US"/>
        </w:rPr>
        <w:lastRenderedPageBreak/>
        <w:t>Objetivo:</w:t>
      </w:r>
      <w:r w:rsidRPr="00893E50">
        <w:rPr>
          <w:rFonts w:eastAsia="Calibri"/>
          <w:lang w:eastAsia="en-US"/>
        </w:rPr>
        <w:t xml:space="preserve"> Traducir al español y validar la </w:t>
      </w:r>
      <w:proofErr w:type="spellStart"/>
      <w:r w:rsidRPr="00893E50">
        <w:rPr>
          <w:rFonts w:eastAsia="Calibri"/>
          <w:i/>
          <w:iCs/>
          <w:lang w:eastAsia="en-US"/>
        </w:rPr>
        <w:t>Stigma</w:t>
      </w:r>
      <w:proofErr w:type="spellEnd"/>
      <w:r w:rsidRPr="00893E50">
        <w:rPr>
          <w:rFonts w:eastAsia="Calibri"/>
          <w:i/>
          <w:iCs/>
          <w:lang w:eastAsia="en-US"/>
        </w:rPr>
        <w:t xml:space="preserve"> </w:t>
      </w:r>
      <w:proofErr w:type="spellStart"/>
      <w:r w:rsidRPr="00893E50">
        <w:rPr>
          <w:rFonts w:eastAsia="Calibri"/>
          <w:i/>
          <w:iCs/>
          <w:lang w:eastAsia="en-US"/>
        </w:rPr>
        <w:t>of</w:t>
      </w:r>
      <w:proofErr w:type="spellEnd"/>
      <w:r w:rsidRPr="00893E50">
        <w:rPr>
          <w:rFonts w:eastAsia="Calibri"/>
          <w:i/>
          <w:iCs/>
          <w:lang w:eastAsia="en-US"/>
        </w:rPr>
        <w:t xml:space="preserve"> Suicide </w:t>
      </w:r>
      <w:proofErr w:type="spellStart"/>
      <w:r w:rsidRPr="00893E50">
        <w:rPr>
          <w:rFonts w:eastAsia="Calibri"/>
          <w:i/>
          <w:iCs/>
          <w:lang w:eastAsia="en-US"/>
        </w:rPr>
        <w:t>Scale</w:t>
      </w:r>
      <w:proofErr w:type="spellEnd"/>
      <w:r w:rsidRPr="00893E50">
        <w:rPr>
          <w:rFonts w:eastAsia="Calibri"/>
          <w:i/>
          <w:iCs/>
          <w:lang w:eastAsia="en-US"/>
        </w:rPr>
        <w:t xml:space="preserve"> Short </w:t>
      </w:r>
      <w:proofErr w:type="spellStart"/>
      <w:r w:rsidRPr="00893E50">
        <w:rPr>
          <w:rFonts w:eastAsia="Calibri"/>
          <w:i/>
          <w:iCs/>
          <w:lang w:eastAsia="en-US"/>
        </w:rPr>
        <w:t>Form</w:t>
      </w:r>
      <w:proofErr w:type="spellEnd"/>
      <w:r w:rsidRPr="00893E50">
        <w:rPr>
          <w:rFonts w:eastAsia="Calibri"/>
          <w:lang w:eastAsia="en-US"/>
        </w:rPr>
        <w:t xml:space="preserve"> en adultos peruanos de la población general. </w:t>
      </w:r>
    </w:p>
    <w:p w14:paraId="73DA29F2" w14:textId="77777777" w:rsidR="00893E50" w:rsidRPr="00893E50" w:rsidRDefault="00893E50" w:rsidP="00893E50">
      <w:pPr>
        <w:spacing w:line="360" w:lineRule="auto"/>
        <w:jc w:val="both"/>
        <w:rPr>
          <w:rFonts w:eastAsia="Calibri"/>
          <w:lang w:eastAsia="en-US"/>
        </w:rPr>
      </w:pPr>
      <w:r w:rsidRPr="00893E50">
        <w:rPr>
          <w:rFonts w:eastAsia="Calibri"/>
          <w:b/>
          <w:bCs/>
          <w:lang w:eastAsia="en-US"/>
        </w:rPr>
        <w:t>Métodos:</w:t>
      </w:r>
      <w:r w:rsidRPr="00893E50">
        <w:rPr>
          <w:rFonts w:eastAsia="Calibri"/>
          <w:lang w:eastAsia="en-US"/>
        </w:rPr>
        <w:t xml:space="preserve"> Estudio transversal de enfoque cuantitativo e instrumental. Participaron 1013 adultos peruanos que respondieron la Escala de Estigma del Suicidio – Forma corta (</w:t>
      </w:r>
      <w:proofErr w:type="spellStart"/>
      <w:r w:rsidRPr="00893E50">
        <w:rPr>
          <w:rFonts w:eastAsia="Calibri"/>
          <w:lang w:eastAsia="en-US"/>
        </w:rPr>
        <w:t>SOSS-SF</w:t>
      </w:r>
      <w:proofErr w:type="spellEnd"/>
      <w:r w:rsidRPr="00893E50">
        <w:rPr>
          <w:rFonts w:eastAsia="Calibri"/>
          <w:lang w:eastAsia="en-US"/>
        </w:rPr>
        <w:t xml:space="preserve">). El método de traducción inversa se utilizó para la versión de inglés al español. Los análisis se realizaron a partir de la teoría clásica de los test y teoría de respuesta al ítem. </w:t>
      </w:r>
    </w:p>
    <w:p w14:paraId="13882E24" w14:textId="77777777" w:rsidR="00893E50" w:rsidRPr="00893E50" w:rsidRDefault="00893E50" w:rsidP="00893E50">
      <w:pPr>
        <w:spacing w:line="360" w:lineRule="auto"/>
        <w:jc w:val="both"/>
        <w:rPr>
          <w:rFonts w:eastAsia="Calibri"/>
          <w:lang w:eastAsia="en-US"/>
        </w:rPr>
      </w:pPr>
      <w:r w:rsidRPr="00893E50">
        <w:rPr>
          <w:rFonts w:eastAsia="Calibri"/>
          <w:b/>
          <w:bCs/>
          <w:lang w:eastAsia="en-US"/>
        </w:rPr>
        <w:t>Resultados:</w:t>
      </w:r>
      <w:r w:rsidRPr="00893E50">
        <w:rPr>
          <w:rFonts w:eastAsia="Calibri"/>
          <w:lang w:eastAsia="en-US"/>
        </w:rPr>
        <w:t xml:space="preserve"> Los participantes estuvieron de acuerdo en que las personas que mueren por suicidio eran solitarias (39,4 %), aisladas (39,3 %), cobardes (35,2 %) e irresponsables (35 %). La estructura de 3 factores fue adecuada, presentó buena confiabilidad (</w:t>
      </w:r>
      <w:proofErr w:type="spellStart"/>
      <w:r w:rsidRPr="00893E50">
        <w:rPr>
          <w:rFonts w:eastAsia="Calibri"/>
          <w:lang w:eastAsia="en-US"/>
        </w:rPr>
        <w:t>ω</w:t>
      </w:r>
      <w:r w:rsidRPr="00893E50">
        <w:rPr>
          <w:rFonts w:eastAsia="Calibri"/>
          <w:vertAlign w:val="subscript"/>
          <w:lang w:eastAsia="en-US"/>
        </w:rPr>
        <w:t>bayes</w:t>
      </w:r>
      <w:proofErr w:type="spellEnd"/>
      <w:r w:rsidRPr="00893E50">
        <w:rPr>
          <w:rFonts w:eastAsia="Calibri"/>
          <w:lang w:eastAsia="en-US"/>
        </w:rPr>
        <w:t xml:space="preserve"> &gt; 0,77, H &gt; 0,83) e invarianza según sexo. Además, todos los ítems discriminaron adecuadamente; el ítem 10 fue el más preciso para medir el estigma hacia el suicidio. </w:t>
      </w:r>
    </w:p>
    <w:p w14:paraId="6A5ECD0E" w14:textId="77777777" w:rsidR="00893E50" w:rsidRPr="00893E50" w:rsidRDefault="00893E50" w:rsidP="00893E50">
      <w:pPr>
        <w:spacing w:line="360" w:lineRule="auto"/>
        <w:jc w:val="both"/>
        <w:rPr>
          <w:rFonts w:eastAsia="Calibri"/>
          <w:lang w:eastAsia="en-US"/>
        </w:rPr>
      </w:pPr>
      <w:r w:rsidRPr="00893E50">
        <w:rPr>
          <w:rFonts w:eastAsia="Calibri"/>
          <w:b/>
          <w:bCs/>
          <w:lang w:eastAsia="en-US"/>
        </w:rPr>
        <w:t>Conclusiones:</w:t>
      </w:r>
      <w:r w:rsidRPr="00893E50">
        <w:rPr>
          <w:rFonts w:eastAsia="Calibri"/>
          <w:lang w:eastAsia="en-US"/>
        </w:rPr>
        <w:t xml:space="preserve"> La versión en español del </w:t>
      </w:r>
      <w:proofErr w:type="spellStart"/>
      <w:r w:rsidRPr="00893E50">
        <w:rPr>
          <w:rFonts w:eastAsia="Calibri"/>
          <w:lang w:eastAsia="en-US"/>
        </w:rPr>
        <w:t>SOSS-SF</w:t>
      </w:r>
      <w:proofErr w:type="spellEnd"/>
      <w:r w:rsidRPr="00893E50">
        <w:rPr>
          <w:rFonts w:eastAsia="Calibri"/>
          <w:lang w:eastAsia="en-US"/>
        </w:rPr>
        <w:t xml:space="preserve"> presenta evidencias de validez basadas en el contenido, estructura interna, confiabilidad, invarianza y respuestas del ítem. Se recomienda su uso para la interpretación e inferencia de sus puntuaciones en la evaluación del estigma hacia el suicidio en población general adulta peruana. </w:t>
      </w:r>
    </w:p>
    <w:p w14:paraId="51ED71D8" w14:textId="77777777" w:rsidR="00893E50" w:rsidRPr="00893E50" w:rsidRDefault="00893E50" w:rsidP="00893E50">
      <w:pPr>
        <w:spacing w:line="360" w:lineRule="auto"/>
        <w:jc w:val="both"/>
        <w:rPr>
          <w:rFonts w:eastAsia="Calibri"/>
          <w:lang w:eastAsia="en-US"/>
        </w:rPr>
      </w:pPr>
      <w:r w:rsidRPr="00893E50">
        <w:rPr>
          <w:rFonts w:eastAsia="Calibri"/>
          <w:b/>
          <w:bCs/>
          <w:lang w:eastAsia="en-US"/>
        </w:rPr>
        <w:t>Palabra clave:</w:t>
      </w:r>
      <w:r w:rsidRPr="00893E50">
        <w:rPr>
          <w:rFonts w:eastAsia="Calibri"/>
          <w:lang w:eastAsia="en-US"/>
        </w:rPr>
        <w:t xml:space="preserve"> estigma social; salud mental; suicidio; traducción. </w:t>
      </w:r>
    </w:p>
    <w:p w14:paraId="1D354A8E" w14:textId="77777777" w:rsidR="00893E50" w:rsidRPr="00893E50" w:rsidRDefault="00893E50" w:rsidP="00893E50">
      <w:pPr>
        <w:spacing w:line="360" w:lineRule="auto"/>
        <w:jc w:val="both"/>
        <w:rPr>
          <w:rFonts w:eastAsia="Calibri"/>
          <w:b/>
          <w:bCs/>
          <w:lang w:eastAsia="en-US"/>
        </w:rPr>
      </w:pPr>
    </w:p>
    <w:p w14:paraId="2079F052" w14:textId="77777777" w:rsidR="00893E50" w:rsidRPr="00893E50" w:rsidRDefault="00893E50" w:rsidP="00893E50">
      <w:pPr>
        <w:spacing w:line="360" w:lineRule="auto"/>
        <w:jc w:val="both"/>
        <w:rPr>
          <w:rFonts w:eastAsia="Calibri"/>
          <w:b/>
          <w:bCs/>
          <w:lang w:val="en-US" w:eastAsia="en-US"/>
        </w:rPr>
      </w:pPr>
      <w:r w:rsidRPr="00893E50">
        <w:rPr>
          <w:rFonts w:eastAsia="Calibri"/>
          <w:b/>
          <w:bCs/>
          <w:lang w:val="en-US" w:eastAsia="en-US"/>
        </w:rPr>
        <w:t>ABSTRACT</w:t>
      </w:r>
    </w:p>
    <w:p w14:paraId="01053F40" w14:textId="77777777" w:rsidR="00893E50" w:rsidRPr="00893E50" w:rsidRDefault="00893E50" w:rsidP="00893E50">
      <w:pPr>
        <w:spacing w:line="360" w:lineRule="auto"/>
        <w:jc w:val="both"/>
        <w:rPr>
          <w:rFonts w:eastAsia="Calibri"/>
          <w:lang w:val="en-US" w:eastAsia="en-US"/>
        </w:rPr>
      </w:pPr>
      <w:r w:rsidRPr="00893E50">
        <w:rPr>
          <w:rFonts w:eastAsia="Calibri"/>
          <w:b/>
          <w:bCs/>
          <w:lang w:val="en-US" w:eastAsia="en-US"/>
        </w:rPr>
        <w:t>Introduction:</w:t>
      </w:r>
      <w:r w:rsidRPr="00893E50">
        <w:rPr>
          <w:rFonts w:eastAsia="Calibri"/>
          <w:lang w:val="en-US" w:eastAsia="en-US"/>
        </w:rPr>
        <w:t xml:space="preserve"> Stigma towards people who die by suicide or present suicidal behaviors, is considered a barrier for the search professional support and because it has effects on psychological, physical and social well-being. Society complies an important role in suicide prevention and treatment, being a necessary support for individuals.</w:t>
      </w:r>
    </w:p>
    <w:p w14:paraId="41583C56" w14:textId="77777777" w:rsidR="00893E50" w:rsidRPr="00893E50" w:rsidRDefault="00893E50" w:rsidP="00893E50">
      <w:pPr>
        <w:spacing w:line="360" w:lineRule="auto"/>
        <w:jc w:val="both"/>
        <w:rPr>
          <w:rFonts w:eastAsia="Calibri"/>
          <w:lang w:val="en-US" w:eastAsia="en-US"/>
        </w:rPr>
      </w:pPr>
      <w:r w:rsidRPr="00893E50">
        <w:rPr>
          <w:rFonts w:eastAsia="Calibri"/>
          <w:b/>
          <w:bCs/>
          <w:lang w:val="en-US" w:eastAsia="en-US"/>
        </w:rPr>
        <w:t>Objective:</w:t>
      </w:r>
      <w:r w:rsidRPr="00893E50">
        <w:rPr>
          <w:rFonts w:eastAsia="Calibri"/>
          <w:lang w:val="en-US" w:eastAsia="en-US"/>
        </w:rPr>
        <w:t xml:space="preserve"> To translate into Spanish and validate the Stigma of Suicide Scale Short Form in Peruvian adults from the general population.</w:t>
      </w:r>
    </w:p>
    <w:p w14:paraId="710F9106" w14:textId="77777777" w:rsidR="00893E50" w:rsidRPr="00893E50" w:rsidRDefault="00893E50" w:rsidP="00893E50">
      <w:pPr>
        <w:spacing w:line="360" w:lineRule="auto"/>
        <w:jc w:val="both"/>
        <w:rPr>
          <w:rFonts w:eastAsia="Calibri"/>
          <w:lang w:val="en-US" w:eastAsia="en-US"/>
        </w:rPr>
      </w:pPr>
      <w:r w:rsidRPr="00893E50">
        <w:rPr>
          <w:rFonts w:eastAsia="Calibri"/>
          <w:b/>
          <w:bCs/>
          <w:lang w:val="en-US" w:eastAsia="en-US"/>
        </w:rPr>
        <w:t>Methods:</w:t>
      </w:r>
      <w:r w:rsidRPr="00893E50">
        <w:rPr>
          <w:rFonts w:eastAsia="Calibri"/>
          <w:lang w:val="en-US" w:eastAsia="en-US"/>
        </w:rPr>
        <w:t xml:space="preserve"> Cross-sectional study of quantitative and instrumental approach. A total of 1013 Peruvian adults who responded the Suicide Stigma Scale - Short Form (SOSS-SF) participated. The reverse translation method was used for the English to Spanish version. Analyses were performed as from classical test theory and item response theory.  </w:t>
      </w:r>
    </w:p>
    <w:p w14:paraId="7D3B7A0E" w14:textId="77777777" w:rsidR="00893E50" w:rsidRPr="00893E50" w:rsidRDefault="00893E50" w:rsidP="00893E50">
      <w:pPr>
        <w:spacing w:line="360" w:lineRule="auto"/>
        <w:jc w:val="both"/>
        <w:rPr>
          <w:rFonts w:eastAsia="Calibri"/>
          <w:lang w:val="en-US" w:eastAsia="en-US"/>
        </w:rPr>
      </w:pPr>
      <w:r w:rsidRPr="00893E50">
        <w:rPr>
          <w:rFonts w:eastAsia="Calibri"/>
          <w:b/>
          <w:bCs/>
          <w:lang w:val="en-US" w:eastAsia="en-US"/>
        </w:rPr>
        <w:lastRenderedPageBreak/>
        <w:t>Results:</w:t>
      </w:r>
      <w:r w:rsidRPr="00893E50">
        <w:rPr>
          <w:rFonts w:eastAsia="Calibri"/>
          <w:lang w:val="en-US" w:eastAsia="en-US"/>
        </w:rPr>
        <w:t xml:space="preserve"> Participants agreed that people who die by suicide were lonely (39,4%), isolated (39,3%), cowardly (35,2%), and irresponsible (35%). The 3-factor structure was adequate, presented good reliability (</w:t>
      </w:r>
      <w:r w:rsidRPr="00893E50">
        <w:rPr>
          <w:rFonts w:eastAsia="Calibri"/>
          <w:lang w:eastAsia="en-US"/>
        </w:rPr>
        <w:t>ω</w:t>
      </w:r>
      <w:r w:rsidRPr="00893E50">
        <w:rPr>
          <w:rFonts w:eastAsia="Calibri"/>
          <w:vertAlign w:val="subscript"/>
          <w:lang w:val="en-US" w:eastAsia="en-US"/>
        </w:rPr>
        <w:t>bayes</w:t>
      </w:r>
      <w:r w:rsidRPr="00893E50">
        <w:rPr>
          <w:rFonts w:eastAsia="Calibri"/>
          <w:lang w:val="en-US" w:eastAsia="en-US"/>
        </w:rPr>
        <w:t xml:space="preserve"> &gt; 0,77, H &gt; 0,83) and gender invariance. In addition, all items discriminated adequately, with item 10 being more accurate in measuring suicide stigma. </w:t>
      </w:r>
    </w:p>
    <w:p w14:paraId="6DC6540F" w14:textId="77777777" w:rsidR="00893E50" w:rsidRPr="00893E50" w:rsidRDefault="00893E50" w:rsidP="00893E50">
      <w:pPr>
        <w:spacing w:line="360" w:lineRule="auto"/>
        <w:jc w:val="both"/>
        <w:rPr>
          <w:rFonts w:eastAsia="Calibri"/>
          <w:lang w:val="en-US" w:eastAsia="en-US"/>
        </w:rPr>
      </w:pPr>
      <w:r w:rsidRPr="00893E50">
        <w:rPr>
          <w:rFonts w:eastAsia="Calibri"/>
          <w:b/>
          <w:bCs/>
          <w:lang w:val="en-US" w:eastAsia="en-US"/>
        </w:rPr>
        <w:t>Conclusions:</w:t>
      </w:r>
      <w:r w:rsidRPr="00893E50">
        <w:rPr>
          <w:rFonts w:eastAsia="Calibri"/>
          <w:lang w:val="en-US" w:eastAsia="en-US"/>
        </w:rPr>
        <w:t xml:space="preserve"> The Spanish version of the SOSS-SF presents sources of evidence of validity based on content, internal structure, reliability, invariance and item responses. Its use is recommended for the interpretation and inference of its scores in the assessment of stigma towards the suicide in the general adult Peruvian population.    </w:t>
      </w:r>
    </w:p>
    <w:p w14:paraId="6C93AFB8" w14:textId="77777777" w:rsidR="00893E50" w:rsidRPr="00893E50" w:rsidRDefault="00893E50" w:rsidP="00893E50">
      <w:pPr>
        <w:spacing w:line="360" w:lineRule="auto"/>
        <w:jc w:val="both"/>
        <w:rPr>
          <w:rFonts w:eastAsia="Calibri"/>
          <w:lang w:val="en-US" w:eastAsia="en-US"/>
        </w:rPr>
      </w:pPr>
      <w:r w:rsidRPr="00893E50">
        <w:rPr>
          <w:rFonts w:eastAsia="Calibri"/>
          <w:b/>
          <w:bCs/>
          <w:lang w:val="en-US" w:eastAsia="en-US"/>
        </w:rPr>
        <w:t>Keywords:</w:t>
      </w:r>
      <w:r w:rsidRPr="00893E50">
        <w:rPr>
          <w:rFonts w:eastAsia="Calibri"/>
          <w:lang w:val="en-US" w:eastAsia="en-US"/>
        </w:rPr>
        <w:t xml:space="preserve"> mental health; social stigma; suicide; translating. </w:t>
      </w:r>
    </w:p>
    <w:p w14:paraId="78C911D0" w14:textId="77777777" w:rsidR="00893E50" w:rsidRPr="00893E50" w:rsidRDefault="00893E50" w:rsidP="00893E50">
      <w:pPr>
        <w:spacing w:line="360" w:lineRule="auto"/>
        <w:jc w:val="both"/>
        <w:rPr>
          <w:rFonts w:eastAsia="Calibri"/>
          <w:lang w:val="en-US" w:eastAsia="en-US"/>
        </w:rPr>
      </w:pPr>
    </w:p>
    <w:p w14:paraId="54BD4F06" w14:textId="77777777" w:rsidR="00893E50" w:rsidRPr="00893E50" w:rsidRDefault="00893E50" w:rsidP="00893E50">
      <w:pPr>
        <w:spacing w:line="360" w:lineRule="auto"/>
        <w:jc w:val="both"/>
        <w:rPr>
          <w:rFonts w:eastAsia="Calibri"/>
          <w:lang w:val="en-US" w:eastAsia="en-US"/>
        </w:rPr>
      </w:pPr>
    </w:p>
    <w:p w14:paraId="7D8D79C2" w14:textId="77777777" w:rsidR="00893E50" w:rsidRPr="00893E50" w:rsidRDefault="00893E50" w:rsidP="00893E50">
      <w:pPr>
        <w:spacing w:line="360" w:lineRule="auto"/>
        <w:jc w:val="both"/>
        <w:rPr>
          <w:rFonts w:eastAsia="Calibri"/>
          <w:lang w:eastAsia="en-US"/>
        </w:rPr>
      </w:pPr>
      <w:r w:rsidRPr="00893E50">
        <w:rPr>
          <w:rFonts w:eastAsia="Calibri"/>
          <w:lang w:eastAsia="en-US"/>
        </w:rPr>
        <w:t>Recibido: 14/11/2022</w:t>
      </w:r>
    </w:p>
    <w:p w14:paraId="37850CDA" w14:textId="77777777" w:rsidR="00893E50" w:rsidRPr="00893E50" w:rsidRDefault="00893E50" w:rsidP="00893E50">
      <w:pPr>
        <w:spacing w:line="360" w:lineRule="auto"/>
        <w:jc w:val="both"/>
        <w:rPr>
          <w:rFonts w:eastAsia="Calibri"/>
          <w:lang w:eastAsia="en-US"/>
        </w:rPr>
      </w:pPr>
      <w:r w:rsidRPr="00893E50">
        <w:rPr>
          <w:rFonts w:eastAsia="Calibri"/>
          <w:lang w:eastAsia="en-US"/>
        </w:rPr>
        <w:t>Aprobado: 27/04/2023</w:t>
      </w:r>
    </w:p>
    <w:p w14:paraId="064AC6F7" w14:textId="77777777" w:rsidR="00893E50" w:rsidRPr="00893E50" w:rsidRDefault="00893E50" w:rsidP="00893E50">
      <w:pPr>
        <w:spacing w:line="360" w:lineRule="auto"/>
        <w:jc w:val="both"/>
        <w:rPr>
          <w:rFonts w:eastAsia="Calibri"/>
          <w:lang w:eastAsia="en-US"/>
        </w:rPr>
      </w:pPr>
    </w:p>
    <w:p w14:paraId="7DBF94F1" w14:textId="77777777" w:rsidR="00893E50" w:rsidRPr="00893E50" w:rsidRDefault="00893E50" w:rsidP="00893E50">
      <w:pPr>
        <w:spacing w:line="360" w:lineRule="auto"/>
        <w:jc w:val="both"/>
        <w:rPr>
          <w:rFonts w:eastAsia="Calibri"/>
          <w:lang w:eastAsia="en-US"/>
        </w:rPr>
      </w:pPr>
    </w:p>
    <w:p w14:paraId="39C1EFFD" w14:textId="77777777" w:rsidR="00893E50" w:rsidRPr="00893E50" w:rsidRDefault="00893E50" w:rsidP="00893E50">
      <w:pPr>
        <w:spacing w:line="360" w:lineRule="auto"/>
        <w:jc w:val="center"/>
        <w:rPr>
          <w:rFonts w:eastAsia="Calibri"/>
          <w:b/>
          <w:bCs/>
          <w:sz w:val="32"/>
          <w:szCs w:val="32"/>
          <w:lang w:eastAsia="en-US"/>
        </w:rPr>
      </w:pPr>
      <w:r w:rsidRPr="00893E50">
        <w:rPr>
          <w:rFonts w:eastAsia="Calibri"/>
          <w:b/>
          <w:bCs/>
          <w:sz w:val="32"/>
          <w:szCs w:val="32"/>
          <w:lang w:eastAsia="en-US"/>
        </w:rPr>
        <w:t>INTRODUCCIÓN</w:t>
      </w:r>
    </w:p>
    <w:p w14:paraId="6020A249" w14:textId="77777777" w:rsidR="00893E50" w:rsidRPr="00893E50" w:rsidRDefault="00893E50" w:rsidP="00893E50">
      <w:pPr>
        <w:spacing w:line="360" w:lineRule="auto"/>
        <w:jc w:val="both"/>
        <w:rPr>
          <w:rFonts w:eastAsia="Calibri"/>
          <w:lang w:eastAsia="en-US"/>
        </w:rPr>
      </w:pPr>
      <w:r w:rsidRPr="00893E50">
        <w:rPr>
          <w:rFonts w:eastAsia="Calibri"/>
          <w:lang w:eastAsia="en-US"/>
        </w:rPr>
        <w:t>El suicidio es un importante problema de salud pública y social, es una de las principales causas de muerte entre los adolescentes, adultos jóvenes y mayores.</w:t>
      </w:r>
      <w:r w:rsidRPr="00893E50">
        <w:rPr>
          <w:rFonts w:eastAsia="Calibri"/>
          <w:vertAlign w:val="superscript"/>
          <w:lang w:eastAsia="en-US"/>
        </w:rPr>
        <w:t>(1)</w:t>
      </w:r>
      <w:r w:rsidRPr="00893E50">
        <w:rPr>
          <w:rFonts w:eastAsia="Calibri"/>
          <w:lang w:eastAsia="en-US"/>
        </w:rPr>
        <w:t xml:space="preserve"> La literatura científica</w:t>
      </w:r>
      <w:r w:rsidRPr="00893E50">
        <w:rPr>
          <w:rFonts w:eastAsia="Calibri"/>
          <w:vertAlign w:val="superscript"/>
          <w:lang w:eastAsia="en-US"/>
        </w:rPr>
        <w:t>(2)</w:t>
      </w:r>
      <w:r w:rsidRPr="00893E50">
        <w:rPr>
          <w:rFonts w:eastAsia="Calibri"/>
          <w:lang w:eastAsia="en-US"/>
        </w:rPr>
        <w:t xml:space="preserve"> refiere que las muertes por suicidio no se atribuyen a una causa común, por el contrario, surge de una interacción compleja entre factores psicológicos, biológicos y socioculturales. Múltiples factores pueden contribuir a que un individuo contemple el suicidio como la solución a su sufrimiento y es la sociedad quien tiene la capacidad para contener aquellos sujetos y disminuir la inclinación hacia las conductas suicidas.</w:t>
      </w:r>
      <w:r w:rsidRPr="00893E50">
        <w:rPr>
          <w:rFonts w:eastAsia="Calibri"/>
          <w:vertAlign w:val="superscript"/>
          <w:lang w:eastAsia="en-US"/>
        </w:rPr>
        <w:t>(3)</w:t>
      </w:r>
      <w:r w:rsidRPr="00893E50">
        <w:rPr>
          <w:rFonts w:eastAsia="Calibri"/>
          <w:lang w:eastAsia="en-US"/>
        </w:rPr>
        <w:t xml:space="preserve"> Una revisión sistemática</w:t>
      </w:r>
      <w:r w:rsidRPr="00893E50">
        <w:rPr>
          <w:rFonts w:eastAsia="Calibri"/>
          <w:vertAlign w:val="superscript"/>
          <w:lang w:eastAsia="en-US"/>
        </w:rPr>
        <w:t>(4)</w:t>
      </w:r>
      <w:r w:rsidRPr="00893E50">
        <w:rPr>
          <w:rFonts w:eastAsia="Calibri"/>
          <w:lang w:eastAsia="en-US"/>
        </w:rPr>
        <w:t xml:space="preserve"> sobre los factores asociados con la búsqueda de ayuda profesional para las conductas suicidas, identifica varias barreras potenciales que incluía la alta autosuficiencia, falta de percepción de la necesidad de tratamiento y actitudes estigmatizantes hacia los problemas de salud mental, tratamiento profesional y suicidio</w:t>
      </w:r>
      <w:r w:rsidRPr="00893E50">
        <w:rPr>
          <w:rFonts w:eastAsia="Calibri"/>
          <w:noProof/>
          <w:lang w:eastAsia="en-US"/>
        </w:rPr>
        <w:t xml:space="preserve">. </w:t>
      </w:r>
    </w:p>
    <w:p w14:paraId="5EFEC181"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El estigma hacia los problemas de salud mental y, en particular, hacia el suicidio, se considera una barrera porque disminuye la búsqueda de apoyo profesional de salud. Mayor aún, la generalización de conductas </w:t>
      </w:r>
      <w:r w:rsidRPr="00893E50">
        <w:rPr>
          <w:rFonts w:eastAsia="Calibri"/>
          <w:lang w:eastAsia="en-US"/>
        </w:rPr>
        <w:lastRenderedPageBreak/>
        <w:t>estigmatizantes hacia personas que experimentan conductas suicidas puede aumentar el riesgo de suicidio y, la naturaleza del estigma en general, puede tener efectos a largo plazo en el bienestar psicológico, físico y social de quienes los experimentan.</w:t>
      </w:r>
      <w:r w:rsidRPr="00893E50">
        <w:rPr>
          <w:rFonts w:eastAsia="Calibri"/>
          <w:vertAlign w:val="superscript"/>
          <w:lang w:eastAsia="en-US"/>
        </w:rPr>
        <w:t>(5,6)</w:t>
      </w:r>
      <w:r w:rsidRPr="00893E50">
        <w:rPr>
          <w:rFonts w:eastAsia="Calibri"/>
          <w:lang w:eastAsia="en-US"/>
        </w:rPr>
        <w:t xml:space="preserve"> Esto sugiere que, para una adecuada prevención del suicidio, se requiere sesiones que aborden el estigma. De hecho, cuando se involucra la alfabetización sobre el suicidio y educación sobre el estigma hacia las personas con conductas suicidas, se evidencia como un predictor fuerte para las actitudes favorables en la búsqueda de apoyo psicológico</w:t>
      </w:r>
      <w:r w:rsidRPr="00893E50">
        <w:rPr>
          <w:rFonts w:eastAsia="Calibri"/>
          <w:noProof/>
          <w:lang w:eastAsia="en-US"/>
        </w:rPr>
        <w:t>.</w:t>
      </w:r>
      <w:r w:rsidRPr="00893E50">
        <w:rPr>
          <w:rFonts w:eastAsia="Calibri"/>
          <w:noProof/>
          <w:vertAlign w:val="superscript"/>
          <w:lang w:eastAsia="en-US"/>
        </w:rPr>
        <w:t>(7)</w:t>
      </w:r>
    </w:p>
    <w:p w14:paraId="6E525CC9" w14:textId="77777777" w:rsidR="00893E50" w:rsidRPr="00893E50" w:rsidRDefault="00893E50" w:rsidP="00893E50">
      <w:pPr>
        <w:spacing w:line="360" w:lineRule="auto"/>
        <w:jc w:val="both"/>
        <w:rPr>
          <w:rFonts w:eastAsia="Calibri"/>
          <w:noProof/>
          <w:lang w:eastAsia="en-US"/>
        </w:rPr>
      </w:pPr>
      <w:r w:rsidRPr="00893E50">
        <w:rPr>
          <w:rFonts w:eastAsia="Calibri"/>
          <w:lang w:eastAsia="en-US"/>
        </w:rPr>
        <w:t xml:space="preserve">Una mejor comprensión del estigma hacia el suicidio podría ser información útil para el desarrollo de estrategias de intervención y focalización en población comunitaria vulnerable. Entre los diversos instrumentos para evaluar este propósito, la </w:t>
      </w:r>
      <w:proofErr w:type="spellStart"/>
      <w:r w:rsidRPr="00893E50">
        <w:rPr>
          <w:rFonts w:eastAsia="Calibri"/>
          <w:i/>
          <w:iCs/>
          <w:lang w:eastAsia="en-US"/>
        </w:rPr>
        <w:t>Stigma</w:t>
      </w:r>
      <w:proofErr w:type="spellEnd"/>
      <w:r w:rsidRPr="00893E50">
        <w:rPr>
          <w:rFonts w:eastAsia="Calibri"/>
          <w:i/>
          <w:iCs/>
          <w:lang w:eastAsia="en-US"/>
        </w:rPr>
        <w:t xml:space="preserve"> </w:t>
      </w:r>
      <w:proofErr w:type="spellStart"/>
      <w:r w:rsidRPr="00893E50">
        <w:rPr>
          <w:rFonts w:eastAsia="Calibri"/>
          <w:i/>
          <w:iCs/>
          <w:lang w:eastAsia="en-US"/>
        </w:rPr>
        <w:t>of</w:t>
      </w:r>
      <w:proofErr w:type="spellEnd"/>
      <w:r w:rsidRPr="00893E50">
        <w:rPr>
          <w:rFonts w:eastAsia="Calibri"/>
          <w:i/>
          <w:iCs/>
          <w:lang w:eastAsia="en-US"/>
        </w:rPr>
        <w:t xml:space="preserve"> Suicide </w:t>
      </w:r>
      <w:proofErr w:type="spellStart"/>
      <w:r w:rsidRPr="00893E50">
        <w:rPr>
          <w:rFonts w:eastAsia="Calibri"/>
          <w:i/>
          <w:iCs/>
          <w:lang w:eastAsia="en-US"/>
        </w:rPr>
        <w:t>Scale</w:t>
      </w:r>
      <w:proofErr w:type="spellEnd"/>
      <w:r w:rsidRPr="00893E50">
        <w:rPr>
          <w:rFonts w:eastAsia="Calibri"/>
          <w:lang w:eastAsia="en-US"/>
        </w:rPr>
        <w:t xml:space="preserve"> (</w:t>
      </w:r>
      <w:proofErr w:type="spellStart"/>
      <w:r w:rsidRPr="00893E50">
        <w:rPr>
          <w:rFonts w:eastAsia="Calibri"/>
          <w:lang w:eastAsia="en-US"/>
        </w:rPr>
        <w:t>SOSS</w:t>
      </w:r>
      <w:proofErr w:type="spellEnd"/>
      <w:r w:rsidRPr="00893E50">
        <w:rPr>
          <w:rFonts w:eastAsia="Calibri"/>
          <w:lang w:eastAsia="en-US"/>
        </w:rPr>
        <w:t>) es una escala conformada por 58 ítems destinados a evaluar las actitudes sociales hacia las personas que mueren por suicidio y está compuesta por 3 factores: estigma, aislamiento y glorificación.</w:t>
      </w:r>
      <w:r w:rsidRPr="00893E50">
        <w:rPr>
          <w:rFonts w:eastAsia="Calibri"/>
          <w:vertAlign w:val="superscript"/>
          <w:lang w:eastAsia="en-US"/>
        </w:rPr>
        <w:t>(8)</w:t>
      </w:r>
      <w:r w:rsidRPr="00893E50">
        <w:rPr>
          <w:rFonts w:eastAsia="Calibri"/>
          <w:lang w:eastAsia="en-US"/>
        </w:rPr>
        <w:t xml:space="preserve"> Dada la longitud del </w:t>
      </w:r>
      <w:proofErr w:type="spellStart"/>
      <w:r w:rsidRPr="00893E50">
        <w:rPr>
          <w:rFonts w:eastAsia="Calibri"/>
          <w:lang w:eastAsia="en-US"/>
        </w:rPr>
        <w:t>SOSS</w:t>
      </w:r>
      <w:proofErr w:type="spellEnd"/>
      <w:r w:rsidRPr="00893E50">
        <w:rPr>
          <w:rFonts w:eastAsia="Calibri"/>
          <w:lang w:eastAsia="en-US"/>
        </w:rPr>
        <w:t>, los autores desarrollaron una versión breve basada en 16 ítems (</w:t>
      </w:r>
      <w:proofErr w:type="spellStart"/>
      <w:r w:rsidRPr="00893E50">
        <w:rPr>
          <w:rFonts w:eastAsia="Calibri"/>
          <w:lang w:eastAsia="en-US"/>
        </w:rPr>
        <w:t>SOSS-SF</w:t>
      </w:r>
      <w:proofErr w:type="spellEnd"/>
      <w:r w:rsidRPr="00893E50">
        <w:rPr>
          <w:rFonts w:eastAsia="Calibri"/>
          <w:lang w:eastAsia="en-US"/>
        </w:rPr>
        <w:t xml:space="preserve">) para facilitar su uso y utilidad en la población general. El </w:t>
      </w:r>
      <w:proofErr w:type="spellStart"/>
      <w:r w:rsidRPr="00893E50">
        <w:rPr>
          <w:rFonts w:eastAsia="Calibri"/>
          <w:lang w:eastAsia="en-US"/>
        </w:rPr>
        <w:t>SOSS-SF</w:t>
      </w:r>
      <w:proofErr w:type="spellEnd"/>
      <w:r w:rsidRPr="00893E50">
        <w:rPr>
          <w:rFonts w:eastAsia="Calibri"/>
          <w:lang w:eastAsia="en-US"/>
        </w:rPr>
        <w:t xml:space="preserve"> ha sido traducido y analizado psicométricamente en Alemania</w:t>
      </w:r>
      <w:r w:rsidRPr="00893E50">
        <w:rPr>
          <w:rFonts w:eastAsia="Calibri"/>
          <w:noProof/>
          <w:lang w:eastAsia="en-US"/>
        </w:rPr>
        <w:t>, Jordania, Puerto Rico, Bangladés y EE. UU.</w:t>
      </w:r>
      <w:r w:rsidRPr="00893E50">
        <w:rPr>
          <w:rFonts w:eastAsia="Calibri"/>
          <w:noProof/>
          <w:vertAlign w:val="superscript"/>
          <w:lang w:eastAsia="en-US"/>
        </w:rPr>
        <w:t>(9,10,11,12,13)</w:t>
      </w:r>
      <w:r w:rsidRPr="00893E50">
        <w:rPr>
          <w:rFonts w:eastAsia="Calibri"/>
          <w:noProof/>
          <w:lang w:eastAsia="en-US"/>
        </w:rPr>
        <w:t xml:space="preserve"> En el Perú, no existe ninguna escala psicológica para abordar el estigma del suicidio, a pesar de la evidencia empírica sobre los problemas psicológicos asociados y la prevalencia de conductas suicidas en adultos jóvenes y adultos.</w:t>
      </w:r>
      <w:r w:rsidRPr="00893E50">
        <w:rPr>
          <w:rFonts w:eastAsia="Calibri"/>
          <w:noProof/>
          <w:vertAlign w:val="superscript"/>
          <w:lang w:eastAsia="en-US"/>
        </w:rPr>
        <w:t>(5,14)</w:t>
      </w:r>
      <w:r w:rsidRPr="00893E50">
        <w:rPr>
          <w:rFonts w:eastAsia="Calibri"/>
          <w:noProof/>
          <w:lang w:eastAsia="en-US"/>
        </w:rPr>
        <w:t xml:space="preserve"> </w:t>
      </w:r>
    </w:p>
    <w:p w14:paraId="68BE6C93" w14:textId="77777777" w:rsidR="00893E50" w:rsidRPr="00893E50" w:rsidRDefault="00893E50" w:rsidP="00893E50">
      <w:pPr>
        <w:spacing w:line="360" w:lineRule="auto"/>
        <w:jc w:val="both"/>
        <w:rPr>
          <w:rFonts w:eastAsia="Calibri"/>
          <w:noProof/>
          <w:lang w:eastAsia="en-US"/>
        </w:rPr>
      </w:pPr>
      <w:r w:rsidRPr="00893E50">
        <w:rPr>
          <w:rFonts w:eastAsia="Calibri"/>
          <w:noProof/>
          <w:lang w:eastAsia="en-US"/>
        </w:rPr>
        <w:t xml:space="preserve">El objetivo del estudio es traducir al español y validar la SOSS-SF en adultos peruanos de la población general. </w:t>
      </w:r>
    </w:p>
    <w:p w14:paraId="6C58306C" w14:textId="77777777" w:rsidR="00893E50" w:rsidRPr="00893E50" w:rsidRDefault="00893E50" w:rsidP="00893E50">
      <w:pPr>
        <w:spacing w:line="360" w:lineRule="auto"/>
        <w:jc w:val="center"/>
        <w:rPr>
          <w:rFonts w:eastAsia="Calibri"/>
          <w:b/>
          <w:bCs/>
          <w:sz w:val="32"/>
          <w:szCs w:val="32"/>
          <w:lang w:eastAsia="en-US"/>
        </w:rPr>
      </w:pPr>
    </w:p>
    <w:p w14:paraId="0E468417" w14:textId="77777777" w:rsidR="00893E50" w:rsidRPr="00893E50" w:rsidRDefault="00893E50" w:rsidP="00893E50">
      <w:pPr>
        <w:spacing w:line="360" w:lineRule="auto"/>
        <w:jc w:val="center"/>
        <w:rPr>
          <w:rFonts w:eastAsia="Calibri"/>
          <w:b/>
          <w:bCs/>
          <w:sz w:val="32"/>
          <w:szCs w:val="32"/>
          <w:lang w:eastAsia="en-US"/>
        </w:rPr>
      </w:pPr>
    </w:p>
    <w:p w14:paraId="42462CB7" w14:textId="77777777" w:rsidR="00893E50" w:rsidRPr="00893E50" w:rsidRDefault="00893E50" w:rsidP="00893E50">
      <w:pPr>
        <w:spacing w:line="360" w:lineRule="auto"/>
        <w:jc w:val="center"/>
        <w:rPr>
          <w:rFonts w:eastAsia="Calibri"/>
          <w:b/>
          <w:bCs/>
          <w:sz w:val="32"/>
          <w:szCs w:val="32"/>
          <w:lang w:eastAsia="en-US"/>
        </w:rPr>
      </w:pPr>
      <w:r w:rsidRPr="00893E50">
        <w:rPr>
          <w:rFonts w:eastAsia="Calibri"/>
          <w:b/>
          <w:bCs/>
          <w:sz w:val="32"/>
          <w:szCs w:val="32"/>
          <w:lang w:eastAsia="en-US"/>
        </w:rPr>
        <w:t>MÉTODOS</w:t>
      </w:r>
    </w:p>
    <w:p w14:paraId="192E3177"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Diseño y sujetos</w:t>
      </w:r>
    </w:p>
    <w:p w14:paraId="1C2C5290"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El diseño de investigación es de enfoque cuantitativo, transversal e instrumental. El estudio fue ejecutado durante el mes de septiembre y octubre del 2022 en la ciudad de Lima Metropolitana, departamento de Lima. Participaron 1013 adultos peruanos, seleccionados mediante muestreo no probabilístico por conveniencia y los siguientes criterios de inclusión: a) tener una edad mayor o igual a 18 años, b) residir </w:t>
      </w:r>
      <w:r w:rsidRPr="00893E50">
        <w:rPr>
          <w:rFonts w:eastAsia="Calibri"/>
          <w:lang w:eastAsia="en-US"/>
        </w:rPr>
        <w:lastRenderedPageBreak/>
        <w:t xml:space="preserve">en Lima Metropolitana, c) no tener educación superior concluida (técnico, universitario o posgrado) y c) aceptación del consentimiento informado. </w:t>
      </w:r>
    </w:p>
    <w:p w14:paraId="6B6817DB"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Características de los participantes</w:t>
      </w:r>
    </w:p>
    <w:p w14:paraId="13681995"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La participación de mujeres (55,6 %) y hombres (44,4 %) fue similar; la edad promedio fue de 35 años (desviación estándar -DE-= 13,2) en un rango de 18 a 89 años. En relación con las características de los participantes, se evidenció mayor porcentaje de solteros (42 %), seguido de casados (23,4 %) y convivientes (22,5 %). El nivel de educación predominante fue secundaria completa (48,4 %), técnico incompleto (20,4 %) y universitario incompleto (11,4 %); la mayoría tenía un trabajo actual (78,4 %) y vivía en zona urbana (70,8 %). El 66,6 % señaló que no </w:t>
      </w:r>
      <w:r w:rsidRPr="00893E50">
        <w:rPr>
          <w:rFonts w:eastAsia="Calibri"/>
          <w:color w:val="000000"/>
          <w:lang w:eastAsia="en-US"/>
        </w:rPr>
        <w:t>tenía</w:t>
      </w:r>
      <w:r w:rsidRPr="00893E50">
        <w:rPr>
          <w:rFonts w:eastAsia="Calibri"/>
          <w:lang w:eastAsia="en-US"/>
        </w:rPr>
        <w:t xml:space="preserve"> una enfermedad crónica, no consumió alcohol en los últimos 12 meses (72,5 %), no tenía deudas económicas pendientes (69,2 %) y tampoco fue despedido (64,6 %) o degradado (71,4 %) laboralmente alguna vez en su vida. </w:t>
      </w:r>
    </w:p>
    <w:p w14:paraId="1BAA27B2"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Procedimientos</w:t>
      </w:r>
    </w:p>
    <w:p w14:paraId="69C1A4D7" w14:textId="77777777" w:rsidR="00893E50" w:rsidRPr="00893E50" w:rsidRDefault="00893E50" w:rsidP="00893E50">
      <w:pPr>
        <w:spacing w:line="360" w:lineRule="auto"/>
        <w:jc w:val="both"/>
        <w:rPr>
          <w:rFonts w:eastAsia="Calibri"/>
          <w:noProof/>
          <w:lang w:eastAsia="en-US"/>
        </w:rPr>
      </w:pPr>
      <w:r w:rsidRPr="00893E50">
        <w:rPr>
          <w:rFonts w:eastAsia="Calibri"/>
          <w:lang w:eastAsia="en-US"/>
        </w:rPr>
        <w:t xml:space="preserve">Se realizó la traducción al español de la </w:t>
      </w:r>
      <w:proofErr w:type="spellStart"/>
      <w:r w:rsidRPr="00893E50">
        <w:rPr>
          <w:rFonts w:eastAsia="Calibri"/>
          <w:i/>
          <w:iCs/>
          <w:lang w:eastAsia="en-US"/>
        </w:rPr>
        <w:t>Stigma</w:t>
      </w:r>
      <w:proofErr w:type="spellEnd"/>
      <w:r w:rsidRPr="00893E50">
        <w:rPr>
          <w:rFonts w:eastAsia="Calibri"/>
          <w:i/>
          <w:iCs/>
          <w:lang w:eastAsia="en-US"/>
        </w:rPr>
        <w:t xml:space="preserve"> </w:t>
      </w:r>
      <w:proofErr w:type="spellStart"/>
      <w:r w:rsidRPr="00893E50">
        <w:rPr>
          <w:rFonts w:eastAsia="Calibri"/>
          <w:i/>
          <w:iCs/>
          <w:lang w:eastAsia="en-US"/>
        </w:rPr>
        <w:t>of</w:t>
      </w:r>
      <w:proofErr w:type="spellEnd"/>
      <w:r w:rsidRPr="00893E50">
        <w:rPr>
          <w:rFonts w:eastAsia="Calibri"/>
          <w:i/>
          <w:iCs/>
          <w:lang w:eastAsia="en-US"/>
        </w:rPr>
        <w:t xml:space="preserve"> Suicide </w:t>
      </w:r>
      <w:proofErr w:type="spellStart"/>
      <w:r w:rsidRPr="00893E50">
        <w:rPr>
          <w:rFonts w:eastAsia="Calibri"/>
          <w:i/>
          <w:iCs/>
          <w:lang w:eastAsia="en-US"/>
        </w:rPr>
        <w:t>Scale</w:t>
      </w:r>
      <w:proofErr w:type="spellEnd"/>
      <w:r w:rsidRPr="00893E50">
        <w:rPr>
          <w:rFonts w:eastAsia="Calibri"/>
          <w:i/>
          <w:iCs/>
          <w:lang w:eastAsia="en-US"/>
        </w:rPr>
        <w:t xml:space="preserve"> – Short </w:t>
      </w:r>
      <w:proofErr w:type="spellStart"/>
      <w:r w:rsidRPr="00893E50">
        <w:rPr>
          <w:rFonts w:eastAsia="Calibri"/>
          <w:i/>
          <w:iCs/>
          <w:lang w:eastAsia="en-US"/>
        </w:rPr>
        <w:t>Form</w:t>
      </w:r>
      <w:proofErr w:type="spellEnd"/>
      <w:r w:rsidRPr="00893E50">
        <w:rPr>
          <w:rFonts w:eastAsia="Calibri"/>
          <w:lang w:eastAsia="en-US"/>
        </w:rPr>
        <w:t xml:space="preserve"> (</w:t>
      </w:r>
      <w:proofErr w:type="spellStart"/>
      <w:r w:rsidRPr="00893E50">
        <w:rPr>
          <w:rFonts w:eastAsia="Calibri"/>
          <w:lang w:eastAsia="en-US"/>
        </w:rPr>
        <w:t>SOSS-SF</w:t>
      </w:r>
      <w:proofErr w:type="spellEnd"/>
      <w:r w:rsidRPr="00893E50">
        <w:rPr>
          <w:rFonts w:eastAsia="Calibri"/>
          <w:lang w:eastAsia="en-US"/>
        </w:rPr>
        <w:t xml:space="preserve">). Esta versión está conformada por 16 ítems de la escala original </w:t>
      </w:r>
      <w:proofErr w:type="spellStart"/>
      <w:r w:rsidRPr="00893E50">
        <w:rPr>
          <w:rFonts w:eastAsia="Calibri"/>
          <w:lang w:eastAsia="en-US"/>
        </w:rPr>
        <w:t>SOSS</w:t>
      </w:r>
      <w:proofErr w:type="spellEnd"/>
      <w:r w:rsidRPr="00893E50">
        <w:rPr>
          <w:rFonts w:eastAsia="Calibri"/>
          <w:lang w:eastAsia="en-US"/>
        </w:rPr>
        <w:t>. Evalúa el estigma hacia el suicidio a través de 3 dimensiones: un factor de 8 ítems evalúa el estigma hacia las personas que mueren por suicidio, un segundo factor de 4 ítems que atribuye el suicidio al aislamiento o depresión y un tercer factor de 4 ítems sobre glorificación o normalización</w:t>
      </w:r>
      <w:r w:rsidRPr="00893E50">
        <w:rPr>
          <w:rFonts w:eastAsia="Calibri"/>
          <w:noProof/>
          <w:lang w:eastAsia="en-US"/>
        </w:rPr>
        <w:t>.</w:t>
      </w:r>
      <w:r w:rsidRPr="00893E50">
        <w:rPr>
          <w:rFonts w:eastAsia="Calibri"/>
          <w:noProof/>
          <w:vertAlign w:val="superscript"/>
          <w:lang w:eastAsia="en-US"/>
        </w:rPr>
        <w:t>(8)</w:t>
      </w:r>
      <w:r w:rsidRPr="00893E50">
        <w:rPr>
          <w:rFonts w:eastAsia="Calibri"/>
          <w:noProof/>
          <w:lang w:eastAsia="en-US"/>
        </w:rPr>
        <w:t xml:space="preserve"> </w:t>
      </w:r>
    </w:p>
    <w:p w14:paraId="44DDA964" w14:textId="77777777" w:rsidR="00893E50" w:rsidRPr="00893E50" w:rsidRDefault="00893E50" w:rsidP="00893E50">
      <w:pPr>
        <w:spacing w:line="360" w:lineRule="auto"/>
        <w:jc w:val="both"/>
        <w:rPr>
          <w:rFonts w:eastAsia="Calibri"/>
          <w:noProof/>
          <w:lang w:eastAsia="en-US"/>
        </w:rPr>
      </w:pPr>
      <w:r w:rsidRPr="00893E50">
        <w:rPr>
          <w:rFonts w:eastAsia="Calibri"/>
          <w:noProof/>
          <w:lang w:eastAsia="en-US"/>
        </w:rPr>
        <w:t>Cada ítem consiste en una descripción de una palabra vinculada a una persona que muere por suicidio (p. ej., “En general, las personas que mueren por suicidio son irresponsables”), con 5 opciones de respuesta (1 = totalmente en desacuerdo, 2 = en desacuerdo, 3 = ni de acuerdo ni en desacuerdo, 4 = de acuerdo y 5 = totalmente de acuerdo). La puntuación total se realiza para cada dimensión; puntuaciones altas indican mayor estigma hacia las personas que mueren por suicidio.</w:t>
      </w:r>
    </w:p>
    <w:p w14:paraId="06B840A4"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El proceso de adaptación del </w:t>
      </w:r>
      <w:proofErr w:type="spellStart"/>
      <w:r w:rsidRPr="00893E50">
        <w:rPr>
          <w:rFonts w:eastAsia="Calibri"/>
          <w:lang w:eastAsia="en-US"/>
        </w:rPr>
        <w:t>SOSS-SF</w:t>
      </w:r>
      <w:proofErr w:type="spellEnd"/>
      <w:r w:rsidRPr="00893E50">
        <w:rPr>
          <w:rFonts w:eastAsia="Calibri"/>
          <w:lang w:eastAsia="en-US"/>
        </w:rPr>
        <w:t xml:space="preserve"> se llevó a cabo siguiendo las directrices internacionales para la validación y traducción de un test. Se utilizó el método de traducción inversa para la versión de inglés al español. Un traductor bilingüe realizó la traducción del inglés al español y un segundo traductor de forma independiente tradujo del idioma español al idioma original. Ambas versiones se contrastaron para mantener la equivalencia de contenido entre los ítems traducidos y los originales; se obtuvo tras el consenso, una versión adaptada al español. Posteriormente, se invitó a 5 jueces expertos dedicados a la </w:t>
      </w:r>
      <w:r w:rsidRPr="00893E50">
        <w:rPr>
          <w:rFonts w:eastAsia="Calibri"/>
          <w:lang w:eastAsia="en-US"/>
        </w:rPr>
        <w:lastRenderedPageBreak/>
        <w:t xml:space="preserve">psicología clínica y educativa para analizar la relevancia, representatividad y claridad del contenido de los ítems. </w:t>
      </w:r>
    </w:p>
    <w:p w14:paraId="659488DA"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Para reanalizar estos resultados se creó una comisión de 4 profesionales: 2 especialistas en psicología clínica, 1 especialista en psicometría y 1 investigador en conductas suicidas, para la aceptación de la versión final del test. Por último, se llevó a cabo un estudio piloto, con 20 adultos de la población general, para comprobar el nivel de comprensión de los ítems. </w:t>
      </w:r>
    </w:p>
    <w:p w14:paraId="0E52F2A8" w14:textId="77777777" w:rsidR="00893E50" w:rsidRPr="00893E50" w:rsidRDefault="00893E50" w:rsidP="00893E50">
      <w:pPr>
        <w:spacing w:line="360" w:lineRule="auto"/>
        <w:jc w:val="both"/>
        <w:rPr>
          <w:rFonts w:eastAsia="Calibri"/>
          <w:lang w:eastAsia="en-US"/>
        </w:rPr>
      </w:pPr>
      <w:r w:rsidRPr="00893E50">
        <w:rPr>
          <w:rFonts w:eastAsia="Calibri"/>
          <w:lang w:eastAsia="en-US"/>
        </w:rPr>
        <w:t>La recolección de la información se realizó de manera presencial, en los diversos distritos de Lima Metropolitana, respetando las recomendaciones actuales sobre la COVID-19. Dos reclutadores capacitados en el contenido y formato de la escala, explicaron a cada participante el objetivo de investigación, el anonimato de sus respuestas, la participación voluntaria, la confidencialidad de la información recopilada y la libertad de abandonar el estudio en cualquier momento. La escala fue entregada a los adultos que firmaron el consentimiento informado. El presente estudio respetó los lineamientos de la Declaración de Helsinki y el código de ética del Colegio de Psicólogos del Perú (</w:t>
      </w:r>
      <w:proofErr w:type="spellStart"/>
      <w:r w:rsidRPr="00893E50">
        <w:rPr>
          <w:rFonts w:eastAsia="Calibri"/>
          <w:lang w:eastAsia="en-US"/>
        </w:rPr>
        <w:t>CPsP</w:t>
      </w:r>
      <w:proofErr w:type="spellEnd"/>
      <w:r w:rsidRPr="00893E50">
        <w:rPr>
          <w:rFonts w:eastAsia="Calibri"/>
          <w:lang w:eastAsia="en-US"/>
        </w:rPr>
        <w:t>).</w:t>
      </w:r>
      <w:r w:rsidRPr="00893E50">
        <w:rPr>
          <w:rFonts w:eastAsia="Calibri"/>
          <w:vertAlign w:val="superscript"/>
          <w:lang w:eastAsia="en-US"/>
        </w:rPr>
        <w:t>(15)</w:t>
      </w:r>
    </w:p>
    <w:p w14:paraId="1F33DA3F"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Procesamiento</w:t>
      </w:r>
    </w:p>
    <w:p w14:paraId="234853BE"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El proceso estadístico fue realizado en el software libre </w:t>
      </w:r>
      <w:proofErr w:type="spellStart"/>
      <w:r w:rsidRPr="00893E50">
        <w:rPr>
          <w:rFonts w:eastAsia="Calibri"/>
          <w:lang w:eastAsia="en-US"/>
        </w:rPr>
        <w:t>Rstudio</w:t>
      </w:r>
      <w:proofErr w:type="spellEnd"/>
      <w:r w:rsidRPr="00893E50">
        <w:rPr>
          <w:rFonts w:eastAsia="Calibri"/>
          <w:lang w:eastAsia="en-US"/>
        </w:rPr>
        <w:t>. En principio, se analizaron de manera descriptiva las preguntas demográficas, las respuestas a los ítems, el coeficiente V de Aiken (&gt; 0,70), la media aritmética y la desviación estándar. Posteriormente, se realizó un análisis factorial confirmatorio (</w:t>
      </w:r>
      <w:proofErr w:type="spellStart"/>
      <w:r w:rsidRPr="00893E50">
        <w:rPr>
          <w:rFonts w:eastAsia="Calibri"/>
          <w:lang w:eastAsia="en-US"/>
        </w:rPr>
        <w:t>AFC</w:t>
      </w:r>
      <w:proofErr w:type="spellEnd"/>
      <w:r w:rsidRPr="00893E50">
        <w:rPr>
          <w:rFonts w:eastAsia="Calibri"/>
          <w:lang w:eastAsia="en-US"/>
        </w:rPr>
        <w:t>), con el estimador robusto de mínimos cuadrados ponderados, ajustado a la media y varianza (</w:t>
      </w:r>
      <w:proofErr w:type="spellStart"/>
      <w:r w:rsidRPr="00893E50">
        <w:rPr>
          <w:rFonts w:eastAsia="Calibri"/>
          <w:lang w:eastAsia="en-US"/>
        </w:rPr>
        <w:t>WLSMV</w:t>
      </w:r>
      <w:proofErr w:type="spellEnd"/>
      <w:r w:rsidRPr="00893E50">
        <w:rPr>
          <w:rFonts w:eastAsia="Calibri"/>
          <w:lang w:eastAsia="en-US"/>
        </w:rPr>
        <w:t>), considerando el índice de ajuste comparativo (</w:t>
      </w:r>
      <w:proofErr w:type="spellStart"/>
      <w:r w:rsidRPr="00893E50">
        <w:rPr>
          <w:rFonts w:eastAsia="Calibri"/>
          <w:lang w:eastAsia="en-US"/>
        </w:rPr>
        <w:t>CFI</w:t>
      </w:r>
      <w:proofErr w:type="spellEnd"/>
      <w:r w:rsidRPr="00893E50">
        <w:rPr>
          <w:rFonts w:eastAsia="Calibri"/>
          <w:lang w:eastAsia="en-US"/>
        </w:rPr>
        <w:t>&gt; 0,95), el error medio cuadrático de aproximación (</w:t>
      </w:r>
      <w:proofErr w:type="spellStart"/>
      <w:r w:rsidRPr="00893E50">
        <w:rPr>
          <w:rFonts w:eastAsia="Calibri"/>
          <w:lang w:eastAsia="en-US"/>
        </w:rPr>
        <w:t>RMSEA</w:t>
      </w:r>
      <w:proofErr w:type="spellEnd"/>
      <w:r w:rsidRPr="00893E50">
        <w:rPr>
          <w:rFonts w:eastAsia="Calibri"/>
          <w:lang w:eastAsia="en-US"/>
        </w:rPr>
        <w:t>&lt; 0,08) con intervalos de confianza (IC) del 90 % y el error cuadrático medio estandarizado (</w:t>
      </w:r>
      <w:proofErr w:type="spellStart"/>
      <w:r w:rsidRPr="00893E50">
        <w:rPr>
          <w:rFonts w:eastAsia="Calibri"/>
          <w:lang w:eastAsia="en-US"/>
        </w:rPr>
        <w:t>SRMR</w:t>
      </w:r>
      <w:proofErr w:type="spellEnd"/>
      <w:r w:rsidRPr="00893E50">
        <w:rPr>
          <w:rFonts w:eastAsia="Calibri"/>
          <w:lang w:eastAsia="en-US"/>
        </w:rPr>
        <w:t>&lt; 0,08) para el ajuste del modelo</w:t>
      </w:r>
      <w:r w:rsidRPr="00893E50">
        <w:rPr>
          <w:rFonts w:eastAsia="Calibri"/>
          <w:noProof/>
          <w:lang w:eastAsia="en-US"/>
        </w:rPr>
        <w:t>.</w:t>
      </w:r>
      <w:r w:rsidRPr="00893E50">
        <w:rPr>
          <w:rFonts w:eastAsia="Calibri"/>
          <w:noProof/>
          <w:vertAlign w:val="superscript"/>
          <w:lang w:eastAsia="en-US"/>
        </w:rPr>
        <w:t>(16)</w:t>
      </w:r>
      <w:r w:rsidRPr="00893E50">
        <w:rPr>
          <w:rFonts w:eastAsia="Calibri"/>
          <w:noProof/>
          <w:lang w:eastAsia="en-US"/>
        </w:rPr>
        <w:t xml:space="preserve"> </w:t>
      </w:r>
    </w:p>
    <w:p w14:paraId="28C163FC" w14:textId="77777777" w:rsidR="00893E50" w:rsidRPr="00893E50" w:rsidRDefault="00893E50" w:rsidP="00893E50">
      <w:pPr>
        <w:spacing w:line="360" w:lineRule="auto"/>
        <w:jc w:val="both"/>
        <w:rPr>
          <w:rFonts w:eastAsia="Calibri"/>
          <w:lang w:eastAsia="en-US"/>
        </w:rPr>
      </w:pPr>
      <w:r w:rsidRPr="00893E50">
        <w:rPr>
          <w:rFonts w:eastAsia="Calibri"/>
          <w:lang w:eastAsia="en-US"/>
        </w:rPr>
        <w:t>La consistencia interna se determinó con el coeficiente omega bayesiano (</w:t>
      </w:r>
      <w:proofErr w:type="spellStart"/>
      <w:r w:rsidRPr="00893E50">
        <w:rPr>
          <w:rFonts w:eastAsia="Calibri"/>
          <w:lang w:eastAsia="en-US"/>
        </w:rPr>
        <w:t>ω</w:t>
      </w:r>
      <w:r w:rsidRPr="00893E50">
        <w:rPr>
          <w:rFonts w:eastAsia="Calibri"/>
          <w:vertAlign w:val="subscript"/>
          <w:lang w:eastAsia="en-US"/>
        </w:rPr>
        <w:t>bayes</w:t>
      </w:r>
      <w:proofErr w:type="spellEnd"/>
      <w:r w:rsidRPr="00893E50">
        <w:rPr>
          <w:rFonts w:eastAsia="Calibri"/>
          <w:lang w:eastAsia="en-US"/>
        </w:rPr>
        <w:t>) y los intervalos de credibilidad (</w:t>
      </w:r>
      <w:proofErr w:type="spellStart"/>
      <w:r w:rsidRPr="00893E50">
        <w:rPr>
          <w:rFonts w:eastAsia="Calibri"/>
          <w:lang w:eastAsia="en-US"/>
        </w:rPr>
        <w:t>ICb</w:t>
      </w:r>
      <w:proofErr w:type="spellEnd"/>
      <w:r w:rsidRPr="00893E50">
        <w:rPr>
          <w:rFonts w:eastAsia="Calibri"/>
          <w:lang w:eastAsia="en-US"/>
        </w:rPr>
        <w:t xml:space="preserve">) del 95 % basado en mil muestras </w:t>
      </w:r>
      <w:proofErr w:type="spellStart"/>
      <w:r w:rsidRPr="00893E50">
        <w:rPr>
          <w:rFonts w:eastAsia="Calibri"/>
          <w:i/>
          <w:iCs/>
          <w:lang w:eastAsia="en-US"/>
        </w:rPr>
        <w:t>bootstrap</w:t>
      </w:r>
      <w:proofErr w:type="spellEnd"/>
      <w:r w:rsidRPr="00893E50">
        <w:rPr>
          <w:rFonts w:eastAsia="Calibri"/>
          <w:lang w:eastAsia="en-US"/>
        </w:rPr>
        <w:t xml:space="preserve"> y el coeficiente H, en el cual se esperaban valores superiores a 0,70.</w:t>
      </w:r>
      <w:r w:rsidRPr="00893E50">
        <w:rPr>
          <w:rFonts w:eastAsia="Calibri"/>
          <w:vertAlign w:val="superscript"/>
          <w:lang w:eastAsia="en-US"/>
        </w:rPr>
        <w:t>(17,18)</w:t>
      </w:r>
      <w:r w:rsidRPr="00893E50">
        <w:rPr>
          <w:rFonts w:eastAsia="Calibri"/>
          <w:lang w:eastAsia="en-US"/>
        </w:rPr>
        <w:t xml:space="preserve"> Además, se realizó la invarianza factorial según sexo en una secuencia gradual (</w:t>
      </w:r>
      <w:proofErr w:type="spellStart"/>
      <w:r w:rsidRPr="00893E50">
        <w:rPr>
          <w:rFonts w:eastAsia="Calibri"/>
          <w:lang w:eastAsia="en-US"/>
        </w:rPr>
        <w:t>configural</w:t>
      </w:r>
      <w:proofErr w:type="spellEnd"/>
      <w:r w:rsidRPr="00893E50">
        <w:rPr>
          <w:rFonts w:eastAsia="Calibri"/>
          <w:lang w:eastAsia="en-US"/>
        </w:rPr>
        <w:t xml:space="preserve">, métrica, fuerte y estricta), considerando las diferencias del </w:t>
      </w:r>
      <w:r w:rsidRPr="00893E50">
        <w:rPr>
          <w:rFonts w:ascii="Cambria Math" w:eastAsia="Calibri" w:hAnsi="Cambria Math" w:cs="Cambria Math"/>
          <w:lang w:eastAsia="en-US"/>
        </w:rPr>
        <w:t>△</w:t>
      </w:r>
      <w:proofErr w:type="spellStart"/>
      <w:r w:rsidRPr="00893E50">
        <w:rPr>
          <w:rFonts w:eastAsia="Calibri"/>
          <w:lang w:eastAsia="en-US"/>
        </w:rPr>
        <w:t>CFI</w:t>
      </w:r>
      <w:proofErr w:type="spellEnd"/>
      <w:r w:rsidRPr="00893E50">
        <w:rPr>
          <w:rFonts w:eastAsia="Calibri"/>
          <w:lang w:eastAsia="en-US"/>
        </w:rPr>
        <w:t xml:space="preserve">&lt; 0,010, </w:t>
      </w:r>
      <w:r w:rsidRPr="00893E50">
        <w:rPr>
          <w:rFonts w:ascii="Cambria Math" w:eastAsia="Calibri" w:hAnsi="Cambria Math" w:cs="Cambria Math"/>
          <w:lang w:eastAsia="en-US"/>
        </w:rPr>
        <w:t>△</w:t>
      </w:r>
      <w:proofErr w:type="spellStart"/>
      <w:r w:rsidRPr="00893E50">
        <w:rPr>
          <w:rFonts w:eastAsia="Calibri"/>
          <w:lang w:eastAsia="en-US"/>
        </w:rPr>
        <w:t>RMSEA</w:t>
      </w:r>
      <w:proofErr w:type="spellEnd"/>
      <w:r w:rsidRPr="00893E50">
        <w:rPr>
          <w:rFonts w:eastAsia="Calibri"/>
          <w:lang w:eastAsia="en-US"/>
        </w:rPr>
        <w:t xml:space="preserve">&lt; 0,015 y </w:t>
      </w:r>
      <w:r w:rsidRPr="00893E50">
        <w:rPr>
          <w:rFonts w:ascii="Cambria Math" w:eastAsia="Calibri" w:hAnsi="Cambria Math" w:cs="Cambria Math"/>
          <w:lang w:eastAsia="en-US"/>
        </w:rPr>
        <w:t>△</w:t>
      </w:r>
      <w:proofErr w:type="spellStart"/>
      <w:r w:rsidRPr="00893E50">
        <w:rPr>
          <w:rFonts w:eastAsia="Calibri"/>
          <w:lang w:eastAsia="en-US"/>
        </w:rPr>
        <w:t>SRMR</w:t>
      </w:r>
      <w:proofErr w:type="spellEnd"/>
      <w:r w:rsidRPr="00893E50">
        <w:rPr>
          <w:rFonts w:eastAsia="Calibri"/>
          <w:lang w:eastAsia="en-US"/>
        </w:rPr>
        <w:t>&lt; 0,030 para un ajuste aceptable</w:t>
      </w:r>
      <w:r w:rsidRPr="00893E50">
        <w:rPr>
          <w:rFonts w:eastAsia="Calibri"/>
          <w:noProof/>
          <w:lang w:eastAsia="en-US"/>
        </w:rPr>
        <w:t>.</w:t>
      </w:r>
      <w:r w:rsidRPr="00893E50">
        <w:rPr>
          <w:rFonts w:eastAsia="Calibri"/>
          <w:noProof/>
          <w:vertAlign w:val="superscript"/>
          <w:lang w:eastAsia="en-US"/>
        </w:rPr>
        <w:t>(16)</w:t>
      </w:r>
      <w:r w:rsidRPr="00893E50">
        <w:rPr>
          <w:rFonts w:eastAsia="Calibri"/>
          <w:lang w:eastAsia="en-US"/>
        </w:rPr>
        <w:t xml:space="preserve"> Por último, a partir del enfoque de la teoría de respuesta al ítem (TRI), se aplicó el modelo de respuesta graduada (</w:t>
      </w:r>
      <w:proofErr w:type="spellStart"/>
      <w:r w:rsidRPr="00893E50">
        <w:rPr>
          <w:rFonts w:eastAsia="Calibri"/>
          <w:lang w:eastAsia="en-US"/>
        </w:rPr>
        <w:t>GRM</w:t>
      </w:r>
      <w:proofErr w:type="spellEnd"/>
      <w:r w:rsidRPr="00893E50">
        <w:rPr>
          <w:rFonts w:eastAsia="Calibri"/>
          <w:lang w:eastAsia="en-US"/>
        </w:rPr>
        <w:t xml:space="preserve">) para ítems </w:t>
      </w:r>
      <w:r w:rsidRPr="00893E50">
        <w:rPr>
          <w:rFonts w:eastAsia="Calibri"/>
          <w:lang w:eastAsia="en-US"/>
        </w:rPr>
        <w:lastRenderedPageBreak/>
        <w:t xml:space="preserve">politómicos. Para comprobar que el modelo sea satisfactorio, se utilizó el índice </w:t>
      </w:r>
      <w:r w:rsidRPr="00893E50">
        <w:rPr>
          <w:rFonts w:eastAsia="Calibri"/>
          <w:i/>
          <w:iCs/>
          <w:lang w:eastAsia="en-US"/>
        </w:rPr>
        <w:t>S-</w:t>
      </w:r>
      <w:proofErr w:type="spellStart"/>
      <w:r w:rsidRPr="00893E50">
        <w:rPr>
          <w:rFonts w:eastAsia="Calibri"/>
          <w:i/>
          <w:iCs/>
          <w:vertAlign w:val="subscript"/>
          <w:lang w:eastAsia="en-US"/>
        </w:rPr>
        <w:t>X</w:t>
      </w:r>
      <w:r w:rsidRPr="00893E50">
        <w:rPr>
          <w:rFonts w:eastAsia="Calibri"/>
          <w:vertAlign w:val="superscript"/>
          <w:lang w:eastAsia="en-US"/>
        </w:rPr>
        <w:t>2</w:t>
      </w:r>
      <w:proofErr w:type="spellEnd"/>
      <w:r w:rsidRPr="00893E50">
        <w:rPr>
          <w:rFonts w:eastAsia="Calibri"/>
          <w:lang w:eastAsia="en-US"/>
        </w:rPr>
        <w:t xml:space="preserve"> para el ajuste de los ítems, considerando adicionalmente el </w:t>
      </w:r>
      <w:proofErr w:type="spellStart"/>
      <w:r w:rsidRPr="00893E50">
        <w:rPr>
          <w:rFonts w:eastAsia="Calibri"/>
          <w:lang w:eastAsia="en-US"/>
        </w:rPr>
        <w:t>RMSEA</w:t>
      </w:r>
      <w:proofErr w:type="spellEnd"/>
      <w:r w:rsidRPr="00893E50">
        <w:rPr>
          <w:rFonts w:eastAsia="Calibri"/>
          <w:lang w:eastAsia="en-US"/>
        </w:rPr>
        <w:t>&lt; 0,08.</w:t>
      </w:r>
      <w:r w:rsidRPr="00893E50">
        <w:rPr>
          <w:rFonts w:eastAsia="Calibri"/>
          <w:vertAlign w:val="superscript"/>
          <w:lang w:eastAsia="en-US"/>
        </w:rPr>
        <w:t>(19)</w:t>
      </w:r>
      <w:r w:rsidRPr="00893E50">
        <w:rPr>
          <w:rFonts w:eastAsia="Calibri"/>
          <w:lang w:eastAsia="en-US"/>
        </w:rPr>
        <w:t xml:space="preserve"> En el modelo se estimaron los parámetros de discriminación (α) y dificultad (β). Respecto al parámetro α, se siguió los puntos de corte para interpretar la magnitud de la pendiente, considerando valores entre 0,35 a 0,64 (bajos); 0,65 a 1,34 (moderados); 1,35 a 1,69 (altos) y mayores de 1,70 (muy altos)</w:t>
      </w:r>
      <w:r w:rsidRPr="00893E50">
        <w:rPr>
          <w:rFonts w:eastAsia="Calibri"/>
          <w:noProof/>
          <w:lang w:eastAsia="en-US"/>
        </w:rPr>
        <w:t>.</w:t>
      </w:r>
      <w:r w:rsidRPr="00893E50">
        <w:rPr>
          <w:rFonts w:eastAsia="Calibri"/>
          <w:noProof/>
          <w:vertAlign w:val="superscript"/>
          <w:lang w:eastAsia="en-US"/>
        </w:rPr>
        <w:t>(20)</w:t>
      </w:r>
      <w:r w:rsidRPr="00893E50">
        <w:rPr>
          <w:rFonts w:eastAsia="Calibri"/>
          <w:lang w:eastAsia="en-US"/>
        </w:rPr>
        <w:t xml:space="preserve"> Adicionalmente, se analizaron las curvas de información para cada ítem y su conjunto total en cada dimensión.</w:t>
      </w:r>
    </w:p>
    <w:p w14:paraId="1E258AB9" w14:textId="77777777" w:rsidR="00893E50" w:rsidRPr="00893E50" w:rsidRDefault="00893E50" w:rsidP="00893E50">
      <w:pPr>
        <w:spacing w:line="360" w:lineRule="auto"/>
        <w:jc w:val="both"/>
        <w:rPr>
          <w:rFonts w:eastAsia="Calibri"/>
          <w:lang w:eastAsia="en-US"/>
        </w:rPr>
      </w:pPr>
    </w:p>
    <w:p w14:paraId="21479C52" w14:textId="77777777" w:rsidR="00893E50" w:rsidRPr="00893E50" w:rsidRDefault="00893E50" w:rsidP="00893E50">
      <w:pPr>
        <w:spacing w:line="360" w:lineRule="auto"/>
        <w:jc w:val="center"/>
        <w:rPr>
          <w:rFonts w:eastAsia="Calibri"/>
          <w:b/>
          <w:bCs/>
          <w:lang w:eastAsia="en-US"/>
        </w:rPr>
      </w:pPr>
    </w:p>
    <w:p w14:paraId="5344C9B5" w14:textId="77777777" w:rsidR="00893E50" w:rsidRPr="00893E50" w:rsidRDefault="00893E50" w:rsidP="00893E50">
      <w:pPr>
        <w:spacing w:line="360" w:lineRule="auto"/>
        <w:jc w:val="center"/>
        <w:rPr>
          <w:rFonts w:eastAsia="Calibri"/>
          <w:b/>
          <w:bCs/>
          <w:sz w:val="32"/>
          <w:szCs w:val="32"/>
          <w:lang w:eastAsia="en-US"/>
        </w:rPr>
      </w:pPr>
      <w:r w:rsidRPr="00893E50">
        <w:rPr>
          <w:rFonts w:eastAsia="Calibri"/>
          <w:b/>
          <w:bCs/>
          <w:sz w:val="32"/>
          <w:szCs w:val="32"/>
          <w:lang w:eastAsia="en-US"/>
        </w:rPr>
        <w:t>RESULTADOS</w:t>
      </w:r>
    </w:p>
    <w:p w14:paraId="10FB0F61"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Evidencia basada en el contenido</w:t>
      </w:r>
    </w:p>
    <w:p w14:paraId="0A89C1ED"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Los jueces expertos indicaron que los ítems de la versión en español del </w:t>
      </w:r>
      <w:proofErr w:type="spellStart"/>
      <w:r w:rsidRPr="00893E50">
        <w:rPr>
          <w:rFonts w:eastAsia="Calibri"/>
          <w:lang w:eastAsia="en-US"/>
        </w:rPr>
        <w:t>SOSS-SF</w:t>
      </w:r>
      <w:proofErr w:type="spellEnd"/>
      <w:r w:rsidRPr="00893E50">
        <w:rPr>
          <w:rFonts w:eastAsia="Calibri"/>
          <w:lang w:eastAsia="en-US"/>
        </w:rPr>
        <w:t xml:space="preserve"> representan adecuadamente la relevancia, representatividad y claridad del contenido. De hecho, el promedio para cada dimensión obtuvo una V de Aiken &gt; 0,77. La comisión aceptó la versión final en español, aunque se modificó la palabra “patéticas” por “ridículas”, para una mejor comprensión en el contexto peruano. Finalmente, en la muestra piloto (n= 20) no hubo sugerencias ni dificultades vinculadas a la redacción y formato de las respuestas.</w:t>
      </w:r>
    </w:p>
    <w:p w14:paraId="61E151B9"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Estadísticos descriptivos</w:t>
      </w:r>
    </w:p>
    <w:p w14:paraId="1C0921FE"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El rango de la media aritmética se ubicó entre 2,53 (ítem 15) y 3,24 (ítem 10), mientras que el ítem 5 presentó la desviación estándar más alta en la escala (tabla 1). Las repuestas a los ítems vinculadas a las categorías de acuerdo y totalmente de acuerdo, respaldaron mayormente la dimensión de aislamiento y estigma. Se evidenció que los participantes describieron como “solitarios” (39,4 %), “aislados” (39,3 %), “cobardes” (35,2 %), “irresponsables” (35 %) y “perdidos” (34 %) a las personas que mueren por suicidio. </w:t>
      </w:r>
    </w:p>
    <w:p w14:paraId="5A2101EE" w14:textId="77777777" w:rsidR="00893E50" w:rsidRPr="00893E50" w:rsidRDefault="00893E50" w:rsidP="00893E50">
      <w:pPr>
        <w:spacing w:line="360" w:lineRule="auto"/>
        <w:jc w:val="center"/>
        <w:rPr>
          <w:rFonts w:eastAsia="Calibri"/>
          <w:b/>
          <w:bCs/>
          <w:sz w:val="22"/>
          <w:szCs w:val="22"/>
          <w:lang w:eastAsia="en-US"/>
        </w:rPr>
      </w:pPr>
    </w:p>
    <w:p w14:paraId="70A193DC" w14:textId="77777777" w:rsidR="00E04A49" w:rsidRDefault="00E04A49">
      <w:pPr>
        <w:rPr>
          <w:rFonts w:eastAsia="Calibri"/>
          <w:b/>
          <w:bCs/>
          <w:sz w:val="22"/>
          <w:szCs w:val="22"/>
          <w:lang w:eastAsia="en-US"/>
        </w:rPr>
      </w:pPr>
      <w:r>
        <w:rPr>
          <w:rFonts w:eastAsia="Calibri"/>
          <w:b/>
          <w:bCs/>
          <w:sz w:val="22"/>
          <w:szCs w:val="22"/>
          <w:lang w:eastAsia="en-US"/>
        </w:rPr>
        <w:br w:type="page"/>
      </w:r>
    </w:p>
    <w:p w14:paraId="11691AA3" w14:textId="253EADE3" w:rsidR="00893E50" w:rsidRPr="00893E50" w:rsidRDefault="00893E50" w:rsidP="00893E50">
      <w:pPr>
        <w:spacing w:line="360" w:lineRule="auto"/>
        <w:jc w:val="center"/>
        <w:rPr>
          <w:rFonts w:eastAsia="Calibri"/>
          <w:sz w:val="22"/>
          <w:szCs w:val="22"/>
          <w:lang w:eastAsia="en-US"/>
        </w:rPr>
      </w:pPr>
      <w:r w:rsidRPr="00893E50">
        <w:rPr>
          <w:rFonts w:eastAsia="Calibri"/>
          <w:b/>
          <w:bCs/>
          <w:sz w:val="22"/>
          <w:szCs w:val="22"/>
          <w:lang w:eastAsia="en-US"/>
        </w:rPr>
        <w:lastRenderedPageBreak/>
        <w:t>Tabla 1</w:t>
      </w:r>
      <w:r w:rsidRPr="00893E50">
        <w:rPr>
          <w:rFonts w:eastAsia="Calibri"/>
          <w:sz w:val="22"/>
          <w:szCs w:val="22"/>
          <w:lang w:eastAsia="en-US"/>
        </w:rPr>
        <w:t xml:space="preserve"> – Análisis de porcentaje de respuestas y descriptivo de los ítems</w:t>
      </w:r>
    </w:p>
    <w:p w14:paraId="082FAB7F" w14:textId="06E372FC" w:rsidR="00893E50" w:rsidRPr="00893E50" w:rsidRDefault="00893E50" w:rsidP="00893E50">
      <w:pPr>
        <w:spacing w:line="360" w:lineRule="auto"/>
        <w:jc w:val="center"/>
        <w:rPr>
          <w:rFonts w:eastAsia="Calibri"/>
          <w:lang w:eastAsia="en-US"/>
        </w:rPr>
      </w:pPr>
      <w:r w:rsidRPr="00893E50">
        <w:rPr>
          <w:rFonts w:eastAsia="Calibri"/>
          <w:noProof/>
          <w:lang w:val="es-ES" w:eastAsia="es-ES"/>
        </w:rPr>
        <w:drawing>
          <wp:inline distT="0" distB="0" distL="0" distR="0" wp14:anchorId="72F5438A" wp14:editId="4BF16604">
            <wp:extent cx="5106670" cy="5012055"/>
            <wp:effectExtent l="0" t="0" r="0" b="0"/>
            <wp:docPr id="12" name="Imagen 2" descr="G:\gladys\2553\t01_255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553\t01_2553.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6670" cy="5012055"/>
                    </a:xfrm>
                    <a:prstGeom prst="rect">
                      <a:avLst/>
                    </a:prstGeom>
                    <a:noFill/>
                    <a:ln>
                      <a:noFill/>
                    </a:ln>
                  </pic:spPr>
                </pic:pic>
              </a:graphicData>
            </a:graphic>
          </wp:inline>
        </w:drawing>
      </w:r>
    </w:p>
    <w:p w14:paraId="5E9550A8" w14:textId="77777777" w:rsidR="00893E50" w:rsidRPr="00893E50" w:rsidRDefault="00893E50" w:rsidP="00893E50">
      <w:pPr>
        <w:spacing w:line="360" w:lineRule="auto"/>
        <w:rPr>
          <w:rFonts w:eastAsia="Calibri"/>
          <w:lang w:eastAsia="en-US"/>
        </w:rPr>
      </w:pPr>
    </w:p>
    <w:p w14:paraId="2144142D"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Evidencia basada en la estructura interna</w:t>
      </w:r>
    </w:p>
    <w:p w14:paraId="4BC6BF57"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En el análisis preliminar se evidenciaron índices de modificación (IM&gt; 10) y se realizó la covarianza de errores entre los ítems 3-4 y 11-12. Posteriormente, el </w:t>
      </w:r>
      <w:proofErr w:type="spellStart"/>
      <w:r w:rsidRPr="00893E50">
        <w:rPr>
          <w:rFonts w:eastAsia="Calibri"/>
          <w:lang w:eastAsia="en-US"/>
        </w:rPr>
        <w:t>AFC</w:t>
      </w:r>
      <w:proofErr w:type="spellEnd"/>
      <w:r w:rsidRPr="00893E50">
        <w:rPr>
          <w:rFonts w:eastAsia="Calibri"/>
          <w:lang w:eastAsia="en-US"/>
        </w:rPr>
        <w:t xml:space="preserve"> basado en un modelo multidimensional, demostró adecuados índices de ajuste: </w:t>
      </w:r>
      <w:proofErr w:type="spellStart"/>
      <w:r w:rsidRPr="00893E50">
        <w:rPr>
          <w:rFonts w:eastAsia="Calibri"/>
          <w:lang w:eastAsia="en-US"/>
        </w:rPr>
        <w:t>CFI</w:t>
      </w:r>
      <w:proofErr w:type="spellEnd"/>
      <w:r w:rsidRPr="00893E50">
        <w:rPr>
          <w:rFonts w:eastAsia="Calibri"/>
          <w:lang w:eastAsia="en-US"/>
        </w:rPr>
        <w:t xml:space="preserve">= 0,97, </w:t>
      </w:r>
      <w:proofErr w:type="spellStart"/>
      <w:r w:rsidRPr="00893E50">
        <w:rPr>
          <w:rFonts w:eastAsia="Calibri"/>
          <w:lang w:eastAsia="en-US"/>
        </w:rPr>
        <w:t>RMSEA</w:t>
      </w:r>
      <w:proofErr w:type="spellEnd"/>
      <w:r w:rsidRPr="00893E50">
        <w:rPr>
          <w:rFonts w:eastAsia="Calibri"/>
          <w:lang w:eastAsia="en-US"/>
        </w:rPr>
        <w:t xml:space="preserve">= 0,07 (IC 90 %: 0,07-0,08), </w:t>
      </w:r>
      <w:proofErr w:type="spellStart"/>
      <w:r w:rsidRPr="00893E50">
        <w:rPr>
          <w:rFonts w:eastAsia="Calibri"/>
          <w:lang w:eastAsia="en-US"/>
        </w:rPr>
        <w:t>SRMR</w:t>
      </w:r>
      <w:proofErr w:type="spellEnd"/>
      <w:r w:rsidRPr="00893E50">
        <w:rPr>
          <w:rFonts w:eastAsia="Calibri"/>
          <w:lang w:eastAsia="en-US"/>
        </w:rPr>
        <w:t xml:space="preserve">= 0,05 y cargas factoriales aceptables (Fig. 1). </w:t>
      </w:r>
    </w:p>
    <w:p w14:paraId="22A740E7" w14:textId="77777777" w:rsidR="00893E50" w:rsidRPr="00893E50" w:rsidRDefault="00893E50" w:rsidP="00893E50">
      <w:pPr>
        <w:spacing w:line="360" w:lineRule="auto"/>
        <w:jc w:val="both"/>
        <w:rPr>
          <w:rFonts w:eastAsia="Calibri"/>
          <w:lang w:eastAsia="en-US"/>
        </w:rPr>
      </w:pPr>
    </w:p>
    <w:p w14:paraId="05719EA9" w14:textId="76381C9D" w:rsidR="00893E50" w:rsidRPr="00893E50" w:rsidRDefault="00893E50" w:rsidP="00893E50">
      <w:pPr>
        <w:spacing w:line="360" w:lineRule="auto"/>
        <w:jc w:val="center"/>
        <w:rPr>
          <w:rFonts w:eastAsia="Calibri"/>
          <w:lang w:eastAsia="en-US"/>
        </w:rPr>
      </w:pPr>
      <w:r w:rsidRPr="00893E50">
        <w:rPr>
          <w:rFonts w:eastAsia="Calibri"/>
          <w:noProof/>
          <w:lang w:eastAsia="en-US"/>
        </w:rPr>
        <w:lastRenderedPageBreak/>
        <w:drawing>
          <wp:inline distT="0" distB="0" distL="0" distR="0" wp14:anchorId="74D92F87" wp14:editId="0A6D4080">
            <wp:extent cx="5491963" cy="4142486"/>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5023" cy="4144794"/>
                    </a:xfrm>
                    <a:prstGeom prst="rect">
                      <a:avLst/>
                    </a:prstGeom>
                    <a:noFill/>
                    <a:ln>
                      <a:noFill/>
                    </a:ln>
                  </pic:spPr>
                </pic:pic>
              </a:graphicData>
            </a:graphic>
          </wp:inline>
        </w:drawing>
      </w:r>
    </w:p>
    <w:p w14:paraId="72E06A78" w14:textId="77777777" w:rsidR="00893E50" w:rsidRPr="00893E50" w:rsidRDefault="00893E50" w:rsidP="00893E50">
      <w:pPr>
        <w:spacing w:line="360" w:lineRule="auto"/>
        <w:jc w:val="center"/>
        <w:rPr>
          <w:rFonts w:eastAsia="Calibri"/>
          <w:sz w:val="22"/>
          <w:szCs w:val="22"/>
          <w:lang w:eastAsia="en-US"/>
        </w:rPr>
      </w:pPr>
      <w:r w:rsidRPr="00893E50">
        <w:rPr>
          <w:rFonts w:eastAsia="Calibri"/>
          <w:b/>
          <w:bCs/>
          <w:sz w:val="22"/>
          <w:szCs w:val="22"/>
          <w:lang w:eastAsia="en-US"/>
        </w:rPr>
        <w:t>Fig. 1</w:t>
      </w:r>
      <w:r w:rsidRPr="00893E50">
        <w:rPr>
          <w:rFonts w:eastAsia="Calibri"/>
          <w:sz w:val="22"/>
          <w:szCs w:val="22"/>
          <w:lang w:eastAsia="en-US"/>
        </w:rPr>
        <w:t xml:space="preserve"> – Estructura interna del </w:t>
      </w:r>
      <w:proofErr w:type="spellStart"/>
      <w:r w:rsidRPr="00893E50">
        <w:rPr>
          <w:rFonts w:eastAsia="Calibri"/>
          <w:sz w:val="22"/>
          <w:szCs w:val="22"/>
          <w:lang w:eastAsia="en-US"/>
        </w:rPr>
        <w:t>SOSS-SF</w:t>
      </w:r>
      <w:proofErr w:type="spellEnd"/>
      <w:r w:rsidRPr="00893E50">
        <w:rPr>
          <w:rFonts w:eastAsia="Calibri"/>
          <w:sz w:val="22"/>
          <w:szCs w:val="22"/>
          <w:lang w:eastAsia="en-US"/>
        </w:rPr>
        <w:t>.</w:t>
      </w:r>
    </w:p>
    <w:p w14:paraId="26617CD3" w14:textId="77777777" w:rsidR="00893E50" w:rsidRPr="00893E50" w:rsidRDefault="00893E50" w:rsidP="00893E50">
      <w:pPr>
        <w:spacing w:line="360" w:lineRule="auto"/>
        <w:jc w:val="center"/>
        <w:rPr>
          <w:rFonts w:eastAsia="Calibri"/>
          <w:sz w:val="22"/>
          <w:szCs w:val="22"/>
          <w:lang w:eastAsia="en-US"/>
        </w:rPr>
      </w:pPr>
    </w:p>
    <w:p w14:paraId="04FE6E9E"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Consistencia interna</w:t>
      </w:r>
    </w:p>
    <w:p w14:paraId="2FE64D36" w14:textId="77777777" w:rsidR="00893E50" w:rsidRPr="00893E50" w:rsidRDefault="00893E50" w:rsidP="00893E50">
      <w:pPr>
        <w:spacing w:line="360" w:lineRule="auto"/>
        <w:jc w:val="both"/>
        <w:rPr>
          <w:rFonts w:eastAsia="Calibri"/>
          <w:lang w:eastAsia="en-US"/>
        </w:rPr>
      </w:pPr>
      <w:r w:rsidRPr="00893E50">
        <w:rPr>
          <w:rFonts w:eastAsia="Calibri"/>
          <w:lang w:eastAsia="en-US"/>
        </w:rPr>
        <w:t>La media posterior para la dimensión estigma (</w:t>
      </w:r>
      <w:proofErr w:type="spellStart"/>
      <w:r w:rsidRPr="00893E50">
        <w:rPr>
          <w:rFonts w:eastAsia="Calibri"/>
          <w:lang w:eastAsia="en-US"/>
        </w:rPr>
        <w:t>ω</w:t>
      </w:r>
      <w:r w:rsidRPr="00893E50">
        <w:rPr>
          <w:rFonts w:eastAsia="Calibri"/>
          <w:vertAlign w:val="subscript"/>
          <w:lang w:eastAsia="en-US"/>
        </w:rPr>
        <w:t>bayes</w:t>
      </w:r>
      <w:proofErr w:type="spellEnd"/>
      <w:r w:rsidRPr="00893E50">
        <w:rPr>
          <w:rFonts w:eastAsia="Calibri"/>
          <w:lang w:eastAsia="en-US"/>
        </w:rPr>
        <w:t xml:space="preserve">= 0,88; </w:t>
      </w:r>
      <w:proofErr w:type="spellStart"/>
      <w:r w:rsidRPr="00893E50">
        <w:rPr>
          <w:rFonts w:eastAsia="Calibri"/>
          <w:lang w:eastAsia="en-US"/>
        </w:rPr>
        <w:t>ICb</w:t>
      </w:r>
      <w:proofErr w:type="spellEnd"/>
      <w:r w:rsidRPr="00893E50">
        <w:rPr>
          <w:rFonts w:eastAsia="Calibri"/>
          <w:lang w:eastAsia="en-US"/>
        </w:rPr>
        <w:t xml:space="preserve"> 95 %: 0,87-0,89), aislamiento (</w:t>
      </w:r>
      <w:proofErr w:type="spellStart"/>
      <w:r w:rsidRPr="00893E50">
        <w:rPr>
          <w:rFonts w:eastAsia="Calibri"/>
          <w:lang w:eastAsia="en-US"/>
        </w:rPr>
        <w:t>ω</w:t>
      </w:r>
      <w:r w:rsidRPr="00893E50">
        <w:rPr>
          <w:rFonts w:eastAsia="Calibri"/>
          <w:vertAlign w:val="subscript"/>
          <w:lang w:eastAsia="en-US"/>
        </w:rPr>
        <w:t>bayes</w:t>
      </w:r>
      <w:proofErr w:type="spellEnd"/>
      <w:r w:rsidRPr="00893E50">
        <w:rPr>
          <w:rFonts w:eastAsia="Calibri"/>
          <w:lang w:eastAsia="en-US"/>
        </w:rPr>
        <w:t xml:space="preserve">= 0,83; </w:t>
      </w:r>
      <w:proofErr w:type="spellStart"/>
      <w:r w:rsidRPr="00893E50">
        <w:rPr>
          <w:rFonts w:eastAsia="Calibri"/>
          <w:lang w:eastAsia="en-US"/>
        </w:rPr>
        <w:t>ICb</w:t>
      </w:r>
      <w:proofErr w:type="spellEnd"/>
      <w:r w:rsidRPr="00893E50">
        <w:rPr>
          <w:rFonts w:eastAsia="Calibri"/>
          <w:lang w:eastAsia="en-US"/>
        </w:rPr>
        <w:t xml:space="preserve"> 95 %: 0,81-0,85) y glorificación (</w:t>
      </w:r>
      <w:proofErr w:type="spellStart"/>
      <w:r w:rsidRPr="00893E50">
        <w:rPr>
          <w:rFonts w:eastAsia="Calibri"/>
          <w:lang w:eastAsia="en-US"/>
        </w:rPr>
        <w:t>ω</w:t>
      </w:r>
      <w:r w:rsidRPr="00893E50">
        <w:rPr>
          <w:rFonts w:eastAsia="Calibri"/>
          <w:vertAlign w:val="subscript"/>
          <w:lang w:eastAsia="en-US"/>
        </w:rPr>
        <w:t>bayes</w:t>
      </w:r>
      <w:proofErr w:type="spellEnd"/>
      <w:r w:rsidRPr="00893E50">
        <w:rPr>
          <w:rFonts w:eastAsia="Calibri"/>
          <w:lang w:eastAsia="en-US"/>
        </w:rPr>
        <w:t xml:space="preserve">= 0,77; </w:t>
      </w:r>
      <w:proofErr w:type="spellStart"/>
      <w:r w:rsidRPr="00893E50">
        <w:rPr>
          <w:rFonts w:eastAsia="Calibri"/>
          <w:lang w:eastAsia="en-US"/>
        </w:rPr>
        <w:t>ICb</w:t>
      </w:r>
      <w:proofErr w:type="spellEnd"/>
      <w:r w:rsidRPr="00893E50">
        <w:rPr>
          <w:rFonts w:eastAsia="Calibri"/>
          <w:lang w:eastAsia="en-US"/>
        </w:rPr>
        <w:t xml:space="preserve"> 95 %: 0,74-0,79), fueron aceptables. Resultados similares se obtuvieron mediante el coeficiente H para el estigma (H= 0,90); aislamiento (H= 0,83) y glorificación (H= 0,88). </w:t>
      </w:r>
    </w:p>
    <w:p w14:paraId="312CD1BB"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Invarianza de medición</w:t>
      </w:r>
    </w:p>
    <w:p w14:paraId="1F76C6DB"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En la tabla 2, se evidencia que la estructura interna demuestra ser estrictamente invariante para los hombres y mujeres, de acuerdo con las diferencias de los índices de ajuste en cada condición de invarianza: </w:t>
      </w:r>
      <w:r w:rsidRPr="00893E50">
        <w:rPr>
          <w:rFonts w:ascii="Cambria Math" w:eastAsia="Calibri" w:hAnsi="Cambria Math" w:cs="Cambria Math"/>
          <w:lang w:eastAsia="en-US"/>
        </w:rPr>
        <w:t>△</w:t>
      </w:r>
      <w:proofErr w:type="spellStart"/>
      <w:r w:rsidRPr="00893E50">
        <w:rPr>
          <w:rFonts w:eastAsia="Calibri"/>
          <w:lang w:eastAsia="en-US"/>
        </w:rPr>
        <w:t>CFI</w:t>
      </w:r>
      <w:proofErr w:type="spellEnd"/>
      <w:r w:rsidRPr="00893E50">
        <w:rPr>
          <w:rFonts w:eastAsia="Calibri"/>
          <w:lang w:eastAsia="en-US"/>
        </w:rPr>
        <w:t xml:space="preserve">&lt; 0,010, </w:t>
      </w:r>
      <w:r w:rsidRPr="00893E50">
        <w:rPr>
          <w:rFonts w:ascii="Cambria Math" w:eastAsia="Calibri" w:hAnsi="Cambria Math" w:cs="Cambria Math"/>
          <w:lang w:eastAsia="en-US"/>
        </w:rPr>
        <w:t>△</w:t>
      </w:r>
      <w:proofErr w:type="spellStart"/>
      <w:r w:rsidRPr="00893E50">
        <w:rPr>
          <w:rFonts w:eastAsia="Calibri"/>
          <w:lang w:eastAsia="en-US"/>
        </w:rPr>
        <w:t>RMSEA</w:t>
      </w:r>
      <w:proofErr w:type="spellEnd"/>
      <w:r w:rsidRPr="00893E50">
        <w:rPr>
          <w:rFonts w:eastAsia="Calibri"/>
          <w:lang w:eastAsia="en-US"/>
        </w:rPr>
        <w:t xml:space="preserve">&lt; 0,015 y </w:t>
      </w:r>
      <w:r w:rsidRPr="00893E50">
        <w:rPr>
          <w:rFonts w:ascii="Cambria Math" w:eastAsia="Calibri" w:hAnsi="Cambria Math" w:cs="Cambria Math"/>
          <w:lang w:eastAsia="en-US"/>
        </w:rPr>
        <w:t>△</w:t>
      </w:r>
      <w:proofErr w:type="spellStart"/>
      <w:r w:rsidRPr="00893E50">
        <w:rPr>
          <w:rFonts w:eastAsia="Calibri"/>
          <w:lang w:eastAsia="en-US"/>
        </w:rPr>
        <w:t>SRMR</w:t>
      </w:r>
      <w:proofErr w:type="spellEnd"/>
      <w:r w:rsidRPr="00893E50">
        <w:rPr>
          <w:rFonts w:eastAsia="Calibri"/>
          <w:lang w:eastAsia="en-US"/>
        </w:rPr>
        <w:t xml:space="preserve">&lt; 0,030. </w:t>
      </w:r>
    </w:p>
    <w:p w14:paraId="2AB783D2" w14:textId="77777777" w:rsidR="00893E50" w:rsidRPr="00893E50" w:rsidRDefault="00893E50" w:rsidP="00893E50">
      <w:pPr>
        <w:spacing w:line="360" w:lineRule="auto"/>
        <w:jc w:val="both"/>
        <w:rPr>
          <w:rFonts w:eastAsia="Calibri"/>
          <w:lang w:eastAsia="en-US"/>
        </w:rPr>
      </w:pPr>
    </w:p>
    <w:p w14:paraId="5D48D4F9" w14:textId="77777777" w:rsidR="00893E50" w:rsidRPr="00893E50" w:rsidRDefault="00893E50" w:rsidP="00893E50">
      <w:pPr>
        <w:spacing w:line="360" w:lineRule="auto"/>
        <w:jc w:val="center"/>
        <w:rPr>
          <w:rFonts w:eastAsia="Calibri"/>
          <w:sz w:val="22"/>
          <w:szCs w:val="22"/>
          <w:lang w:eastAsia="en-US"/>
        </w:rPr>
      </w:pPr>
      <w:r w:rsidRPr="00893E50">
        <w:rPr>
          <w:rFonts w:eastAsia="Calibri"/>
          <w:b/>
          <w:bCs/>
          <w:sz w:val="22"/>
          <w:szCs w:val="22"/>
          <w:lang w:eastAsia="en-US"/>
        </w:rPr>
        <w:lastRenderedPageBreak/>
        <w:t>Tabla 2</w:t>
      </w:r>
      <w:r w:rsidRPr="00893E50">
        <w:rPr>
          <w:rFonts w:eastAsia="Calibri"/>
          <w:sz w:val="22"/>
          <w:szCs w:val="22"/>
          <w:lang w:eastAsia="en-US"/>
        </w:rPr>
        <w:t xml:space="preserve"> – Invarianza de medición según sexo</w:t>
      </w:r>
    </w:p>
    <w:tbl>
      <w:tblPr>
        <w:tblStyle w:val="Tablaconcuadrcula1"/>
        <w:tblW w:w="0" w:type="auto"/>
        <w:jc w:val="center"/>
        <w:tblLook w:val="04A0" w:firstRow="1" w:lastRow="0" w:firstColumn="1" w:lastColumn="0" w:noHBand="0" w:noVBand="1"/>
      </w:tblPr>
      <w:tblGrid>
        <w:gridCol w:w="1413"/>
        <w:gridCol w:w="992"/>
        <w:gridCol w:w="1701"/>
        <w:gridCol w:w="851"/>
        <w:gridCol w:w="1000"/>
        <w:gridCol w:w="1126"/>
        <w:gridCol w:w="992"/>
      </w:tblGrid>
      <w:tr w:rsidR="00893E50" w:rsidRPr="00893E50" w14:paraId="7DBB2C73" w14:textId="77777777" w:rsidTr="008C7E6E">
        <w:trPr>
          <w:jc w:val="center"/>
        </w:trPr>
        <w:tc>
          <w:tcPr>
            <w:tcW w:w="1413" w:type="dxa"/>
            <w:vAlign w:val="center"/>
          </w:tcPr>
          <w:p w14:paraId="4E1F2B73" w14:textId="77777777" w:rsidR="00893E50" w:rsidRPr="00893E50" w:rsidRDefault="00893E50" w:rsidP="00893E50">
            <w:pPr>
              <w:spacing w:line="360" w:lineRule="auto"/>
              <w:jc w:val="center"/>
              <w:rPr>
                <w:rFonts w:ascii="Times New Roman" w:hAnsi="Times New Roman"/>
                <w:b/>
                <w:bCs/>
                <w:sz w:val="18"/>
                <w:szCs w:val="18"/>
                <w:lang w:eastAsia="en-US"/>
              </w:rPr>
            </w:pPr>
            <w:r w:rsidRPr="00893E50">
              <w:rPr>
                <w:rFonts w:ascii="Times New Roman" w:hAnsi="Times New Roman"/>
                <w:b/>
                <w:bCs/>
                <w:sz w:val="18"/>
                <w:szCs w:val="18"/>
                <w:lang w:eastAsia="en-US"/>
              </w:rPr>
              <w:t>Grupo</w:t>
            </w:r>
          </w:p>
        </w:tc>
        <w:tc>
          <w:tcPr>
            <w:tcW w:w="992" w:type="dxa"/>
            <w:vAlign w:val="center"/>
          </w:tcPr>
          <w:p w14:paraId="1CD2B033" w14:textId="77777777" w:rsidR="00893E50" w:rsidRPr="00893E50" w:rsidRDefault="00893E50" w:rsidP="00893E50">
            <w:pPr>
              <w:spacing w:line="360" w:lineRule="auto"/>
              <w:jc w:val="center"/>
              <w:rPr>
                <w:rFonts w:ascii="Times New Roman" w:hAnsi="Times New Roman"/>
                <w:b/>
                <w:bCs/>
                <w:sz w:val="18"/>
                <w:szCs w:val="18"/>
                <w:lang w:eastAsia="en-US"/>
              </w:rPr>
            </w:pPr>
            <w:proofErr w:type="spellStart"/>
            <w:r w:rsidRPr="00893E50">
              <w:rPr>
                <w:rFonts w:ascii="Times New Roman" w:hAnsi="Times New Roman"/>
                <w:b/>
                <w:bCs/>
                <w:sz w:val="18"/>
                <w:szCs w:val="18"/>
                <w:lang w:eastAsia="en-US"/>
              </w:rPr>
              <w:t>CFI</w:t>
            </w:r>
            <w:proofErr w:type="spellEnd"/>
          </w:p>
        </w:tc>
        <w:tc>
          <w:tcPr>
            <w:tcW w:w="1701" w:type="dxa"/>
            <w:vAlign w:val="center"/>
          </w:tcPr>
          <w:p w14:paraId="59BE4AB3" w14:textId="77777777" w:rsidR="00893E50" w:rsidRPr="00893E50" w:rsidRDefault="00893E50" w:rsidP="00893E50">
            <w:pPr>
              <w:spacing w:line="360" w:lineRule="auto"/>
              <w:jc w:val="center"/>
              <w:rPr>
                <w:rFonts w:ascii="Times New Roman" w:hAnsi="Times New Roman"/>
                <w:b/>
                <w:bCs/>
                <w:sz w:val="18"/>
                <w:szCs w:val="18"/>
                <w:lang w:eastAsia="en-US"/>
              </w:rPr>
            </w:pPr>
            <w:proofErr w:type="spellStart"/>
            <w:r w:rsidRPr="00893E50">
              <w:rPr>
                <w:rFonts w:ascii="Times New Roman" w:hAnsi="Times New Roman"/>
                <w:b/>
                <w:bCs/>
                <w:sz w:val="18"/>
                <w:szCs w:val="18"/>
                <w:lang w:eastAsia="en-US"/>
              </w:rPr>
              <w:t>RMSEA</w:t>
            </w:r>
            <w:proofErr w:type="spellEnd"/>
          </w:p>
        </w:tc>
        <w:tc>
          <w:tcPr>
            <w:tcW w:w="851" w:type="dxa"/>
            <w:vAlign w:val="center"/>
          </w:tcPr>
          <w:p w14:paraId="74449B60" w14:textId="77777777" w:rsidR="00893E50" w:rsidRPr="00893E50" w:rsidRDefault="00893E50" w:rsidP="00893E50">
            <w:pPr>
              <w:spacing w:line="360" w:lineRule="auto"/>
              <w:jc w:val="center"/>
              <w:rPr>
                <w:rFonts w:ascii="Times New Roman" w:hAnsi="Times New Roman"/>
                <w:b/>
                <w:bCs/>
                <w:sz w:val="18"/>
                <w:szCs w:val="18"/>
                <w:lang w:eastAsia="en-US"/>
              </w:rPr>
            </w:pPr>
            <w:proofErr w:type="spellStart"/>
            <w:r w:rsidRPr="00893E50">
              <w:rPr>
                <w:rFonts w:ascii="Times New Roman" w:hAnsi="Times New Roman"/>
                <w:b/>
                <w:bCs/>
                <w:sz w:val="18"/>
                <w:szCs w:val="18"/>
                <w:lang w:eastAsia="en-US"/>
              </w:rPr>
              <w:t>SRMR</w:t>
            </w:r>
            <w:proofErr w:type="spellEnd"/>
          </w:p>
        </w:tc>
        <w:tc>
          <w:tcPr>
            <w:tcW w:w="1000" w:type="dxa"/>
            <w:vAlign w:val="center"/>
          </w:tcPr>
          <w:p w14:paraId="0709B6BA" w14:textId="77777777" w:rsidR="00893E50" w:rsidRPr="00893E50" w:rsidRDefault="00893E50" w:rsidP="00893E50">
            <w:pPr>
              <w:spacing w:line="360" w:lineRule="auto"/>
              <w:jc w:val="center"/>
              <w:rPr>
                <w:rFonts w:ascii="Times New Roman" w:hAnsi="Times New Roman"/>
                <w:b/>
                <w:bCs/>
                <w:sz w:val="18"/>
                <w:szCs w:val="18"/>
                <w:lang w:eastAsia="en-US"/>
              </w:rPr>
            </w:pPr>
            <w:r w:rsidRPr="00893E50">
              <w:rPr>
                <w:rFonts w:ascii="Cambria Math" w:hAnsi="Cambria Math" w:cs="Cambria Math"/>
                <w:b/>
                <w:bCs/>
                <w:sz w:val="18"/>
                <w:szCs w:val="18"/>
                <w:lang w:eastAsia="en-US"/>
              </w:rPr>
              <w:t>△</w:t>
            </w:r>
            <w:proofErr w:type="spellStart"/>
            <w:r w:rsidRPr="00893E50">
              <w:rPr>
                <w:rFonts w:ascii="Times New Roman" w:hAnsi="Times New Roman"/>
                <w:b/>
                <w:bCs/>
                <w:sz w:val="18"/>
                <w:szCs w:val="18"/>
                <w:lang w:eastAsia="en-US"/>
              </w:rPr>
              <w:t>CFI</w:t>
            </w:r>
            <w:proofErr w:type="spellEnd"/>
          </w:p>
        </w:tc>
        <w:tc>
          <w:tcPr>
            <w:tcW w:w="1126" w:type="dxa"/>
            <w:vAlign w:val="center"/>
          </w:tcPr>
          <w:p w14:paraId="1AB3B2FF" w14:textId="77777777" w:rsidR="00893E50" w:rsidRPr="00893E50" w:rsidRDefault="00893E50" w:rsidP="00893E50">
            <w:pPr>
              <w:spacing w:line="360" w:lineRule="auto"/>
              <w:jc w:val="center"/>
              <w:rPr>
                <w:rFonts w:ascii="Times New Roman" w:hAnsi="Times New Roman"/>
                <w:b/>
                <w:bCs/>
                <w:sz w:val="18"/>
                <w:szCs w:val="18"/>
                <w:lang w:eastAsia="en-US"/>
              </w:rPr>
            </w:pPr>
            <w:r w:rsidRPr="00893E50">
              <w:rPr>
                <w:rFonts w:ascii="Cambria Math" w:hAnsi="Cambria Math" w:cs="Cambria Math"/>
                <w:b/>
                <w:bCs/>
                <w:sz w:val="18"/>
                <w:szCs w:val="18"/>
                <w:lang w:eastAsia="en-US"/>
              </w:rPr>
              <w:t>△</w:t>
            </w:r>
            <w:proofErr w:type="spellStart"/>
            <w:r w:rsidRPr="00893E50">
              <w:rPr>
                <w:rFonts w:ascii="Times New Roman" w:hAnsi="Times New Roman"/>
                <w:b/>
                <w:bCs/>
                <w:sz w:val="18"/>
                <w:szCs w:val="18"/>
                <w:lang w:eastAsia="en-US"/>
              </w:rPr>
              <w:t>RMSEA</w:t>
            </w:r>
            <w:proofErr w:type="spellEnd"/>
          </w:p>
        </w:tc>
        <w:tc>
          <w:tcPr>
            <w:tcW w:w="992" w:type="dxa"/>
            <w:vAlign w:val="center"/>
          </w:tcPr>
          <w:p w14:paraId="7AE6A7AA" w14:textId="77777777" w:rsidR="00893E50" w:rsidRPr="00893E50" w:rsidRDefault="00893E50" w:rsidP="00893E50">
            <w:pPr>
              <w:spacing w:line="360" w:lineRule="auto"/>
              <w:jc w:val="center"/>
              <w:rPr>
                <w:rFonts w:ascii="Times New Roman" w:hAnsi="Times New Roman"/>
                <w:b/>
                <w:bCs/>
                <w:sz w:val="18"/>
                <w:szCs w:val="18"/>
                <w:lang w:eastAsia="en-US"/>
              </w:rPr>
            </w:pPr>
            <w:r w:rsidRPr="00893E50">
              <w:rPr>
                <w:rFonts w:ascii="Cambria Math" w:hAnsi="Cambria Math" w:cs="Cambria Math"/>
                <w:b/>
                <w:bCs/>
                <w:sz w:val="18"/>
                <w:szCs w:val="18"/>
                <w:lang w:eastAsia="en-US"/>
              </w:rPr>
              <w:t>△</w:t>
            </w:r>
            <w:proofErr w:type="spellStart"/>
            <w:r w:rsidRPr="00893E50">
              <w:rPr>
                <w:rFonts w:ascii="Times New Roman" w:hAnsi="Times New Roman"/>
                <w:b/>
                <w:bCs/>
                <w:sz w:val="18"/>
                <w:szCs w:val="18"/>
                <w:lang w:eastAsia="en-US"/>
              </w:rPr>
              <w:t>SRMR</w:t>
            </w:r>
            <w:proofErr w:type="spellEnd"/>
          </w:p>
        </w:tc>
      </w:tr>
      <w:tr w:rsidR="00893E50" w:rsidRPr="00893E50" w14:paraId="55E0C3FF" w14:textId="77777777" w:rsidTr="008C7E6E">
        <w:trPr>
          <w:jc w:val="center"/>
        </w:trPr>
        <w:tc>
          <w:tcPr>
            <w:tcW w:w="1413" w:type="dxa"/>
            <w:vAlign w:val="center"/>
          </w:tcPr>
          <w:p w14:paraId="10A5362F" w14:textId="77777777" w:rsidR="00893E50" w:rsidRPr="00893E50" w:rsidRDefault="00893E50" w:rsidP="00893E50">
            <w:pPr>
              <w:spacing w:line="360" w:lineRule="auto"/>
              <w:jc w:val="both"/>
              <w:rPr>
                <w:rFonts w:ascii="Times New Roman" w:hAnsi="Times New Roman"/>
                <w:sz w:val="18"/>
                <w:szCs w:val="18"/>
                <w:lang w:eastAsia="en-US"/>
              </w:rPr>
            </w:pPr>
            <w:proofErr w:type="spellStart"/>
            <w:r w:rsidRPr="00893E50">
              <w:rPr>
                <w:rFonts w:ascii="Times New Roman" w:hAnsi="Times New Roman"/>
                <w:sz w:val="18"/>
                <w:szCs w:val="18"/>
                <w:lang w:eastAsia="en-US"/>
              </w:rPr>
              <w:t>Configural</w:t>
            </w:r>
            <w:proofErr w:type="spellEnd"/>
            <w:r w:rsidRPr="00893E50">
              <w:rPr>
                <w:rFonts w:ascii="Times New Roman" w:hAnsi="Times New Roman"/>
                <w:sz w:val="18"/>
                <w:szCs w:val="18"/>
                <w:lang w:eastAsia="en-US"/>
              </w:rPr>
              <w:t xml:space="preserve"> </w:t>
            </w:r>
          </w:p>
        </w:tc>
        <w:tc>
          <w:tcPr>
            <w:tcW w:w="992" w:type="dxa"/>
            <w:vAlign w:val="center"/>
          </w:tcPr>
          <w:p w14:paraId="2D1C6D09"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0,989</w:t>
            </w:r>
          </w:p>
        </w:tc>
        <w:tc>
          <w:tcPr>
            <w:tcW w:w="1701" w:type="dxa"/>
            <w:vAlign w:val="center"/>
          </w:tcPr>
          <w:p w14:paraId="368FC272"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0,073 [0,06-0,08]</w:t>
            </w:r>
          </w:p>
        </w:tc>
        <w:tc>
          <w:tcPr>
            <w:tcW w:w="851" w:type="dxa"/>
            <w:vAlign w:val="center"/>
          </w:tcPr>
          <w:p w14:paraId="44235087"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0,056</w:t>
            </w:r>
          </w:p>
        </w:tc>
        <w:tc>
          <w:tcPr>
            <w:tcW w:w="1000" w:type="dxa"/>
            <w:vAlign w:val="center"/>
          </w:tcPr>
          <w:p w14:paraId="19D51EF7"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w:t>
            </w:r>
          </w:p>
        </w:tc>
        <w:tc>
          <w:tcPr>
            <w:tcW w:w="1126" w:type="dxa"/>
            <w:vAlign w:val="center"/>
          </w:tcPr>
          <w:p w14:paraId="2011ADFE"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w:t>
            </w:r>
          </w:p>
        </w:tc>
        <w:tc>
          <w:tcPr>
            <w:tcW w:w="992" w:type="dxa"/>
            <w:vAlign w:val="center"/>
          </w:tcPr>
          <w:p w14:paraId="614CAEF4"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w:t>
            </w:r>
          </w:p>
        </w:tc>
      </w:tr>
      <w:tr w:rsidR="00893E50" w:rsidRPr="00893E50" w14:paraId="50BDA4B0" w14:textId="77777777" w:rsidTr="008C7E6E">
        <w:trPr>
          <w:jc w:val="center"/>
        </w:trPr>
        <w:tc>
          <w:tcPr>
            <w:tcW w:w="1413" w:type="dxa"/>
            <w:vAlign w:val="center"/>
          </w:tcPr>
          <w:p w14:paraId="2ACBE30E" w14:textId="77777777" w:rsidR="00893E50" w:rsidRPr="00893E50" w:rsidRDefault="00893E50" w:rsidP="00893E50">
            <w:pPr>
              <w:spacing w:line="360" w:lineRule="auto"/>
              <w:jc w:val="both"/>
              <w:rPr>
                <w:rFonts w:ascii="Times New Roman" w:hAnsi="Times New Roman"/>
                <w:sz w:val="18"/>
                <w:szCs w:val="18"/>
                <w:lang w:eastAsia="en-US"/>
              </w:rPr>
            </w:pPr>
            <w:r w:rsidRPr="00893E50">
              <w:rPr>
                <w:rFonts w:ascii="Times New Roman" w:hAnsi="Times New Roman"/>
                <w:sz w:val="18"/>
                <w:szCs w:val="18"/>
                <w:lang w:eastAsia="en-US"/>
              </w:rPr>
              <w:t xml:space="preserve">Métrica </w:t>
            </w:r>
          </w:p>
        </w:tc>
        <w:tc>
          <w:tcPr>
            <w:tcW w:w="992" w:type="dxa"/>
            <w:vAlign w:val="center"/>
          </w:tcPr>
          <w:p w14:paraId="6AD26C9F"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0,988</w:t>
            </w:r>
          </w:p>
        </w:tc>
        <w:tc>
          <w:tcPr>
            <w:tcW w:w="1701" w:type="dxa"/>
            <w:vAlign w:val="center"/>
          </w:tcPr>
          <w:p w14:paraId="259DF61E"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0,076 [0,07-0,08]</w:t>
            </w:r>
          </w:p>
        </w:tc>
        <w:tc>
          <w:tcPr>
            <w:tcW w:w="851" w:type="dxa"/>
            <w:vAlign w:val="center"/>
          </w:tcPr>
          <w:p w14:paraId="37F7952C"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0,060</w:t>
            </w:r>
          </w:p>
        </w:tc>
        <w:tc>
          <w:tcPr>
            <w:tcW w:w="1000" w:type="dxa"/>
            <w:vAlign w:val="center"/>
          </w:tcPr>
          <w:p w14:paraId="30227C45"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0,001</w:t>
            </w:r>
          </w:p>
        </w:tc>
        <w:tc>
          <w:tcPr>
            <w:tcW w:w="1126" w:type="dxa"/>
            <w:vAlign w:val="center"/>
          </w:tcPr>
          <w:p w14:paraId="36064141"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-0,003</w:t>
            </w:r>
          </w:p>
        </w:tc>
        <w:tc>
          <w:tcPr>
            <w:tcW w:w="992" w:type="dxa"/>
            <w:vAlign w:val="center"/>
          </w:tcPr>
          <w:p w14:paraId="29021A74"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-0,004</w:t>
            </w:r>
          </w:p>
        </w:tc>
      </w:tr>
      <w:tr w:rsidR="00893E50" w:rsidRPr="00893E50" w14:paraId="30F17C48" w14:textId="77777777" w:rsidTr="008C7E6E">
        <w:trPr>
          <w:jc w:val="center"/>
        </w:trPr>
        <w:tc>
          <w:tcPr>
            <w:tcW w:w="1413" w:type="dxa"/>
            <w:vAlign w:val="center"/>
          </w:tcPr>
          <w:p w14:paraId="1663D7E5" w14:textId="77777777" w:rsidR="00893E50" w:rsidRPr="00893E50" w:rsidRDefault="00893E50" w:rsidP="00893E50">
            <w:pPr>
              <w:spacing w:line="360" w:lineRule="auto"/>
              <w:jc w:val="both"/>
              <w:rPr>
                <w:rFonts w:ascii="Times New Roman" w:hAnsi="Times New Roman"/>
                <w:sz w:val="18"/>
                <w:szCs w:val="18"/>
                <w:lang w:eastAsia="en-US"/>
              </w:rPr>
            </w:pPr>
            <w:r w:rsidRPr="00893E50">
              <w:rPr>
                <w:rFonts w:ascii="Times New Roman" w:hAnsi="Times New Roman"/>
                <w:sz w:val="18"/>
                <w:szCs w:val="18"/>
                <w:lang w:eastAsia="en-US"/>
              </w:rPr>
              <w:t xml:space="preserve">Fuerte </w:t>
            </w:r>
          </w:p>
        </w:tc>
        <w:tc>
          <w:tcPr>
            <w:tcW w:w="992" w:type="dxa"/>
            <w:vAlign w:val="center"/>
          </w:tcPr>
          <w:p w14:paraId="0F5E2B82"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0,989</w:t>
            </w:r>
          </w:p>
        </w:tc>
        <w:tc>
          <w:tcPr>
            <w:tcW w:w="1701" w:type="dxa"/>
            <w:vAlign w:val="center"/>
          </w:tcPr>
          <w:p w14:paraId="2AB7E05C"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0,066 [0,06-0,07]</w:t>
            </w:r>
          </w:p>
        </w:tc>
        <w:tc>
          <w:tcPr>
            <w:tcW w:w="851" w:type="dxa"/>
            <w:vAlign w:val="center"/>
          </w:tcPr>
          <w:p w14:paraId="6B2703DC"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0,057</w:t>
            </w:r>
          </w:p>
        </w:tc>
        <w:tc>
          <w:tcPr>
            <w:tcW w:w="1000" w:type="dxa"/>
            <w:vAlign w:val="center"/>
          </w:tcPr>
          <w:p w14:paraId="52CBF1FA"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0,001</w:t>
            </w:r>
          </w:p>
        </w:tc>
        <w:tc>
          <w:tcPr>
            <w:tcW w:w="1126" w:type="dxa"/>
            <w:vAlign w:val="center"/>
          </w:tcPr>
          <w:p w14:paraId="750EE2C0"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0,010</w:t>
            </w:r>
          </w:p>
        </w:tc>
        <w:tc>
          <w:tcPr>
            <w:tcW w:w="992" w:type="dxa"/>
            <w:vAlign w:val="center"/>
          </w:tcPr>
          <w:p w14:paraId="571DE545"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0,003</w:t>
            </w:r>
          </w:p>
        </w:tc>
      </w:tr>
      <w:tr w:rsidR="00893E50" w:rsidRPr="00893E50" w14:paraId="052B201D" w14:textId="77777777" w:rsidTr="008C7E6E">
        <w:trPr>
          <w:jc w:val="center"/>
        </w:trPr>
        <w:tc>
          <w:tcPr>
            <w:tcW w:w="1413" w:type="dxa"/>
            <w:vAlign w:val="center"/>
          </w:tcPr>
          <w:p w14:paraId="3B39A56E" w14:textId="77777777" w:rsidR="00893E50" w:rsidRPr="00893E50" w:rsidRDefault="00893E50" w:rsidP="00893E50">
            <w:pPr>
              <w:spacing w:line="360" w:lineRule="auto"/>
              <w:jc w:val="both"/>
              <w:rPr>
                <w:rFonts w:ascii="Times New Roman" w:hAnsi="Times New Roman"/>
                <w:sz w:val="18"/>
                <w:szCs w:val="18"/>
                <w:lang w:eastAsia="en-US"/>
              </w:rPr>
            </w:pPr>
            <w:r w:rsidRPr="00893E50">
              <w:rPr>
                <w:rFonts w:ascii="Times New Roman" w:hAnsi="Times New Roman"/>
                <w:sz w:val="18"/>
                <w:szCs w:val="18"/>
                <w:lang w:eastAsia="en-US"/>
              </w:rPr>
              <w:t xml:space="preserve">Estricta </w:t>
            </w:r>
          </w:p>
        </w:tc>
        <w:tc>
          <w:tcPr>
            <w:tcW w:w="992" w:type="dxa"/>
            <w:vAlign w:val="center"/>
          </w:tcPr>
          <w:p w14:paraId="2D8C4D8C"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0,989</w:t>
            </w:r>
          </w:p>
        </w:tc>
        <w:tc>
          <w:tcPr>
            <w:tcW w:w="1701" w:type="dxa"/>
            <w:vAlign w:val="center"/>
          </w:tcPr>
          <w:p w14:paraId="7A87AC80"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0,066 [0,06-0,07]</w:t>
            </w:r>
          </w:p>
        </w:tc>
        <w:tc>
          <w:tcPr>
            <w:tcW w:w="851" w:type="dxa"/>
            <w:vAlign w:val="center"/>
          </w:tcPr>
          <w:p w14:paraId="41F1B6FE"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0,057</w:t>
            </w:r>
          </w:p>
        </w:tc>
        <w:tc>
          <w:tcPr>
            <w:tcW w:w="1000" w:type="dxa"/>
            <w:vAlign w:val="center"/>
          </w:tcPr>
          <w:p w14:paraId="7105F7ED"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0,000</w:t>
            </w:r>
          </w:p>
        </w:tc>
        <w:tc>
          <w:tcPr>
            <w:tcW w:w="1126" w:type="dxa"/>
            <w:vAlign w:val="center"/>
          </w:tcPr>
          <w:p w14:paraId="0D052E25"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0,000</w:t>
            </w:r>
          </w:p>
        </w:tc>
        <w:tc>
          <w:tcPr>
            <w:tcW w:w="992" w:type="dxa"/>
            <w:vAlign w:val="center"/>
          </w:tcPr>
          <w:p w14:paraId="1AC7FC6A" w14:textId="77777777" w:rsidR="00893E50" w:rsidRPr="00893E50" w:rsidRDefault="00893E50" w:rsidP="00893E50">
            <w:pPr>
              <w:spacing w:line="360" w:lineRule="auto"/>
              <w:jc w:val="center"/>
              <w:rPr>
                <w:rFonts w:ascii="Times New Roman" w:hAnsi="Times New Roman"/>
                <w:sz w:val="18"/>
                <w:szCs w:val="18"/>
                <w:lang w:eastAsia="en-US"/>
              </w:rPr>
            </w:pPr>
            <w:r w:rsidRPr="00893E50">
              <w:rPr>
                <w:rFonts w:ascii="Times New Roman" w:hAnsi="Times New Roman"/>
                <w:sz w:val="18"/>
                <w:szCs w:val="18"/>
                <w:lang w:eastAsia="en-US"/>
              </w:rPr>
              <w:t>0,000</w:t>
            </w:r>
          </w:p>
        </w:tc>
      </w:tr>
    </w:tbl>
    <w:p w14:paraId="627BB573" w14:textId="77777777" w:rsidR="00893E50" w:rsidRPr="00893E50" w:rsidRDefault="00893E50" w:rsidP="00893E50">
      <w:pPr>
        <w:spacing w:line="360" w:lineRule="auto"/>
        <w:rPr>
          <w:rFonts w:eastAsia="Calibri"/>
          <w:lang w:eastAsia="en-US"/>
        </w:rPr>
      </w:pPr>
    </w:p>
    <w:p w14:paraId="3EECF078" w14:textId="77777777" w:rsidR="00893E50" w:rsidRPr="00893E50" w:rsidRDefault="00893E50" w:rsidP="00893E50">
      <w:pPr>
        <w:spacing w:line="360" w:lineRule="auto"/>
        <w:jc w:val="center"/>
        <w:rPr>
          <w:rFonts w:eastAsia="Calibri"/>
          <w:b/>
          <w:bCs/>
          <w:sz w:val="28"/>
          <w:szCs w:val="28"/>
          <w:lang w:eastAsia="en-US"/>
        </w:rPr>
      </w:pPr>
      <w:r w:rsidRPr="00893E50">
        <w:rPr>
          <w:rFonts w:eastAsia="Calibri"/>
          <w:b/>
          <w:bCs/>
          <w:sz w:val="28"/>
          <w:szCs w:val="28"/>
          <w:lang w:eastAsia="en-US"/>
        </w:rPr>
        <w:t>Análisis de TRI</w:t>
      </w:r>
    </w:p>
    <w:p w14:paraId="22D1F074"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Los resultados previos confirmaron la </w:t>
      </w:r>
      <w:proofErr w:type="spellStart"/>
      <w:r w:rsidRPr="00893E50">
        <w:rPr>
          <w:rFonts w:eastAsia="Calibri"/>
          <w:lang w:eastAsia="en-US"/>
        </w:rPr>
        <w:t>unidimensionalidad</w:t>
      </w:r>
      <w:proofErr w:type="spellEnd"/>
      <w:r w:rsidRPr="00893E50">
        <w:rPr>
          <w:rFonts w:eastAsia="Calibri"/>
          <w:lang w:eastAsia="en-US"/>
        </w:rPr>
        <w:t xml:space="preserve"> e independencia local de cada ítem para cada subescala, que cumplen los supuestos principales para el análisis de TRI. Se logró un ajuste satisfactorio del modelo a través del índice </w:t>
      </w:r>
      <w:r w:rsidRPr="00893E50">
        <w:rPr>
          <w:rFonts w:eastAsia="Calibri"/>
          <w:i/>
          <w:iCs/>
          <w:lang w:eastAsia="en-US"/>
        </w:rPr>
        <w:t>S-</w:t>
      </w:r>
      <w:proofErr w:type="spellStart"/>
      <w:r w:rsidRPr="00893E50">
        <w:rPr>
          <w:rFonts w:eastAsia="Calibri"/>
          <w:i/>
          <w:iCs/>
          <w:vertAlign w:val="subscript"/>
          <w:lang w:eastAsia="en-US"/>
        </w:rPr>
        <w:t>X</w:t>
      </w:r>
      <w:r w:rsidRPr="00893E50">
        <w:rPr>
          <w:rFonts w:eastAsia="Calibri"/>
          <w:vertAlign w:val="superscript"/>
          <w:lang w:eastAsia="en-US"/>
        </w:rPr>
        <w:t>2</w:t>
      </w:r>
      <w:proofErr w:type="spellEnd"/>
      <w:r w:rsidRPr="00893E50">
        <w:rPr>
          <w:rFonts w:eastAsia="Calibri"/>
          <w:lang w:eastAsia="en-US"/>
        </w:rPr>
        <w:t xml:space="preserve"> con valores aceptables de </w:t>
      </w:r>
      <w:proofErr w:type="spellStart"/>
      <w:r w:rsidRPr="00893E50">
        <w:rPr>
          <w:rFonts w:eastAsia="Calibri"/>
          <w:lang w:eastAsia="en-US"/>
        </w:rPr>
        <w:t>RMSEA</w:t>
      </w:r>
      <w:proofErr w:type="spellEnd"/>
      <w:r w:rsidRPr="00893E50">
        <w:rPr>
          <w:rFonts w:eastAsia="Calibri"/>
          <w:lang w:eastAsia="en-US"/>
        </w:rPr>
        <w:t xml:space="preserve"> (&lt; 0,08). </w:t>
      </w:r>
    </w:p>
    <w:p w14:paraId="6B026934"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En la tabla 3 se evidencia que el modelo </w:t>
      </w:r>
      <w:proofErr w:type="spellStart"/>
      <w:r w:rsidRPr="00893E50">
        <w:rPr>
          <w:rFonts w:eastAsia="Calibri"/>
          <w:lang w:eastAsia="en-US"/>
        </w:rPr>
        <w:t>GRM</w:t>
      </w:r>
      <w:proofErr w:type="spellEnd"/>
      <w:r w:rsidRPr="00893E50">
        <w:rPr>
          <w:rFonts w:eastAsia="Calibri"/>
          <w:lang w:eastAsia="en-US"/>
        </w:rPr>
        <w:t xml:space="preserve"> reveló adecuados </w:t>
      </w:r>
      <w:bookmarkStart w:id="0" w:name="_Hlk78925863"/>
      <w:r w:rsidRPr="00893E50">
        <w:rPr>
          <w:rFonts w:eastAsia="Calibri"/>
          <w:lang w:eastAsia="en-US"/>
        </w:rPr>
        <w:t xml:space="preserve">parámetros </w:t>
      </w:r>
      <w:bookmarkEnd w:id="0"/>
      <w:r w:rsidRPr="00893E50">
        <w:rPr>
          <w:rFonts w:eastAsia="Calibri"/>
          <w:i/>
          <w:iCs/>
          <w:lang w:eastAsia="en-US"/>
        </w:rPr>
        <w:t>a</w:t>
      </w:r>
      <w:r w:rsidRPr="00893E50">
        <w:rPr>
          <w:rFonts w:eastAsia="Calibri"/>
          <w:lang w:eastAsia="en-US"/>
        </w:rPr>
        <w:t>. En la dimensión estigma, los ítems 4 (</w:t>
      </w:r>
      <w:r w:rsidRPr="00893E50">
        <w:rPr>
          <w:rFonts w:eastAsia="Calibri"/>
          <w:i/>
          <w:iCs/>
          <w:lang w:eastAsia="en-US"/>
        </w:rPr>
        <w:t>a</w:t>
      </w:r>
      <w:r w:rsidRPr="00893E50">
        <w:rPr>
          <w:rFonts w:eastAsia="Calibri"/>
          <w:lang w:eastAsia="en-US"/>
        </w:rPr>
        <w:t>= 3) y 3 (</w:t>
      </w:r>
      <w:r w:rsidRPr="00893E50">
        <w:rPr>
          <w:rFonts w:eastAsia="Calibri"/>
          <w:i/>
          <w:iCs/>
          <w:lang w:eastAsia="en-US"/>
        </w:rPr>
        <w:t>a</w:t>
      </w:r>
      <w:r w:rsidRPr="00893E50">
        <w:rPr>
          <w:rFonts w:eastAsia="Calibri"/>
          <w:lang w:eastAsia="en-US"/>
        </w:rPr>
        <w:t xml:space="preserve">= 2,72) fueron los que mejores discriminaron el rasgo latente. Para la dimensión aislamiento, el ítem 10 (a= 4,04) presentó el valor más alto, mientras que en la dimensión glorificación, fueron los ítems 15 (a= 3,68) y 16 (a= 3,19). Respecto al parámetro </w:t>
      </w:r>
      <w:bookmarkStart w:id="1" w:name="_Hlk78926134"/>
      <w:r w:rsidRPr="00893E50">
        <w:rPr>
          <w:rFonts w:eastAsia="Calibri"/>
          <w:lang w:eastAsia="en-US"/>
        </w:rPr>
        <w:t>β</w:t>
      </w:r>
      <w:bookmarkEnd w:id="1"/>
      <w:r w:rsidRPr="00893E50">
        <w:rPr>
          <w:rFonts w:eastAsia="Calibri"/>
          <w:lang w:eastAsia="en-US"/>
        </w:rPr>
        <w:t xml:space="preserve">, todos los umbrales pertenecientes en cada dimensión aumentaron constantemente, en un rango plausible de menor a mayor dificultad. </w:t>
      </w:r>
    </w:p>
    <w:p w14:paraId="568AF2A4"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Por último, en la figura 2 se presentan las curvas de información de los ítems y escala total para cada dimensión. En ese sentido, los ítems más confiables para evaluar el rasgo latente (ϴ) en la dimensión estigma fueron los ítems 4 y 3, dimensión aislamiento el ítem 10 y dimensión glorificación, los ítems 15 y 16. La función de información total de los ítems para el estigma, aislamiento y glorificación, es mayor cuando el ϴ se ubica entre -3,23 a 3,78, -2,68 a 3,09 y -2,75 a 3,71, respectivamente. </w:t>
      </w:r>
    </w:p>
    <w:p w14:paraId="2B8B5612" w14:textId="77777777" w:rsidR="00893E50" w:rsidRPr="00893E50" w:rsidRDefault="00893E50" w:rsidP="00893E50">
      <w:pPr>
        <w:spacing w:line="360" w:lineRule="auto"/>
        <w:jc w:val="both"/>
        <w:rPr>
          <w:rFonts w:eastAsia="Calibri"/>
          <w:lang w:eastAsia="en-US"/>
        </w:rPr>
      </w:pPr>
    </w:p>
    <w:p w14:paraId="05B07089" w14:textId="77777777" w:rsidR="00E82131" w:rsidRDefault="00E82131">
      <w:pPr>
        <w:rPr>
          <w:rFonts w:eastAsia="Calibri"/>
          <w:b/>
          <w:bCs/>
          <w:sz w:val="22"/>
          <w:szCs w:val="22"/>
          <w:lang w:eastAsia="en-US"/>
        </w:rPr>
      </w:pPr>
      <w:r>
        <w:rPr>
          <w:rFonts w:eastAsia="Calibri"/>
          <w:b/>
          <w:bCs/>
          <w:sz w:val="22"/>
          <w:szCs w:val="22"/>
          <w:lang w:eastAsia="en-US"/>
        </w:rPr>
        <w:br w:type="page"/>
      </w:r>
    </w:p>
    <w:p w14:paraId="1B71B7E0" w14:textId="09971FED" w:rsidR="00893E50" w:rsidRPr="00893E50" w:rsidRDefault="00893E50" w:rsidP="00893E50">
      <w:pPr>
        <w:spacing w:line="360" w:lineRule="auto"/>
        <w:jc w:val="center"/>
        <w:rPr>
          <w:rFonts w:eastAsia="Calibri"/>
          <w:sz w:val="22"/>
          <w:szCs w:val="22"/>
          <w:lang w:eastAsia="en-US"/>
        </w:rPr>
      </w:pPr>
      <w:r w:rsidRPr="00893E50">
        <w:rPr>
          <w:rFonts w:eastAsia="Calibri"/>
          <w:b/>
          <w:bCs/>
          <w:sz w:val="22"/>
          <w:szCs w:val="22"/>
          <w:lang w:eastAsia="en-US"/>
        </w:rPr>
        <w:lastRenderedPageBreak/>
        <w:t>Tabla 3</w:t>
      </w:r>
      <w:r w:rsidRPr="00893E50">
        <w:rPr>
          <w:rFonts w:eastAsia="Calibri"/>
          <w:sz w:val="22"/>
          <w:szCs w:val="22"/>
          <w:lang w:eastAsia="en-US"/>
        </w:rPr>
        <w:t xml:space="preserve"> – Parámetros de discriminación y dificultad para los ítems de cada dimensión</w:t>
      </w:r>
    </w:p>
    <w:p w14:paraId="001D827E" w14:textId="2618C07D" w:rsidR="00893E50" w:rsidRPr="00893E50" w:rsidRDefault="00893E50" w:rsidP="00893E50">
      <w:pPr>
        <w:spacing w:line="360" w:lineRule="auto"/>
        <w:jc w:val="center"/>
        <w:rPr>
          <w:rFonts w:eastAsia="Calibri"/>
          <w:sz w:val="16"/>
          <w:szCs w:val="16"/>
          <w:lang w:eastAsia="en-US"/>
        </w:rPr>
      </w:pPr>
      <w:r w:rsidRPr="00893E50">
        <w:rPr>
          <w:rFonts w:eastAsia="Calibri"/>
          <w:noProof/>
          <w:sz w:val="16"/>
          <w:szCs w:val="16"/>
          <w:lang w:val="es-ES" w:eastAsia="es-ES"/>
        </w:rPr>
        <w:drawing>
          <wp:inline distT="0" distB="0" distL="0" distR="0" wp14:anchorId="3195F7F8" wp14:editId="49463980">
            <wp:extent cx="3640455" cy="4312920"/>
            <wp:effectExtent l="0" t="0" r="0" b="0"/>
            <wp:docPr id="10" name="Imagen 4" descr="G:\gladys\2553\t03_255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gladys\2553\t03_255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0455" cy="4312920"/>
                    </a:xfrm>
                    <a:prstGeom prst="rect">
                      <a:avLst/>
                    </a:prstGeom>
                    <a:noFill/>
                    <a:ln>
                      <a:noFill/>
                    </a:ln>
                  </pic:spPr>
                </pic:pic>
              </a:graphicData>
            </a:graphic>
          </wp:inline>
        </w:drawing>
      </w:r>
    </w:p>
    <w:p w14:paraId="222DABAE" w14:textId="77777777" w:rsidR="00E82131" w:rsidRPr="00893E50" w:rsidRDefault="00E82131" w:rsidP="00E82131">
      <w:pPr>
        <w:spacing w:line="360" w:lineRule="auto"/>
        <w:jc w:val="center"/>
        <w:rPr>
          <w:rFonts w:eastAsia="Calibri"/>
          <w:sz w:val="16"/>
          <w:szCs w:val="16"/>
          <w:lang w:eastAsia="en-US"/>
        </w:rPr>
      </w:pPr>
      <w:r w:rsidRPr="00893E50">
        <w:rPr>
          <w:rFonts w:eastAsia="Calibri"/>
          <w:sz w:val="16"/>
          <w:szCs w:val="16"/>
          <w:lang w:eastAsia="en-US"/>
        </w:rPr>
        <w:t>Nota. a = parámetro de discriminación. Β = parámetro de dificultad. S-</w:t>
      </w:r>
      <w:proofErr w:type="spellStart"/>
      <w:r w:rsidRPr="00893E50">
        <w:rPr>
          <w:rFonts w:eastAsia="Calibri"/>
          <w:sz w:val="16"/>
          <w:szCs w:val="16"/>
          <w:vertAlign w:val="subscript"/>
          <w:lang w:eastAsia="en-US"/>
        </w:rPr>
        <w:t>X</w:t>
      </w:r>
      <w:r w:rsidRPr="00893E50">
        <w:rPr>
          <w:rFonts w:eastAsia="Calibri"/>
          <w:sz w:val="16"/>
          <w:szCs w:val="16"/>
          <w:vertAlign w:val="superscript"/>
          <w:lang w:eastAsia="en-US"/>
        </w:rPr>
        <w:t>2</w:t>
      </w:r>
      <w:proofErr w:type="spellEnd"/>
      <w:r w:rsidRPr="00893E50">
        <w:rPr>
          <w:rFonts w:eastAsia="Calibri"/>
          <w:sz w:val="16"/>
          <w:szCs w:val="16"/>
          <w:lang w:eastAsia="en-US"/>
        </w:rPr>
        <w:t xml:space="preserve"> = índice de ajuste. </w:t>
      </w:r>
      <w:proofErr w:type="spellStart"/>
      <w:r w:rsidRPr="00893E50">
        <w:rPr>
          <w:rFonts w:eastAsia="Calibri"/>
          <w:sz w:val="16"/>
          <w:szCs w:val="16"/>
          <w:lang w:eastAsia="en-US"/>
        </w:rPr>
        <w:t>gl</w:t>
      </w:r>
      <w:proofErr w:type="spellEnd"/>
      <w:r w:rsidRPr="00893E50">
        <w:rPr>
          <w:rFonts w:eastAsia="Calibri"/>
          <w:sz w:val="16"/>
          <w:szCs w:val="16"/>
          <w:lang w:eastAsia="en-US"/>
        </w:rPr>
        <w:t xml:space="preserve"> = grados de libertad. </w:t>
      </w:r>
      <w:proofErr w:type="spellStart"/>
      <w:r w:rsidRPr="00893E50">
        <w:rPr>
          <w:rFonts w:eastAsia="Calibri"/>
          <w:sz w:val="16"/>
          <w:szCs w:val="16"/>
          <w:lang w:eastAsia="en-US"/>
        </w:rPr>
        <w:t>RMSEA.S-</w:t>
      </w:r>
      <w:r w:rsidRPr="00893E50">
        <w:rPr>
          <w:rFonts w:eastAsia="Calibri"/>
          <w:sz w:val="16"/>
          <w:szCs w:val="16"/>
          <w:vertAlign w:val="subscript"/>
          <w:lang w:eastAsia="en-US"/>
        </w:rPr>
        <w:t>X</w:t>
      </w:r>
      <w:r w:rsidRPr="00893E50">
        <w:rPr>
          <w:rFonts w:eastAsia="Calibri"/>
          <w:sz w:val="16"/>
          <w:szCs w:val="16"/>
          <w:vertAlign w:val="superscript"/>
          <w:lang w:eastAsia="en-US"/>
        </w:rPr>
        <w:t>2</w:t>
      </w:r>
      <w:proofErr w:type="spellEnd"/>
      <w:r w:rsidRPr="00893E50">
        <w:rPr>
          <w:rFonts w:eastAsia="Calibri"/>
          <w:sz w:val="16"/>
          <w:szCs w:val="16"/>
          <w:lang w:eastAsia="en-US"/>
        </w:rPr>
        <w:t xml:space="preserve"> = error medio cuadrático de aproximación.</w:t>
      </w:r>
    </w:p>
    <w:p w14:paraId="0723D2D9" w14:textId="77777777" w:rsidR="00893E50" w:rsidRPr="00893E50" w:rsidRDefault="00893E50" w:rsidP="00893E50">
      <w:pPr>
        <w:spacing w:line="360" w:lineRule="auto"/>
        <w:jc w:val="center"/>
        <w:rPr>
          <w:rFonts w:eastAsia="Calibri"/>
          <w:sz w:val="16"/>
          <w:szCs w:val="16"/>
          <w:lang w:eastAsia="en-US"/>
        </w:rPr>
      </w:pPr>
    </w:p>
    <w:p w14:paraId="045C95B8" w14:textId="0C8F3947" w:rsidR="00893E50" w:rsidRPr="00893E50" w:rsidRDefault="00893E50" w:rsidP="00893E50">
      <w:pPr>
        <w:spacing w:line="360" w:lineRule="auto"/>
        <w:jc w:val="center"/>
        <w:rPr>
          <w:rFonts w:eastAsia="Calibri"/>
          <w:lang w:eastAsia="en-US"/>
        </w:rPr>
      </w:pPr>
      <w:r w:rsidRPr="00893E50">
        <w:rPr>
          <w:rFonts w:eastAsia="Calibri"/>
          <w:noProof/>
          <w:lang w:eastAsia="en-US"/>
        </w:rPr>
        <w:lastRenderedPageBreak/>
        <w:drawing>
          <wp:inline distT="0" distB="0" distL="0" distR="0" wp14:anchorId="22844A33" wp14:editId="38BB82A1">
            <wp:extent cx="5969635" cy="5012055"/>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9635" cy="5012055"/>
                    </a:xfrm>
                    <a:prstGeom prst="rect">
                      <a:avLst/>
                    </a:prstGeom>
                    <a:noFill/>
                    <a:ln>
                      <a:noFill/>
                    </a:ln>
                  </pic:spPr>
                </pic:pic>
              </a:graphicData>
            </a:graphic>
          </wp:inline>
        </w:drawing>
      </w:r>
    </w:p>
    <w:p w14:paraId="6EE86F40" w14:textId="77777777" w:rsidR="00893E50" w:rsidRPr="00893E50" w:rsidRDefault="00893E50" w:rsidP="00893E50">
      <w:pPr>
        <w:spacing w:line="360" w:lineRule="auto"/>
        <w:jc w:val="center"/>
        <w:rPr>
          <w:rFonts w:eastAsia="Calibri"/>
          <w:lang w:eastAsia="en-US"/>
        </w:rPr>
      </w:pPr>
      <w:r w:rsidRPr="00893E50">
        <w:rPr>
          <w:rFonts w:eastAsia="Calibri"/>
          <w:b/>
          <w:bCs/>
          <w:lang w:eastAsia="en-US"/>
        </w:rPr>
        <w:t>Fig. 2</w:t>
      </w:r>
      <w:r w:rsidRPr="00893E50">
        <w:rPr>
          <w:rFonts w:eastAsia="Calibri"/>
          <w:lang w:eastAsia="en-US"/>
        </w:rPr>
        <w:t xml:space="preserve"> – Curvas de información de los ítems y dimensiones del </w:t>
      </w:r>
      <w:proofErr w:type="spellStart"/>
      <w:r w:rsidRPr="00893E50">
        <w:rPr>
          <w:rFonts w:eastAsia="Calibri"/>
          <w:lang w:eastAsia="en-US"/>
        </w:rPr>
        <w:t>SOSS-SF</w:t>
      </w:r>
      <w:proofErr w:type="spellEnd"/>
      <w:r w:rsidRPr="00893E50">
        <w:rPr>
          <w:rFonts w:eastAsia="Calibri"/>
          <w:lang w:eastAsia="en-US"/>
        </w:rPr>
        <w:t>.</w:t>
      </w:r>
    </w:p>
    <w:p w14:paraId="6600DCC4" w14:textId="77777777" w:rsidR="00893E50" w:rsidRPr="00893E50" w:rsidRDefault="00893E50" w:rsidP="00893E50">
      <w:pPr>
        <w:spacing w:line="360" w:lineRule="auto"/>
        <w:jc w:val="center"/>
        <w:rPr>
          <w:rFonts w:eastAsia="Calibri"/>
          <w:b/>
          <w:bCs/>
          <w:lang w:eastAsia="en-US"/>
        </w:rPr>
      </w:pPr>
    </w:p>
    <w:p w14:paraId="4A224184" w14:textId="77777777" w:rsidR="00893E50" w:rsidRPr="00893E50" w:rsidRDefault="00893E50" w:rsidP="00893E50">
      <w:pPr>
        <w:spacing w:line="360" w:lineRule="auto"/>
        <w:jc w:val="center"/>
        <w:rPr>
          <w:rFonts w:eastAsia="Calibri"/>
          <w:b/>
          <w:bCs/>
          <w:lang w:eastAsia="en-US"/>
        </w:rPr>
      </w:pPr>
    </w:p>
    <w:p w14:paraId="1F383787" w14:textId="77777777" w:rsidR="00893E50" w:rsidRPr="00893E50" w:rsidRDefault="00893E50" w:rsidP="00893E50">
      <w:pPr>
        <w:spacing w:line="360" w:lineRule="auto"/>
        <w:jc w:val="center"/>
        <w:rPr>
          <w:rFonts w:eastAsia="Calibri"/>
          <w:b/>
          <w:bCs/>
          <w:sz w:val="32"/>
          <w:szCs w:val="32"/>
          <w:lang w:eastAsia="en-US"/>
        </w:rPr>
      </w:pPr>
      <w:r w:rsidRPr="00893E50">
        <w:rPr>
          <w:rFonts w:eastAsia="Calibri"/>
          <w:b/>
          <w:bCs/>
          <w:sz w:val="32"/>
          <w:szCs w:val="32"/>
          <w:lang w:eastAsia="en-US"/>
        </w:rPr>
        <w:t>DISCUSIÓN</w:t>
      </w:r>
    </w:p>
    <w:p w14:paraId="4AB6EFF6" w14:textId="77777777" w:rsidR="00893E50" w:rsidRPr="00893E50" w:rsidRDefault="00893E50" w:rsidP="00893E50">
      <w:pPr>
        <w:spacing w:line="360" w:lineRule="auto"/>
        <w:jc w:val="both"/>
        <w:rPr>
          <w:rFonts w:eastAsia="Calibri"/>
          <w:lang w:eastAsia="en-US"/>
        </w:rPr>
      </w:pPr>
      <w:r w:rsidRPr="00893E50">
        <w:rPr>
          <w:rFonts w:eastAsia="Calibri"/>
          <w:lang w:eastAsia="en-US"/>
        </w:rPr>
        <w:t>La evaluación de aspectos concernientes a las barreras para la búsqueda de ayuda profesional ante las conductas suicidas constituye un factor importante en la prevención del suicidio.</w:t>
      </w:r>
      <w:r w:rsidRPr="00893E50">
        <w:rPr>
          <w:rFonts w:eastAsia="Calibri"/>
          <w:vertAlign w:val="superscript"/>
          <w:lang w:eastAsia="en-US"/>
        </w:rPr>
        <w:t>(4)</w:t>
      </w:r>
      <w:r w:rsidRPr="00893E50">
        <w:rPr>
          <w:rFonts w:eastAsia="Calibri"/>
          <w:lang w:eastAsia="en-US"/>
        </w:rPr>
        <w:t xml:space="preserve"> En consecuencia, el estigma alrededor del suicidio supone uno de los factores claves</w:t>
      </w:r>
      <w:r w:rsidRPr="00893E50">
        <w:rPr>
          <w:rFonts w:eastAsia="Calibri"/>
          <w:color w:val="FF0000"/>
          <w:lang w:eastAsia="en-US"/>
        </w:rPr>
        <w:t>.</w:t>
      </w:r>
    </w:p>
    <w:p w14:paraId="672099DD" w14:textId="77777777" w:rsidR="00893E50" w:rsidRPr="00893E50" w:rsidRDefault="00893E50" w:rsidP="00893E50">
      <w:pPr>
        <w:spacing w:line="360" w:lineRule="auto"/>
        <w:jc w:val="both"/>
        <w:rPr>
          <w:rFonts w:eastAsia="Calibri"/>
          <w:lang w:eastAsia="en-US"/>
        </w:rPr>
      </w:pPr>
      <w:r w:rsidRPr="00893E50">
        <w:rPr>
          <w:rFonts w:eastAsia="Calibri"/>
          <w:lang w:eastAsia="en-US"/>
        </w:rPr>
        <w:lastRenderedPageBreak/>
        <w:t xml:space="preserve">En relación con la estructura interna, todos los ítems del </w:t>
      </w:r>
      <w:proofErr w:type="spellStart"/>
      <w:r w:rsidRPr="00893E50">
        <w:rPr>
          <w:rFonts w:eastAsia="Calibri"/>
          <w:lang w:eastAsia="en-US"/>
        </w:rPr>
        <w:t>SOSS-SF</w:t>
      </w:r>
      <w:proofErr w:type="spellEnd"/>
      <w:r w:rsidRPr="00893E50">
        <w:rPr>
          <w:rFonts w:eastAsia="Calibri"/>
          <w:lang w:eastAsia="en-US"/>
        </w:rPr>
        <w:t xml:space="preserve"> se adecuaron a la interpretación propuesta de la prueba psicológica. Este resultado concuerda con el estudio original y las adaptaciones realizadas en Alemania, Jordania, Puerto Rico, Bangladés y EE. UU.</w:t>
      </w:r>
      <w:r w:rsidRPr="00893E50">
        <w:rPr>
          <w:rFonts w:eastAsia="Calibri"/>
          <w:vertAlign w:val="superscript"/>
          <w:lang w:eastAsia="en-US"/>
        </w:rPr>
        <w:t>(8,9,10,11,12,13)</w:t>
      </w:r>
      <w:r w:rsidRPr="00893E50">
        <w:rPr>
          <w:rFonts w:eastAsia="Calibri"/>
          <w:lang w:eastAsia="en-US"/>
        </w:rPr>
        <w:t xml:space="preserve"> No obstante, previamente se determinó la covarianza de errores entre los ítems 3-4 (inmoral-una vergüenza) y 11-12 (perdidas-desconectadas), lo cual permite sugerir una similitud conceptual en ambos indicadores. De hecho, en el estudio de Jordania se realizó la covarianza de los ítems 3-4, del cual se puede comprender su conexión en el rasgo del estigma.</w:t>
      </w:r>
      <w:r w:rsidRPr="00893E50">
        <w:rPr>
          <w:rFonts w:eastAsia="Calibri"/>
          <w:vertAlign w:val="superscript"/>
          <w:lang w:eastAsia="en-US"/>
        </w:rPr>
        <w:t>(10)</w:t>
      </w:r>
      <w:r w:rsidRPr="00893E50">
        <w:rPr>
          <w:rFonts w:eastAsia="Calibri"/>
          <w:lang w:eastAsia="en-US"/>
        </w:rPr>
        <w:t xml:space="preserve"> </w:t>
      </w:r>
    </w:p>
    <w:p w14:paraId="68BBA9E5" w14:textId="77777777" w:rsidR="00893E50" w:rsidRPr="00893E50" w:rsidRDefault="00893E50" w:rsidP="00893E50">
      <w:pPr>
        <w:spacing w:line="360" w:lineRule="auto"/>
        <w:jc w:val="both"/>
        <w:rPr>
          <w:rFonts w:eastAsia="Calibri"/>
          <w:lang w:eastAsia="en-US"/>
        </w:rPr>
      </w:pPr>
      <w:r w:rsidRPr="00893E50">
        <w:rPr>
          <w:rFonts w:eastAsia="Calibri"/>
          <w:lang w:eastAsia="en-US"/>
        </w:rPr>
        <w:t>Las opiniones más prevalentes vinculadas a las personas que mueren por suicidio (p. ej., solitarias, aisladas, cobardes, irresponsables y perdidas), fueron similares en los estudios realizados</w:t>
      </w:r>
      <w:r w:rsidRPr="00893E50">
        <w:rPr>
          <w:rFonts w:eastAsia="Calibri"/>
          <w:vertAlign w:val="superscript"/>
          <w:lang w:eastAsia="en-US"/>
        </w:rPr>
        <w:t>(8,10,12)</w:t>
      </w:r>
      <w:r w:rsidRPr="00893E50">
        <w:rPr>
          <w:rFonts w:eastAsia="Calibri"/>
          <w:lang w:eastAsia="en-US"/>
        </w:rPr>
        <w:t xml:space="preserve"> en Australia, Jordania y Bangladés, lo que destacaría el estigma del suicidio a pesar de las diferencias culturales. </w:t>
      </w:r>
    </w:p>
    <w:p w14:paraId="0271A4A4"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Respecto a la consistencia interna, los coeficientes </w:t>
      </w:r>
      <w:proofErr w:type="spellStart"/>
      <w:r w:rsidRPr="00893E50">
        <w:rPr>
          <w:rFonts w:eastAsia="Calibri"/>
          <w:lang w:eastAsia="en-US"/>
        </w:rPr>
        <w:t>ω</w:t>
      </w:r>
      <w:r w:rsidRPr="00893E50">
        <w:rPr>
          <w:rFonts w:eastAsia="Calibri"/>
          <w:vertAlign w:val="subscript"/>
          <w:lang w:eastAsia="en-US"/>
        </w:rPr>
        <w:t>bayes</w:t>
      </w:r>
      <w:proofErr w:type="spellEnd"/>
      <w:r w:rsidRPr="00893E50">
        <w:rPr>
          <w:rFonts w:eastAsia="Calibri"/>
          <w:lang w:eastAsia="en-US"/>
        </w:rPr>
        <w:t xml:space="preserve"> y H demostraron que los ítems son homogéneos y coherentes en cada dimensión y reportan valores de confiabilidad aceptables. Este hallazgo concuerda con </w:t>
      </w:r>
      <w:r w:rsidRPr="00893E50">
        <w:rPr>
          <w:rFonts w:eastAsia="Calibri"/>
          <w:color w:val="000000"/>
          <w:lang w:eastAsia="en-US"/>
        </w:rPr>
        <w:t>los</w:t>
      </w:r>
      <w:r w:rsidRPr="00893E50">
        <w:rPr>
          <w:rFonts w:eastAsia="Calibri"/>
          <w:lang w:eastAsia="en-US"/>
        </w:rPr>
        <w:t xml:space="preserve"> estudios realizados en Europa y América.</w:t>
      </w:r>
      <w:r w:rsidRPr="00893E50">
        <w:rPr>
          <w:rFonts w:eastAsia="Calibri"/>
          <w:vertAlign w:val="superscript"/>
          <w:lang w:eastAsia="en-US"/>
        </w:rPr>
        <w:t>(8,9,10,11,12,13)</w:t>
      </w:r>
      <w:r w:rsidRPr="00893E50">
        <w:rPr>
          <w:rFonts w:eastAsia="Calibri"/>
          <w:lang w:eastAsia="en-US"/>
        </w:rPr>
        <w:t xml:space="preserve"> Asimismo, los resultados de invarianza demostraron que la estructura factorial es equivalente para el grupo de sexo. Este hallazgo coincide con el estudio de EE. UU., en el cual se encontró invarianza para hombres y mujeres.</w:t>
      </w:r>
      <w:r w:rsidRPr="00893E50">
        <w:rPr>
          <w:rFonts w:eastAsia="Calibri"/>
          <w:vertAlign w:val="superscript"/>
          <w:lang w:eastAsia="en-US"/>
        </w:rPr>
        <w:t>(13)</w:t>
      </w:r>
      <w:r w:rsidRPr="00893E50">
        <w:rPr>
          <w:rFonts w:eastAsia="Calibri"/>
          <w:lang w:eastAsia="en-US"/>
        </w:rPr>
        <w:t xml:space="preserve"> Lo anterior permite sugerir que futuras investigaciones puedan realizar análisis comparativos con relación al sexo, sin sesgo de medición, cuando se evalúe el estigma hacia el suicidio. </w:t>
      </w:r>
    </w:p>
    <w:p w14:paraId="5CC5D103"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El modelo realizado desde el enfoque TRI multidimensional fue adecuado para la estructura del </w:t>
      </w:r>
      <w:proofErr w:type="spellStart"/>
      <w:r w:rsidRPr="00893E50">
        <w:rPr>
          <w:rFonts w:eastAsia="Calibri"/>
          <w:lang w:eastAsia="en-US"/>
        </w:rPr>
        <w:t>SOSS-SF</w:t>
      </w:r>
      <w:proofErr w:type="spellEnd"/>
      <w:r w:rsidRPr="00893E50">
        <w:rPr>
          <w:rFonts w:eastAsia="Calibri"/>
          <w:lang w:eastAsia="en-US"/>
        </w:rPr>
        <w:t xml:space="preserve">. Aunque los estudios psicométricos previos no evaluaron las evidencias de los ítems desde este enfoque, el estudio actual refuerza sus propiedades psicométricas. En particular, se evidenció que el ítem 10 (“aisladas”), ítem 15 (“nobles”), ítem 16 (“dedicadas”) y el ítem 4 (“una vergüenza”), fueron los que mejor discriminaron el contenido del rasgo latente. Respecto al parámetro de dificultad, todos los umbrales pertenecientes a cada dimensión, aumentaron constantemente. </w:t>
      </w:r>
    </w:p>
    <w:p w14:paraId="2BF04B17"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Las curvas de información de los ítems muestran que en la dimensión estigma, fueron los ítems 4 y 3, dimensión aislamiento el ítem 10 y dimensión glorificación los ítems 15 y 16. Estos ítems podrían ser útiles para identificar si un adulto de población general presenta un estigma hacia las personas que mueren por suicidio, y podrían ser relevantes en los programas psicológicos de psicoeducación del </w:t>
      </w:r>
      <w:r w:rsidRPr="00893E50">
        <w:rPr>
          <w:rFonts w:eastAsia="Calibri"/>
          <w:lang w:eastAsia="en-US"/>
        </w:rPr>
        <w:lastRenderedPageBreak/>
        <w:t xml:space="preserve">suicidio. Además, el contenido de la escala para cada dimensión resulta ser más precisa en niveles relativamente bajos, medio y alto, lo que implica que el </w:t>
      </w:r>
      <w:proofErr w:type="spellStart"/>
      <w:r w:rsidRPr="00893E50">
        <w:rPr>
          <w:rFonts w:eastAsia="Calibri"/>
          <w:lang w:eastAsia="en-US"/>
        </w:rPr>
        <w:t>SOSS-SF</w:t>
      </w:r>
      <w:proofErr w:type="spellEnd"/>
      <w:r w:rsidRPr="00893E50">
        <w:rPr>
          <w:rFonts w:eastAsia="Calibri"/>
          <w:lang w:eastAsia="en-US"/>
        </w:rPr>
        <w:t xml:space="preserve"> captura un amplio nivel del estigma hacia las personas que mueren por suicidio.</w:t>
      </w:r>
    </w:p>
    <w:p w14:paraId="3C7D8A85"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Las contribuciones del estudio permiten recomendar el uso de la versión en español del </w:t>
      </w:r>
      <w:proofErr w:type="spellStart"/>
      <w:r w:rsidRPr="00893E50">
        <w:rPr>
          <w:rFonts w:eastAsia="Calibri"/>
          <w:lang w:eastAsia="en-US"/>
        </w:rPr>
        <w:t>SOSS-SF</w:t>
      </w:r>
      <w:proofErr w:type="spellEnd"/>
      <w:r w:rsidRPr="00893E50">
        <w:rPr>
          <w:rFonts w:eastAsia="Calibri"/>
          <w:lang w:eastAsia="en-US"/>
        </w:rPr>
        <w:t xml:space="preserve"> para evaluar el estigma del suicidio en adultos de población general con nivel educativo bajo y medio de Lima metropolitana y realizar comparaciones sin sesgo de medición en hombres y mujeres. Esto permite el desarrollo de estrategias de alfabetización en suicidio de carácter universal, social o intervenciones psicoeducativas orientadas a disminuir el estigma del suicidio y su efecto negativo en la detección precoz de la conducta suicida, potenciar la intención de pedir ayuda profesional o en el entorno familiar y social más cercano.</w:t>
      </w:r>
    </w:p>
    <w:p w14:paraId="3737F000" w14:textId="77777777" w:rsidR="00893E50" w:rsidRPr="00893E50" w:rsidRDefault="00893E50" w:rsidP="00893E50">
      <w:pPr>
        <w:spacing w:line="360" w:lineRule="auto"/>
        <w:jc w:val="both"/>
        <w:rPr>
          <w:rFonts w:eastAsia="Calibri"/>
          <w:lang w:eastAsia="en-US"/>
        </w:rPr>
      </w:pPr>
      <w:r w:rsidRPr="00893E50">
        <w:rPr>
          <w:rFonts w:eastAsia="Calibri"/>
          <w:lang w:eastAsia="en-US"/>
        </w:rPr>
        <w:t>De la presente investigación, se infieren como fortalezas, el tamaño de muestra y los nuevos aportes psicométricos. Los estudios previos utilizaron un enfoque frecuentista para estimar la consistencia interna y solo se basaron en explorar la estructura factorial global.</w:t>
      </w:r>
      <w:r w:rsidRPr="00893E50">
        <w:rPr>
          <w:rFonts w:eastAsia="Calibri"/>
          <w:vertAlign w:val="superscript"/>
          <w:lang w:eastAsia="en-US"/>
        </w:rPr>
        <w:t>(8,9,10,11,12,13)</w:t>
      </w:r>
      <w:r w:rsidRPr="00893E50">
        <w:rPr>
          <w:rFonts w:eastAsia="Calibri"/>
          <w:lang w:eastAsia="en-US"/>
        </w:rPr>
        <w:t xml:space="preserve"> El estudio actual refuerza la confiabilidad de las puntuaciones a través de un enfoque bayesiano y aporta nuevas evidencias a nivel del ítem de cada dimensión del </w:t>
      </w:r>
      <w:proofErr w:type="spellStart"/>
      <w:r w:rsidRPr="00893E50">
        <w:rPr>
          <w:rFonts w:eastAsia="Calibri"/>
          <w:lang w:eastAsia="en-US"/>
        </w:rPr>
        <w:t>SOSS-SF</w:t>
      </w:r>
      <w:proofErr w:type="spellEnd"/>
      <w:r w:rsidRPr="00893E50">
        <w:rPr>
          <w:rFonts w:eastAsia="Calibri"/>
          <w:lang w:eastAsia="en-US"/>
        </w:rPr>
        <w:t xml:space="preserve"> a partir de la TRI. Se destacan como limitaciones: el muestreo utilizado fue por conveniencia, lo que no permite ampliar los resultados a otros departamentos del país; las propiedades psicométricas se evaluaron en adultos de población general con niveles educativos bajo y medio, en el cual se recomienda replicar sus evidencias en otros estadios de desarrollo y educación de nivel superior; la recolección de información fue presencial y un sesgo de los participantes podría ser la deseabilidad social al contestar los ítems vinculados al estigma del suicidio y por último, no se pudo evaluar la estabilidad de la confiabilidad o invarianza longitudinal, debido al diseño transversal del estudio. Las próximas investigaciones deben considerar un diseño longitudinal de los datos y realizar aquellos análisis. </w:t>
      </w:r>
    </w:p>
    <w:p w14:paraId="77FF081D" w14:textId="77777777" w:rsidR="00893E50" w:rsidRPr="00893E50" w:rsidRDefault="00893E50" w:rsidP="00893E50">
      <w:pPr>
        <w:spacing w:line="360" w:lineRule="auto"/>
        <w:jc w:val="both"/>
        <w:rPr>
          <w:rFonts w:eastAsia="Calibri"/>
          <w:lang w:eastAsia="en-US"/>
        </w:rPr>
      </w:pPr>
      <w:r w:rsidRPr="00893E50">
        <w:rPr>
          <w:rFonts w:eastAsia="Calibri"/>
          <w:lang w:eastAsia="en-US"/>
        </w:rPr>
        <w:t>Los resultados proporcionan adecuadas fuentes de evidencias de validez desde un enfoque mixto (</w:t>
      </w:r>
      <w:proofErr w:type="spellStart"/>
      <w:r w:rsidRPr="00893E50">
        <w:rPr>
          <w:rFonts w:eastAsia="Calibri"/>
          <w:lang w:eastAsia="en-US"/>
        </w:rPr>
        <w:t>TCT</w:t>
      </w:r>
      <w:proofErr w:type="spellEnd"/>
      <w:r w:rsidRPr="00893E50">
        <w:rPr>
          <w:rFonts w:eastAsia="Calibri"/>
          <w:lang w:eastAsia="en-US"/>
        </w:rPr>
        <w:t xml:space="preserve"> y TRI) para las dimensiones e ítems del </w:t>
      </w:r>
      <w:proofErr w:type="spellStart"/>
      <w:r w:rsidRPr="00893E50">
        <w:rPr>
          <w:rFonts w:eastAsia="Calibri"/>
          <w:lang w:eastAsia="en-US"/>
        </w:rPr>
        <w:t>SOSS-SF</w:t>
      </w:r>
      <w:proofErr w:type="spellEnd"/>
      <w:r w:rsidRPr="00893E50">
        <w:rPr>
          <w:rFonts w:eastAsia="Calibri"/>
          <w:lang w:eastAsia="en-US"/>
        </w:rPr>
        <w:t xml:space="preserve"> en versión español. Por lo tanto, las interpretaciones realizadas a partir de sus puntuaciones en adultos de población general residente en Lima metropolitana son adecuadas y válidas, en el cual se recomienda su uso para evaluar el estigma del suicidio y realizar análisis comparativos entre hombres y mujeres.</w:t>
      </w:r>
    </w:p>
    <w:p w14:paraId="0DE731C1" w14:textId="77777777" w:rsidR="00893E50" w:rsidRPr="00893E50" w:rsidRDefault="00893E50" w:rsidP="00893E50">
      <w:pPr>
        <w:spacing w:line="360" w:lineRule="auto"/>
        <w:jc w:val="both"/>
        <w:rPr>
          <w:rFonts w:eastAsia="Calibri"/>
          <w:lang w:eastAsia="en-US"/>
        </w:rPr>
      </w:pPr>
      <w:r w:rsidRPr="00893E50">
        <w:rPr>
          <w:rFonts w:eastAsia="Calibri"/>
          <w:lang w:eastAsia="en-US"/>
        </w:rPr>
        <w:lastRenderedPageBreak/>
        <w:t xml:space="preserve">Se concluye que la versión en español del </w:t>
      </w:r>
      <w:proofErr w:type="spellStart"/>
      <w:r w:rsidRPr="00893E50">
        <w:rPr>
          <w:rFonts w:eastAsia="Calibri"/>
          <w:lang w:eastAsia="en-US"/>
        </w:rPr>
        <w:t>SOSS-SF</w:t>
      </w:r>
      <w:proofErr w:type="spellEnd"/>
      <w:r w:rsidRPr="00893E50">
        <w:rPr>
          <w:rFonts w:eastAsia="Calibri"/>
          <w:lang w:eastAsia="en-US"/>
        </w:rPr>
        <w:t xml:space="preserve"> presenta evidencias de validez basadas en el contenido, estructura interna, confiabilidad, invarianza y respuestas del ítem. Se recomienda su uso para la interpretación e inferencia de sus puntuaciones en la evaluación del estigma hacia el suicidio en población general adulta peruana.</w:t>
      </w:r>
    </w:p>
    <w:p w14:paraId="796C7E45" w14:textId="77777777" w:rsidR="00893E50" w:rsidRPr="00893E50" w:rsidRDefault="00893E50" w:rsidP="00893E50">
      <w:pPr>
        <w:spacing w:line="360" w:lineRule="auto"/>
        <w:jc w:val="both"/>
        <w:rPr>
          <w:rFonts w:eastAsia="Calibri"/>
          <w:lang w:eastAsia="en-US"/>
        </w:rPr>
      </w:pPr>
    </w:p>
    <w:p w14:paraId="52351001" w14:textId="77777777" w:rsidR="00893E50" w:rsidRPr="00893E50" w:rsidRDefault="00893E50" w:rsidP="00893E50">
      <w:pPr>
        <w:spacing w:line="360" w:lineRule="auto"/>
        <w:jc w:val="both"/>
        <w:rPr>
          <w:rFonts w:eastAsia="Calibri"/>
          <w:lang w:eastAsia="en-US"/>
        </w:rPr>
      </w:pPr>
    </w:p>
    <w:p w14:paraId="58B3E8C7" w14:textId="77777777" w:rsidR="00893E50" w:rsidRPr="00893E50" w:rsidRDefault="00893E50" w:rsidP="00893E50">
      <w:pPr>
        <w:spacing w:line="360" w:lineRule="auto"/>
        <w:jc w:val="center"/>
        <w:rPr>
          <w:rFonts w:eastAsia="Calibri"/>
          <w:b/>
          <w:bCs/>
          <w:sz w:val="32"/>
          <w:szCs w:val="32"/>
          <w:lang w:eastAsia="en-US"/>
        </w:rPr>
      </w:pPr>
      <w:r w:rsidRPr="00893E50">
        <w:rPr>
          <w:rFonts w:eastAsia="Calibri"/>
          <w:b/>
          <w:bCs/>
          <w:sz w:val="32"/>
          <w:szCs w:val="32"/>
          <w:lang w:eastAsia="en-US"/>
        </w:rPr>
        <w:t>REFERENCIAS BIBLIOGRÁFICAS</w:t>
      </w:r>
    </w:p>
    <w:p w14:paraId="08F60226" w14:textId="77777777" w:rsidR="00893E50" w:rsidRPr="00893E50" w:rsidRDefault="00893E50" w:rsidP="00893E50">
      <w:pPr>
        <w:spacing w:line="360" w:lineRule="auto"/>
        <w:rPr>
          <w:rFonts w:eastAsia="Calibri"/>
          <w:lang w:val="es-CU" w:eastAsia="en-US"/>
        </w:rPr>
      </w:pPr>
      <w:r w:rsidRPr="00893E50">
        <w:rPr>
          <w:rFonts w:eastAsia="Calibri"/>
          <w:lang w:val="es-CU" w:eastAsia="en-US"/>
        </w:rPr>
        <w:t xml:space="preserve">1. Organización Mundial de la Salud. Suicidio. Ginebra: OMS; 2021 [acceso: 17/10/2022]. Disponible en: </w:t>
      </w:r>
      <w:hyperlink r:id="rId18" w:history="1">
        <w:r w:rsidRPr="00893E50">
          <w:rPr>
            <w:rFonts w:eastAsia="Calibri"/>
            <w:color w:val="0563C1"/>
            <w:lang w:val="es-CU" w:eastAsia="en-US"/>
          </w:rPr>
          <w:t>https://www.who.int/es/news-room/fact-sheets/detail/suicide</w:t>
        </w:r>
      </w:hyperlink>
      <w:r w:rsidRPr="00893E50">
        <w:rPr>
          <w:rFonts w:eastAsia="Calibri"/>
          <w:lang w:val="es-CU" w:eastAsia="en-US"/>
        </w:rPr>
        <w:t xml:space="preserve">  </w:t>
      </w:r>
    </w:p>
    <w:p w14:paraId="60BD15D6"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2. </w:t>
      </w:r>
      <w:proofErr w:type="spellStart"/>
      <w:r w:rsidRPr="00893E50">
        <w:rPr>
          <w:rFonts w:eastAsia="Calibri"/>
          <w:lang w:val="en-US" w:eastAsia="en-US"/>
        </w:rPr>
        <w:t>Turecki</w:t>
      </w:r>
      <w:proofErr w:type="spellEnd"/>
      <w:r w:rsidRPr="00893E50">
        <w:rPr>
          <w:rFonts w:eastAsia="Calibri"/>
          <w:lang w:val="en-US" w:eastAsia="en-US"/>
        </w:rPr>
        <w:t xml:space="preserve"> G, Brent DA, Gunnell D, O'Connor RC, Oquendo MA, </w:t>
      </w:r>
      <w:proofErr w:type="spellStart"/>
      <w:r w:rsidRPr="00893E50">
        <w:rPr>
          <w:rFonts w:eastAsia="Calibri"/>
          <w:lang w:val="en-US" w:eastAsia="en-US"/>
        </w:rPr>
        <w:t>Pirkis</w:t>
      </w:r>
      <w:proofErr w:type="spellEnd"/>
      <w:r w:rsidRPr="00893E50">
        <w:rPr>
          <w:rFonts w:eastAsia="Calibri"/>
          <w:lang w:val="en-US" w:eastAsia="en-US"/>
        </w:rPr>
        <w:t xml:space="preserve"> J, et al. Suicide and suicide risk. Nat Rev Dis Primers. 2019; 5:74. DOI: 10.1038/</w:t>
      </w:r>
      <w:proofErr w:type="spellStart"/>
      <w:r w:rsidRPr="00893E50">
        <w:rPr>
          <w:rFonts w:eastAsia="Calibri"/>
          <w:lang w:val="en-US" w:eastAsia="en-US"/>
        </w:rPr>
        <w:t>s41572</w:t>
      </w:r>
      <w:proofErr w:type="spellEnd"/>
      <w:r w:rsidRPr="00893E50">
        <w:rPr>
          <w:rFonts w:eastAsia="Calibri"/>
          <w:lang w:val="en-US" w:eastAsia="en-US"/>
        </w:rPr>
        <w:t>-019-0121-0</w:t>
      </w:r>
    </w:p>
    <w:p w14:paraId="50FBAF1F"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3. Fitzpatrick </w:t>
      </w:r>
      <w:proofErr w:type="spellStart"/>
      <w:r w:rsidRPr="00893E50">
        <w:rPr>
          <w:rFonts w:eastAsia="Calibri"/>
          <w:lang w:val="en-US" w:eastAsia="en-US"/>
        </w:rPr>
        <w:t>SJ</w:t>
      </w:r>
      <w:proofErr w:type="spellEnd"/>
      <w:r w:rsidRPr="00893E50">
        <w:rPr>
          <w:rFonts w:eastAsia="Calibri"/>
          <w:lang w:val="en-US" w:eastAsia="en-US"/>
        </w:rPr>
        <w:t xml:space="preserve">. The moral and political economy of suicide prevention. J </w:t>
      </w:r>
      <w:proofErr w:type="spellStart"/>
      <w:r w:rsidRPr="00893E50">
        <w:rPr>
          <w:rFonts w:eastAsia="Calibri"/>
          <w:lang w:val="en-US" w:eastAsia="en-US"/>
        </w:rPr>
        <w:t>Sociol</w:t>
      </w:r>
      <w:proofErr w:type="spellEnd"/>
      <w:r w:rsidRPr="00893E50">
        <w:rPr>
          <w:rFonts w:eastAsia="Calibri"/>
          <w:lang w:val="en-US" w:eastAsia="en-US"/>
        </w:rPr>
        <w:t>. 2021; 58(1):113-29. DOI: 10.1177/14407833211001112</w:t>
      </w:r>
    </w:p>
    <w:p w14:paraId="627A262E" w14:textId="77777777" w:rsidR="00893E50" w:rsidRPr="00893E50" w:rsidRDefault="00893E50" w:rsidP="00893E50">
      <w:pPr>
        <w:spacing w:line="360" w:lineRule="auto"/>
        <w:rPr>
          <w:rFonts w:eastAsia="Calibri"/>
          <w:lang w:val="es-CU" w:eastAsia="en-US"/>
        </w:rPr>
      </w:pPr>
      <w:r w:rsidRPr="00893E50">
        <w:rPr>
          <w:rFonts w:eastAsia="Calibri"/>
          <w:lang w:val="en-US" w:eastAsia="en-US"/>
        </w:rPr>
        <w:t xml:space="preserve">4. Han J, </w:t>
      </w:r>
      <w:proofErr w:type="spellStart"/>
      <w:r w:rsidRPr="00893E50">
        <w:rPr>
          <w:rFonts w:eastAsia="Calibri"/>
          <w:lang w:val="en-US" w:eastAsia="en-US"/>
        </w:rPr>
        <w:t>Batterham</w:t>
      </w:r>
      <w:proofErr w:type="spellEnd"/>
      <w:r w:rsidRPr="00893E50">
        <w:rPr>
          <w:rFonts w:eastAsia="Calibri"/>
          <w:lang w:val="en-US" w:eastAsia="en-US"/>
        </w:rPr>
        <w:t xml:space="preserve"> PJ, </w:t>
      </w:r>
      <w:proofErr w:type="spellStart"/>
      <w:r w:rsidRPr="00893E50">
        <w:rPr>
          <w:rFonts w:eastAsia="Calibri"/>
          <w:lang w:val="en-US" w:eastAsia="en-US"/>
        </w:rPr>
        <w:t>Calear</w:t>
      </w:r>
      <w:proofErr w:type="spellEnd"/>
      <w:r w:rsidRPr="00893E50">
        <w:rPr>
          <w:rFonts w:eastAsia="Calibri"/>
          <w:lang w:val="en-US" w:eastAsia="en-US"/>
        </w:rPr>
        <w:t xml:space="preserve"> AL, Randall R. Factors Influencing Professional Help-Seeking for Suicidality: A Systematic Review. </w:t>
      </w:r>
      <w:r w:rsidRPr="00893E50">
        <w:rPr>
          <w:rFonts w:eastAsia="Calibri"/>
          <w:lang w:val="es-CU" w:eastAsia="en-US"/>
        </w:rPr>
        <w:t xml:space="preserve">Crisis. 2017; 39(3):175-96. </w:t>
      </w:r>
      <w:proofErr w:type="spellStart"/>
      <w:r w:rsidRPr="00893E50">
        <w:rPr>
          <w:rFonts w:eastAsia="Calibri"/>
          <w:lang w:val="es-CU" w:eastAsia="en-US"/>
        </w:rPr>
        <w:t>DOI</w:t>
      </w:r>
      <w:proofErr w:type="spellEnd"/>
      <w:r w:rsidRPr="00893E50">
        <w:rPr>
          <w:rFonts w:eastAsia="Calibri"/>
          <w:lang w:val="es-CU" w:eastAsia="en-US"/>
        </w:rPr>
        <w:t>: 10.1027/0227-5910/</w:t>
      </w:r>
      <w:proofErr w:type="spellStart"/>
      <w:r w:rsidRPr="00893E50">
        <w:rPr>
          <w:rFonts w:eastAsia="Calibri"/>
          <w:lang w:val="es-CU" w:eastAsia="en-US"/>
        </w:rPr>
        <w:t>a000485</w:t>
      </w:r>
      <w:proofErr w:type="spellEnd"/>
    </w:p>
    <w:p w14:paraId="03179E76" w14:textId="77777777" w:rsidR="00893E50" w:rsidRPr="00893E50" w:rsidRDefault="00893E50" w:rsidP="00893E50">
      <w:pPr>
        <w:spacing w:line="360" w:lineRule="auto"/>
        <w:rPr>
          <w:rFonts w:eastAsia="Calibri"/>
          <w:lang w:val="es-CU" w:eastAsia="en-US"/>
        </w:rPr>
      </w:pPr>
      <w:r w:rsidRPr="00893E50">
        <w:rPr>
          <w:rFonts w:eastAsia="Calibri"/>
          <w:lang w:val="es-CU" w:eastAsia="en-US"/>
        </w:rPr>
        <w:t xml:space="preserve">5. Organización Mundial de la Salud. Prevenir el suicidio: un imperativo mundial. Ginebra: OMS; 2014 [acceso: 17/10/2022]. Disponible en: </w:t>
      </w:r>
      <w:hyperlink r:id="rId19" w:history="1">
        <w:r w:rsidRPr="00893E50">
          <w:rPr>
            <w:rFonts w:eastAsia="Calibri"/>
            <w:color w:val="0563C1"/>
            <w:lang w:val="es-CU" w:eastAsia="en-US"/>
          </w:rPr>
          <w:t>https://www.who.int/publications/i/item/9789241564779</w:t>
        </w:r>
      </w:hyperlink>
      <w:r w:rsidRPr="00893E50">
        <w:rPr>
          <w:rFonts w:eastAsia="Calibri"/>
          <w:lang w:val="es-CU" w:eastAsia="en-US"/>
        </w:rPr>
        <w:t xml:space="preserve">   </w:t>
      </w:r>
    </w:p>
    <w:p w14:paraId="3C26CFFC"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6. Link BG, Phelan JC. Stigma and its public health implications. Lancet. 2006; 367(9509):528-29. DOI: 10.1016/</w:t>
      </w:r>
      <w:proofErr w:type="spellStart"/>
      <w:r w:rsidRPr="00893E50">
        <w:rPr>
          <w:rFonts w:eastAsia="Calibri"/>
          <w:lang w:val="en-US" w:eastAsia="en-US"/>
        </w:rPr>
        <w:t>S0140</w:t>
      </w:r>
      <w:proofErr w:type="spellEnd"/>
      <w:r w:rsidRPr="00893E50">
        <w:rPr>
          <w:rFonts w:eastAsia="Calibri"/>
          <w:lang w:val="en-US" w:eastAsia="en-US"/>
        </w:rPr>
        <w:t>-6736(06)68184-1</w:t>
      </w:r>
    </w:p>
    <w:p w14:paraId="3805DC74"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7. Al-</w:t>
      </w:r>
      <w:proofErr w:type="spellStart"/>
      <w:r w:rsidRPr="00893E50">
        <w:rPr>
          <w:rFonts w:eastAsia="Calibri"/>
          <w:lang w:val="en-US" w:eastAsia="en-US"/>
        </w:rPr>
        <w:t>Shannaq</w:t>
      </w:r>
      <w:proofErr w:type="spellEnd"/>
      <w:r w:rsidRPr="00893E50">
        <w:rPr>
          <w:rFonts w:eastAsia="Calibri"/>
          <w:lang w:val="en-US" w:eastAsia="en-US"/>
        </w:rPr>
        <w:t xml:space="preserve"> Y, </w:t>
      </w:r>
      <w:proofErr w:type="spellStart"/>
      <w:r w:rsidRPr="00893E50">
        <w:rPr>
          <w:rFonts w:eastAsia="Calibri"/>
          <w:lang w:val="en-US" w:eastAsia="en-US"/>
        </w:rPr>
        <w:t>Aldalaykeh</w:t>
      </w:r>
      <w:proofErr w:type="spellEnd"/>
      <w:r w:rsidRPr="00893E50">
        <w:rPr>
          <w:rFonts w:eastAsia="Calibri"/>
          <w:lang w:val="en-US" w:eastAsia="en-US"/>
        </w:rPr>
        <w:t xml:space="preserve"> M. Suicide literacy, suicide stigma, and psychological help seeking attitudes among Arab youth. </w:t>
      </w:r>
      <w:proofErr w:type="spellStart"/>
      <w:r w:rsidRPr="00893E50">
        <w:rPr>
          <w:rFonts w:eastAsia="Calibri"/>
          <w:lang w:val="en-US" w:eastAsia="en-US"/>
        </w:rPr>
        <w:t>Curr</w:t>
      </w:r>
      <w:proofErr w:type="spellEnd"/>
      <w:r w:rsidRPr="00893E50">
        <w:rPr>
          <w:rFonts w:eastAsia="Calibri"/>
          <w:lang w:val="en-US" w:eastAsia="en-US"/>
        </w:rPr>
        <w:t xml:space="preserve"> Psychol. 2021; 42:6532–44. DOI: 10.1007/</w:t>
      </w:r>
      <w:proofErr w:type="spellStart"/>
      <w:r w:rsidRPr="00893E50">
        <w:rPr>
          <w:rFonts w:eastAsia="Calibri"/>
          <w:lang w:val="en-US" w:eastAsia="en-US"/>
        </w:rPr>
        <w:t>s12144</w:t>
      </w:r>
      <w:proofErr w:type="spellEnd"/>
      <w:r w:rsidRPr="00893E50">
        <w:rPr>
          <w:rFonts w:eastAsia="Calibri"/>
          <w:lang w:val="en-US" w:eastAsia="en-US"/>
        </w:rPr>
        <w:t>-021-02007-9</w:t>
      </w:r>
    </w:p>
    <w:p w14:paraId="53E719D1"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8. </w:t>
      </w:r>
      <w:proofErr w:type="spellStart"/>
      <w:r w:rsidRPr="00893E50">
        <w:rPr>
          <w:rFonts w:eastAsia="Calibri"/>
          <w:lang w:val="en-US" w:eastAsia="en-US"/>
        </w:rPr>
        <w:t>Batterham</w:t>
      </w:r>
      <w:proofErr w:type="spellEnd"/>
      <w:r w:rsidRPr="00893E50">
        <w:rPr>
          <w:rFonts w:eastAsia="Calibri"/>
          <w:lang w:val="en-US" w:eastAsia="en-US"/>
        </w:rPr>
        <w:t xml:space="preserve"> PJ, </w:t>
      </w:r>
      <w:proofErr w:type="spellStart"/>
      <w:r w:rsidRPr="00893E50">
        <w:rPr>
          <w:rFonts w:eastAsia="Calibri"/>
          <w:lang w:val="en-US" w:eastAsia="en-US"/>
        </w:rPr>
        <w:t>Calear</w:t>
      </w:r>
      <w:proofErr w:type="spellEnd"/>
      <w:r w:rsidRPr="00893E50">
        <w:rPr>
          <w:rFonts w:eastAsia="Calibri"/>
          <w:lang w:val="en-US" w:eastAsia="en-US"/>
        </w:rPr>
        <w:t xml:space="preserve"> AL, Christensen H. The Stigma of Suicide Scale: Psychometric properties and correlates of the stigma of suicide. Crisis. 2013; 34(1):13-21. DOI: 10.1027/0227-5910/</w:t>
      </w:r>
      <w:proofErr w:type="spellStart"/>
      <w:r w:rsidRPr="00893E50">
        <w:rPr>
          <w:rFonts w:eastAsia="Calibri"/>
          <w:lang w:val="en-US" w:eastAsia="en-US"/>
        </w:rPr>
        <w:t>a000156</w:t>
      </w:r>
      <w:proofErr w:type="spellEnd"/>
    </w:p>
    <w:p w14:paraId="63D6524C"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9. Ludwig J, </w:t>
      </w:r>
      <w:proofErr w:type="spellStart"/>
      <w:r w:rsidRPr="00893E50">
        <w:rPr>
          <w:rFonts w:eastAsia="Calibri"/>
          <w:lang w:val="en-US" w:eastAsia="en-US"/>
        </w:rPr>
        <w:t>Liebherz</w:t>
      </w:r>
      <w:proofErr w:type="spellEnd"/>
      <w:r w:rsidRPr="00893E50">
        <w:rPr>
          <w:rFonts w:eastAsia="Calibri"/>
          <w:lang w:val="en-US" w:eastAsia="en-US"/>
        </w:rPr>
        <w:t xml:space="preserve"> S, Dreier M, </w:t>
      </w:r>
      <w:proofErr w:type="spellStart"/>
      <w:r w:rsidRPr="00893E50">
        <w:rPr>
          <w:rFonts w:eastAsia="Calibri"/>
          <w:lang w:val="en-US" w:eastAsia="en-US"/>
        </w:rPr>
        <w:t>Härter</w:t>
      </w:r>
      <w:proofErr w:type="spellEnd"/>
      <w:r w:rsidRPr="00893E50">
        <w:rPr>
          <w:rFonts w:eastAsia="Calibri"/>
          <w:lang w:val="en-US" w:eastAsia="en-US"/>
        </w:rPr>
        <w:t xml:space="preserve"> M, von dem </w:t>
      </w:r>
      <w:proofErr w:type="spellStart"/>
      <w:r w:rsidRPr="00893E50">
        <w:rPr>
          <w:rFonts w:eastAsia="Calibri"/>
          <w:lang w:val="en-US" w:eastAsia="en-US"/>
        </w:rPr>
        <w:t>Knesebeck</w:t>
      </w:r>
      <w:proofErr w:type="spellEnd"/>
      <w:r w:rsidRPr="00893E50">
        <w:rPr>
          <w:rFonts w:eastAsia="Calibri"/>
          <w:lang w:val="en-US" w:eastAsia="en-US"/>
        </w:rPr>
        <w:t xml:space="preserve"> O. The Stigma of Suicide Scale: Psychometric Validation of the German Short Version (SOSS-SF-D). </w:t>
      </w:r>
      <w:proofErr w:type="spellStart"/>
      <w:r w:rsidRPr="00893E50">
        <w:rPr>
          <w:rFonts w:eastAsia="Calibri"/>
          <w:lang w:val="en-US" w:eastAsia="en-US"/>
        </w:rPr>
        <w:t>Psychiatr</w:t>
      </w:r>
      <w:proofErr w:type="spellEnd"/>
      <w:r w:rsidRPr="00893E50">
        <w:rPr>
          <w:rFonts w:eastAsia="Calibri"/>
          <w:lang w:val="en-US" w:eastAsia="en-US"/>
        </w:rPr>
        <w:t xml:space="preserve"> </w:t>
      </w:r>
      <w:proofErr w:type="spellStart"/>
      <w:r w:rsidRPr="00893E50">
        <w:rPr>
          <w:rFonts w:eastAsia="Calibri"/>
          <w:lang w:val="en-US" w:eastAsia="en-US"/>
        </w:rPr>
        <w:t>Prax</w:t>
      </w:r>
      <w:proofErr w:type="spellEnd"/>
      <w:r w:rsidRPr="00893E50">
        <w:rPr>
          <w:rFonts w:eastAsia="Calibri"/>
          <w:lang w:val="en-US" w:eastAsia="en-US"/>
        </w:rPr>
        <w:t>. 2020; 47(8):433-39. DOI: 10.1055/a-1145-3992</w:t>
      </w:r>
    </w:p>
    <w:p w14:paraId="3020129D"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10. </w:t>
      </w:r>
      <w:proofErr w:type="spellStart"/>
      <w:r w:rsidRPr="00893E50">
        <w:rPr>
          <w:rFonts w:eastAsia="Calibri"/>
          <w:lang w:val="en-US" w:eastAsia="en-US"/>
        </w:rPr>
        <w:t>Aldalaykeh</w:t>
      </w:r>
      <w:proofErr w:type="spellEnd"/>
      <w:r w:rsidRPr="00893E50">
        <w:rPr>
          <w:rFonts w:eastAsia="Calibri"/>
          <w:lang w:val="en-US" w:eastAsia="en-US"/>
        </w:rPr>
        <w:t xml:space="preserve"> M, </w:t>
      </w:r>
      <w:proofErr w:type="spellStart"/>
      <w:r w:rsidRPr="00893E50">
        <w:rPr>
          <w:rFonts w:eastAsia="Calibri"/>
          <w:lang w:val="en-US" w:eastAsia="en-US"/>
        </w:rPr>
        <w:t>Dalky</w:t>
      </w:r>
      <w:proofErr w:type="spellEnd"/>
      <w:r w:rsidRPr="00893E50">
        <w:rPr>
          <w:rFonts w:eastAsia="Calibri"/>
          <w:lang w:val="en-US" w:eastAsia="en-US"/>
        </w:rPr>
        <w:t xml:space="preserve"> H, </w:t>
      </w:r>
      <w:proofErr w:type="spellStart"/>
      <w:r w:rsidRPr="00893E50">
        <w:rPr>
          <w:rFonts w:eastAsia="Calibri"/>
          <w:lang w:val="en-US" w:eastAsia="en-US"/>
        </w:rPr>
        <w:t>Shahrour</w:t>
      </w:r>
      <w:proofErr w:type="spellEnd"/>
      <w:r w:rsidRPr="00893E50">
        <w:rPr>
          <w:rFonts w:eastAsia="Calibri"/>
          <w:lang w:val="en-US" w:eastAsia="en-US"/>
        </w:rPr>
        <w:t xml:space="preserve"> G, </w:t>
      </w:r>
      <w:proofErr w:type="spellStart"/>
      <w:r w:rsidRPr="00893E50">
        <w:rPr>
          <w:rFonts w:eastAsia="Calibri"/>
          <w:lang w:val="en-US" w:eastAsia="en-US"/>
        </w:rPr>
        <w:t>Rababa</w:t>
      </w:r>
      <w:proofErr w:type="spellEnd"/>
      <w:r w:rsidRPr="00893E50">
        <w:rPr>
          <w:rFonts w:eastAsia="Calibri"/>
          <w:lang w:val="en-US" w:eastAsia="en-US"/>
        </w:rPr>
        <w:t xml:space="preserve"> M. Psychometric properties of two Arabic Suicide Scales: stigma and literacy. </w:t>
      </w:r>
      <w:proofErr w:type="spellStart"/>
      <w:r w:rsidRPr="00893E50">
        <w:rPr>
          <w:rFonts w:eastAsia="Calibri"/>
          <w:lang w:val="en-US" w:eastAsia="en-US"/>
        </w:rPr>
        <w:t>Heliyon</w:t>
      </w:r>
      <w:proofErr w:type="spellEnd"/>
      <w:r w:rsidRPr="00893E50">
        <w:rPr>
          <w:rFonts w:eastAsia="Calibri"/>
          <w:lang w:val="en-US" w:eastAsia="en-US"/>
        </w:rPr>
        <w:t>. 2020; 6(4):</w:t>
      </w:r>
      <w:proofErr w:type="spellStart"/>
      <w:r w:rsidRPr="00893E50">
        <w:rPr>
          <w:rFonts w:eastAsia="Calibri"/>
          <w:lang w:val="en-US" w:eastAsia="en-US"/>
        </w:rPr>
        <w:t>e03877</w:t>
      </w:r>
      <w:proofErr w:type="spellEnd"/>
      <w:r w:rsidRPr="00893E50">
        <w:rPr>
          <w:rFonts w:eastAsia="Calibri"/>
          <w:lang w:val="en-US" w:eastAsia="en-US"/>
        </w:rPr>
        <w:t>. DOI: 10.1016/</w:t>
      </w:r>
      <w:proofErr w:type="spellStart"/>
      <w:r w:rsidRPr="00893E50">
        <w:rPr>
          <w:rFonts w:eastAsia="Calibri"/>
          <w:lang w:val="en-US" w:eastAsia="en-US"/>
        </w:rPr>
        <w:t>j.heliyon.2020.e03877</w:t>
      </w:r>
      <w:proofErr w:type="spellEnd"/>
    </w:p>
    <w:p w14:paraId="5976E52E" w14:textId="77777777" w:rsidR="00893E50" w:rsidRPr="00893E50" w:rsidRDefault="00893E50" w:rsidP="00893E50">
      <w:pPr>
        <w:spacing w:line="360" w:lineRule="auto"/>
        <w:rPr>
          <w:rFonts w:eastAsia="Calibri"/>
          <w:lang w:val="en-US" w:eastAsia="en-US"/>
        </w:rPr>
      </w:pPr>
      <w:r w:rsidRPr="00893E50">
        <w:rPr>
          <w:rFonts w:eastAsia="Calibri"/>
          <w:lang w:val="en-US" w:eastAsia="en-US"/>
        </w:rPr>
        <w:lastRenderedPageBreak/>
        <w:t xml:space="preserve">11. Hernández-Torres R, </w:t>
      </w:r>
      <w:proofErr w:type="spellStart"/>
      <w:r w:rsidRPr="00893E50">
        <w:rPr>
          <w:rFonts w:eastAsia="Calibri"/>
          <w:lang w:val="en-US" w:eastAsia="en-US"/>
        </w:rPr>
        <w:t>Carminelli-Corretjer</w:t>
      </w:r>
      <w:proofErr w:type="spellEnd"/>
      <w:r w:rsidRPr="00893E50">
        <w:rPr>
          <w:rFonts w:eastAsia="Calibri"/>
          <w:lang w:val="en-US" w:eastAsia="en-US"/>
        </w:rPr>
        <w:t xml:space="preserve"> P, </w:t>
      </w:r>
      <w:proofErr w:type="spellStart"/>
      <w:r w:rsidRPr="00893E50">
        <w:rPr>
          <w:rFonts w:eastAsia="Calibri"/>
          <w:lang w:val="en-US" w:eastAsia="en-US"/>
        </w:rPr>
        <w:t>Tollinchi</w:t>
      </w:r>
      <w:proofErr w:type="spellEnd"/>
      <w:r w:rsidRPr="00893E50">
        <w:rPr>
          <w:rFonts w:eastAsia="Calibri"/>
          <w:lang w:val="en-US" w:eastAsia="en-US"/>
        </w:rPr>
        <w:t xml:space="preserve">-Natali N, Rosario-Hernández E, </w:t>
      </w:r>
      <w:proofErr w:type="spellStart"/>
      <w:r w:rsidRPr="00893E50">
        <w:rPr>
          <w:rFonts w:eastAsia="Calibri"/>
          <w:lang w:val="en-US" w:eastAsia="en-US"/>
        </w:rPr>
        <w:t>Duarté-Vélez</w:t>
      </w:r>
      <w:proofErr w:type="spellEnd"/>
      <w:r w:rsidRPr="00893E50">
        <w:rPr>
          <w:rFonts w:eastAsia="Calibri"/>
          <w:lang w:val="en-US" w:eastAsia="en-US"/>
        </w:rPr>
        <w:t xml:space="preserve"> Y, Rivera-Segarra E. Validating the factor structure of the Stigma of Suicide Scale – Short Form Spanish version among healthcare students. Crisis. 2021; 42(4):314-18. DOI: 10.1027/0227-5910/</w:t>
      </w:r>
      <w:proofErr w:type="spellStart"/>
      <w:r w:rsidRPr="00893E50">
        <w:rPr>
          <w:rFonts w:eastAsia="Calibri"/>
          <w:lang w:val="en-US" w:eastAsia="en-US"/>
        </w:rPr>
        <w:t>a000728</w:t>
      </w:r>
      <w:proofErr w:type="spellEnd"/>
    </w:p>
    <w:p w14:paraId="4142EEE0"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12. Arafat Y, Hussain F, Hossain F, Islam A, Menon V. Literacy and stigma of suicide in Bangladesh: Scales validation and status assessment among university students. Brain </w:t>
      </w:r>
      <w:proofErr w:type="spellStart"/>
      <w:r w:rsidRPr="00893E50">
        <w:rPr>
          <w:rFonts w:eastAsia="Calibri"/>
          <w:lang w:val="en-US" w:eastAsia="en-US"/>
        </w:rPr>
        <w:t>Behav</w:t>
      </w:r>
      <w:proofErr w:type="spellEnd"/>
      <w:r w:rsidRPr="00893E50">
        <w:rPr>
          <w:rFonts w:eastAsia="Calibri"/>
          <w:lang w:val="en-US" w:eastAsia="en-US"/>
        </w:rPr>
        <w:t>. 2021; 12(1):</w:t>
      </w:r>
      <w:proofErr w:type="spellStart"/>
      <w:r w:rsidRPr="00893E50">
        <w:rPr>
          <w:rFonts w:eastAsia="Calibri"/>
          <w:lang w:val="en-US" w:eastAsia="en-US"/>
        </w:rPr>
        <w:t>e2432</w:t>
      </w:r>
      <w:proofErr w:type="spellEnd"/>
      <w:r w:rsidRPr="00893E50">
        <w:rPr>
          <w:rFonts w:eastAsia="Calibri"/>
          <w:lang w:val="en-US" w:eastAsia="en-US"/>
        </w:rPr>
        <w:t>. DOI: 10.1002/</w:t>
      </w:r>
      <w:proofErr w:type="spellStart"/>
      <w:r w:rsidRPr="00893E50">
        <w:rPr>
          <w:rFonts w:eastAsia="Calibri"/>
          <w:lang w:val="en-US" w:eastAsia="en-US"/>
        </w:rPr>
        <w:t>brb3.2432</w:t>
      </w:r>
      <w:proofErr w:type="spellEnd"/>
    </w:p>
    <w:p w14:paraId="3FD2E70F" w14:textId="77777777" w:rsidR="00893E50" w:rsidRPr="00893E50" w:rsidRDefault="00893E50" w:rsidP="00893E50">
      <w:pPr>
        <w:spacing w:line="360" w:lineRule="auto"/>
        <w:rPr>
          <w:rFonts w:eastAsia="Calibri"/>
          <w:lang w:val="es-CU" w:eastAsia="en-US"/>
        </w:rPr>
      </w:pPr>
      <w:r w:rsidRPr="00893E50">
        <w:rPr>
          <w:rFonts w:eastAsia="Calibri"/>
          <w:lang w:val="en-US" w:eastAsia="en-US"/>
        </w:rPr>
        <w:t xml:space="preserve">13. Williams CL, Cero I, Gauthier JM, Witte K. Examination of the latent factor structure and construct validity of the stigma of suicide scale-short form. </w:t>
      </w:r>
      <w:proofErr w:type="spellStart"/>
      <w:r w:rsidRPr="00893E50">
        <w:rPr>
          <w:rFonts w:eastAsia="Calibri"/>
          <w:lang w:val="es-CU" w:eastAsia="en-US"/>
        </w:rPr>
        <w:t>Death</w:t>
      </w:r>
      <w:proofErr w:type="spellEnd"/>
      <w:r w:rsidRPr="00893E50">
        <w:rPr>
          <w:rFonts w:eastAsia="Calibri"/>
          <w:lang w:val="es-CU" w:eastAsia="en-US"/>
        </w:rPr>
        <w:t xml:space="preserve"> </w:t>
      </w:r>
      <w:proofErr w:type="spellStart"/>
      <w:r w:rsidRPr="00893E50">
        <w:rPr>
          <w:rFonts w:eastAsia="Calibri"/>
          <w:lang w:val="es-CU" w:eastAsia="en-US"/>
        </w:rPr>
        <w:t>Stud</w:t>
      </w:r>
      <w:proofErr w:type="spellEnd"/>
      <w:r w:rsidRPr="00893E50">
        <w:rPr>
          <w:rFonts w:eastAsia="Calibri"/>
          <w:lang w:val="es-CU" w:eastAsia="en-US"/>
        </w:rPr>
        <w:t xml:space="preserve">. 2018; 42(10):616-26. </w:t>
      </w:r>
      <w:proofErr w:type="spellStart"/>
      <w:r w:rsidRPr="00893E50">
        <w:rPr>
          <w:rFonts w:eastAsia="Calibri"/>
          <w:lang w:val="es-CU" w:eastAsia="en-US"/>
        </w:rPr>
        <w:t>DOI</w:t>
      </w:r>
      <w:proofErr w:type="spellEnd"/>
      <w:r w:rsidRPr="00893E50">
        <w:rPr>
          <w:rFonts w:eastAsia="Calibri"/>
          <w:lang w:val="es-CU" w:eastAsia="en-US"/>
        </w:rPr>
        <w:t>: 10.1080/07481187.2017.1416431</w:t>
      </w:r>
    </w:p>
    <w:p w14:paraId="18F70291" w14:textId="77777777" w:rsidR="00893E50" w:rsidRPr="00893E50" w:rsidRDefault="00893E50" w:rsidP="00893E50">
      <w:pPr>
        <w:spacing w:line="360" w:lineRule="auto"/>
        <w:rPr>
          <w:rFonts w:eastAsia="Calibri"/>
          <w:lang w:val="es-CU" w:eastAsia="en-US"/>
        </w:rPr>
      </w:pPr>
      <w:r w:rsidRPr="00893E50">
        <w:rPr>
          <w:rFonts w:eastAsia="Calibri"/>
          <w:lang w:val="es-CU" w:eastAsia="en-US"/>
        </w:rPr>
        <w:t xml:space="preserve">14. Baños-Chaparro J, </w:t>
      </w:r>
      <w:proofErr w:type="spellStart"/>
      <w:r w:rsidRPr="00893E50">
        <w:rPr>
          <w:rFonts w:eastAsia="Calibri"/>
          <w:lang w:val="es-CU" w:eastAsia="en-US"/>
        </w:rPr>
        <w:t>Ynquillay</w:t>
      </w:r>
      <w:proofErr w:type="spellEnd"/>
      <w:r w:rsidRPr="00893E50">
        <w:rPr>
          <w:rFonts w:eastAsia="Calibri"/>
          <w:lang w:val="es-CU" w:eastAsia="en-US"/>
        </w:rPr>
        <w:t xml:space="preserve">-Lima P, Lamas Delgado F, Fuster Guillen </w:t>
      </w:r>
      <w:proofErr w:type="spellStart"/>
      <w:r w:rsidRPr="00893E50">
        <w:rPr>
          <w:rFonts w:eastAsia="Calibri"/>
          <w:lang w:val="es-CU" w:eastAsia="en-US"/>
        </w:rPr>
        <w:t>FG</w:t>
      </w:r>
      <w:proofErr w:type="spellEnd"/>
      <w:r w:rsidRPr="00893E50">
        <w:rPr>
          <w:rFonts w:eastAsia="Calibri"/>
          <w:lang w:val="es-CU" w:eastAsia="en-US"/>
        </w:rPr>
        <w:t xml:space="preserve">. Análisis de redes de las conductas suicidas en adultos peruanos. </w:t>
      </w:r>
      <w:proofErr w:type="spellStart"/>
      <w:r w:rsidRPr="00893E50">
        <w:rPr>
          <w:rFonts w:eastAsia="Calibri"/>
          <w:lang w:val="es-CU" w:eastAsia="en-US"/>
        </w:rPr>
        <w:t>Rev</w:t>
      </w:r>
      <w:proofErr w:type="spellEnd"/>
      <w:r w:rsidRPr="00893E50">
        <w:rPr>
          <w:rFonts w:eastAsia="Calibri"/>
          <w:lang w:val="es-CU" w:eastAsia="en-US"/>
        </w:rPr>
        <w:t xml:space="preserve"> Cubana </w:t>
      </w:r>
      <w:proofErr w:type="spellStart"/>
      <w:r w:rsidRPr="00893E50">
        <w:rPr>
          <w:rFonts w:eastAsia="Calibri"/>
          <w:lang w:val="es-CU" w:eastAsia="en-US"/>
        </w:rPr>
        <w:t>Med</w:t>
      </w:r>
      <w:proofErr w:type="spellEnd"/>
      <w:r w:rsidRPr="00893E50">
        <w:rPr>
          <w:rFonts w:eastAsia="Calibri"/>
          <w:lang w:val="es-CU" w:eastAsia="en-US"/>
        </w:rPr>
        <w:t xml:space="preserve"> </w:t>
      </w:r>
      <w:proofErr w:type="spellStart"/>
      <w:r w:rsidRPr="00893E50">
        <w:rPr>
          <w:rFonts w:eastAsia="Calibri"/>
          <w:lang w:val="es-CU" w:eastAsia="en-US"/>
        </w:rPr>
        <w:t>Milit</w:t>
      </w:r>
      <w:proofErr w:type="spellEnd"/>
      <w:r w:rsidRPr="00893E50">
        <w:rPr>
          <w:rFonts w:eastAsia="Calibri"/>
          <w:lang w:val="es-CU" w:eastAsia="en-US"/>
        </w:rPr>
        <w:t>. 2021 [acceso: 17/10/2022]; 50(3):</w:t>
      </w:r>
      <w:proofErr w:type="spellStart"/>
      <w:r w:rsidRPr="00893E50">
        <w:rPr>
          <w:rFonts w:eastAsia="Calibri"/>
          <w:lang w:val="es-CU" w:eastAsia="en-US"/>
        </w:rPr>
        <w:t>e02101450</w:t>
      </w:r>
      <w:proofErr w:type="spellEnd"/>
      <w:r w:rsidRPr="00893E50">
        <w:rPr>
          <w:rFonts w:eastAsia="Calibri"/>
          <w:lang w:val="es-CU" w:eastAsia="en-US"/>
        </w:rPr>
        <w:t xml:space="preserve">. Disponible en:  </w:t>
      </w:r>
      <w:hyperlink r:id="rId20" w:history="1">
        <w:r w:rsidRPr="00893E50">
          <w:rPr>
            <w:rFonts w:eastAsia="Calibri"/>
            <w:color w:val="0563C1"/>
            <w:lang w:val="es-CU" w:eastAsia="en-US"/>
          </w:rPr>
          <w:t>http://revmedmilitar.sld.cu/index.php/mil/article/view/1450/1004</w:t>
        </w:r>
      </w:hyperlink>
      <w:r w:rsidRPr="00893E50">
        <w:rPr>
          <w:rFonts w:eastAsia="Calibri"/>
          <w:lang w:val="es-CU" w:eastAsia="en-US"/>
        </w:rPr>
        <w:t xml:space="preserve">  </w:t>
      </w:r>
    </w:p>
    <w:p w14:paraId="572A3F87" w14:textId="77777777" w:rsidR="00893E50" w:rsidRPr="00893E50" w:rsidRDefault="00893E50" w:rsidP="00893E50">
      <w:pPr>
        <w:spacing w:line="360" w:lineRule="auto"/>
        <w:rPr>
          <w:rFonts w:eastAsia="Calibri"/>
          <w:lang w:val="es-CU" w:eastAsia="en-US"/>
        </w:rPr>
      </w:pPr>
      <w:r w:rsidRPr="00893E50">
        <w:rPr>
          <w:rFonts w:eastAsia="Calibri"/>
          <w:lang w:val="es-CU" w:eastAsia="en-US"/>
        </w:rPr>
        <w:t xml:space="preserve">15. Colegio de Psicólogos del Perú. Código de ética y deontología. Lima: </w:t>
      </w:r>
      <w:proofErr w:type="spellStart"/>
      <w:r w:rsidRPr="00893E50">
        <w:rPr>
          <w:rFonts w:eastAsia="Calibri"/>
          <w:lang w:val="es-CU" w:eastAsia="en-US"/>
        </w:rPr>
        <w:t>CPsP</w:t>
      </w:r>
      <w:proofErr w:type="spellEnd"/>
      <w:r w:rsidRPr="00893E50">
        <w:rPr>
          <w:rFonts w:eastAsia="Calibri"/>
          <w:lang w:val="es-CU" w:eastAsia="en-US"/>
        </w:rPr>
        <w:t xml:space="preserve">; 2017 [acceso: 18/10/2022]. Disponible en: </w:t>
      </w:r>
      <w:hyperlink r:id="rId21" w:history="1">
        <w:r w:rsidRPr="00893E50">
          <w:rPr>
            <w:rFonts w:eastAsia="Calibri"/>
            <w:color w:val="0563C1"/>
            <w:lang w:val="es-CU" w:eastAsia="en-US"/>
          </w:rPr>
          <w:t>http://api.cpsp.io/public/documents/codigo_de_etica_y_deontologia.pdf</w:t>
        </w:r>
      </w:hyperlink>
      <w:r w:rsidRPr="00893E50">
        <w:rPr>
          <w:rFonts w:eastAsia="Calibri"/>
          <w:lang w:val="es-CU" w:eastAsia="en-US"/>
        </w:rPr>
        <w:t xml:space="preserve"> </w:t>
      </w:r>
    </w:p>
    <w:p w14:paraId="0AD4097E"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16. </w:t>
      </w:r>
      <w:proofErr w:type="spellStart"/>
      <w:r w:rsidRPr="00893E50">
        <w:rPr>
          <w:rFonts w:eastAsia="Calibri"/>
          <w:lang w:val="en-US" w:eastAsia="en-US"/>
        </w:rPr>
        <w:t>Sellbom</w:t>
      </w:r>
      <w:proofErr w:type="spellEnd"/>
      <w:r w:rsidRPr="00893E50">
        <w:rPr>
          <w:rFonts w:eastAsia="Calibri"/>
          <w:lang w:val="en-US" w:eastAsia="en-US"/>
        </w:rPr>
        <w:t xml:space="preserve"> M, </w:t>
      </w:r>
      <w:proofErr w:type="spellStart"/>
      <w:r w:rsidRPr="00893E50">
        <w:rPr>
          <w:rFonts w:eastAsia="Calibri"/>
          <w:lang w:val="en-US" w:eastAsia="en-US"/>
        </w:rPr>
        <w:t>Tellegen</w:t>
      </w:r>
      <w:proofErr w:type="spellEnd"/>
      <w:r w:rsidRPr="00893E50">
        <w:rPr>
          <w:rFonts w:eastAsia="Calibri"/>
          <w:lang w:val="en-US" w:eastAsia="en-US"/>
        </w:rPr>
        <w:t xml:space="preserve"> A. Factor analysis in psychological assessment research: Common pitfalls and recommendations. Psychol Assess. 2019; 31(12):1428-41. DOI: 10.1037/</w:t>
      </w:r>
      <w:proofErr w:type="spellStart"/>
      <w:r w:rsidRPr="00893E50">
        <w:rPr>
          <w:rFonts w:eastAsia="Calibri"/>
          <w:lang w:val="en-US" w:eastAsia="en-US"/>
        </w:rPr>
        <w:t>pas0000623</w:t>
      </w:r>
      <w:proofErr w:type="spellEnd"/>
    </w:p>
    <w:p w14:paraId="037CEC63"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17. </w:t>
      </w:r>
      <w:proofErr w:type="spellStart"/>
      <w:r w:rsidRPr="00893E50">
        <w:rPr>
          <w:rFonts w:eastAsia="Calibri"/>
          <w:lang w:val="en-US" w:eastAsia="en-US"/>
        </w:rPr>
        <w:t>Pfdat</w:t>
      </w:r>
      <w:proofErr w:type="spellEnd"/>
      <w:r w:rsidRPr="00893E50">
        <w:rPr>
          <w:rFonts w:eastAsia="Calibri"/>
          <w:lang w:val="en-US" w:eastAsia="en-US"/>
        </w:rPr>
        <w:t xml:space="preserve"> JM, van den Bergh D, </w:t>
      </w:r>
      <w:proofErr w:type="spellStart"/>
      <w:r w:rsidRPr="00893E50">
        <w:rPr>
          <w:rFonts w:eastAsia="Calibri"/>
          <w:lang w:val="en-US" w:eastAsia="en-US"/>
        </w:rPr>
        <w:t>Sijtsma</w:t>
      </w:r>
      <w:proofErr w:type="spellEnd"/>
      <w:r w:rsidRPr="00893E50">
        <w:rPr>
          <w:rFonts w:eastAsia="Calibri"/>
          <w:lang w:val="en-US" w:eastAsia="en-US"/>
        </w:rPr>
        <w:t xml:space="preserve"> K, </w:t>
      </w:r>
      <w:proofErr w:type="spellStart"/>
      <w:r w:rsidRPr="00893E50">
        <w:rPr>
          <w:rFonts w:eastAsia="Calibri"/>
          <w:lang w:val="en-US" w:eastAsia="en-US"/>
        </w:rPr>
        <w:t>Moshagen</w:t>
      </w:r>
      <w:proofErr w:type="spellEnd"/>
      <w:r w:rsidRPr="00893E50">
        <w:rPr>
          <w:rFonts w:eastAsia="Calibri"/>
          <w:lang w:val="en-US" w:eastAsia="en-US"/>
        </w:rPr>
        <w:t xml:space="preserve"> M, </w:t>
      </w:r>
      <w:proofErr w:type="spellStart"/>
      <w:r w:rsidRPr="00893E50">
        <w:rPr>
          <w:rFonts w:eastAsia="Calibri"/>
          <w:lang w:val="en-US" w:eastAsia="en-US"/>
        </w:rPr>
        <w:t>Wagenmakers</w:t>
      </w:r>
      <w:proofErr w:type="spellEnd"/>
      <w:r w:rsidRPr="00893E50">
        <w:rPr>
          <w:rFonts w:eastAsia="Calibri"/>
          <w:lang w:val="en-US" w:eastAsia="en-US"/>
        </w:rPr>
        <w:t xml:space="preserve"> </w:t>
      </w:r>
      <w:proofErr w:type="spellStart"/>
      <w:r w:rsidRPr="00893E50">
        <w:rPr>
          <w:rFonts w:eastAsia="Calibri"/>
          <w:lang w:val="en-US" w:eastAsia="en-US"/>
        </w:rPr>
        <w:t>EJ</w:t>
      </w:r>
      <w:proofErr w:type="spellEnd"/>
      <w:r w:rsidRPr="00893E50">
        <w:rPr>
          <w:rFonts w:eastAsia="Calibri"/>
          <w:lang w:val="en-US" w:eastAsia="en-US"/>
        </w:rPr>
        <w:t xml:space="preserve">. Bayesian Estimation of Single-Test Reliability Coefficients. </w:t>
      </w:r>
      <w:proofErr w:type="spellStart"/>
      <w:r w:rsidRPr="00893E50">
        <w:rPr>
          <w:rFonts w:eastAsia="Calibri"/>
          <w:lang w:val="en-US" w:eastAsia="en-US"/>
        </w:rPr>
        <w:t>Multivar</w:t>
      </w:r>
      <w:proofErr w:type="spellEnd"/>
      <w:r w:rsidRPr="00893E50">
        <w:rPr>
          <w:rFonts w:eastAsia="Calibri"/>
          <w:lang w:val="en-US" w:eastAsia="en-US"/>
        </w:rPr>
        <w:t xml:space="preserve"> </w:t>
      </w:r>
      <w:proofErr w:type="spellStart"/>
      <w:r w:rsidRPr="00893E50">
        <w:rPr>
          <w:rFonts w:eastAsia="Calibri"/>
          <w:lang w:val="en-US" w:eastAsia="en-US"/>
        </w:rPr>
        <w:t>Behav</w:t>
      </w:r>
      <w:proofErr w:type="spellEnd"/>
      <w:r w:rsidRPr="00893E50">
        <w:rPr>
          <w:rFonts w:eastAsia="Calibri"/>
          <w:lang w:val="en-US" w:eastAsia="en-US"/>
        </w:rPr>
        <w:t xml:space="preserve"> Res. 2022; 57(4):620-41. DOI: 10.1080/00273171.2021.1891855</w:t>
      </w:r>
    </w:p>
    <w:p w14:paraId="6A853B9F"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18. Gunnell </w:t>
      </w:r>
      <w:proofErr w:type="spellStart"/>
      <w:r w:rsidRPr="00893E50">
        <w:rPr>
          <w:rFonts w:eastAsia="Calibri"/>
          <w:lang w:val="en-US" w:eastAsia="en-US"/>
        </w:rPr>
        <w:t>KE</w:t>
      </w:r>
      <w:proofErr w:type="spellEnd"/>
      <w:r w:rsidRPr="00893E50">
        <w:rPr>
          <w:rFonts w:eastAsia="Calibri"/>
          <w:lang w:val="en-US" w:eastAsia="en-US"/>
        </w:rPr>
        <w:t xml:space="preserve">. Validity and reliability. </w:t>
      </w:r>
      <w:proofErr w:type="spellStart"/>
      <w:r w:rsidRPr="00893E50">
        <w:rPr>
          <w:rFonts w:eastAsia="Calibri"/>
          <w:lang w:val="en-US" w:eastAsia="en-US"/>
        </w:rPr>
        <w:t>En</w:t>
      </w:r>
      <w:proofErr w:type="spellEnd"/>
      <w:r w:rsidRPr="00893E50">
        <w:rPr>
          <w:rFonts w:eastAsia="Calibri"/>
          <w:lang w:val="en-US" w:eastAsia="en-US"/>
        </w:rPr>
        <w:t xml:space="preserve">: </w:t>
      </w:r>
      <w:proofErr w:type="spellStart"/>
      <w:r w:rsidRPr="00893E50">
        <w:rPr>
          <w:rFonts w:eastAsia="Calibri"/>
          <w:lang w:val="en-US" w:eastAsia="en-US"/>
        </w:rPr>
        <w:t>Hackfort</w:t>
      </w:r>
      <w:proofErr w:type="spellEnd"/>
      <w:r w:rsidRPr="00893E50">
        <w:rPr>
          <w:rFonts w:eastAsia="Calibri"/>
          <w:lang w:val="en-US" w:eastAsia="en-US"/>
        </w:rPr>
        <w:t xml:space="preserve"> D, Schinke R. The Routledge International Encyclopedia of Sport and Exercise Psychology. London: Routledge; 2020. p. 632-45.</w:t>
      </w:r>
    </w:p>
    <w:p w14:paraId="144D42AB"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 xml:space="preserve">19. Ranger J, </w:t>
      </w:r>
      <w:proofErr w:type="spellStart"/>
      <w:r w:rsidRPr="00893E50">
        <w:rPr>
          <w:rFonts w:eastAsia="Calibri"/>
          <w:lang w:val="en-US" w:eastAsia="en-US"/>
        </w:rPr>
        <w:t>Brauer</w:t>
      </w:r>
      <w:proofErr w:type="spellEnd"/>
      <w:r w:rsidRPr="00893E50">
        <w:rPr>
          <w:rFonts w:eastAsia="Calibri"/>
          <w:lang w:val="en-US" w:eastAsia="en-US"/>
        </w:rPr>
        <w:t xml:space="preserve"> K. On the Generalized S-</w:t>
      </w:r>
      <w:proofErr w:type="spellStart"/>
      <w:r w:rsidRPr="00893E50">
        <w:rPr>
          <w:rFonts w:eastAsia="Calibri"/>
          <w:lang w:val="en-US" w:eastAsia="en-US"/>
        </w:rPr>
        <w:t>X2</w:t>
      </w:r>
      <w:proofErr w:type="spellEnd"/>
      <w:r w:rsidRPr="00893E50">
        <w:rPr>
          <w:rFonts w:eastAsia="Calibri"/>
          <w:lang w:val="en-US" w:eastAsia="en-US"/>
        </w:rPr>
        <w:t xml:space="preserve"> Test of Item Fit: Some Variants, Residuals, and a Graphical Visualization. J Educ </w:t>
      </w:r>
      <w:proofErr w:type="spellStart"/>
      <w:r w:rsidRPr="00893E50">
        <w:rPr>
          <w:rFonts w:eastAsia="Calibri"/>
          <w:lang w:val="en-US" w:eastAsia="en-US"/>
        </w:rPr>
        <w:t>Behav</w:t>
      </w:r>
      <w:proofErr w:type="spellEnd"/>
      <w:r w:rsidRPr="00893E50">
        <w:rPr>
          <w:rFonts w:eastAsia="Calibri"/>
          <w:lang w:val="en-US" w:eastAsia="en-US"/>
        </w:rPr>
        <w:t xml:space="preserve"> Stat. 2021; 47(2):202-30. DOI: 10.3102/10769986211050304</w:t>
      </w:r>
    </w:p>
    <w:p w14:paraId="73034FEB" w14:textId="77777777" w:rsidR="00893E50" w:rsidRPr="00893E50" w:rsidRDefault="00893E50" w:rsidP="00893E50">
      <w:pPr>
        <w:spacing w:line="360" w:lineRule="auto"/>
        <w:rPr>
          <w:rFonts w:eastAsia="Calibri"/>
          <w:lang w:val="en-US" w:eastAsia="en-US"/>
        </w:rPr>
      </w:pPr>
      <w:r w:rsidRPr="00893E50">
        <w:rPr>
          <w:rFonts w:eastAsia="Calibri"/>
          <w:lang w:val="en-US" w:eastAsia="en-US"/>
        </w:rPr>
        <w:t>20. Baker FB, Kim SH. The Basics of Item Response Theory Using R. Madison: Springer; 2017.</w:t>
      </w:r>
    </w:p>
    <w:p w14:paraId="611DD43E" w14:textId="77777777" w:rsidR="00893E50" w:rsidRPr="00893E50" w:rsidRDefault="00893E50" w:rsidP="00893E50">
      <w:pPr>
        <w:spacing w:line="360" w:lineRule="auto"/>
        <w:jc w:val="both"/>
        <w:rPr>
          <w:rFonts w:eastAsia="Calibri"/>
          <w:lang w:val="en-US" w:eastAsia="en-US"/>
        </w:rPr>
      </w:pPr>
    </w:p>
    <w:p w14:paraId="506441B0" w14:textId="77777777" w:rsidR="00893E50" w:rsidRPr="00893E50" w:rsidRDefault="00893E50" w:rsidP="00893E50">
      <w:pPr>
        <w:spacing w:line="360" w:lineRule="auto"/>
        <w:jc w:val="both"/>
        <w:rPr>
          <w:rFonts w:eastAsia="Calibri"/>
          <w:lang w:val="en-US" w:eastAsia="en-US"/>
        </w:rPr>
      </w:pPr>
    </w:p>
    <w:p w14:paraId="3E94E171" w14:textId="77777777" w:rsidR="00000B6D" w:rsidRDefault="00000B6D">
      <w:pPr>
        <w:rPr>
          <w:rFonts w:eastAsia="Calibri"/>
          <w:b/>
          <w:bCs/>
          <w:lang w:eastAsia="en-US"/>
        </w:rPr>
      </w:pPr>
      <w:r>
        <w:rPr>
          <w:rFonts w:eastAsia="Calibri"/>
          <w:b/>
          <w:bCs/>
          <w:lang w:eastAsia="en-US"/>
        </w:rPr>
        <w:br w:type="page"/>
      </w:r>
    </w:p>
    <w:p w14:paraId="3138DDBF" w14:textId="7B6075D2" w:rsidR="00893E50" w:rsidRPr="00893E50" w:rsidRDefault="00893E50" w:rsidP="00893E50">
      <w:pPr>
        <w:spacing w:line="360" w:lineRule="auto"/>
        <w:jc w:val="center"/>
        <w:rPr>
          <w:rFonts w:eastAsia="Calibri"/>
          <w:b/>
          <w:bCs/>
          <w:lang w:eastAsia="en-US"/>
        </w:rPr>
      </w:pPr>
      <w:r w:rsidRPr="00893E50">
        <w:rPr>
          <w:rFonts w:eastAsia="Calibri"/>
          <w:b/>
          <w:bCs/>
          <w:lang w:eastAsia="en-US"/>
        </w:rPr>
        <w:lastRenderedPageBreak/>
        <w:t>Conflictos de interés</w:t>
      </w:r>
    </w:p>
    <w:p w14:paraId="6D9FB5EF" w14:textId="77777777" w:rsidR="00893E50" w:rsidRPr="00893E50" w:rsidRDefault="00893E50" w:rsidP="00893E50">
      <w:pPr>
        <w:spacing w:line="360" w:lineRule="auto"/>
        <w:jc w:val="both"/>
        <w:rPr>
          <w:rFonts w:eastAsia="Calibri"/>
          <w:lang w:eastAsia="en-US"/>
        </w:rPr>
      </w:pPr>
      <w:r w:rsidRPr="00893E50">
        <w:rPr>
          <w:rFonts w:eastAsia="Calibri"/>
          <w:lang w:eastAsia="en-US"/>
        </w:rPr>
        <w:t>Los autores declaran no tener ningún conflicto de interés.</w:t>
      </w:r>
    </w:p>
    <w:p w14:paraId="231391F4" w14:textId="77777777" w:rsidR="00893E50" w:rsidRPr="00893E50" w:rsidRDefault="00893E50" w:rsidP="00893E50">
      <w:pPr>
        <w:spacing w:line="360" w:lineRule="auto"/>
        <w:jc w:val="both"/>
        <w:rPr>
          <w:rFonts w:eastAsia="Calibri"/>
          <w:lang w:eastAsia="en-US"/>
        </w:rPr>
      </w:pPr>
    </w:p>
    <w:p w14:paraId="40D3087F" w14:textId="77777777" w:rsidR="00893E50" w:rsidRPr="00893E50" w:rsidRDefault="00893E50" w:rsidP="00893E50">
      <w:pPr>
        <w:spacing w:line="360" w:lineRule="auto"/>
        <w:jc w:val="center"/>
        <w:rPr>
          <w:rFonts w:eastAsia="Calibri"/>
          <w:b/>
          <w:bCs/>
          <w:lang w:eastAsia="en-US"/>
        </w:rPr>
      </w:pPr>
      <w:r w:rsidRPr="00893E50">
        <w:rPr>
          <w:rFonts w:eastAsia="Calibri"/>
          <w:b/>
          <w:bCs/>
          <w:lang w:eastAsia="en-US"/>
        </w:rPr>
        <w:t>Contribuciones de los autores</w:t>
      </w:r>
    </w:p>
    <w:p w14:paraId="7AF9B538"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Conceptualización: </w:t>
      </w:r>
      <w:r w:rsidRPr="00893E50">
        <w:rPr>
          <w:rFonts w:eastAsia="Calibri"/>
          <w:i/>
          <w:iCs/>
          <w:lang w:eastAsia="en-US"/>
        </w:rPr>
        <w:t xml:space="preserve">Jonatan Baños-Chaparro. </w:t>
      </w:r>
    </w:p>
    <w:p w14:paraId="58AA1150"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Curación de datos: </w:t>
      </w:r>
      <w:r w:rsidRPr="00893E50">
        <w:rPr>
          <w:rFonts w:eastAsia="Calibri"/>
          <w:i/>
          <w:iCs/>
          <w:lang w:eastAsia="en-US"/>
        </w:rPr>
        <w:t xml:space="preserve">Johnny Marín-Contreras, Paul </w:t>
      </w:r>
      <w:proofErr w:type="spellStart"/>
      <w:r w:rsidRPr="00893E50">
        <w:rPr>
          <w:rFonts w:eastAsia="Calibri"/>
          <w:i/>
          <w:iCs/>
          <w:lang w:eastAsia="en-US"/>
        </w:rPr>
        <w:t>Ynquillay</w:t>
      </w:r>
      <w:proofErr w:type="spellEnd"/>
      <w:r w:rsidRPr="00893E50">
        <w:rPr>
          <w:rFonts w:eastAsia="Calibri"/>
          <w:i/>
          <w:iCs/>
          <w:lang w:eastAsia="en-US"/>
        </w:rPr>
        <w:t xml:space="preserve">-Lima. </w:t>
      </w:r>
    </w:p>
    <w:p w14:paraId="0F672087"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Análisis formal: </w:t>
      </w:r>
      <w:r w:rsidRPr="00893E50">
        <w:rPr>
          <w:rFonts w:eastAsia="Calibri"/>
          <w:i/>
          <w:iCs/>
          <w:lang w:eastAsia="en-US"/>
        </w:rPr>
        <w:t>Jonatan Baños-Chaparro.</w:t>
      </w:r>
    </w:p>
    <w:p w14:paraId="02579531"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Investigación: </w:t>
      </w:r>
      <w:r w:rsidRPr="00893E50">
        <w:rPr>
          <w:rFonts w:eastAsia="Calibri"/>
          <w:i/>
          <w:iCs/>
          <w:lang w:eastAsia="en-US"/>
        </w:rPr>
        <w:t xml:space="preserve">Jonatan Baños-Chaparro, Daniel Jesús López-Vega, Fernando Lamas Delgado, Dante </w:t>
      </w:r>
      <w:proofErr w:type="spellStart"/>
      <w:r w:rsidRPr="00893E50">
        <w:rPr>
          <w:rFonts w:eastAsia="Calibri"/>
          <w:i/>
          <w:iCs/>
          <w:lang w:eastAsia="en-US"/>
        </w:rPr>
        <w:t>Jesus</w:t>
      </w:r>
      <w:proofErr w:type="spellEnd"/>
      <w:r w:rsidRPr="00893E50">
        <w:rPr>
          <w:rFonts w:eastAsia="Calibri"/>
          <w:i/>
          <w:iCs/>
          <w:lang w:eastAsia="en-US"/>
        </w:rPr>
        <w:t xml:space="preserve"> </w:t>
      </w:r>
      <w:proofErr w:type="spellStart"/>
      <w:r w:rsidRPr="00893E50">
        <w:rPr>
          <w:rFonts w:eastAsia="Calibri"/>
          <w:i/>
          <w:iCs/>
          <w:lang w:eastAsia="en-US"/>
        </w:rPr>
        <w:t>Jacobi</w:t>
      </w:r>
      <w:proofErr w:type="spellEnd"/>
      <w:r w:rsidRPr="00893E50">
        <w:rPr>
          <w:rFonts w:eastAsia="Calibri"/>
          <w:i/>
          <w:iCs/>
          <w:lang w:eastAsia="en-US"/>
        </w:rPr>
        <w:t xml:space="preserve">-Romero, Johnny Marín-Contreras, Paul </w:t>
      </w:r>
      <w:proofErr w:type="spellStart"/>
      <w:r w:rsidRPr="00893E50">
        <w:rPr>
          <w:rFonts w:eastAsia="Calibri"/>
          <w:i/>
          <w:iCs/>
          <w:lang w:eastAsia="en-US"/>
        </w:rPr>
        <w:t>Ynquillay</w:t>
      </w:r>
      <w:proofErr w:type="spellEnd"/>
      <w:r w:rsidRPr="00893E50">
        <w:rPr>
          <w:rFonts w:eastAsia="Calibri"/>
          <w:i/>
          <w:iCs/>
          <w:lang w:eastAsia="en-US"/>
        </w:rPr>
        <w:t>-Lima.</w:t>
      </w:r>
    </w:p>
    <w:p w14:paraId="75032A7A"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Metodología: </w:t>
      </w:r>
      <w:r w:rsidRPr="00893E50">
        <w:rPr>
          <w:rFonts w:eastAsia="Calibri"/>
          <w:i/>
          <w:iCs/>
          <w:lang w:eastAsia="en-US"/>
        </w:rPr>
        <w:t xml:space="preserve">Jonatan Baños-Chaparro, Fernando Lamas Delgado, Dante </w:t>
      </w:r>
      <w:proofErr w:type="spellStart"/>
      <w:r w:rsidRPr="00893E50">
        <w:rPr>
          <w:rFonts w:eastAsia="Calibri"/>
          <w:i/>
          <w:iCs/>
          <w:lang w:eastAsia="en-US"/>
        </w:rPr>
        <w:t>Jesus</w:t>
      </w:r>
      <w:proofErr w:type="spellEnd"/>
      <w:r w:rsidRPr="00893E50">
        <w:rPr>
          <w:rFonts w:eastAsia="Calibri"/>
          <w:i/>
          <w:iCs/>
          <w:lang w:eastAsia="en-US"/>
        </w:rPr>
        <w:t xml:space="preserve"> </w:t>
      </w:r>
      <w:proofErr w:type="spellStart"/>
      <w:r w:rsidRPr="00893E50">
        <w:rPr>
          <w:rFonts w:eastAsia="Calibri"/>
          <w:i/>
          <w:iCs/>
          <w:lang w:eastAsia="en-US"/>
        </w:rPr>
        <w:t>Jacobi</w:t>
      </w:r>
      <w:proofErr w:type="spellEnd"/>
      <w:r w:rsidRPr="00893E50">
        <w:rPr>
          <w:rFonts w:eastAsia="Calibri"/>
          <w:i/>
          <w:iCs/>
          <w:lang w:eastAsia="en-US"/>
        </w:rPr>
        <w:t>-Romero.</w:t>
      </w:r>
    </w:p>
    <w:p w14:paraId="15817493"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Administración del proyecto: </w:t>
      </w:r>
      <w:r w:rsidRPr="00893E50">
        <w:rPr>
          <w:rFonts w:eastAsia="Calibri"/>
          <w:i/>
          <w:iCs/>
          <w:lang w:eastAsia="en-US"/>
        </w:rPr>
        <w:t xml:space="preserve">Jonatan Baños-Chaparro. </w:t>
      </w:r>
    </w:p>
    <w:p w14:paraId="2261E553"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Supervisión: </w:t>
      </w:r>
      <w:r w:rsidRPr="00893E50">
        <w:rPr>
          <w:rFonts w:eastAsia="Calibri"/>
          <w:i/>
          <w:iCs/>
          <w:lang w:eastAsia="en-US"/>
        </w:rPr>
        <w:t xml:space="preserve">Jonatan Baños-Chaparro. </w:t>
      </w:r>
    </w:p>
    <w:p w14:paraId="20A7644A"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Validación: </w:t>
      </w:r>
      <w:r w:rsidRPr="00893E50">
        <w:rPr>
          <w:rFonts w:eastAsia="Calibri"/>
          <w:i/>
          <w:iCs/>
          <w:lang w:eastAsia="en-US"/>
        </w:rPr>
        <w:t xml:space="preserve">Johnny Marín-Contreras, Paul </w:t>
      </w:r>
      <w:proofErr w:type="spellStart"/>
      <w:r w:rsidRPr="00893E50">
        <w:rPr>
          <w:rFonts w:eastAsia="Calibri"/>
          <w:i/>
          <w:iCs/>
          <w:lang w:eastAsia="en-US"/>
        </w:rPr>
        <w:t>Ynquillay</w:t>
      </w:r>
      <w:proofErr w:type="spellEnd"/>
      <w:r w:rsidRPr="00893E50">
        <w:rPr>
          <w:rFonts w:eastAsia="Calibri"/>
          <w:i/>
          <w:iCs/>
          <w:lang w:eastAsia="en-US"/>
        </w:rPr>
        <w:t>-Lima.</w:t>
      </w:r>
    </w:p>
    <w:p w14:paraId="50BF3B21"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Visualización: </w:t>
      </w:r>
      <w:r w:rsidRPr="00893E50">
        <w:rPr>
          <w:rFonts w:eastAsia="Calibri"/>
          <w:i/>
          <w:iCs/>
          <w:lang w:eastAsia="en-US"/>
        </w:rPr>
        <w:t xml:space="preserve">Fernando Lamas Delgado, Dante </w:t>
      </w:r>
      <w:proofErr w:type="spellStart"/>
      <w:r w:rsidRPr="00893E50">
        <w:rPr>
          <w:rFonts w:eastAsia="Calibri"/>
          <w:i/>
          <w:iCs/>
          <w:lang w:eastAsia="en-US"/>
        </w:rPr>
        <w:t>Jesus</w:t>
      </w:r>
      <w:proofErr w:type="spellEnd"/>
      <w:r w:rsidRPr="00893E50">
        <w:rPr>
          <w:rFonts w:eastAsia="Calibri"/>
          <w:i/>
          <w:iCs/>
          <w:lang w:eastAsia="en-US"/>
        </w:rPr>
        <w:t xml:space="preserve"> </w:t>
      </w:r>
      <w:proofErr w:type="spellStart"/>
      <w:r w:rsidRPr="00893E50">
        <w:rPr>
          <w:rFonts w:eastAsia="Calibri"/>
          <w:i/>
          <w:iCs/>
          <w:lang w:eastAsia="en-US"/>
        </w:rPr>
        <w:t>Jacobi</w:t>
      </w:r>
      <w:proofErr w:type="spellEnd"/>
      <w:r w:rsidRPr="00893E50">
        <w:rPr>
          <w:rFonts w:eastAsia="Calibri"/>
          <w:i/>
          <w:iCs/>
          <w:lang w:eastAsia="en-US"/>
        </w:rPr>
        <w:t>-Romero.</w:t>
      </w:r>
    </w:p>
    <w:p w14:paraId="534C4F6F"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Redacción – borrador original: </w:t>
      </w:r>
      <w:r w:rsidRPr="00893E50">
        <w:rPr>
          <w:rFonts w:eastAsia="Calibri"/>
          <w:i/>
          <w:iCs/>
          <w:lang w:eastAsia="en-US"/>
        </w:rPr>
        <w:t>Jonatan Baños-Chaparro, Daniel Jesús López-Vega.</w:t>
      </w:r>
    </w:p>
    <w:p w14:paraId="31902520" w14:textId="77777777" w:rsidR="00893E50" w:rsidRPr="00893E50" w:rsidRDefault="00893E50" w:rsidP="00893E50">
      <w:pPr>
        <w:spacing w:line="360" w:lineRule="auto"/>
        <w:jc w:val="both"/>
        <w:rPr>
          <w:rFonts w:eastAsia="Calibri"/>
          <w:lang w:eastAsia="en-US"/>
        </w:rPr>
      </w:pPr>
      <w:r w:rsidRPr="00893E50">
        <w:rPr>
          <w:rFonts w:eastAsia="Calibri"/>
          <w:lang w:eastAsia="en-US"/>
        </w:rPr>
        <w:t xml:space="preserve">Redacción – revisión y edición: </w:t>
      </w:r>
      <w:r w:rsidRPr="00893E50">
        <w:rPr>
          <w:rFonts w:eastAsia="Calibri"/>
          <w:i/>
          <w:iCs/>
          <w:lang w:eastAsia="en-US"/>
        </w:rPr>
        <w:t xml:space="preserve">Jonatan Baños-Chaparro, Daniel Jesús López-Vega, Fernando Lamas Delgado, Dante </w:t>
      </w:r>
      <w:proofErr w:type="spellStart"/>
      <w:r w:rsidRPr="00893E50">
        <w:rPr>
          <w:rFonts w:eastAsia="Calibri"/>
          <w:i/>
          <w:iCs/>
          <w:lang w:eastAsia="en-US"/>
        </w:rPr>
        <w:t>Jesus</w:t>
      </w:r>
      <w:proofErr w:type="spellEnd"/>
      <w:r w:rsidRPr="00893E50">
        <w:rPr>
          <w:rFonts w:eastAsia="Calibri"/>
          <w:i/>
          <w:iCs/>
          <w:lang w:eastAsia="en-US"/>
        </w:rPr>
        <w:t xml:space="preserve"> </w:t>
      </w:r>
      <w:proofErr w:type="spellStart"/>
      <w:r w:rsidRPr="00893E50">
        <w:rPr>
          <w:rFonts w:eastAsia="Calibri"/>
          <w:i/>
          <w:iCs/>
          <w:lang w:eastAsia="en-US"/>
        </w:rPr>
        <w:t>Jacobi</w:t>
      </w:r>
      <w:proofErr w:type="spellEnd"/>
      <w:r w:rsidRPr="00893E50">
        <w:rPr>
          <w:rFonts w:eastAsia="Calibri"/>
          <w:i/>
          <w:iCs/>
          <w:lang w:eastAsia="en-US"/>
        </w:rPr>
        <w:t xml:space="preserve">-Romero, Johnny Marín-Contreras, Paul </w:t>
      </w:r>
      <w:proofErr w:type="spellStart"/>
      <w:r w:rsidRPr="00893E50">
        <w:rPr>
          <w:rFonts w:eastAsia="Calibri"/>
          <w:i/>
          <w:iCs/>
          <w:lang w:eastAsia="en-US"/>
        </w:rPr>
        <w:t>Ynquillay</w:t>
      </w:r>
      <w:proofErr w:type="spellEnd"/>
      <w:r w:rsidRPr="00893E50">
        <w:rPr>
          <w:rFonts w:eastAsia="Calibri"/>
          <w:i/>
          <w:iCs/>
          <w:lang w:eastAsia="en-US"/>
        </w:rPr>
        <w:t>-Lima.</w:t>
      </w:r>
    </w:p>
    <w:p w14:paraId="5DA197F9" w14:textId="77777777" w:rsidR="00675476" w:rsidRPr="0055115D" w:rsidRDefault="00675476" w:rsidP="00EA1FEF">
      <w:pPr>
        <w:pStyle w:val="PDFRevista"/>
      </w:pPr>
    </w:p>
    <w:sectPr w:rsidR="00675476" w:rsidRPr="0055115D"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95CE" w14:textId="77777777" w:rsidR="00C2648B" w:rsidRDefault="00C2648B">
      <w:r>
        <w:separator/>
      </w:r>
    </w:p>
  </w:endnote>
  <w:endnote w:type="continuationSeparator" w:id="0">
    <w:p w14:paraId="206C3F7E" w14:textId="77777777" w:rsidR="00C2648B" w:rsidRDefault="00C2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524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55DAD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3039" w14:textId="7C366B84" w:rsidR="000F3690" w:rsidRPr="00AE044C" w:rsidRDefault="00893E5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38F432F" wp14:editId="4C553747">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07321A"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A17D03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E9B180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EF5CD23" w14:textId="7A30870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93E50" w:rsidRPr="00893E50">
      <w:rPr>
        <w:rFonts w:ascii="Verdana" w:hAnsi="Verdana"/>
        <w:noProof/>
        <w:sz w:val="18"/>
        <w:szCs w:val="18"/>
        <w:lang w:val="en-US" w:eastAsia="en-US"/>
      </w:rPr>
      <w:drawing>
        <wp:inline distT="0" distB="0" distL="0" distR="0" wp14:anchorId="6A113ADD" wp14:editId="444084B9">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A616" w14:textId="77777777" w:rsidR="00C2648B" w:rsidRDefault="00C2648B">
      <w:r>
        <w:separator/>
      </w:r>
    </w:p>
  </w:footnote>
  <w:footnote w:type="continuationSeparator" w:id="0">
    <w:p w14:paraId="2885660D" w14:textId="77777777" w:rsidR="00C2648B" w:rsidRDefault="00C2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2C99" w14:textId="72333D0A" w:rsidR="00CC376A" w:rsidRPr="00AE044C" w:rsidRDefault="00E4752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sz w:val="22"/>
        <w:szCs w:val="22"/>
      </w:rPr>
      <w:t>e02302553</w:t>
    </w:r>
    <w:proofErr w:type="spellEnd"/>
    <w:r w:rsidR="007D2D0C" w:rsidRPr="007D2D0C">
      <w:rPr>
        <w:b/>
        <w:noProof/>
        <w:color w:val="00FFFF"/>
        <w:sz w:val="22"/>
        <w:szCs w:val="22"/>
        <w:lang w:val="es-CU" w:eastAsia="en-US"/>
      </w:rPr>
      <w:t xml:space="preserve"> </w:t>
    </w:r>
    <w:r w:rsidR="00893E50">
      <w:rPr>
        <w:noProof/>
      </w:rPr>
      <w:drawing>
        <wp:anchor distT="0" distB="0" distL="114300" distR="114300" simplePos="0" relativeHeight="251663360" behindDoc="1" locked="0" layoutInCell="1" allowOverlap="1" wp14:anchorId="592BE976" wp14:editId="6B486CFB">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0BCD3" w14:textId="74B595E2" w:rsidR="00A477DE" w:rsidRDefault="00893E50">
    <w:r>
      <w:rPr>
        <w:noProof/>
      </w:rPr>
      <mc:AlternateContent>
        <mc:Choice Requires="wps">
          <w:drawing>
            <wp:anchor distT="0" distB="0" distL="114300" distR="114300" simplePos="0" relativeHeight="251654144" behindDoc="0" locked="0" layoutInCell="1" allowOverlap="1" wp14:anchorId="04A831E8" wp14:editId="793EAE67">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190A3D"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97DC6"/>
    <w:multiLevelType w:val="hybridMultilevel"/>
    <w:tmpl w:val="B2480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AA3AFD"/>
    <w:multiLevelType w:val="hybridMultilevel"/>
    <w:tmpl w:val="785A9DCA"/>
    <w:lvl w:ilvl="0" w:tplc="ED881A1A">
      <w:start w:val="1"/>
      <w:numFmt w:val="decimal"/>
      <w:lvlText w:val="%1."/>
      <w:lvlJc w:val="left"/>
      <w:pPr>
        <w:ind w:left="720" w:hanging="360"/>
      </w:pPr>
      <w:rPr>
        <w:rFonts w:hint="default"/>
        <w:i w:val="0"/>
        <w:i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DB30067"/>
    <w:multiLevelType w:val="hybridMultilevel"/>
    <w:tmpl w:val="BE1CEEC8"/>
    <w:lvl w:ilvl="0" w:tplc="820CAA2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710637C4"/>
    <w:multiLevelType w:val="hybridMultilevel"/>
    <w:tmpl w:val="4FFE1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699588">
    <w:abstractNumId w:val="2"/>
  </w:num>
  <w:num w:numId="2" w16cid:durableId="1561091213">
    <w:abstractNumId w:val="3"/>
  </w:num>
  <w:num w:numId="3" w16cid:durableId="1524978066">
    <w:abstractNumId w:val="1"/>
  </w:num>
  <w:num w:numId="4" w16cid:durableId="584267683">
    <w:abstractNumId w:val="0"/>
  </w:num>
  <w:num w:numId="5" w16cid:durableId="64061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50"/>
    <w:rsid w:val="00000B6D"/>
    <w:rsid w:val="00057F45"/>
    <w:rsid w:val="000D3958"/>
    <w:rsid w:val="000F3690"/>
    <w:rsid w:val="001221D1"/>
    <w:rsid w:val="00165CB5"/>
    <w:rsid w:val="00180CE9"/>
    <w:rsid w:val="001C7DB5"/>
    <w:rsid w:val="00225AD1"/>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93E50"/>
    <w:rsid w:val="00960D6A"/>
    <w:rsid w:val="009A0560"/>
    <w:rsid w:val="009B0917"/>
    <w:rsid w:val="009F0F96"/>
    <w:rsid w:val="00A23C0C"/>
    <w:rsid w:val="00A477DE"/>
    <w:rsid w:val="00A71E65"/>
    <w:rsid w:val="00AE044C"/>
    <w:rsid w:val="00B31971"/>
    <w:rsid w:val="00B4380A"/>
    <w:rsid w:val="00B66ECB"/>
    <w:rsid w:val="00BC4832"/>
    <w:rsid w:val="00C2648B"/>
    <w:rsid w:val="00C7523A"/>
    <w:rsid w:val="00CC1B6E"/>
    <w:rsid w:val="00CC376A"/>
    <w:rsid w:val="00CC48A1"/>
    <w:rsid w:val="00CF50E0"/>
    <w:rsid w:val="00D85951"/>
    <w:rsid w:val="00E04A49"/>
    <w:rsid w:val="00E4752B"/>
    <w:rsid w:val="00E62606"/>
    <w:rsid w:val="00E82131"/>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48F22"/>
  <w15:docId w15:val="{A62DB1FB-DB7C-4D3B-A159-2FC0032F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893E50"/>
    <w:pPr>
      <w:keepNext/>
      <w:spacing w:before="240" w:after="60"/>
      <w:outlineLvl w:val="0"/>
    </w:pPr>
    <w:rPr>
      <w:rFonts w:ascii="Calibri Light" w:hAnsi="Calibri Light"/>
      <w:color w:val="2F5496"/>
      <w:sz w:val="32"/>
      <w:szCs w:val="32"/>
      <w:lang w:val="en-US" w:eastAsia="es-PE"/>
    </w:rPr>
  </w:style>
  <w:style w:type="paragraph" w:styleId="Ttulo3">
    <w:name w:val="heading 3"/>
    <w:basedOn w:val="Normal"/>
    <w:next w:val="Normal"/>
    <w:link w:val="Ttulo3Car"/>
    <w:uiPriority w:val="9"/>
    <w:unhideWhenUsed/>
    <w:qFormat/>
    <w:rsid w:val="00893E50"/>
    <w:pPr>
      <w:keepNext/>
      <w:spacing w:before="240" w:after="60"/>
      <w:outlineLvl w:val="2"/>
    </w:pPr>
    <w:rPr>
      <w:rFonts w:ascii="Cambria"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893E50"/>
    <w:pPr>
      <w:keepNext/>
      <w:keepLines/>
      <w:spacing w:before="240" w:line="259" w:lineRule="auto"/>
      <w:outlineLvl w:val="0"/>
    </w:pPr>
    <w:rPr>
      <w:rFonts w:ascii="Calibri Light" w:hAnsi="Calibri Light"/>
      <w:color w:val="2F5496"/>
      <w:sz w:val="32"/>
      <w:szCs w:val="32"/>
      <w:lang w:eastAsia="es-PE"/>
    </w:rPr>
  </w:style>
  <w:style w:type="character" w:customStyle="1" w:styleId="Ttulo3Car">
    <w:name w:val="Título 3 Car"/>
    <w:basedOn w:val="Fuentedeprrafopredeter"/>
    <w:link w:val="Ttulo3"/>
    <w:uiPriority w:val="9"/>
    <w:rsid w:val="00893E50"/>
    <w:rPr>
      <w:rFonts w:ascii="Cambria" w:hAnsi="Cambria"/>
      <w:b/>
      <w:bCs/>
      <w:sz w:val="26"/>
      <w:szCs w:val="26"/>
      <w:lang w:val="es-ES" w:eastAsia="es-ES"/>
    </w:rPr>
  </w:style>
  <w:style w:type="numbering" w:customStyle="1" w:styleId="Sinlista1">
    <w:name w:val="Sin lista1"/>
    <w:next w:val="Sinlista"/>
    <w:uiPriority w:val="99"/>
    <w:semiHidden/>
    <w:unhideWhenUsed/>
    <w:rsid w:val="00893E50"/>
  </w:style>
  <w:style w:type="character" w:customStyle="1" w:styleId="Mencinsinresolver1">
    <w:name w:val="Mención sin resolver1"/>
    <w:uiPriority w:val="99"/>
    <w:semiHidden/>
    <w:unhideWhenUsed/>
    <w:rsid w:val="00893E50"/>
    <w:rPr>
      <w:color w:val="605E5C"/>
      <w:shd w:val="clear" w:color="auto" w:fill="E1DFDD"/>
    </w:rPr>
  </w:style>
  <w:style w:type="table" w:customStyle="1" w:styleId="Tablaconcuadrcula1">
    <w:name w:val="Tabla con cuadrícula1"/>
    <w:basedOn w:val="Tablanormal"/>
    <w:next w:val="Tablaconcuadrcula"/>
    <w:uiPriority w:val="39"/>
    <w:rsid w:val="00893E50"/>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93E50"/>
    <w:rPr>
      <w:rFonts w:ascii="Calibri" w:eastAsia="Calibri" w:hAnsi="Calibri"/>
      <w:sz w:val="22"/>
      <w:szCs w:val="22"/>
      <w:lang w:val="es-PE"/>
    </w:rPr>
  </w:style>
  <w:style w:type="character" w:customStyle="1" w:styleId="Ttulo1Car">
    <w:name w:val="Título 1 Car"/>
    <w:link w:val="Ttulo1"/>
    <w:uiPriority w:val="9"/>
    <w:rsid w:val="00893E50"/>
    <w:rPr>
      <w:rFonts w:ascii="Calibri Light" w:eastAsia="Times New Roman" w:hAnsi="Calibri Light" w:cs="Times New Roman"/>
      <w:color w:val="2F5496"/>
      <w:sz w:val="32"/>
      <w:szCs w:val="32"/>
      <w:lang w:eastAsia="es-PE"/>
    </w:rPr>
  </w:style>
  <w:style w:type="paragraph" w:styleId="Bibliografa">
    <w:name w:val="Bibliography"/>
    <w:basedOn w:val="Normal"/>
    <w:next w:val="Normal"/>
    <w:uiPriority w:val="37"/>
    <w:unhideWhenUsed/>
    <w:rsid w:val="00893E50"/>
    <w:pPr>
      <w:spacing w:after="160" w:line="259" w:lineRule="auto"/>
    </w:pPr>
    <w:rPr>
      <w:rFonts w:ascii="Calibri" w:eastAsia="Calibri" w:hAnsi="Calibri"/>
      <w:sz w:val="22"/>
      <w:szCs w:val="22"/>
      <w:lang w:eastAsia="en-US"/>
    </w:rPr>
  </w:style>
  <w:style w:type="paragraph" w:styleId="Prrafodelista">
    <w:name w:val="List Paragraph"/>
    <w:basedOn w:val="Normal"/>
    <w:uiPriority w:val="34"/>
    <w:qFormat/>
    <w:rsid w:val="00893E50"/>
    <w:pPr>
      <w:spacing w:after="160" w:line="259" w:lineRule="auto"/>
      <w:ind w:left="720"/>
      <w:contextualSpacing/>
    </w:pPr>
    <w:rPr>
      <w:rFonts w:ascii="Calibri" w:eastAsia="Calibri" w:hAnsi="Calibri"/>
      <w:sz w:val="22"/>
      <w:szCs w:val="22"/>
      <w:lang w:eastAsia="en-US"/>
    </w:rPr>
  </w:style>
  <w:style w:type="character" w:styleId="Refdecomentario">
    <w:name w:val="annotation reference"/>
    <w:uiPriority w:val="99"/>
    <w:semiHidden/>
    <w:unhideWhenUsed/>
    <w:rsid w:val="00893E50"/>
    <w:rPr>
      <w:sz w:val="16"/>
      <w:szCs w:val="16"/>
    </w:rPr>
  </w:style>
  <w:style w:type="paragraph" w:styleId="Textocomentario">
    <w:name w:val="annotation text"/>
    <w:basedOn w:val="Normal"/>
    <w:link w:val="TextocomentarioCar"/>
    <w:uiPriority w:val="99"/>
    <w:semiHidden/>
    <w:unhideWhenUsed/>
    <w:rsid w:val="00893E50"/>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893E50"/>
    <w:rPr>
      <w:rFonts w:ascii="Calibri" w:eastAsia="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893E50"/>
    <w:rPr>
      <w:b/>
      <w:bCs/>
    </w:rPr>
  </w:style>
  <w:style w:type="character" w:customStyle="1" w:styleId="AsuntodelcomentarioCar">
    <w:name w:val="Asunto del comentario Car"/>
    <w:basedOn w:val="TextocomentarioCar"/>
    <w:link w:val="Asuntodelcomentario"/>
    <w:uiPriority w:val="99"/>
    <w:semiHidden/>
    <w:rsid w:val="00893E50"/>
    <w:rPr>
      <w:rFonts w:ascii="Calibri" w:eastAsia="Calibri" w:hAnsi="Calibri"/>
      <w:b/>
      <w:bCs/>
      <w:lang w:val="es-ES_tradnl"/>
    </w:rPr>
  </w:style>
  <w:style w:type="paragraph" w:customStyle="1" w:styleId="j">
    <w:name w:val="j"/>
    <w:basedOn w:val="Normal"/>
    <w:rsid w:val="00893E50"/>
    <w:pPr>
      <w:spacing w:before="100" w:beforeAutospacing="1" w:after="100" w:afterAutospacing="1"/>
    </w:pPr>
    <w:rPr>
      <w:lang w:val="es-CU" w:eastAsia="es-CU"/>
    </w:rPr>
  </w:style>
  <w:style w:type="character" w:customStyle="1" w:styleId="nacep">
    <w:name w:val="n_acep"/>
    <w:basedOn w:val="Fuentedeprrafopredeter"/>
    <w:rsid w:val="00893E50"/>
  </w:style>
  <w:style w:type="character" w:customStyle="1" w:styleId="d">
    <w:name w:val="d"/>
    <w:basedOn w:val="Fuentedeprrafopredeter"/>
    <w:rsid w:val="00893E50"/>
  </w:style>
  <w:style w:type="paragraph" w:customStyle="1" w:styleId="n2">
    <w:name w:val="n2"/>
    <w:basedOn w:val="Normal"/>
    <w:rsid w:val="00893E50"/>
    <w:pPr>
      <w:spacing w:before="100" w:beforeAutospacing="1" w:after="100" w:afterAutospacing="1"/>
    </w:pPr>
    <w:rPr>
      <w:lang w:val="es-CU" w:eastAsia="es-CU"/>
    </w:rPr>
  </w:style>
  <w:style w:type="character" w:styleId="nfasis">
    <w:name w:val="Emphasis"/>
    <w:uiPriority w:val="20"/>
    <w:qFormat/>
    <w:rsid w:val="00893E50"/>
    <w:rPr>
      <w:i/>
      <w:iCs/>
    </w:rPr>
  </w:style>
  <w:style w:type="paragraph" w:styleId="Textoindependiente">
    <w:name w:val="Body Text"/>
    <w:basedOn w:val="Normal"/>
    <w:link w:val="TextoindependienteCar"/>
    <w:uiPriority w:val="99"/>
    <w:unhideWhenUsed/>
    <w:rsid w:val="00893E50"/>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893E50"/>
    <w:rPr>
      <w:rFonts w:ascii="Arial" w:hAnsi="Arial" w:cs="Arial"/>
      <w:sz w:val="12"/>
      <w:szCs w:val="12"/>
      <w:lang w:val="es-ES" w:eastAsia="es-ES"/>
    </w:rPr>
  </w:style>
  <w:style w:type="character" w:styleId="Textoennegrita">
    <w:name w:val="Strong"/>
    <w:uiPriority w:val="22"/>
    <w:qFormat/>
    <w:rsid w:val="00893E50"/>
    <w:rPr>
      <w:b/>
      <w:bCs/>
    </w:rPr>
  </w:style>
  <w:style w:type="paragraph" w:styleId="Revisin">
    <w:name w:val="Revision"/>
    <w:hidden/>
    <w:uiPriority w:val="99"/>
    <w:semiHidden/>
    <w:rsid w:val="00893E50"/>
    <w:rPr>
      <w:rFonts w:ascii="Calibri" w:eastAsia="Calibri" w:hAnsi="Calibri"/>
      <w:sz w:val="22"/>
      <w:szCs w:val="22"/>
      <w:lang w:val="es-ES_tradnl"/>
    </w:rPr>
  </w:style>
  <w:style w:type="character" w:customStyle="1" w:styleId="Mencinsinresolver2">
    <w:name w:val="Mención sin resolver2"/>
    <w:uiPriority w:val="99"/>
    <w:semiHidden/>
    <w:unhideWhenUsed/>
    <w:rsid w:val="00893E50"/>
    <w:rPr>
      <w:color w:val="605E5C"/>
      <w:shd w:val="clear" w:color="auto" w:fill="E1DFDD"/>
    </w:rPr>
  </w:style>
  <w:style w:type="character" w:customStyle="1" w:styleId="Ttulo1Car1">
    <w:name w:val="Título 1 Car1"/>
    <w:basedOn w:val="Fuentedeprrafopredeter"/>
    <w:link w:val="Ttulo1"/>
    <w:rsid w:val="00893E50"/>
    <w:rPr>
      <w:rFonts w:asciiTheme="majorHAnsi" w:eastAsiaTheme="majorEastAsia" w:hAnsiTheme="majorHAnsi" w:cstheme="majorBidi"/>
      <w:b/>
      <w:bCs/>
      <w:kern w:val="32"/>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393-7660" TargetMode="External"/><Relationship Id="rId13" Type="http://schemas.openxmlformats.org/officeDocument/2006/relationships/hyperlink" Target="mailto:jbanos@cientifica.edu.pe" TargetMode="External"/><Relationship Id="rId18" Type="http://schemas.openxmlformats.org/officeDocument/2006/relationships/hyperlink" Target="https://www.who.int/es/news-room/fact-sheets/detail/suici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pi.cpsp.io/public/documents/codigo_de_etica_y_deontologia.pdf" TargetMode="External"/><Relationship Id="rId7" Type="http://schemas.openxmlformats.org/officeDocument/2006/relationships/hyperlink" Target="https://orcid.org/0000-0002-2604-7822" TargetMode="External"/><Relationship Id="rId12" Type="http://schemas.openxmlformats.org/officeDocument/2006/relationships/hyperlink" Target="https://orcid.org/0000-0002-8101-3932"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revmedmilitar.sld.cu/index.php/mil/article/view/1450/1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275-105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s://orcid.org/0000-0002-3062-328X" TargetMode="External"/><Relationship Id="rId19" Type="http://schemas.openxmlformats.org/officeDocument/2006/relationships/hyperlink" Target="https://www.who.int/publications/i/item/9789241564779" TargetMode="External"/><Relationship Id="rId4" Type="http://schemas.openxmlformats.org/officeDocument/2006/relationships/webSettings" Target="webSettings.xml"/><Relationship Id="rId9" Type="http://schemas.openxmlformats.org/officeDocument/2006/relationships/hyperlink" Target="https://orcid.org/0000-0001-6025-8415" TargetMode="External"/><Relationship Id="rId14" Type="http://schemas.openxmlformats.org/officeDocument/2006/relationships/image" Target="media/image1.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17</Pages>
  <Words>4338</Words>
  <Characters>24732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29012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2023-05-19T16:41:00Z</cp:lastPrinted>
  <dcterms:created xsi:type="dcterms:W3CDTF">2023-05-19T16:37:00Z</dcterms:created>
  <dcterms:modified xsi:type="dcterms:W3CDTF">2023-05-19T16:45:00Z</dcterms:modified>
</cp:coreProperties>
</file>