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1E16" w14:textId="77777777" w:rsidR="00102825" w:rsidRPr="00102825" w:rsidRDefault="00102825" w:rsidP="00102825">
      <w:pPr>
        <w:spacing w:line="360" w:lineRule="auto"/>
        <w:jc w:val="right"/>
        <w:rPr>
          <w:rFonts w:eastAsia="Calibri"/>
          <w:sz w:val="20"/>
          <w:szCs w:val="20"/>
          <w:lang w:val="es-CU" w:eastAsia="en-US"/>
        </w:rPr>
      </w:pPr>
      <w:r w:rsidRPr="00102825">
        <w:rPr>
          <w:rFonts w:eastAsia="Calibri"/>
          <w:sz w:val="20"/>
          <w:szCs w:val="20"/>
          <w:lang w:val="es-CU" w:eastAsia="en-US"/>
        </w:rPr>
        <w:t>Comunicación Breve</w:t>
      </w:r>
    </w:p>
    <w:p w14:paraId="13510B4F" w14:textId="77777777" w:rsidR="00102825" w:rsidRPr="00102825" w:rsidRDefault="00102825" w:rsidP="00102825">
      <w:pPr>
        <w:spacing w:line="360" w:lineRule="auto"/>
        <w:jc w:val="right"/>
        <w:rPr>
          <w:rFonts w:eastAsia="Calibri"/>
          <w:sz w:val="20"/>
          <w:szCs w:val="20"/>
          <w:lang w:val="es-CU" w:eastAsia="en-US"/>
        </w:rPr>
      </w:pPr>
    </w:p>
    <w:p w14:paraId="272B9CF5" w14:textId="77777777" w:rsidR="00102825" w:rsidRPr="00102825" w:rsidRDefault="00102825" w:rsidP="00102825">
      <w:pPr>
        <w:spacing w:line="360" w:lineRule="auto"/>
        <w:jc w:val="center"/>
        <w:rPr>
          <w:rFonts w:eastAsia="Calibri"/>
          <w:b/>
          <w:sz w:val="28"/>
          <w:lang w:val="es-CU" w:eastAsia="en-US"/>
        </w:rPr>
      </w:pPr>
      <w:r w:rsidRPr="00102825">
        <w:rPr>
          <w:rFonts w:eastAsia="Calibri"/>
          <w:b/>
          <w:sz w:val="28"/>
          <w:lang w:val="es-CU" w:eastAsia="en-US"/>
        </w:rPr>
        <w:t xml:space="preserve">Intervención nutricional orientada al control del proceso inflamatorio en pacientes con espondilitis </w:t>
      </w:r>
      <w:proofErr w:type="spellStart"/>
      <w:r w:rsidRPr="00102825">
        <w:rPr>
          <w:rFonts w:eastAsia="Calibri"/>
          <w:b/>
          <w:sz w:val="28"/>
          <w:lang w:val="es-CU" w:eastAsia="en-US"/>
        </w:rPr>
        <w:t>enteropática</w:t>
      </w:r>
      <w:proofErr w:type="spellEnd"/>
    </w:p>
    <w:p w14:paraId="4F3132E0" w14:textId="77777777" w:rsidR="00102825" w:rsidRPr="00102825" w:rsidRDefault="00102825" w:rsidP="00102825">
      <w:pPr>
        <w:spacing w:line="360" w:lineRule="auto"/>
        <w:jc w:val="center"/>
        <w:rPr>
          <w:rFonts w:eastAsia="Calibri"/>
          <w:sz w:val="28"/>
          <w:lang w:val="en-US" w:eastAsia="en-US"/>
        </w:rPr>
      </w:pPr>
      <w:r w:rsidRPr="00102825">
        <w:rPr>
          <w:rFonts w:eastAsia="Calibri"/>
          <w:sz w:val="28"/>
          <w:lang w:val="en-US" w:eastAsia="en-US"/>
        </w:rPr>
        <w:t xml:space="preserve">Nutritional intervention aimed at controlling the inflammatory process in patients with </w:t>
      </w:r>
      <w:proofErr w:type="spellStart"/>
      <w:r w:rsidRPr="00102825">
        <w:rPr>
          <w:rFonts w:eastAsia="Calibri"/>
          <w:sz w:val="28"/>
          <w:lang w:val="en-US" w:eastAsia="en-US"/>
        </w:rPr>
        <w:t>enteropathic</w:t>
      </w:r>
      <w:proofErr w:type="spellEnd"/>
      <w:r w:rsidRPr="00102825">
        <w:rPr>
          <w:rFonts w:eastAsia="Calibri"/>
          <w:sz w:val="28"/>
          <w:lang w:val="en-US" w:eastAsia="en-US"/>
        </w:rPr>
        <w:t xml:space="preserve"> spondylitis</w:t>
      </w:r>
    </w:p>
    <w:p w14:paraId="2D79AD58" w14:textId="77777777" w:rsidR="00102825" w:rsidRPr="00102825" w:rsidRDefault="00102825" w:rsidP="00102825">
      <w:pPr>
        <w:spacing w:line="360" w:lineRule="auto"/>
        <w:jc w:val="both"/>
        <w:rPr>
          <w:rFonts w:eastAsia="Calibri"/>
          <w:lang w:val="en-US" w:eastAsia="en-US"/>
        </w:rPr>
      </w:pPr>
      <w:bookmarkStart w:id="0" w:name="_Hlk145691044"/>
    </w:p>
    <w:bookmarkEnd w:id="0"/>
    <w:p w14:paraId="49AA83AB" w14:textId="34DC75FB" w:rsidR="006F27D6" w:rsidRPr="00DC233D" w:rsidRDefault="006F27D6" w:rsidP="006F27D6">
      <w:pPr>
        <w:spacing w:line="360" w:lineRule="auto"/>
        <w:jc w:val="both"/>
        <w:rPr>
          <w:rFonts w:eastAsia="Calibri"/>
          <w:lang w:val="es-CU" w:eastAsia="en-US"/>
        </w:rPr>
      </w:pPr>
      <w:r w:rsidRPr="00DC233D">
        <w:rPr>
          <w:rFonts w:eastAsia="Calibri"/>
          <w:lang w:val="es-CU" w:eastAsia="en-US"/>
        </w:rPr>
        <w:t xml:space="preserve">Urbano </w:t>
      </w:r>
      <w:proofErr w:type="spellStart"/>
      <w:r w:rsidRPr="00DC233D">
        <w:rPr>
          <w:rFonts w:eastAsia="Calibri"/>
          <w:lang w:val="es-CU" w:eastAsia="en-US"/>
        </w:rPr>
        <w:t>Solis</w:t>
      </w:r>
      <w:proofErr w:type="spellEnd"/>
      <w:r w:rsidRPr="00DC233D">
        <w:rPr>
          <w:rFonts w:eastAsia="Calibri"/>
          <w:lang w:val="es-CU" w:eastAsia="en-US"/>
        </w:rPr>
        <w:t xml:space="preserve"> Cartas</w:t>
      </w:r>
      <w:r w:rsidRPr="00DC233D">
        <w:rPr>
          <w:rFonts w:eastAsia="Calibri"/>
          <w:vertAlign w:val="superscript"/>
          <w:lang w:val="es-CU" w:eastAsia="en-US"/>
        </w:rPr>
        <w:t>1</w:t>
      </w:r>
      <w:r w:rsidRPr="00DC233D">
        <w:rPr>
          <w:rFonts w:eastAsia="Calibri"/>
          <w:lang w:val="es-CU" w:eastAsia="en-US"/>
        </w:rPr>
        <w:t xml:space="preserve">* </w:t>
      </w:r>
      <w:hyperlink r:id="rId7" w:history="1">
        <w:r w:rsidRPr="00DC233D">
          <w:rPr>
            <w:rStyle w:val="Hipervnculo"/>
            <w:rFonts w:eastAsia="Calibri"/>
            <w:u w:val="none"/>
            <w:lang w:val="es-CU" w:eastAsia="en-US"/>
          </w:rPr>
          <w:t>https://orcid.org/0000-0003-0350-6333</w:t>
        </w:r>
      </w:hyperlink>
      <w:r w:rsidRPr="00DC233D">
        <w:rPr>
          <w:rFonts w:eastAsia="Calibri"/>
          <w:lang w:val="es-CU" w:eastAsia="en-US"/>
        </w:rPr>
        <w:t xml:space="preserve"> </w:t>
      </w:r>
      <w:r w:rsidRPr="00DC233D">
        <w:rPr>
          <w:rFonts w:eastAsia="Calibri"/>
          <w:lang w:val="es-CU" w:eastAsia="en-US"/>
        </w:rPr>
        <w:t xml:space="preserve"> </w:t>
      </w:r>
    </w:p>
    <w:p w14:paraId="2D8A057F" w14:textId="53F3F4C4" w:rsidR="006F27D6" w:rsidRPr="00DC233D" w:rsidRDefault="006F27D6" w:rsidP="006F27D6">
      <w:pPr>
        <w:spacing w:line="360" w:lineRule="auto"/>
        <w:jc w:val="both"/>
        <w:rPr>
          <w:rFonts w:eastAsia="Calibri"/>
          <w:lang w:val="es-CU" w:eastAsia="en-US"/>
        </w:rPr>
      </w:pPr>
      <w:r w:rsidRPr="00DC233D">
        <w:rPr>
          <w:rFonts w:eastAsia="Calibri"/>
          <w:lang w:val="es-CU" w:eastAsia="en-US"/>
        </w:rPr>
        <w:t>Jorge Luis Valdés González</w:t>
      </w:r>
      <w:r w:rsidRPr="00DC233D">
        <w:rPr>
          <w:rFonts w:eastAsia="Calibri"/>
          <w:vertAlign w:val="superscript"/>
          <w:lang w:val="es-CU" w:eastAsia="en-US"/>
        </w:rPr>
        <w:t>1</w:t>
      </w:r>
      <w:r w:rsidRPr="00DC233D">
        <w:rPr>
          <w:rFonts w:eastAsia="Calibri"/>
          <w:lang w:val="es-CU" w:eastAsia="en-US"/>
        </w:rPr>
        <w:t xml:space="preserve"> </w:t>
      </w:r>
      <w:hyperlink r:id="rId8" w:history="1">
        <w:r w:rsidRPr="00DC233D">
          <w:rPr>
            <w:rStyle w:val="Hipervnculo"/>
            <w:rFonts w:eastAsia="Calibri"/>
            <w:u w:val="none"/>
            <w:lang w:val="es-CU" w:eastAsia="en-US"/>
          </w:rPr>
          <w:t>https://orcid.org/0000-0002-2661-8517</w:t>
        </w:r>
      </w:hyperlink>
      <w:r w:rsidRPr="00DC233D">
        <w:rPr>
          <w:rFonts w:eastAsia="Calibri"/>
          <w:lang w:val="es-CU" w:eastAsia="en-US"/>
        </w:rPr>
        <w:t xml:space="preserve"> </w:t>
      </w:r>
      <w:r w:rsidRPr="00DC233D">
        <w:rPr>
          <w:rFonts w:eastAsia="Calibri"/>
          <w:lang w:val="es-CU" w:eastAsia="en-US"/>
        </w:rPr>
        <w:t xml:space="preserve"> </w:t>
      </w:r>
    </w:p>
    <w:p w14:paraId="2301B2D4" w14:textId="6DF5A526" w:rsidR="006F27D6" w:rsidRPr="00DC233D" w:rsidRDefault="006F27D6" w:rsidP="006F27D6">
      <w:pPr>
        <w:spacing w:line="360" w:lineRule="auto"/>
        <w:jc w:val="both"/>
        <w:rPr>
          <w:rFonts w:eastAsia="Calibri"/>
          <w:lang w:val="es-CU" w:eastAsia="en-US"/>
        </w:rPr>
      </w:pPr>
      <w:r w:rsidRPr="00DC233D">
        <w:rPr>
          <w:rFonts w:eastAsia="Calibri"/>
          <w:lang w:val="es-CU" w:eastAsia="en-US"/>
        </w:rPr>
        <w:t>Libia Cristina Tinajero Novillo</w:t>
      </w:r>
      <w:r w:rsidRPr="00DC233D">
        <w:rPr>
          <w:rFonts w:eastAsia="Calibri"/>
          <w:vertAlign w:val="superscript"/>
          <w:lang w:val="es-CU" w:eastAsia="en-US"/>
        </w:rPr>
        <w:t>2</w:t>
      </w:r>
      <w:r w:rsidRPr="00DC233D">
        <w:rPr>
          <w:rFonts w:eastAsia="Calibri"/>
          <w:lang w:val="es-CU" w:eastAsia="en-US"/>
        </w:rPr>
        <w:t xml:space="preserve"> </w:t>
      </w:r>
      <w:hyperlink r:id="rId9" w:history="1">
        <w:r w:rsidRPr="00DC233D">
          <w:rPr>
            <w:rStyle w:val="Hipervnculo"/>
            <w:rFonts w:eastAsia="Calibri"/>
            <w:u w:val="none"/>
            <w:lang w:val="es-CU" w:eastAsia="en-US"/>
          </w:rPr>
          <w:t>https://orcid.org/0009-0006-5223-7781</w:t>
        </w:r>
      </w:hyperlink>
      <w:r w:rsidRPr="00DC233D">
        <w:rPr>
          <w:rFonts w:eastAsia="Calibri"/>
          <w:lang w:val="es-CU" w:eastAsia="en-US"/>
        </w:rPr>
        <w:t xml:space="preserve"> </w:t>
      </w:r>
      <w:r w:rsidRPr="00DC233D">
        <w:rPr>
          <w:rFonts w:eastAsia="Calibri"/>
          <w:lang w:val="es-CU" w:eastAsia="en-US"/>
        </w:rPr>
        <w:t xml:space="preserve"> </w:t>
      </w:r>
    </w:p>
    <w:p w14:paraId="133632C1" w14:textId="15E42231" w:rsidR="006F27D6" w:rsidRPr="00DC233D" w:rsidRDefault="006F27D6" w:rsidP="006F27D6">
      <w:pPr>
        <w:spacing w:line="360" w:lineRule="auto"/>
        <w:jc w:val="both"/>
        <w:rPr>
          <w:rFonts w:eastAsia="Calibri"/>
          <w:lang w:val="es-CU" w:eastAsia="en-US"/>
        </w:rPr>
      </w:pPr>
      <w:proofErr w:type="spellStart"/>
      <w:r w:rsidRPr="00DC233D">
        <w:rPr>
          <w:rFonts w:eastAsia="Calibri"/>
          <w:lang w:val="es-CU" w:eastAsia="en-US"/>
        </w:rPr>
        <w:t>Brigette</w:t>
      </w:r>
      <w:proofErr w:type="spellEnd"/>
      <w:r w:rsidRPr="00DC233D">
        <w:rPr>
          <w:rFonts w:eastAsia="Calibri"/>
          <w:lang w:val="es-CU" w:eastAsia="en-US"/>
        </w:rPr>
        <w:t xml:space="preserve"> Carolina Huaraca Morocho</w:t>
      </w:r>
      <w:r w:rsidRPr="00DC233D">
        <w:rPr>
          <w:rFonts w:eastAsia="Calibri"/>
          <w:vertAlign w:val="superscript"/>
          <w:lang w:val="es-CU" w:eastAsia="en-US"/>
        </w:rPr>
        <w:t>1</w:t>
      </w:r>
      <w:r w:rsidRPr="00DC233D">
        <w:rPr>
          <w:rFonts w:eastAsia="Calibri"/>
          <w:lang w:val="es-CU" w:eastAsia="en-US"/>
        </w:rPr>
        <w:t xml:space="preserve"> </w:t>
      </w:r>
      <w:hyperlink r:id="rId10" w:history="1">
        <w:r w:rsidRPr="00DC233D">
          <w:rPr>
            <w:rStyle w:val="Hipervnculo"/>
            <w:rFonts w:eastAsia="Calibri"/>
            <w:u w:val="none"/>
            <w:lang w:val="es-CU" w:eastAsia="en-US"/>
          </w:rPr>
          <w:t>https://orcid.org/0000-0002-5640-2733</w:t>
        </w:r>
      </w:hyperlink>
      <w:r w:rsidRPr="00DC233D">
        <w:rPr>
          <w:rFonts w:eastAsia="Calibri"/>
          <w:lang w:val="es-CU" w:eastAsia="en-US"/>
        </w:rPr>
        <w:t xml:space="preserve"> </w:t>
      </w:r>
      <w:r w:rsidRPr="00DC233D">
        <w:rPr>
          <w:rFonts w:eastAsia="Calibri"/>
          <w:lang w:val="es-CU" w:eastAsia="en-US"/>
        </w:rPr>
        <w:t xml:space="preserve"> </w:t>
      </w:r>
    </w:p>
    <w:p w14:paraId="2145D162" w14:textId="64134495" w:rsidR="006F27D6" w:rsidRPr="00DC233D" w:rsidRDefault="006F27D6" w:rsidP="006F27D6">
      <w:pPr>
        <w:spacing w:line="360" w:lineRule="auto"/>
        <w:jc w:val="both"/>
        <w:rPr>
          <w:rFonts w:eastAsia="Calibri"/>
          <w:lang w:val="es-CU" w:eastAsia="en-US"/>
        </w:rPr>
      </w:pPr>
      <w:r w:rsidRPr="00DC233D">
        <w:rPr>
          <w:rFonts w:eastAsia="Calibri"/>
          <w:lang w:val="es-CU" w:eastAsia="en-US"/>
        </w:rPr>
        <w:t>Silvia Johana Calvopiña Bejarano</w:t>
      </w:r>
      <w:r w:rsidRPr="00DC233D">
        <w:rPr>
          <w:rFonts w:eastAsia="Calibri"/>
          <w:vertAlign w:val="superscript"/>
          <w:lang w:val="es-CU" w:eastAsia="en-US"/>
        </w:rPr>
        <w:t>3</w:t>
      </w:r>
      <w:r w:rsidRPr="00DC233D">
        <w:rPr>
          <w:rFonts w:eastAsia="Calibri"/>
          <w:lang w:val="es-CU" w:eastAsia="en-US"/>
        </w:rPr>
        <w:t xml:space="preserve"> </w:t>
      </w:r>
      <w:hyperlink r:id="rId11" w:history="1">
        <w:r w:rsidRPr="00DC233D">
          <w:rPr>
            <w:rStyle w:val="Hipervnculo"/>
            <w:rFonts w:eastAsia="Calibri"/>
            <w:u w:val="none"/>
            <w:lang w:val="es-CU" w:eastAsia="en-US"/>
          </w:rPr>
          <w:t>https://orcid.org/0000-0001-7125-3572</w:t>
        </w:r>
      </w:hyperlink>
      <w:r w:rsidRPr="00DC233D">
        <w:rPr>
          <w:rFonts w:eastAsia="Calibri"/>
          <w:lang w:val="es-CU" w:eastAsia="en-US"/>
        </w:rPr>
        <w:t xml:space="preserve"> </w:t>
      </w:r>
      <w:r w:rsidRPr="00DC233D">
        <w:rPr>
          <w:rFonts w:eastAsia="Calibri"/>
          <w:lang w:val="es-CU" w:eastAsia="en-US"/>
        </w:rPr>
        <w:t xml:space="preserve"> </w:t>
      </w:r>
    </w:p>
    <w:p w14:paraId="0E7E6A15" w14:textId="77777777" w:rsidR="006F27D6" w:rsidRPr="006F27D6" w:rsidRDefault="006F27D6" w:rsidP="006F27D6">
      <w:pPr>
        <w:spacing w:line="360" w:lineRule="auto"/>
        <w:jc w:val="both"/>
        <w:rPr>
          <w:rFonts w:eastAsia="Calibri"/>
          <w:lang w:val="es-CU" w:eastAsia="en-US"/>
        </w:rPr>
      </w:pPr>
    </w:p>
    <w:p w14:paraId="3621225A" w14:textId="77777777" w:rsidR="006F27D6" w:rsidRPr="006F27D6" w:rsidRDefault="006F27D6" w:rsidP="006F27D6">
      <w:pPr>
        <w:spacing w:line="360" w:lineRule="auto"/>
        <w:jc w:val="both"/>
        <w:rPr>
          <w:rFonts w:eastAsia="Calibri"/>
          <w:lang w:val="es-CU" w:eastAsia="en-US"/>
        </w:rPr>
      </w:pPr>
      <w:r w:rsidRPr="006F27D6">
        <w:rPr>
          <w:rFonts w:eastAsia="Calibri"/>
          <w:vertAlign w:val="superscript"/>
          <w:lang w:val="es-CU" w:eastAsia="en-US"/>
        </w:rPr>
        <w:t>1</w:t>
      </w:r>
      <w:r w:rsidRPr="006F27D6">
        <w:rPr>
          <w:rFonts w:eastAsia="Calibri"/>
          <w:lang w:val="es-CU" w:eastAsia="en-US"/>
        </w:rPr>
        <w:t>Universidad Nacional de Chimborazo. Escuela Superior Politécnica de Chimborazo (ESPOCH). Riobamba, Chimborazo, Ecuador.</w:t>
      </w:r>
    </w:p>
    <w:p w14:paraId="302FA812" w14:textId="77777777" w:rsidR="006F27D6" w:rsidRPr="006F27D6" w:rsidRDefault="006F27D6" w:rsidP="006F27D6">
      <w:pPr>
        <w:spacing w:line="360" w:lineRule="auto"/>
        <w:jc w:val="both"/>
        <w:rPr>
          <w:rFonts w:eastAsia="Calibri"/>
          <w:lang w:val="es-CU" w:eastAsia="en-US"/>
        </w:rPr>
      </w:pPr>
      <w:r w:rsidRPr="006F27D6">
        <w:rPr>
          <w:rFonts w:eastAsia="Calibri"/>
          <w:vertAlign w:val="superscript"/>
          <w:lang w:val="es-CU" w:eastAsia="en-US"/>
        </w:rPr>
        <w:t>2</w:t>
      </w:r>
      <w:r w:rsidRPr="006F27D6">
        <w:rPr>
          <w:rFonts w:eastAsia="Calibri"/>
          <w:lang w:val="es-CU" w:eastAsia="en-US"/>
        </w:rPr>
        <w:t xml:space="preserve">Universidad Nacional de Chimborazo. Chimborazo, Ecuador. </w:t>
      </w:r>
    </w:p>
    <w:p w14:paraId="3B36D486" w14:textId="09DDBAB0" w:rsidR="00102825" w:rsidRDefault="006F27D6" w:rsidP="006F27D6">
      <w:pPr>
        <w:spacing w:line="360" w:lineRule="auto"/>
        <w:jc w:val="both"/>
        <w:rPr>
          <w:rFonts w:eastAsia="Calibri"/>
          <w:lang w:val="es-CU" w:eastAsia="en-US"/>
        </w:rPr>
      </w:pPr>
      <w:r w:rsidRPr="006F27D6">
        <w:rPr>
          <w:rFonts w:eastAsia="Calibri"/>
          <w:vertAlign w:val="superscript"/>
          <w:lang w:val="es-CU" w:eastAsia="en-US"/>
        </w:rPr>
        <w:t>3</w:t>
      </w:r>
      <w:r w:rsidRPr="006F27D6">
        <w:rPr>
          <w:rFonts w:eastAsia="Calibri"/>
          <w:lang w:val="es-CU" w:eastAsia="en-US"/>
        </w:rPr>
        <w:t>Empresa de Capacitación Internacional ECI Sc. Riobamba, Chimborazo, Ecuador.</w:t>
      </w:r>
    </w:p>
    <w:p w14:paraId="1A4F953B" w14:textId="77777777" w:rsidR="006F27D6" w:rsidRPr="00102825" w:rsidRDefault="006F27D6" w:rsidP="006F27D6">
      <w:pPr>
        <w:spacing w:line="360" w:lineRule="auto"/>
        <w:jc w:val="both"/>
        <w:rPr>
          <w:rFonts w:eastAsia="Calibri"/>
          <w:lang w:val="es-CU" w:eastAsia="en-US"/>
        </w:rPr>
      </w:pPr>
    </w:p>
    <w:p w14:paraId="4183DCA4"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*Autor para la correspondencia. Correo electrónico: </w:t>
      </w:r>
      <w:hyperlink r:id="rId12" w:history="1">
        <w:r w:rsidRPr="00102825">
          <w:rPr>
            <w:rFonts w:eastAsia="Calibri"/>
            <w:color w:val="0563C1"/>
            <w:lang w:val="es-CU" w:eastAsia="en-US"/>
          </w:rPr>
          <w:t>umsmwork74@gmail.com</w:t>
        </w:r>
      </w:hyperlink>
    </w:p>
    <w:p w14:paraId="7AB44FC0" w14:textId="77777777" w:rsidR="00102825" w:rsidRPr="00102825" w:rsidRDefault="00102825" w:rsidP="00102825">
      <w:pPr>
        <w:spacing w:line="360" w:lineRule="auto"/>
        <w:jc w:val="both"/>
        <w:rPr>
          <w:rFonts w:eastAsia="Calibri"/>
          <w:lang w:val="es-CU" w:eastAsia="en-US"/>
        </w:rPr>
      </w:pPr>
    </w:p>
    <w:p w14:paraId="72646039" w14:textId="77777777" w:rsidR="00102825" w:rsidRPr="00102825" w:rsidRDefault="00102825" w:rsidP="00102825">
      <w:pPr>
        <w:spacing w:line="360" w:lineRule="auto"/>
        <w:jc w:val="both"/>
        <w:rPr>
          <w:rFonts w:eastAsia="Calibri"/>
          <w:b/>
          <w:lang w:val="es-CU" w:eastAsia="en-US"/>
        </w:rPr>
      </w:pPr>
      <w:r w:rsidRPr="00102825">
        <w:rPr>
          <w:rFonts w:eastAsia="Calibri"/>
          <w:b/>
          <w:lang w:val="es-CU" w:eastAsia="en-US"/>
        </w:rPr>
        <w:t>RESUMEN</w:t>
      </w:r>
    </w:p>
    <w:p w14:paraId="0FCC6511" w14:textId="77777777" w:rsidR="00102825" w:rsidRPr="00102825" w:rsidRDefault="00102825" w:rsidP="00102825">
      <w:pPr>
        <w:spacing w:line="360" w:lineRule="auto"/>
        <w:jc w:val="both"/>
        <w:rPr>
          <w:rFonts w:eastAsia="Calibri"/>
          <w:lang w:val="es-CU" w:eastAsia="en-US"/>
        </w:rPr>
      </w:pPr>
      <w:bookmarkStart w:id="1" w:name="_Hlk138614022"/>
      <w:r w:rsidRPr="00102825">
        <w:rPr>
          <w:rFonts w:eastAsia="Calibri"/>
          <w:b/>
          <w:lang w:val="es-CU" w:eastAsia="en-US"/>
        </w:rPr>
        <w:t>Introducción:</w:t>
      </w:r>
      <w:r w:rsidRPr="00102825">
        <w:rPr>
          <w:rFonts w:eastAsia="Calibri"/>
          <w:lang w:val="es-CU" w:eastAsia="en-US"/>
        </w:rPr>
        <w:t xml:space="preserve"> La espondilitis </w:t>
      </w:r>
      <w:proofErr w:type="spellStart"/>
      <w:r w:rsidRPr="00102825">
        <w:rPr>
          <w:rFonts w:eastAsia="Calibri"/>
          <w:lang w:val="es-CU" w:eastAsia="en-US"/>
        </w:rPr>
        <w:t>enteropática</w:t>
      </w:r>
      <w:proofErr w:type="spellEnd"/>
      <w:r w:rsidRPr="00102825">
        <w:rPr>
          <w:rFonts w:eastAsia="Calibri"/>
          <w:lang w:val="es-CU" w:eastAsia="en-US"/>
        </w:rPr>
        <w:t xml:space="preserve"> es una enfermedad inflamatoria, sistémica y crónica que se caracteriza por afectar el aparato digestivo y el sistema </w:t>
      </w:r>
      <w:proofErr w:type="spellStart"/>
      <w:r w:rsidRPr="00102825">
        <w:rPr>
          <w:rFonts w:eastAsia="Calibri"/>
          <w:lang w:val="es-CU" w:eastAsia="en-US"/>
        </w:rPr>
        <w:t>osteomioarticular</w:t>
      </w:r>
      <w:proofErr w:type="spellEnd"/>
      <w:r w:rsidRPr="00102825">
        <w:rPr>
          <w:rFonts w:eastAsia="Calibri"/>
          <w:lang w:val="es-CU" w:eastAsia="en-US"/>
        </w:rPr>
        <w:t>; el proceso inflamatorio genera manifestaciones clínicas que afectan la capacidad funcional y la percepción de calidad de vida de los pacientes.</w:t>
      </w:r>
    </w:p>
    <w:p w14:paraId="2F4E087B" w14:textId="77777777" w:rsidR="00102825" w:rsidRPr="00102825" w:rsidRDefault="00102825" w:rsidP="00102825">
      <w:pPr>
        <w:spacing w:line="360" w:lineRule="auto"/>
        <w:jc w:val="both"/>
        <w:rPr>
          <w:rFonts w:eastAsia="Calibri"/>
          <w:lang w:val="es-CU" w:eastAsia="en-US"/>
        </w:rPr>
      </w:pPr>
      <w:r w:rsidRPr="00102825">
        <w:rPr>
          <w:rFonts w:eastAsia="Calibri"/>
          <w:b/>
          <w:lang w:val="es-CU" w:eastAsia="en-US"/>
        </w:rPr>
        <w:t>Objetivo:</w:t>
      </w:r>
      <w:r w:rsidRPr="00102825">
        <w:rPr>
          <w:rFonts w:eastAsia="Calibri"/>
          <w:lang w:val="es-CU" w:eastAsia="en-US"/>
        </w:rPr>
        <w:t xml:space="preserve"> Evaluar los resultados de una intervención nutricional orientada al control del proceso inflamatorio en pacientes con espondilitis </w:t>
      </w:r>
      <w:proofErr w:type="spellStart"/>
      <w:r w:rsidRPr="00102825">
        <w:rPr>
          <w:rFonts w:eastAsia="Calibri"/>
          <w:lang w:val="es-CU" w:eastAsia="en-US"/>
        </w:rPr>
        <w:t>enteropática</w:t>
      </w:r>
      <w:proofErr w:type="spellEnd"/>
      <w:r w:rsidRPr="00102825">
        <w:rPr>
          <w:rFonts w:eastAsia="Calibri"/>
          <w:lang w:val="es-CU" w:eastAsia="en-US"/>
        </w:rPr>
        <w:t xml:space="preserve">.  </w:t>
      </w:r>
    </w:p>
    <w:p w14:paraId="5FA81F36" w14:textId="77777777" w:rsidR="00102825" w:rsidRPr="00102825" w:rsidRDefault="00102825" w:rsidP="00102825">
      <w:pPr>
        <w:spacing w:line="360" w:lineRule="auto"/>
        <w:jc w:val="both"/>
        <w:rPr>
          <w:rFonts w:eastAsia="Calibri"/>
          <w:lang w:val="es-CU" w:eastAsia="en-US"/>
        </w:rPr>
      </w:pPr>
      <w:r w:rsidRPr="00102825">
        <w:rPr>
          <w:rFonts w:eastAsia="Calibri"/>
          <w:b/>
          <w:lang w:val="es-CU" w:eastAsia="en-US"/>
        </w:rPr>
        <w:lastRenderedPageBreak/>
        <w:t>Métodos:</w:t>
      </w:r>
      <w:r w:rsidRPr="00102825">
        <w:rPr>
          <w:rFonts w:eastAsia="Calibri"/>
          <w:lang w:val="es-CU" w:eastAsia="en-US"/>
        </w:rPr>
        <w:t xml:space="preserve"> Se realizó una investigación observacional y descriptiva longitudinal que incluyó como universo a 19 pacientes con diagnóstico confirmado de espondilitis </w:t>
      </w:r>
      <w:proofErr w:type="spellStart"/>
      <w:r w:rsidRPr="00102825">
        <w:rPr>
          <w:rFonts w:eastAsia="Calibri"/>
          <w:lang w:val="es-CU" w:eastAsia="en-US"/>
        </w:rPr>
        <w:t>enteropática</w:t>
      </w:r>
      <w:proofErr w:type="spellEnd"/>
      <w:r w:rsidRPr="00102825">
        <w:rPr>
          <w:rFonts w:eastAsia="Calibri"/>
          <w:lang w:val="es-CU" w:eastAsia="en-US"/>
        </w:rPr>
        <w:t xml:space="preserve"> atendidos en el Hospital Andino de Chimborazo en el periodo comprendido entre julio 2022 y julio 2023. La muestra quedó conformada por 17 pacientes. Se aplicó una intervención nutricional durante 10 meses que incluyó como elemento central la suplementación con alimentos ricos en probióticos según esquema definido por especialista en nutrición clínica.  </w:t>
      </w:r>
    </w:p>
    <w:p w14:paraId="4FC2543A" w14:textId="77777777" w:rsidR="00102825" w:rsidRPr="00102825" w:rsidRDefault="00102825" w:rsidP="00102825">
      <w:pPr>
        <w:spacing w:line="360" w:lineRule="auto"/>
        <w:jc w:val="both"/>
        <w:rPr>
          <w:rFonts w:eastAsia="Calibri"/>
          <w:lang w:val="es-CU" w:eastAsia="en-US"/>
        </w:rPr>
      </w:pPr>
      <w:r w:rsidRPr="00102825">
        <w:rPr>
          <w:rFonts w:eastAsia="Calibri"/>
          <w:b/>
          <w:lang w:val="es-CU" w:eastAsia="en-US"/>
        </w:rPr>
        <w:t>Resultados:</w:t>
      </w:r>
      <w:r w:rsidRPr="00102825">
        <w:rPr>
          <w:rFonts w:eastAsia="Calibri"/>
          <w:lang w:val="es-CU" w:eastAsia="en-US"/>
        </w:rPr>
        <w:t xml:space="preserve"> Promedio de edad de 43,51 años, predominio del sexo femenino (64,70 %) y del tiempo de evolución de la enfermedad entre 5 y 10 años (58,82 %). Todos los marcadores de inflamación medidos durante el estudio mejoraron durante el seguimiento realizado a los pacientes; a los 9 meses se identificó aumento del porcentaje de pacientes con proteína C reactiva negativa y fibrinógeno y velocidad de sedimentación globular normal. </w:t>
      </w:r>
    </w:p>
    <w:p w14:paraId="6D260757" w14:textId="77777777" w:rsidR="00102825" w:rsidRPr="00102825" w:rsidRDefault="00102825" w:rsidP="00102825">
      <w:pPr>
        <w:spacing w:line="360" w:lineRule="auto"/>
        <w:jc w:val="both"/>
        <w:rPr>
          <w:rFonts w:eastAsia="Calibri"/>
          <w:lang w:val="es-CU" w:eastAsia="en-US"/>
        </w:rPr>
      </w:pPr>
      <w:r w:rsidRPr="00102825">
        <w:rPr>
          <w:rFonts w:eastAsia="Calibri"/>
          <w:b/>
          <w:lang w:val="es-CU" w:eastAsia="en-US"/>
        </w:rPr>
        <w:t>Conclusiones:</w:t>
      </w:r>
      <w:r w:rsidRPr="00102825">
        <w:rPr>
          <w:rFonts w:eastAsia="Calibri"/>
          <w:lang w:val="es-CU" w:eastAsia="en-US"/>
        </w:rPr>
        <w:t xml:space="preserve"> La intervención nutricional aplicada contribuye a mejorar los valores séricos de los marcadores de inflamación en los pacientes con diagnóstico de espondilitis </w:t>
      </w:r>
      <w:proofErr w:type="spellStart"/>
      <w:r w:rsidRPr="00102825">
        <w:rPr>
          <w:rFonts w:eastAsia="Calibri"/>
          <w:lang w:val="es-CU" w:eastAsia="en-US"/>
        </w:rPr>
        <w:t>enteropática</w:t>
      </w:r>
      <w:proofErr w:type="spellEnd"/>
      <w:r w:rsidRPr="00102825">
        <w:rPr>
          <w:rFonts w:eastAsia="Calibri"/>
          <w:lang w:val="es-CU" w:eastAsia="en-US"/>
        </w:rPr>
        <w:t>.</w:t>
      </w:r>
    </w:p>
    <w:bookmarkEnd w:id="1"/>
    <w:p w14:paraId="66F47F60" w14:textId="77777777" w:rsidR="00102825" w:rsidRPr="00102825" w:rsidRDefault="00102825" w:rsidP="00102825">
      <w:pPr>
        <w:spacing w:line="360" w:lineRule="auto"/>
        <w:jc w:val="both"/>
        <w:rPr>
          <w:rFonts w:eastAsia="Calibri"/>
          <w:lang w:val="es-CU" w:eastAsia="en-US"/>
        </w:rPr>
      </w:pPr>
      <w:r w:rsidRPr="00102825">
        <w:rPr>
          <w:rFonts w:eastAsia="Calibri"/>
          <w:b/>
          <w:lang w:val="es-CU" w:eastAsia="en-US"/>
        </w:rPr>
        <w:t>Palabras clave:</w:t>
      </w:r>
      <w:r w:rsidRPr="00102825">
        <w:rPr>
          <w:rFonts w:eastAsia="Calibri"/>
          <w:lang w:val="es-CU" w:eastAsia="en-US"/>
        </w:rPr>
        <w:t xml:space="preserve"> enfermedades autoinmunes; enfermedades inflamatorias del intestino; </w:t>
      </w:r>
      <w:proofErr w:type="spellStart"/>
      <w:r w:rsidRPr="00102825">
        <w:rPr>
          <w:rFonts w:eastAsia="Calibri"/>
          <w:lang w:val="es-CU" w:eastAsia="en-US"/>
        </w:rPr>
        <w:t>espondiloartropatías</w:t>
      </w:r>
      <w:proofErr w:type="spellEnd"/>
      <w:r w:rsidRPr="00102825">
        <w:rPr>
          <w:rFonts w:eastAsia="Calibri"/>
          <w:lang w:val="es-CU" w:eastAsia="en-US"/>
        </w:rPr>
        <w:t>; inflamación; probióticos.</w:t>
      </w:r>
    </w:p>
    <w:p w14:paraId="4CC77FEF" w14:textId="77777777" w:rsidR="00102825" w:rsidRPr="00102825" w:rsidRDefault="00102825" w:rsidP="00102825">
      <w:pPr>
        <w:spacing w:line="360" w:lineRule="auto"/>
        <w:jc w:val="both"/>
        <w:rPr>
          <w:rFonts w:eastAsia="Calibri"/>
          <w:lang w:val="es-CU" w:eastAsia="en-US"/>
        </w:rPr>
      </w:pPr>
    </w:p>
    <w:p w14:paraId="1C83C98B" w14:textId="77777777" w:rsidR="00102825" w:rsidRPr="00102825" w:rsidRDefault="00102825" w:rsidP="00102825">
      <w:pPr>
        <w:spacing w:line="360" w:lineRule="auto"/>
        <w:jc w:val="both"/>
        <w:rPr>
          <w:rFonts w:eastAsia="Calibri"/>
          <w:b/>
          <w:lang w:val="en-US" w:eastAsia="en-US"/>
        </w:rPr>
      </w:pPr>
      <w:r w:rsidRPr="00102825">
        <w:rPr>
          <w:rFonts w:eastAsia="Calibri"/>
          <w:b/>
          <w:lang w:val="en-US" w:eastAsia="en-US"/>
        </w:rPr>
        <w:t>ABSTRACT</w:t>
      </w:r>
    </w:p>
    <w:p w14:paraId="06D7AB8C" w14:textId="77777777" w:rsidR="00102825" w:rsidRPr="00102825" w:rsidRDefault="00102825" w:rsidP="00102825">
      <w:pPr>
        <w:spacing w:line="360" w:lineRule="auto"/>
        <w:jc w:val="both"/>
        <w:rPr>
          <w:rFonts w:eastAsia="Calibri"/>
          <w:b/>
          <w:lang w:val="en-US" w:eastAsia="en-US"/>
        </w:rPr>
      </w:pPr>
      <w:r w:rsidRPr="00102825">
        <w:rPr>
          <w:rFonts w:eastAsia="Calibri"/>
          <w:b/>
          <w:lang w:val="en-US" w:eastAsia="en-US"/>
        </w:rPr>
        <w:t xml:space="preserve">Introduction: </w:t>
      </w:r>
      <w:proofErr w:type="spellStart"/>
      <w:r w:rsidRPr="00102825">
        <w:rPr>
          <w:rFonts w:eastAsia="Calibri"/>
          <w:bCs/>
          <w:lang w:val="en-US" w:eastAsia="en-US"/>
        </w:rPr>
        <w:t>Enteropathic</w:t>
      </w:r>
      <w:proofErr w:type="spellEnd"/>
      <w:r w:rsidRPr="00102825">
        <w:rPr>
          <w:rFonts w:eastAsia="Calibri"/>
          <w:bCs/>
          <w:lang w:val="en-US" w:eastAsia="en-US"/>
        </w:rPr>
        <w:t xml:space="preserve"> spondylitis is an inflammatory, systemic and chronic disease that is characterized by affecting the digestive system and the </w:t>
      </w:r>
      <w:proofErr w:type="spellStart"/>
      <w:r w:rsidRPr="00102825">
        <w:rPr>
          <w:rFonts w:eastAsia="Calibri"/>
          <w:bCs/>
          <w:lang w:val="en-US" w:eastAsia="en-US"/>
        </w:rPr>
        <w:t>osteomyoarticular</w:t>
      </w:r>
      <w:proofErr w:type="spellEnd"/>
      <w:r w:rsidRPr="00102825">
        <w:rPr>
          <w:rFonts w:eastAsia="Calibri"/>
          <w:bCs/>
          <w:lang w:val="en-US" w:eastAsia="en-US"/>
        </w:rPr>
        <w:t xml:space="preserve"> system; The inflammatory process generates clinical manifestations that affect the functional capacity and perception of quality of life of patients.</w:t>
      </w:r>
    </w:p>
    <w:p w14:paraId="1ADCC95E" w14:textId="77777777" w:rsidR="00102825" w:rsidRPr="00102825" w:rsidRDefault="00102825" w:rsidP="00102825">
      <w:pPr>
        <w:spacing w:line="360" w:lineRule="auto"/>
        <w:jc w:val="both"/>
        <w:rPr>
          <w:rFonts w:eastAsia="Calibri"/>
          <w:b/>
          <w:lang w:val="en-US" w:eastAsia="en-US"/>
        </w:rPr>
      </w:pPr>
      <w:r w:rsidRPr="00102825">
        <w:rPr>
          <w:rFonts w:eastAsia="Calibri"/>
          <w:b/>
          <w:lang w:val="en-US" w:eastAsia="en-US"/>
        </w:rPr>
        <w:t xml:space="preserve">Objective: </w:t>
      </w:r>
      <w:r w:rsidRPr="00102825">
        <w:rPr>
          <w:rFonts w:eastAsia="Calibri"/>
          <w:bCs/>
          <w:lang w:val="en-US" w:eastAsia="en-US"/>
        </w:rPr>
        <w:t xml:space="preserve">To evaluate the results of a nutritional intervention aimed at controlling the inflammatory process in patients with </w:t>
      </w:r>
      <w:proofErr w:type="spellStart"/>
      <w:r w:rsidRPr="00102825">
        <w:rPr>
          <w:rFonts w:eastAsia="Calibri"/>
          <w:bCs/>
          <w:lang w:val="en-US" w:eastAsia="en-US"/>
        </w:rPr>
        <w:t>enteropathic</w:t>
      </w:r>
      <w:proofErr w:type="spellEnd"/>
      <w:r w:rsidRPr="00102825">
        <w:rPr>
          <w:rFonts w:eastAsia="Calibri"/>
          <w:bCs/>
          <w:lang w:val="en-US" w:eastAsia="en-US"/>
        </w:rPr>
        <w:t xml:space="preserve"> spondylitis.</w:t>
      </w:r>
    </w:p>
    <w:p w14:paraId="2325D4C5" w14:textId="77777777" w:rsidR="00102825" w:rsidRPr="00102825" w:rsidRDefault="00102825" w:rsidP="00102825">
      <w:pPr>
        <w:spacing w:line="360" w:lineRule="auto"/>
        <w:jc w:val="both"/>
        <w:rPr>
          <w:rFonts w:eastAsia="Calibri"/>
          <w:bCs/>
          <w:lang w:val="en-US" w:eastAsia="en-US"/>
        </w:rPr>
      </w:pPr>
      <w:r w:rsidRPr="00102825">
        <w:rPr>
          <w:rFonts w:eastAsia="Calibri"/>
          <w:b/>
          <w:lang w:val="en-US" w:eastAsia="en-US"/>
        </w:rPr>
        <w:t xml:space="preserve">Methods: </w:t>
      </w:r>
      <w:r w:rsidRPr="00102825">
        <w:rPr>
          <w:rFonts w:eastAsia="Calibri"/>
          <w:bCs/>
          <w:lang w:val="en-US" w:eastAsia="en-US"/>
        </w:rPr>
        <w:t xml:space="preserve">A longitudinal observational and descriptive investigation was carried out that included as a universe 19 patients with a confirmed diagnosis of </w:t>
      </w:r>
      <w:proofErr w:type="spellStart"/>
      <w:r w:rsidRPr="00102825">
        <w:rPr>
          <w:rFonts w:eastAsia="Calibri"/>
          <w:bCs/>
          <w:lang w:val="en-US" w:eastAsia="en-US"/>
        </w:rPr>
        <w:t>enteropathic</w:t>
      </w:r>
      <w:proofErr w:type="spellEnd"/>
      <w:r w:rsidRPr="00102825">
        <w:rPr>
          <w:rFonts w:eastAsia="Calibri"/>
          <w:bCs/>
          <w:lang w:val="en-US" w:eastAsia="en-US"/>
        </w:rPr>
        <w:t xml:space="preserve"> spondylitis treated at the </w:t>
      </w:r>
      <w:proofErr w:type="spellStart"/>
      <w:r w:rsidRPr="00102825">
        <w:rPr>
          <w:rFonts w:eastAsia="Calibri"/>
          <w:bCs/>
          <w:lang w:val="en-US" w:eastAsia="en-US"/>
        </w:rPr>
        <w:t>Andino</w:t>
      </w:r>
      <w:proofErr w:type="spellEnd"/>
      <w:r w:rsidRPr="00102825">
        <w:rPr>
          <w:rFonts w:eastAsia="Calibri"/>
          <w:bCs/>
          <w:lang w:val="en-US" w:eastAsia="en-US"/>
        </w:rPr>
        <w:t xml:space="preserve"> Hospital of Chimborazo in the period between July 2022 and July 2023. The sample was made up of 17 patients. A nutritional intervention was applied for 10 months that included as a central element supplementation with foods rich in probiotics according to a scheme defined by a clinical nutrition specialist.</w:t>
      </w:r>
    </w:p>
    <w:p w14:paraId="7D605730" w14:textId="77777777" w:rsidR="00102825" w:rsidRPr="00102825" w:rsidRDefault="00102825" w:rsidP="00102825">
      <w:pPr>
        <w:spacing w:line="360" w:lineRule="auto"/>
        <w:jc w:val="both"/>
        <w:rPr>
          <w:rFonts w:eastAsia="Calibri"/>
          <w:bCs/>
          <w:lang w:val="en-US" w:eastAsia="en-US"/>
        </w:rPr>
      </w:pPr>
      <w:r w:rsidRPr="00102825">
        <w:rPr>
          <w:rFonts w:eastAsia="Calibri"/>
          <w:b/>
          <w:lang w:val="en-US" w:eastAsia="en-US"/>
        </w:rPr>
        <w:lastRenderedPageBreak/>
        <w:t xml:space="preserve">Results: </w:t>
      </w:r>
      <w:r w:rsidRPr="00102825">
        <w:rPr>
          <w:rFonts w:eastAsia="Calibri"/>
          <w:bCs/>
          <w:lang w:val="en-US" w:eastAsia="en-US"/>
        </w:rPr>
        <w:t>Average age of 43.51 years, predominance of the female sex (64.70%) and duration of the disease between 5 and 10 years (58.82%). All inflammation markers measured during the study improved during the patients' follow-up; At 9 months, an increase in the percentage of patients with negative C-reactive protein and fibrinogen and normal erythrocyte sedimentation rate was identified.</w:t>
      </w:r>
    </w:p>
    <w:p w14:paraId="73FDD388" w14:textId="77777777" w:rsidR="00102825" w:rsidRPr="00102825" w:rsidRDefault="00102825" w:rsidP="00102825">
      <w:pPr>
        <w:spacing w:line="360" w:lineRule="auto"/>
        <w:jc w:val="both"/>
        <w:rPr>
          <w:rFonts w:eastAsia="Calibri"/>
          <w:b/>
          <w:lang w:val="en-US" w:eastAsia="en-US"/>
        </w:rPr>
      </w:pPr>
      <w:r w:rsidRPr="00102825">
        <w:rPr>
          <w:rFonts w:eastAsia="Calibri"/>
          <w:b/>
          <w:lang w:val="en-US" w:eastAsia="en-US"/>
        </w:rPr>
        <w:t xml:space="preserve">Conclusions: </w:t>
      </w:r>
      <w:r w:rsidRPr="00102825">
        <w:rPr>
          <w:rFonts w:eastAsia="Calibri"/>
          <w:bCs/>
          <w:lang w:val="en-US" w:eastAsia="en-US"/>
        </w:rPr>
        <w:t xml:space="preserve">The applied nutritional intervention contributed to improving serum values ​​of inflammation markers in patients diagnosed with </w:t>
      </w:r>
      <w:proofErr w:type="spellStart"/>
      <w:r w:rsidRPr="00102825">
        <w:rPr>
          <w:rFonts w:eastAsia="Calibri"/>
          <w:bCs/>
          <w:lang w:val="en-US" w:eastAsia="en-US"/>
        </w:rPr>
        <w:t>enteropathic</w:t>
      </w:r>
      <w:proofErr w:type="spellEnd"/>
      <w:r w:rsidRPr="00102825">
        <w:rPr>
          <w:rFonts w:eastAsia="Calibri"/>
          <w:bCs/>
          <w:lang w:val="en-US" w:eastAsia="en-US"/>
        </w:rPr>
        <w:t xml:space="preserve"> spondylitis.</w:t>
      </w:r>
    </w:p>
    <w:p w14:paraId="6BA8F56D" w14:textId="77777777" w:rsidR="00102825" w:rsidRPr="00102825" w:rsidRDefault="00102825" w:rsidP="00102825">
      <w:pPr>
        <w:spacing w:line="360" w:lineRule="auto"/>
        <w:jc w:val="both"/>
        <w:rPr>
          <w:rFonts w:eastAsia="Calibri"/>
          <w:lang w:val="en-US" w:eastAsia="en-US"/>
        </w:rPr>
      </w:pPr>
      <w:r w:rsidRPr="00102825">
        <w:rPr>
          <w:rFonts w:eastAsia="Calibri"/>
          <w:b/>
          <w:lang w:val="en-US" w:eastAsia="en-US"/>
        </w:rPr>
        <w:t>Keywords:</w:t>
      </w:r>
      <w:r w:rsidRPr="00102825">
        <w:rPr>
          <w:rFonts w:eastAsia="Calibri"/>
          <w:lang w:val="en-US" w:eastAsia="en-US"/>
        </w:rPr>
        <w:t xml:space="preserve"> autoimmune diseases; inflammation; inflammatory bowel diseases; probiotics; spondyloarthropathies.</w:t>
      </w:r>
    </w:p>
    <w:p w14:paraId="4BDC3B87" w14:textId="77777777" w:rsidR="00102825" w:rsidRPr="00102825" w:rsidRDefault="00102825" w:rsidP="00102825">
      <w:pPr>
        <w:spacing w:line="360" w:lineRule="auto"/>
        <w:jc w:val="both"/>
        <w:rPr>
          <w:rFonts w:eastAsia="Calibri"/>
          <w:lang w:val="en-US" w:eastAsia="en-US"/>
        </w:rPr>
      </w:pPr>
    </w:p>
    <w:p w14:paraId="5AE4774B" w14:textId="77777777" w:rsidR="00102825" w:rsidRPr="00102825" w:rsidRDefault="00102825" w:rsidP="00102825">
      <w:pPr>
        <w:spacing w:line="360" w:lineRule="auto"/>
        <w:jc w:val="both"/>
        <w:rPr>
          <w:rFonts w:eastAsia="Calibri"/>
          <w:lang w:val="en-US" w:eastAsia="en-US"/>
        </w:rPr>
      </w:pPr>
    </w:p>
    <w:p w14:paraId="09C15C81"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Recibido: 23/10/2023</w:t>
      </w:r>
    </w:p>
    <w:p w14:paraId="5A0675B0"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Aprobado: 31/01/2024</w:t>
      </w:r>
    </w:p>
    <w:p w14:paraId="44DDBCF3" w14:textId="77777777" w:rsidR="00102825" w:rsidRPr="00102825" w:rsidRDefault="00102825" w:rsidP="00102825">
      <w:pPr>
        <w:spacing w:line="360" w:lineRule="auto"/>
        <w:jc w:val="both"/>
        <w:rPr>
          <w:rFonts w:eastAsia="Calibri"/>
          <w:lang w:val="es-CU" w:eastAsia="en-US"/>
        </w:rPr>
      </w:pPr>
    </w:p>
    <w:p w14:paraId="09A69238" w14:textId="77777777" w:rsidR="00102825" w:rsidRPr="00102825" w:rsidRDefault="00102825" w:rsidP="00102825">
      <w:pPr>
        <w:spacing w:line="360" w:lineRule="auto"/>
        <w:jc w:val="both"/>
        <w:rPr>
          <w:rFonts w:eastAsia="Calibri"/>
          <w:lang w:val="es-CU" w:eastAsia="en-US"/>
        </w:rPr>
      </w:pPr>
    </w:p>
    <w:p w14:paraId="56441CF3" w14:textId="77777777" w:rsidR="00102825" w:rsidRPr="00102825" w:rsidRDefault="00102825" w:rsidP="00102825">
      <w:pPr>
        <w:spacing w:line="360" w:lineRule="auto"/>
        <w:jc w:val="center"/>
        <w:rPr>
          <w:rFonts w:eastAsia="Calibri"/>
          <w:b/>
          <w:sz w:val="32"/>
          <w:lang w:val="es-CU" w:eastAsia="en-US"/>
        </w:rPr>
      </w:pPr>
      <w:r w:rsidRPr="00102825">
        <w:rPr>
          <w:rFonts w:eastAsia="Calibri"/>
          <w:b/>
          <w:sz w:val="32"/>
          <w:lang w:val="es-CU" w:eastAsia="en-US"/>
        </w:rPr>
        <w:t>INTRODUCCIÓN</w:t>
      </w:r>
    </w:p>
    <w:p w14:paraId="0E176F5F"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Las </w:t>
      </w:r>
      <w:proofErr w:type="spellStart"/>
      <w:r w:rsidRPr="00102825">
        <w:rPr>
          <w:rFonts w:eastAsia="Calibri"/>
          <w:lang w:val="es-CU" w:eastAsia="en-US"/>
        </w:rPr>
        <w:t>espondiloartropatías</w:t>
      </w:r>
      <w:proofErr w:type="spellEnd"/>
      <w:r w:rsidRPr="00102825">
        <w:rPr>
          <w:rFonts w:eastAsia="Calibri"/>
          <w:lang w:val="es-CU" w:eastAsia="en-US"/>
        </w:rPr>
        <w:t xml:space="preserve"> son un grupo de enfermedades autoinmunes, sistémicas y crónicas que se caracterizan por afectación inmunológica y proceso inflamatorio </w:t>
      </w:r>
      <w:proofErr w:type="gramStart"/>
      <w:r w:rsidRPr="00102825">
        <w:rPr>
          <w:rFonts w:eastAsia="Calibri"/>
          <w:lang w:val="es-CU" w:eastAsia="en-US"/>
        </w:rPr>
        <w:t>mantenido.</w:t>
      </w:r>
      <w:r w:rsidRPr="00102825">
        <w:rPr>
          <w:rFonts w:eastAsia="Calibri"/>
          <w:vertAlign w:val="superscript"/>
          <w:lang w:val="es-CU" w:eastAsia="en-US"/>
        </w:rPr>
        <w:t>(</w:t>
      </w:r>
      <w:proofErr w:type="gramEnd"/>
      <w:r w:rsidRPr="00102825">
        <w:rPr>
          <w:rFonts w:eastAsia="Calibri"/>
          <w:vertAlign w:val="superscript"/>
          <w:lang w:val="es-CU" w:eastAsia="en-US"/>
        </w:rPr>
        <w:t>1)</w:t>
      </w:r>
      <w:r w:rsidRPr="00102825">
        <w:rPr>
          <w:rFonts w:eastAsia="Calibri"/>
          <w:lang w:val="es-CU" w:eastAsia="en-US"/>
        </w:rPr>
        <w:t xml:space="preserve"> En el caso específico de la espondilitis </w:t>
      </w:r>
      <w:proofErr w:type="spellStart"/>
      <w:r w:rsidRPr="00102825">
        <w:rPr>
          <w:rFonts w:eastAsia="Calibri"/>
          <w:lang w:val="es-CU" w:eastAsia="en-US"/>
        </w:rPr>
        <w:t>enteropática</w:t>
      </w:r>
      <w:proofErr w:type="spellEnd"/>
      <w:r w:rsidRPr="00102825">
        <w:rPr>
          <w:rFonts w:eastAsia="Calibri"/>
          <w:lang w:val="es-CU" w:eastAsia="en-US"/>
        </w:rPr>
        <w:t xml:space="preserve"> tiene como elemento común con las </w:t>
      </w:r>
      <w:proofErr w:type="spellStart"/>
      <w:r w:rsidRPr="00102825">
        <w:rPr>
          <w:rFonts w:eastAsia="Calibri"/>
          <w:lang w:val="es-CU" w:eastAsia="en-US"/>
        </w:rPr>
        <w:t>espondiloartropatías</w:t>
      </w:r>
      <w:proofErr w:type="spellEnd"/>
      <w:r w:rsidRPr="00102825">
        <w:rPr>
          <w:rFonts w:eastAsia="Calibri"/>
          <w:lang w:val="es-CU" w:eastAsia="en-US"/>
        </w:rPr>
        <w:t xml:space="preserve"> la afectación de la columna vertebral y de grandes articulaciones; el elemento distintivo está en la afectación del aparato digestivo en forma de colitis inflamatoria.</w:t>
      </w:r>
      <w:r w:rsidRPr="00102825">
        <w:rPr>
          <w:rFonts w:eastAsia="Calibri"/>
          <w:vertAlign w:val="superscript"/>
          <w:lang w:val="es-CU" w:eastAsia="en-US"/>
        </w:rPr>
        <w:t>(1,2)</w:t>
      </w:r>
    </w:p>
    <w:p w14:paraId="341841DD"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La expresión clínica de la enfermedad está sujeta directamente a la intensidad del proceso inflamatorio. En su conjunto, las manifestaciones articulares y extraarticulares generan distintos grados de discapacidad funcional y afectación de la percepción de calidad de vida relacionada con la salud (CVRS</w:t>
      </w:r>
      <w:proofErr w:type="gramStart"/>
      <w:r w:rsidRPr="00102825">
        <w:rPr>
          <w:rFonts w:eastAsia="Calibri"/>
          <w:lang w:val="es-CU" w:eastAsia="en-US"/>
        </w:rPr>
        <w:t>).</w:t>
      </w:r>
      <w:r w:rsidRPr="00102825">
        <w:rPr>
          <w:rFonts w:eastAsia="Calibri"/>
          <w:vertAlign w:val="superscript"/>
          <w:lang w:val="es-CU" w:eastAsia="en-US"/>
        </w:rPr>
        <w:t>(</w:t>
      </w:r>
      <w:proofErr w:type="gramEnd"/>
      <w:r w:rsidRPr="00102825">
        <w:rPr>
          <w:rFonts w:eastAsia="Calibri"/>
          <w:vertAlign w:val="superscript"/>
          <w:lang w:val="es-CU" w:eastAsia="en-US"/>
        </w:rPr>
        <w:t>3)</w:t>
      </w:r>
    </w:p>
    <w:p w14:paraId="21A39786"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El control del proceso inflamatorio y el restablecimiento de la adecuada función del sistema inmune son los principales objetivos del tratamiento; el uso de antinflamatorios y fármacos modificadores de la enfermedad (FAME) constituyen la base de los esquemas </w:t>
      </w:r>
      <w:proofErr w:type="gramStart"/>
      <w:r w:rsidRPr="00102825">
        <w:rPr>
          <w:rFonts w:eastAsia="Calibri"/>
          <w:lang w:val="es-CU" w:eastAsia="en-US"/>
        </w:rPr>
        <w:t>terapéuticos.</w:t>
      </w:r>
      <w:r w:rsidRPr="00102825">
        <w:rPr>
          <w:rFonts w:eastAsia="Calibri"/>
          <w:vertAlign w:val="superscript"/>
          <w:lang w:val="es-CU" w:eastAsia="en-US"/>
        </w:rPr>
        <w:t>(</w:t>
      </w:r>
      <w:proofErr w:type="gramEnd"/>
      <w:r w:rsidRPr="00102825">
        <w:rPr>
          <w:rFonts w:eastAsia="Calibri"/>
          <w:vertAlign w:val="superscript"/>
          <w:lang w:val="es-CU" w:eastAsia="en-US"/>
        </w:rPr>
        <w:t>4)</w:t>
      </w:r>
    </w:p>
    <w:p w14:paraId="1BF8BA29"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lastRenderedPageBreak/>
        <w:t xml:space="preserve">Sin embargo, en la actualidad cobran cada día más importancia los elementos nutricionales como parte del esquema terapéutico de distintas </w:t>
      </w:r>
      <w:proofErr w:type="gramStart"/>
      <w:r w:rsidRPr="00102825">
        <w:rPr>
          <w:rFonts w:eastAsia="Calibri"/>
          <w:lang w:val="es-CU" w:eastAsia="en-US"/>
        </w:rPr>
        <w:t>enfermedades.</w:t>
      </w:r>
      <w:r w:rsidRPr="00102825">
        <w:rPr>
          <w:rFonts w:eastAsia="Calibri"/>
          <w:vertAlign w:val="superscript"/>
          <w:lang w:val="es-CU" w:eastAsia="en-US"/>
        </w:rPr>
        <w:t>(</w:t>
      </w:r>
      <w:proofErr w:type="gramEnd"/>
      <w:r w:rsidRPr="00102825">
        <w:rPr>
          <w:rFonts w:eastAsia="Calibri"/>
          <w:vertAlign w:val="superscript"/>
          <w:lang w:val="es-CU" w:eastAsia="en-US"/>
        </w:rPr>
        <w:t>5)</w:t>
      </w:r>
      <w:r w:rsidRPr="00102825">
        <w:rPr>
          <w:rFonts w:eastAsia="Calibri"/>
          <w:lang w:val="es-CU" w:eastAsia="en-US"/>
        </w:rPr>
        <w:t xml:space="preserve"> Existen investigaciones</w:t>
      </w:r>
      <w:r w:rsidRPr="00102825">
        <w:rPr>
          <w:rFonts w:eastAsia="Calibri"/>
          <w:vertAlign w:val="superscript"/>
          <w:lang w:val="es-CU" w:eastAsia="en-US"/>
        </w:rPr>
        <w:t>(5,6)</w:t>
      </w:r>
      <w:r w:rsidRPr="00102825">
        <w:rPr>
          <w:rFonts w:eastAsia="Calibri"/>
          <w:lang w:val="es-CU" w:eastAsia="en-US"/>
        </w:rPr>
        <w:t xml:space="preserve"> que exponen ventajas con relación al control de enfermedades inflamatorias que usan alimentos ricos en probióticos como parte de sus esquemas terapéuticos.</w:t>
      </w:r>
    </w:p>
    <w:p w14:paraId="300A7F80"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El objetivo de este estudio es evaluar los resultados de una intervención nutricional orientada al control del proceso inflamatorio en pacientes con espondilitis </w:t>
      </w:r>
      <w:proofErr w:type="spellStart"/>
      <w:r w:rsidRPr="00102825">
        <w:rPr>
          <w:rFonts w:eastAsia="Calibri"/>
          <w:lang w:val="es-CU" w:eastAsia="en-US"/>
        </w:rPr>
        <w:t>enteropática</w:t>
      </w:r>
      <w:proofErr w:type="spellEnd"/>
      <w:r w:rsidRPr="00102825">
        <w:rPr>
          <w:rFonts w:eastAsia="Calibri"/>
          <w:lang w:val="es-CU" w:eastAsia="en-US"/>
        </w:rPr>
        <w:t>, basado en la administración de suplementos probióticos.</w:t>
      </w:r>
    </w:p>
    <w:p w14:paraId="1DCA2BB7" w14:textId="77777777" w:rsidR="00102825" w:rsidRPr="00102825" w:rsidRDefault="00102825" w:rsidP="00102825">
      <w:pPr>
        <w:spacing w:line="360" w:lineRule="auto"/>
        <w:jc w:val="both"/>
        <w:rPr>
          <w:rFonts w:eastAsia="Calibri"/>
          <w:lang w:val="es-CU" w:eastAsia="en-US"/>
        </w:rPr>
      </w:pPr>
    </w:p>
    <w:p w14:paraId="6FFBD9A1" w14:textId="77777777" w:rsidR="00102825" w:rsidRPr="00102825" w:rsidRDefault="00102825" w:rsidP="00102825">
      <w:pPr>
        <w:spacing w:line="360" w:lineRule="auto"/>
        <w:jc w:val="center"/>
        <w:rPr>
          <w:rFonts w:eastAsia="Calibri"/>
          <w:b/>
          <w:sz w:val="32"/>
          <w:lang w:val="es-CU" w:eastAsia="en-US"/>
        </w:rPr>
      </w:pPr>
    </w:p>
    <w:p w14:paraId="2BD8E0A3" w14:textId="77777777" w:rsidR="00102825" w:rsidRPr="00102825" w:rsidRDefault="00102825" w:rsidP="00102825">
      <w:pPr>
        <w:spacing w:line="360" w:lineRule="auto"/>
        <w:jc w:val="center"/>
        <w:rPr>
          <w:rFonts w:eastAsia="Calibri"/>
          <w:b/>
          <w:sz w:val="32"/>
          <w:lang w:val="es-CU" w:eastAsia="en-US"/>
        </w:rPr>
      </w:pPr>
      <w:r w:rsidRPr="00102825">
        <w:rPr>
          <w:rFonts w:eastAsia="Calibri"/>
          <w:b/>
          <w:sz w:val="32"/>
          <w:lang w:val="es-CU" w:eastAsia="en-US"/>
        </w:rPr>
        <w:t>MÉTODOS</w:t>
      </w:r>
    </w:p>
    <w:p w14:paraId="3A2E9D77" w14:textId="77777777" w:rsidR="00102825" w:rsidRPr="00102825" w:rsidRDefault="00102825" w:rsidP="00102825">
      <w:pPr>
        <w:spacing w:line="360" w:lineRule="auto"/>
        <w:jc w:val="center"/>
        <w:rPr>
          <w:rFonts w:eastAsia="Calibri"/>
          <w:b/>
          <w:bCs/>
          <w:sz w:val="28"/>
          <w:szCs w:val="28"/>
          <w:lang w:val="es-CU" w:eastAsia="en-US"/>
        </w:rPr>
      </w:pPr>
      <w:r w:rsidRPr="00102825">
        <w:rPr>
          <w:rFonts w:eastAsia="Calibri"/>
          <w:b/>
          <w:bCs/>
          <w:sz w:val="28"/>
          <w:szCs w:val="28"/>
          <w:lang w:val="es-CU" w:eastAsia="en-US"/>
        </w:rPr>
        <w:t>Diseño</w:t>
      </w:r>
    </w:p>
    <w:p w14:paraId="295BA650"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Se realizó una investigación observacional y descriptiva longitudinal, que se llevó a cabo entre julio 2022 y julio 2023 en el Hospital Andino de Chimborazo, Ecuador.</w:t>
      </w:r>
    </w:p>
    <w:p w14:paraId="3C081ADD"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Se contó con la autorización de la dirección médica y administrativa del hospital para poder realizar la investigación; así como la aprobación del Grupo de Investigación Salud Pública, perteneciente a la Universidad Nacional de Chimborazo. La investigación forma parte de un macroproyecto de investigación que se lleva a cabo en la universidad.</w:t>
      </w:r>
    </w:p>
    <w:p w14:paraId="1DFB54EC" w14:textId="77777777" w:rsidR="00102825" w:rsidRPr="00102825" w:rsidRDefault="00102825" w:rsidP="00102825">
      <w:pPr>
        <w:spacing w:line="360" w:lineRule="auto"/>
        <w:jc w:val="center"/>
        <w:rPr>
          <w:rFonts w:eastAsia="Calibri"/>
          <w:b/>
          <w:bCs/>
          <w:sz w:val="28"/>
          <w:szCs w:val="28"/>
          <w:lang w:val="es-CU" w:eastAsia="en-US"/>
        </w:rPr>
      </w:pPr>
      <w:r w:rsidRPr="00102825">
        <w:rPr>
          <w:rFonts w:eastAsia="Calibri"/>
          <w:b/>
          <w:bCs/>
          <w:sz w:val="28"/>
          <w:szCs w:val="28"/>
          <w:lang w:val="es-CU" w:eastAsia="en-US"/>
        </w:rPr>
        <w:t>Sujetos</w:t>
      </w:r>
    </w:p>
    <w:p w14:paraId="4DF5A3E5" w14:textId="77777777" w:rsidR="00102825" w:rsidRPr="00102825" w:rsidRDefault="00102825" w:rsidP="00102825">
      <w:pPr>
        <w:spacing w:line="360" w:lineRule="auto"/>
        <w:jc w:val="both"/>
        <w:rPr>
          <w:rFonts w:eastAsia="Calibri"/>
          <w:lang w:val="es-CU" w:eastAsia="en-US"/>
        </w:rPr>
      </w:pPr>
      <w:r w:rsidRPr="00102825">
        <w:rPr>
          <w:rFonts w:eastAsia="Calibri"/>
          <w:szCs w:val="22"/>
          <w:lang w:val="es-CU" w:eastAsia="en-US"/>
        </w:rPr>
        <w:t xml:space="preserve">El universo estuvo constituido por un total de 19 pacientes adultos con diagnóstico confirmado de espondilitis </w:t>
      </w:r>
      <w:proofErr w:type="spellStart"/>
      <w:r w:rsidRPr="00102825">
        <w:rPr>
          <w:rFonts w:eastAsia="Calibri"/>
          <w:szCs w:val="22"/>
          <w:lang w:val="es-CU" w:eastAsia="en-US"/>
        </w:rPr>
        <w:t>enteropática</w:t>
      </w:r>
      <w:proofErr w:type="spellEnd"/>
      <w:r w:rsidRPr="00102825">
        <w:rPr>
          <w:rFonts w:eastAsia="Calibri"/>
          <w:szCs w:val="22"/>
          <w:lang w:val="es-CU" w:eastAsia="en-US"/>
        </w:rPr>
        <w:t xml:space="preserve">. </w:t>
      </w:r>
      <w:bookmarkStart w:id="2" w:name="_Hlk117977500"/>
      <w:r w:rsidRPr="00102825">
        <w:rPr>
          <w:rFonts w:eastAsia="Calibri"/>
          <w:lang w:val="es-CU" w:eastAsia="en-US"/>
        </w:rPr>
        <w:t xml:space="preserve">La muestra quedó conformada por 17 pacientes ya que 2 pacientes no estuvieron de acuerdo en participar en el estudio. Todos los participantes firmaron el consentimiento informado como muestra de su deseo de participar en la investigación. </w:t>
      </w:r>
    </w:p>
    <w:bookmarkEnd w:id="2"/>
    <w:p w14:paraId="639D70F0" w14:textId="77777777" w:rsidR="00102825" w:rsidRPr="00102825" w:rsidRDefault="00102825" w:rsidP="00102825">
      <w:pPr>
        <w:spacing w:line="360" w:lineRule="auto"/>
        <w:jc w:val="center"/>
        <w:rPr>
          <w:rFonts w:eastAsia="Calibri"/>
          <w:b/>
          <w:bCs/>
          <w:sz w:val="28"/>
          <w:szCs w:val="28"/>
          <w:lang w:val="es-CU" w:eastAsia="en-US"/>
        </w:rPr>
      </w:pPr>
      <w:r w:rsidRPr="00102825">
        <w:rPr>
          <w:rFonts w:eastAsia="Calibri"/>
          <w:b/>
          <w:bCs/>
          <w:sz w:val="28"/>
          <w:szCs w:val="28"/>
          <w:lang w:val="es-CU" w:eastAsia="en-US"/>
        </w:rPr>
        <w:t>Variables</w:t>
      </w:r>
    </w:p>
    <w:p w14:paraId="2A02A4D8" w14:textId="77777777" w:rsidR="00102825" w:rsidRPr="00102825" w:rsidRDefault="00102825" w:rsidP="00102825">
      <w:pPr>
        <w:spacing w:line="360" w:lineRule="auto"/>
        <w:jc w:val="center"/>
        <w:rPr>
          <w:rFonts w:eastAsia="Calibri"/>
          <w:b/>
          <w:bCs/>
          <w:sz w:val="28"/>
          <w:szCs w:val="28"/>
          <w:lang w:val="es-CU" w:eastAsia="en-US"/>
        </w:rPr>
      </w:pPr>
    </w:p>
    <w:p w14:paraId="427ABD66" w14:textId="77777777" w:rsidR="00102825" w:rsidRPr="00102825" w:rsidRDefault="00102825" w:rsidP="00867BC5">
      <w:pPr>
        <w:numPr>
          <w:ilvl w:val="0"/>
          <w:numId w:val="3"/>
        </w:numPr>
        <w:spacing w:line="360" w:lineRule="auto"/>
        <w:ind w:left="284" w:hanging="284"/>
        <w:jc w:val="both"/>
        <w:rPr>
          <w:rFonts w:eastAsia="Calibri"/>
          <w:lang w:val="es-CU" w:eastAsia="en-US"/>
        </w:rPr>
      </w:pPr>
      <w:r w:rsidRPr="00102825">
        <w:rPr>
          <w:rFonts w:eastAsia="Calibri"/>
          <w:lang w:val="es-CU" w:eastAsia="en-US"/>
        </w:rPr>
        <w:t>Características generales: esta variable incluyó la variable edad (agrupada en 20-29 años, 30-39 años, 40-49 años y 50 años y más); sexo; tiempo de evolución de la enfermedad (menos de 5 años, entre 5 y 10 años y más de 10 años).</w:t>
      </w:r>
    </w:p>
    <w:p w14:paraId="79C0BE1B" w14:textId="77777777" w:rsidR="00102825" w:rsidRPr="00102825" w:rsidRDefault="00102825" w:rsidP="00867BC5">
      <w:pPr>
        <w:numPr>
          <w:ilvl w:val="0"/>
          <w:numId w:val="2"/>
        </w:numPr>
        <w:spacing w:line="360" w:lineRule="auto"/>
        <w:ind w:left="284" w:hanging="284"/>
        <w:jc w:val="both"/>
        <w:rPr>
          <w:rFonts w:eastAsia="Calibri"/>
          <w:lang w:val="es-CU" w:eastAsia="en-US"/>
        </w:rPr>
      </w:pPr>
      <w:r w:rsidRPr="00102825">
        <w:rPr>
          <w:rFonts w:eastAsia="Calibri"/>
          <w:lang w:val="es-CU" w:eastAsia="en-US"/>
        </w:rPr>
        <w:lastRenderedPageBreak/>
        <w:t xml:space="preserve">Marcadores de inflamación: se definieron 3 marcadores específicos: la proteína C reactiva (PCR) (positiva o negativa), el fibrinógeno (normal o elevado) y la velocidad de sedimentación globular (VSG) (normal o acelerada). </w:t>
      </w:r>
    </w:p>
    <w:p w14:paraId="7249F9A8" w14:textId="77777777" w:rsidR="00102825" w:rsidRPr="00102825" w:rsidRDefault="00102825" w:rsidP="00867BC5">
      <w:pPr>
        <w:spacing w:line="360" w:lineRule="auto"/>
        <w:jc w:val="both"/>
        <w:rPr>
          <w:rFonts w:eastAsia="Calibri"/>
          <w:lang w:val="es-CU" w:eastAsia="en-US"/>
        </w:rPr>
      </w:pPr>
    </w:p>
    <w:p w14:paraId="1AFB98F2" w14:textId="77777777" w:rsidR="00102825" w:rsidRPr="00102825" w:rsidRDefault="00102825" w:rsidP="00102825">
      <w:pPr>
        <w:spacing w:line="360" w:lineRule="auto"/>
        <w:jc w:val="center"/>
        <w:rPr>
          <w:rFonts w:eastAsia="Calibri"/>
          <w:b/>
          <w:bCs/>
          <w:sz w:val="28"/>
          <w:szCs w:val="28"/>
          <w:lang w:val="es-CU" w:eastAsia="en-US"/>
        </w:rPr>
      </w:pPr>
      <w:r w:rsidRPr="00102825">
        <w:rPr>
          <w:rFonts w:eastAsia="Calibri"/>
          <w:b/>
          <w:bCs/>
          <w:sz w:val="28"/>
          <w:szCs w:val="28"/>
          <w:lang w:val="es-CU" w:eastAsia="en-US"/>
        </w:rPr>
        <w:t>Procedimientos</w:t>
      </w:r>
    </w:p>
    <w:p w14:paraId="41273995"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Se utilizó la revisión documental como técnica de investigación y un modelo de recolección de información en el cual se incluyeron todos los datos recopilados; de estos, los relacionados con las características generales, fueron obtenidos de las historias clínicas de los pacientes.</w:t>
      </w:r>
    </w:p>
    <w:p w14:paraId="18D8CF6A"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La intervención consistió en implementar suplementación con probióticos como parte del régimen nutricional de cada paciente; el departamento de nutrición del hospital determinó la frecuencia, tipo y cantidad de probióticos a utilizar. Se utilizó el yogurt rico en probióticos, miso y pepinillos encurtidos como suplementos nutricionales a la dieta normal de los pacientes, los cuales han sido señalados como alimentos ricos en </w:t>
      </w:r>
      <w:proofErr w:type="gramStart"/>
      <w:r w:rsidRPr="00102825">
        <w:rPr>
          <w:rFonts w:eastAsia="Calibri"/>
          <w:lang w:val="es-CU" w:eastAsia="en-US"/>
        </w:rPr>
        <w:t>probióticos.</w:t>
      </w:r>
      <w:r w:rsidRPr="00102825">
        <w:rPr>
          <w:rFonts w:eastAsia="Calibri"/>
          <w:vertAlign w:val="superscript"/>
          <w:lang w:val="es-CU" w:eastAsia="en-US"/>
        </w:rPr>
        <w:t>(</w:t>
      </w:r>
      <w:proofErr w:type="gramEnd"/>
      <w:r w:rsidRPr="00102825">
        <w:rPr>
          <w:rFonts w:eastAsia="Calibri"/>
          <w:vertAlign w:val="superscript"/>
          <w:lang w:val="es-CU" w:eastAsia="en-US"/>
        </w:rPr>
        <w:t>5,6)</w:t>
      </w:r>
    </w:p>
    <w:p w14:paraId="5099D785"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Se orientó que el yogurt fuera utilizado en el desayuno, 250 </w:t>
      </w:r>
      <w:proofErr w:type="spellStart"/>
      <w:r w:rsidRPr="00102825">
        <w:rPr>
          <w:rFonts w:eastAsia="Calibri"/>
          <w:lang w:val="es-CU" w:eastAsia="en-US"/>
        </w:rPr>
        <w:t>mL</w:t>
      </w:r>
      <w:proofErr w:type="spellEnd"/>
      <w:r w:rsidRPr="00102825">
        <w:rPr>
          <w:rFonts w:eastAsia="Calibri"/>
          <w:lang w:val="es-CU" w:eastAsia="en-US"/>
        </w:rPr>
        <w:t xml:space="preserve"> diarios. El miso fue utilizado en las meriendas, con una dosis de alrededor de 30 gramos diarios y se utilizó un frasco de 300 mg de pepinillos encurtidos que se orientó se ingirieran en forma de ensalada. Los 3 alimentos fueron prescritos de lunes a viernes. La intervención tuvo una duración de 10 meses.</w:t>
      </w:r>
    </w:p>
    <w:p w14:paraId="38EDE421"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El seguimiento clínico y de laboratorio de los pacientes se realizó cada 3 meses y en cada consulta se determinó el valor de los marcadores de inflamación. Se compararon los valores al inicio y a los 3, 6 y 9 meses de suplementación probiótica.</w:t>
      </w:r>
    </w:p>
    <w:p w14:paraId="1955A586"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Los valores definidos como de referencia para cada uno de los marcadores de inflamación fueron los establecidos por el laboratorio clínico del Hospital Andino. Se define como valores de referencia para la PCR 5 mg/</w:t>
      </w:r>
      <w:proofErr w:type="spellStart"/>
      <w:r w:rsidRPr="00102825">
        <w:rPr>
          <w:rFonts w:eastAsia="Calibri"/>
          <w:lang w:val="es-CU" w:eastAsia="en-US"/>
        </w:rPr>
        <w:t>dL</w:t>
      </w:r>
      <w:proofErr w:type="spellEnd"/>
      <w:r w:rsidRPr="00102825">
        <w:rPr>
          <w:rFonts w:eastAsia="Calibri"/>
          <w:lang w:val="es-CU" w:eastAsia="en-US"/>
        </w:rPr>
        <w:t xml:space="preserve"> para el fibrinógeno 200 a 400 mg/</w:t>
      </w:r>
      <w:proofErr w:type="spellStart"/>
      <w:r w:rsidRPr="00102825">
        <w:rPr>
          <w:rFonts w:eastAsia="Calibri"/>
          <w:lang w:val="es-CU" w:eastAsia="en-US"/>
        </w:rPr>
        <w:t>dL</w:t>
      </w:r>
      <w:proofErr w:type="spellEnd"/>
      <w:r w:rsidRPr="00102825">
        <w:rPr>
          <w:rFonts w:eastAsia="Calibri"/>
          <w:lang w:val="es-CU" w:eastAsia="en-US"/>
        </w:rPr>
        <w:t xml:space="preserve"> y de VSG hasta 15 mm/h en hombres y hasta 20 mm/h en mujeres.</w:t>
      </w:r>
    </w:p>
    <w:p w14:paraId="05BBCFDD" w14:textId="77777777" w:rsidR="00102825" w:rsidRPr="00102825" w:rsidRDefault="00102825" w:rsidP="00102825">
      <w:pPr>
        <w:spacing w:line="360" w:lineRule="auto"/>
        <w:jc w:val="center"/>
        <w:rPr>
          <w:rFonts w:eastAsia="Calibri"/>
          <w:b/>
          <w:bCs/>
          <w:sz w:val="28"/>
          <w:szCs w:val="28"/>
          <w:lang w:val="es-CU" w:eastAsia="en-US"/>
        </w:rPr>
      </w:pPr>
      <w:r w:rsidRPr="00102825">
        <w:rPr>
          <w:rFonts w:eastAsia="Calibri"/>
          <w:b/>
          <w:bCs/>
          <w:sz w:val="28"/>
          <w:szCs w:val="28"/>
          <w:lang w:val="es-CU" w:eastAsia="en-US"/>
        </w:rPr>
        <w:t>Procesamiento</w:t>
      </w:r>
    </w:p>
    <w:p w14:paraId="1121FE05"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Toda la información recopilada fue organizada y homogenizada en una base de datos en Excel. El procesamiento de la información se realizó utilizando el programa estadístico IBM SPSS en su versión 26 para Windows. El procesamiento incluyó la determinación de medidas de tendencia central (media) </w:t>
      </w:r>
      <w:r w:rsidRPr="00102825">
        <w:rPr>
          <w:rFonts w:eastAsia="Calibri"/>
          <w:lang w:val="es-CU" w:eastAsia="en-US"/>
        </w:rPr>
        <w:lastRenderedPageBreak/>
        <w:t xml:space="preserve">y de dispersión para las variables cuantitativas; en el caso de las variables cualitativas se determinaron frecuencias absolutas y porcentajes. </w:t>
      </w:r>
    </w:p>
    <w:p w14:paraId="601ACA26" w14:textId="77777777" w:rsidR="00102825" w:rsidRPr="00102825" w:rsidRDefault="00102825" w:rsidP="00102825">
      <w:pPr>
        <w:spacing w:line="360" w:lineRule="auto"/>
        <w:jc w:val="center"/>
        <w:rPr>
          <w:rFonts w:eastAsia="Calibri"/>
          <w:b/>
          <w:bCs/>
          <w:sz w:val="28"/>
          <w:szCs w:val="28"/>
          <w:lang w:val="es-CU" w:eastAsia="en-US"/>
        </w:rPr>
      </w:pPr>
      <w:r w:rsidRPr="00102825">
        <w:rPr>
          <w:rFonts w:eastAsia="Calibri"/>
          <w:b/>
          <w:bCs/>
          <w:sz w:val="28"/>
          <w:szCs w:val="28"/>
          <w:lang w:val="es-CU" w:eastAsia="en-US"/>
        </w:rPr>
        <w:t>Aspectos bioéticos</w:t>
      </w:r>
    </w:p>
    <w:p w14:paraId="7ECA06D1"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Cada participante, previo a su incorporación al estudio, fue informado de los objetivos y métodos a implementar. El consentimiento informado fue el documento rector de la incorporación de los pacientes a la investigación, la cual fue voluntaria y posterior la firma de este. La información recopilada fue utilizada solo con fines investigativos y no se utilizaron ni revelaron datos de identidad personal. El estudio con la autorización de la dirección médica y administrativa del hospital, así como con la aprobación del Grupo de Investigación Salud Pública, perteneciente a la Universidad Nacional de Chimborazo. </w:t>
      </w:r>
    </w:p>
    <w:p w14:paraId="27747929" w14:textId="77777777" w:rsidR="00102825" w:rsidRPr="00102825" w:rsidRDefault="00102825" w:rsidP="00102825">
      <w:pPr>
        <w:spacing w:line="360" w:lineRule="auto"/>
        <w:jc w:val="center"/>
        <w:rPr>
          <w:rFonts w:eastAsia="Calibri"/>
          <w:b/>
          <w:szCs w:val="20"/>
          <w:lang w:val="es-CU" w:eastAsia="en-US"/>
        </w:rPr>
      </w:pPr>
    </w:p>
    <w:p w14:paraId="3A58EFD7" w14:textId="77777777" w:rsidR="00102825" w:rsidRPr="00102825" w:rsidRDefault="00102825" w:rsidP="00102825">
      <w:pPr>
        <w:spacing w:line="360" w:lineRule="auto"/>
        <w:jc w:val="center"/>
        <w:rPr>
          <w:rFonts w:eastAsia="Calibri"/>
          <w:b/>
          <w:sz w:val="32"/>
          <w:lang w:val="es-CU" w:eastAsia="en-US"/>
        </w:rPr>
      </w:pPr>
    </w:p>
    <w:p w14:paraId="00F5CBB3" w14:textId="77777777" w:rsidR="00102825" w:rsidRPr="00102825" w:rsidRDefault="00102825" w:rsidP="00102825">
      <w:pPr>
        <w:spacing w:line="360" w:lineRule="auto"/>
        <w:jc w:val="center"/>
        <w:rPr>
          <w:rFonts w:eastAsia="Calibri"/>
          <w:b/>
          <w:sz w:val="32"/>
          <w:lang w:val="es-CU" w:eastAsia="en-US"/>
        </w:rPr>
      </w:pPr>
      <w:r w:rsidRPr="00102825">
        <w:rPr>
          <w:rFonts w:eastAsia="Calibri"/>
          <w:b/>
          <w:sz w:val="32"/>
          <w:lang w:val="es-CU" w:eastAsia="en-US"/>
        </w:rPr>
        <w:t>RESULTADOS</w:t>
      </w:r>
    </w:p>
    <w:p w14:paraId="7094352B" w14:textId="77777777" w:rsidR="00102825" w:rsidRPr="00102825" w:rsidRDefault="00102825" w:rsidP="00102825">
      <w:pPr>
        <w:spacing w:line="360" w:lineRule="auto"/>
        <w:jc w:val="both"/>
        <w:rPr>
          <w:rFonts w:eastAsia="Calibri"/>
          <w:szCs w:val="22"/>
          <w:lang w:val="es-CU" w:eastAsia="en-US"/>
        </w:rPr>
      </w:pPr>
      <w:r w:rsidRPr="00102825">
        <w:rPr>
          <w:rFonts w:eastAsia="Calibri"/>
          <w:szCs w:val="22"/>
          <w:lang w:val="es-CU" w:eastAsia="en-US"/>
        </w:rPr>
        <w:t>En la tabla 1 se muestra el análisis de las características generales de los pacientes que participaron en la investigación. Se identificó un promedio de edad de 43,51 años; predominio de pacientes entre 40 y 49 años (41,19 %), del sexo femenino (64,70 %) y con tiempo de evolución entre 5 y 10 años (58,82 %).</w:t>
      </w:r>
    </w:p>
    <w:p w14:paraId="00C893BC" w14:textId="77777777" w:rsidR="00102825" w:rsidRPr="00102825" w:rsidRDefault="00102825" w:rsidP="00102825">
      <w:pPr>
        <w:spacing w:line="360" w:lineRule="auto"/>
        <w:jc w:val="center"/>
        <w:rPr>
          <w:rFonts w:eastAsia="Calibri"/>
          <w:b/>
          <w:sz w:val="22"/>
          <w:szCs w:val="22"/>
          <w:lang w:val="es-CU" w:eastAsia="en-US"/>
        </w:rPr>
      </w:pPr>
    </w:p>
    <w:p w14:paraId="065DC1E6" w14:textId="77777777" w:rsidR="00867BC5" w:rsidRDefault="00867BC5">
      <w:pPr>
        <w:rPr>
          <w:rFonts w:eastAsia="Calibri"/>
          <w:b/>
          <w:sz w:val="22"/>
          <w:szCs w:val="22"/>
          <w:lang w:val="es-CU" w:eastAsia="en-US"/>
        </w:rPr>
      </w:pPr>
      <w:r>
        <w:rPr>
          <w:rFonts w:eastAsia="Calibri"/>
          <w:b/>
          <w:sz w:val="22"/>
          <w:szCs w:val="22"/>
          <w:lang w:val="es-CU" w:eastAsia="en-US"/>
        </w:rPr>
        <w:br w:type="page"/>
      </w:r>
    </w:p>
    <w:p w14:paraId="29D83B89" w14:textId="6C25EF64" w:rsidR="00102825" w:rsidRPr="00102825" w:rsidRDefault="00102825" w:rsidP="00102825">
      <w:pPr>
        <w:spacing w:line="360" w:lineRule="auto"/>
        <w:jc w:val="center"/>
        <w:rPr>
          <w:rFonts w:eastAsia="Calibri"/>
          <w:sz w:val="22"/>
          <w:szCs w:val="22"/>
          <w:lang w:val="es-CU" w:eastAsia="en-US"/>
        </w:rPr>
      </w:pPr>
      <w:r w:rsidRPr="00102825">
        <w:rPr>
          <w:rFonts w:eastAsia="Calibri"/>
          <w:b/>
          <w:sz w:val="22"/>
          <w:szCs w:val="22"/>
          <w:lang w:val="es-CU" w:eastAsia="en-US"/>
        </w:rPr>
        <w:lastRenderedPageBreak/>
        <w:t xml:space="preserve">Tabla 1 - </w:t>
      </w:r>
      <w:r w:rsidRPr="00102825">
        <w:rPr>
          <w:rFonts w:eastAsia="Calibri"/>
          <w:sz w:val="22"/>
          <w:szCs w:val="22"/>
          <w:lang w:val="es-CU" w:eastAsia="en-US"/>
        </w:rPr>
        <w:t>Distribución de pacientes según características generales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215"/>
      </w:tblGrid>
      <w:tr w:rsidR="00102825" w:rsidRPr="00102825" w14:paraId="571B7D4C" w14:textId="77777777" w:rsidTr="00D5234B">
        <w:trPr>
          <w:jc w:val="center"/>
        </w:trPr>
        <w:tc>
          <w:tcPr>
            <w:tcW w:w="3780" w:type="dxa"/>
            <w:shd w:val="clear" w:color="auto" w:fill="auto"/>
            <w:vAlign w:val="center"/>
          </w:tcPr>
          <w:p w14:paraId="6770BF00" w14:textId="2D7156C0" w:rsidR="00102825" w:rsidRPr="00102825" w:rsidRDefault="00867BC5" w:rsidP="00102825">
            <w:pPr>
              <w:spacing w:line="360" w:lineRule="auto"/>
              <w:jc w:val="center"/>
              <w:rPr>
                <w:rFonts w:eastAsia="Calibri"/>
                <w:b/>
                <w:sz w:val="18"/>
                <w:szCs w:val="18"/>
                <w:lang w:val="es-CU" w:eastAsia="en-US"/>
              </w:rPr>
            </w:pPr>
            <w:r w:rsidRPr="00102825">
              <w:rPr>
                <w:rFonts w:eastAsia="Calibri"/>
                <w:b/>
                <w:sz w:val="18"/>
                <w:szCs w:val="18"/>
                <w:lang w:val="es-CU" w:eastAsia="en-US"/>
              </w:rPr>
              <w:t xml:space="preserve">Características </w:t>
            </w:r>
            <w:r>
              <w:rPr>
                <w:rFonts w:eastAsia="Calibri"/>
                <w:b/>
                <w:sz w:val="18"/>
                <w:szCs w:val="18"/>
                <w:lang w:val="es-CU" w:eastAsia="en-US"/>
              </w:rPr>
              <w:t>g</w:t>
            </w:r>
            <w:r w:rsidRPr="00102825">
              <w:rPr>
                <w:rFonts w:eastAsia="Calibri"/>
                <w:b/>
                <w:sz w:val="18"/>
                <w:szCs w:val="18"/>
                <w:lang w:val="es-CU" w:eastAsia="en-US"/>
              </w:rPr>
              <w:t>enerales</w:t>
            </w:r>
          </w:p>
        </w:tc>
        <w:tc>
          <w:tcPr>
            <w:tcW w:w="2215" w:type="dxa"/>
            <w:shd w:val="clear" w:color="auto" w:fill="auto"/>
            <w:vAlign w:val="center"/>
          </w:tcPr>
          <w:p w14:paraId="6B5C4C3C" w14:textId="77777777" w:rsidR="00102825" w:rsidRPr="00102825" w:rsidRDefault="00102825" w:rsidP="00102825">
            <w:pPr>
              <w:spacing w:line="360" w:lineRule="auto"/>
              <w:jc w:val="center"/>
              <w:rPr>
                <w:rFonts w:eastAsia="Calibri"/>
                <w:b/>
                <w:sz w:val="18"/>
                <w:szCs w:val="18"/>
                <w:lang w:val="es-CU" w:eastAsia="en-US"/>
              </w:rPr>
            </w:pPr>
            <w:r w:rsidRPr="00102825">
              <w:rPr>
                <w:rFonts w:eastAsia="Calibri"/>
                <w:b/>
                <w:sz w:val="18"/>
                <w:szCs w:val="18"/>
                <w:lang w:val="es-CU" w:eastAsia="en-US"/>
              </w:rPr>
              <w:t>n= 17</w:t>
            </w:r>
          </w:p>
          <w:p w14:paraId="4EE58B3D" w14:textId="7019D14C" w:rsidR="00102825" w:rsidRPr="00102825" w:rsidRDefault="00102825" w:rsidP="00102825">
            <w:pPr>
              <w:spacing w:line="360" w:lineRule="auto"/>
              <w:jc w:val="center"/>
              <w:rPr>
                <w:rFonts w:eastAsia="Calibri"/>
                <w:b/>
                <w:sz w:val="18"/>
                <w:szCs w:val="18"/>
                <w:lang w:val="es-CU" w:eastAsia="en-US"/>
              </w:rPr>
            </w:pPr>
            <w:r w:rsidRPr="00102825">
              <w:rPr>
                <w:rFonts w:eastAsia="Calibri"/>
                <w:b/>
                <w:sz w:val="18"/>
                <w:szCs w:val="18"/>
                <w:lang w:val="es-CU" w:eastAsia="en-US"/>
              </w:rPr>
              <w:t>Frecuencia (porcentaje)</w:t>
            </w:r>
          </w:p>
        </w:tc>
      </w:tr>
      <w:tr w:rsidR="00102825" w:rsidRPr="00102825" w14:paraId="178FED6A" w14:textId="77777777" w:rsidTr="00D5234B">
        <w:trPr>
          <w:jc w:val="center"/>
        </w:trPr>
        <w:tc>
          <w:tcPr>
            <w:tcW w:w="3780" w:type="dxa"/>
            <w:shd w:val="clear" w:color="auto" w:fill="auto"/>
            <w:vAlign w:val="center"/>
          </w:tcPr>
          <w:p w14:paraId="54A2BA27" w14:textId="77777777" w:rsidR="00102825" w:rsidRPr="00102825" w:rsidRDefault="00102825" w:rsidP="00102825">
            <w:pPr>
              <w:spacing w:line="360" w:lineRule="auto"/>
              <w:rPr>
                <w:rFonts w:eastAsia="Calibri"/>
                <w:sz w:val="18"/>
                <w:szCs w:val="18"/>
                <w:lang w:val="es-CU" w:eastAsia="en-US"/>
              </w:rPr>
            </w:pPr>
            <w:r w:rsidRPr="00102825">
              <w:rPr>
                <w:rFonts w:eastAsia="Calibri"/>
                <w:sz w:val="18"/>
                <w:szCs w:val="18"/>
                <w:lang w:val="es-CU" w:eastAsia="en-US"/>
              </w:rPr>
              <w:t>Promedio de edad (años)</w:t>
            </w:r>
          </w:p>
        </w:tc>
        <w:tc>
          <w:tcPr>
            <w:tcW w:w="2215" w:type="dxa"/>
            <w:shd w:val="clear" w:color="auto" w:fill="auto"/>
            <w:vAlign w:val="center"/>
          </w:tcPr>
          <w:p w14:paraId="01CC5971"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43,51 *DE 15,49</w:t>
            </w:r>
          </w:p>
        </w:tc>
      </w:tr>
      <w:tr w:rsidR="00102825" w:rsidRPr="00102825" w14:paraId="4933D0A2" w14:textId="77777777" w:rsidTr="00D5234B">
        <w:trPr>
          <w:jc w:val="center"/>
        </w:trPr>
        <w:tc>
          <w:tcPr>
            <w:tcW w:w="5995" w:type="dxa"/>
            <w:gridSpan w:val="2"/>
            <w:shd w:val="clear" w:color="auto" w:fill="auto"/>
            <w:vAlign w:val="center"/>
          </w:tcPr>
          <w:p w14:paraId="0793B92E"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Grupos de edades</w:t>
            </w:r>
          </w:p>
        </w:tc>
      </w:tr>
      <w:tr w:rsidR="00102825" w:rsidRPr="00102825" w14:paraId="32C426DE" w14:textId="77777777" w:rsidTr="00D5234B">
        <w:trPr>
          <w:jc w:val="center"/>
        </w:trPr>
        <w:tc>
          <w:tcPr>
            <w:tcW w:w="3780" w:type="dxa"/>
            <w:shd w:val="clear" w:color="auto" w:fill="auto"/>
            <w:vAlign w:val="center"/>
          </w:tcPr>
          <w:p w14:paraId="63D7B629" w14:textId="77777777" w:rsidR="00102825" w:rsidRPr="00102825" w:rsidRDefault="00102825" w:rsidP="00102825">
            <w:pPr>
              <w:spacing w:line="360" w:lineRule="auto"/>
              <w:rPr>
                <w:rFonts w:eastAsia="Calibri"/>
                <w:bCs/>
                <w:sz w:val="18"/>
                <w:szCs w:val="18"/>
                <w:lang w:val="es-CU" w:eastAsia="en-US"/>
              </w:rPr>
            </w:pPr>
            <w:r w:rsidRPr="00102825">
              <w:rPr>
                <w:rFonts w:eastAsia="Calibri"/>
                <w:bCs/>
                <w:sz w:val="18"/>
                <w:szCs w:val="18"/>
                <w:lang w:val="es-CU" w:eastAsia="en-US"/>
              </w:rPr>
              <w:t>Entre 20 y 29 años</w:t>
            </w:r>
          </w:p>
        </w:tc>
        <w:tc>
          <w:tcPr>
            <w:tcW w:w="2215" w:type="dxa"/>
            <w:shd w:val="clear" w:color="auto" w:fill="auto"/>
            <w:vAlign w:val="center"/>
          </w:tcPr>
          <w:p w14:paraId="65741E88"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2 (11,76)</w:t>
            </w:r>
          </w:p>
        </w:tc>
      </w:tr>
      <w:tr w:rsidR="00102825" w:rsidRPr="00102825" w14:paraId="60439909" w14:textId="77777777" w:rsidTr="00D5234B">
        <w:trPr>
          <w:jc w:val="center"/>
        </w:trPr>
        <w:tc>
          <w:tcPr>
            <w:tcW w:w="3780" w:type="dxa"/>
            <w:shd w:val="clear" w:color="auto" w:fill="auto"/>
            <w:vAlign w:val="center"/>
          </w:tcPr>
          <w:p w14:paraId="2A13D5DC" w14:textId="77777777" w:rsidR="00102825" w:rsidRPr="00102825" w:rsidRDefault="00102825" w:rsidP="00102825">
            <w:pPr>
              <w:spacing w:line="360" w:lineRule="auto"/>
              <w:rPr>
                <w:rFonts w:eastAsia="Calibri"/>
                <w:bCs/>
                <w:sz w:val="18"/>
                <w:szCs w:val="18"/>
                <w:lang w:val="es-CU" w:eastAsia="en-US"/>
              </w:rPr>
            </w:pPr>
            <w:r w:rsidRPr="00102825">
              <w:rPr>
                <w:rFonts w:eastAsia="Calibri"/>
                <w:bCs/>
                <w:sz w:val="18"/>
                <w:szCs w:val="18"/>
                <w:lang w:val="es-CU" w:eastAsia="en-US"/>
              </w:rPr>
              <w:t>Entre 30 y 39 años</w:t>
            </w:r>
          </w:p>
        </w:tc>
        <w:tc>
          <w:tcPr>
            <w:tcW w:w="2215" w:type="dxa"/>
            <w:shd w:val="clear" w:color="auto" w:fill="auto"/>
            <w:vAlign w:val="center"/>
          </w:tcPr>
          <w:p w14:paraId="56003023"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6 (35,29)</w:t>
            </w:r>
          </w:p>
        </w:tc>
      </w:tr>
      <w:tr w:rsidR="00102825" w:rsidRPr="00102825" w14:paraId="04CCC2FC" w14:textId="77777777" w:rsidTr="00D5234B">
        <w:trPr>
          <w:jc w:val="center"/>
        </w:trPr>
        <w:tc>
          <w:tcPr>
            <w:tcW w:w="3780" w:type="dxa"/>
            <w:shd w:val="clear" w:color="auto" w:fill="auto"/>
            <w:vAlign w:val="center"/>
          </w:tcPr>
          <w:p w14:paraId="1C52E4CF" w14:textId="77777777" w:rsidR="00102825" w:rsidRPr="00102825" w:rsidRDefault="00102825" w:rsidP="00102825">
            <w:pPr>
              <w:spacing w:line="360" w:lineRule="auto"/>
              <w:rPr>
                <w:rFonts w:eastAsia="Calibri"/>
                <w:bCs/>
                <w:sz w:val="18"/>
                <w:szCs w:val="18"/>
                <w:lang w:val="es-CU" w:eastAsia="en-US"/>
              </w:rPr>
            </w:pPr>
            <w:r w:rsidRPr="00102825">
              <w:rPr>
                <w:rFonts w:eastAsia="Calibri"/>
                <w:bCs/>
                <w:sz w:val="18"/>
                <w:szCs w:val="18"/>
                <w:lang w:val="es-CU" w:eastAsia="en-US"/>
              </w:rPr>
              <w:t>Entre 40 y 49 años</w:t>
            </w:r>
          </w:p>
        </w:tc>
        <w:tc>
          <w:tcPr>
            <w:tcW w:w="2215" w:type="dxa"/>
            <w:shd w:val="clear" w:color="auto" w:fill="auto"/>
            <w:vAlign w:val="center"/>
          </w:tcPr>
          <w:p w14:paraId="33209A50"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7 (41,19)</w:t>
            </w:r>
          </w:p>
        </w:tc>
      </w:tr>
      <w:tr w:rsidR="00102825" w:rsidRPr="00102825" w14:paraId="50F9E018" w14:textId="77777777" w:rsidTr="00D5234B">
        <w:trPr>
          <w:jc w:val="center"/>
        </w:trPr>
        <w:tc>
          <w:tcPr>
            <w:tcW w:w="3780" w:type="dxa"/>
            <w:shd w:val="clear" w:color="auto" w:fill="auto"/>
            <w:vAlign w:val="center"/>
          </w:tcPr>
          <w:p w14:paraId="3E6101CF" w14:textId="77777777" w:rsidR="00102825" w:rsidRPr="00102825" w:rsidRDefault="00102825" w:rsidP="00102825">
            <w:pPr>
              <w:spacing w:line="360" w:lineRule="auto"/>
              <w:rPr>
                <w:rFonts w:eastAsia="Calibri"/>
                <w:bCs/>
                <w:sz w:val="18"/>
                <w:szCs w:val="18"/>
                <w:lang w:val="es-CU" w:eastAsia="en-US"/>
              </w:rPr>
            </w:pPr>
            <w:r w:rsidRPr="00102825">
              <w:rPr>
                <w:rFonts w:eastAsia="Calibri"/>
                <w:bCs/>
                <w:sz w:val="18"/>
                <w:szCs w:val="18"/>
                <w:lang w:val="es-CU" w:eastAsia="en-US"/>
              </w:rPr>
              <w:t>De 50 años y más</w:t>
            </w:r>
          </w:p>
        </w:tc>
        <w:tc>
          <w:tcPr>
            <w:tcW w:w="2215" w:type="dxa"/>
            <w:shd w:val="clear" w:color="auto" w:fill="auto"/>
            <w:vAlign w:val="center"/>
          </w:tcPr>
          <w:p w14:paraId="2A8F27E2"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2 (11,76)</w:t>
            </w:r>
          </w:p>
        </w:tc>
      </w:tr>
      <w:tr w:rsidR="00102825" w:rsidRPr="00102825" w14:paraId="0EEEF141" w14:textId="77777777" w:rsidTr="00D5234B">
        <w:trPr>
          <w:jc w:val="center"/>
        </w:trPr>
        <w:tc>
          <w:tcPr>
            <w:tcW w:w="5995" w:type="dxa"/>
            <w:gridSpan w:val="2"/>
            <w:shd w:val="clear" w:color="auto" w:fill="auto"/>
            <w:vAlign w:val="center"/>
          </w:tcPr>
          <w:p w14:paraId="1D16CE24"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Sexo</w:t>
            </w:r>
          </w:p>
        </w:tc>
      </w:tr>
      <w:tr w:rsidR="00102825" w:rsidRPr="00102825" w14:paraId="08FC1BC0" w14:textId="77777777" w:rsidTr="00D5234B">
        <w:trPr>
          <w:jc w:val="center"/>
        </w:trPr>
        <w:tc>
          <w:tcPr>
            <w:tcW w:w="3780" w:type="dxa"/>
            <w:shd w:val="clear" w:color="auto" w:fill="auto"/>
            <w:vAlign w:val="center"/>
          </w:tcPr>
          <w:p w14:paraId="7FAA0A99" w14:textId="77777777" w:rsidR="00102825" w:rsidRPr="00102825" w:rsidRDefault="00102825" w:rsidP="00102825">
            <w:pPr>
              <w:spacing w:line="360" w:lineRule="auto"/>
              <w:rPr>
                <w:rFonts w:eastAsia="Calibri"/>
                <w:bCs/>
                <w:sz w:val="18"/>
                <w:szCs w:val="18"/>
                <w:lang w:val="es-CU" w:eastAsia="en-US"/>
              </w:rPr>
            </w:pPr>
            <w:r w:rsidRPr="00102825">
              <w:rPr>
                <w:rFonts w:eastAsia="Calibri"/>
                <w:bCs/>
                <w:sz w:val="18"/>
                <w:szCs w:val="18"/>
                <w:lang w:val="es-CU" w:eastAsia="en-US"/>
              </w:rPr>
              <w:t>Femenino</w:t>
            </w:r>
          </w:p>
        </w:tc>
        <w:tc>
          <w:tcPr>
            <w:tcW w:w="2215" w:type="dxa"/>
            <w:shd w:val="clear" w:color="auto" w:fill="auto"/>
            <w:vAlign w:val="center"/>
          </w:tcPr>
          <w:p w14:paraId="3965946E"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11 (64,70)</w:t>
            </w:r>
          </w:p>
        </w:tc>
      </w:tr>
      <w:tr w:rsidR="00102825" w:rsidRPr="00102825" w14:paraId="2CF909E1" w14:textId="77777777" w:rsidTr="00D5234B">
        <w:trPr>
          <w:jc w:val="center"/>
        </w:trPr>
        <w:tc>
          <w:tcPr>
            <w:tcW w:w="3780" w:type="dxa"/>
            <w:shd w:val="clear" w:color="auto" w:fill="auto"/>
            <w:vAlign w:val="center"/>
          </w:tcPr>
          <w:p w14:paraId="4AC15BC8" w14:textId="77777777" w:rsidR="00102825" w:rsidRPr="00102825" w:rsidRDefault="00102825" w:rsidP="00102825">
            <w:pPr>
              <w:spacing w:line="360" w:lineRule="auto"/>
              <w:rPr>
                <w:rFonts w:eastAsia="Calibri"/>
                <w:bCs/>
                <w:sz w:val="18"/>
                <w:szCs w:val="18"/>
                <w:lang w:val="es-CU" w:eastAsia="en-US"/>
              </w:rPr>
            </w:pPr>
            <w:r w:rsidRPr="00102825">
              <w:rPr>
                <w:rFonts w:eastAsia="Calibri"/>
                <w:bCs/>
                <w:sz w:val="18"/>
                <w:szCs w:val="18"/>
                <w:lang w:val="es-CU" w:eastAsia="en-US"/>
              </w:rPr>
              <w:t>Masculino</w:t>
            </w:r>
          </w:p>
        </w:tc>
        <w:tc>
          <w:tcPr>
            <w:tcW w:w="2215" w:type="dxa"/>
            <w:shd w:val="clear" w:color="auto" w:fill="auto"/>
            <w:vAlign w:val="center"/>
          </w:tcPr>
          <w:p w14:paraId="76EAE8FC"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6 (35,30)</w:t>
            </w:r>
          </w:p>
        </w:tc>
      </w:tr>
      <w:tr w:rsidR="00102825" w:rsidRPr="00102825" w14:paraId="4270EF19" w14:textId="77777777" w:rsidTr="00D5234B">
        <w:trPr>
          <w:jc w:val="center"/>
        </w:trPr>
        <w:tc>
          <w:tcPr>
            <w:tcW w:w="5995" w:type="dxa"/>
            <w:gridSpan w:val="2"/>
            <w:shd w:val="clear" w:color="auto" w:fill="auto"/>
            <w:vAlign w:val="center"/>
          </w:tcPr>
          <w:p w14:paraId="68FCB9CD"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Tiempo de evolución de la enfermedad</w:t>
            </w:r>
          </w:p>
        </w:tc>
      </w:tr>
      <w:tr w:rsidR="00102825" w:rsidRPr="00102825" w14:paraId="1C51FBD6" w14:textId="77777777" w:rsidTr="00D5234B">
        <w:trPr>
          <w:jc w:val="center"/>
        </w:trPr>
        <w:tc>
          <w:tcPr>
            <w:tcW w:w="3780" w:type="dxa"/>
            <w:shd w:val="clear" w:color="auto" w:fill="auto"/>
            <w:vAlign w:val="center"/>
          </w:tcPr>
          <w:p w14:paraId="01917511" w14:textId="77777777" w:rsidR="00102825" w:rsidRPr="00102825" w:rsidRDefault="00102825" w:rsidP="00102825">
            <w:pPr>
              <w:spacing w:line="360" w:lineRule="auto"/>
              <w:rPr>
                <w:rFonts w:eastAsia="Calibri"/>
                <w:bCs/>
                <w:sz w:val="18"/>
                <w:szCs w:val="18"/>
                <w:lang w:val="es-CU" w:eastAsia="en-US"/>
              </w:rPr>
            </w:pPr>
            <w:r w:rsidRPr="00102825">
              <w:rPr>
                <w:rFonts w:eastAsia="Calibri"/>
                <w:bCs/>
                <w:sz w:val="18"/>
                <w:szCs w:val="18"/>
                <w:lang w:val="es-CU" w:eastAsia="en-US"/>
              </w:rPr>
              <w:t>Menos de 5 años</w:t>
            </w:r>
          </w:p>
        </w:tc>
        <w:tc>
          <w:tcPr>
            <w:tcW w:w="2215" w:type="dxa"/>
            <w:shd w:val="clear" w:color="auto" w:fill="auto"/>
            <w:vAlign w:val="center"/>
          </w:tcPr>
          <w:p w14:paraId="4444BEA1"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4 (23,53)</w:t>
            </w:r>
          </w:p>
        </w:tc>
      </w:tr>
      <w:tr w:rsidR="00102825" w:rsidRPr="00102825" w14:paraId="4B775A59" w14:textId="77777777" w:rsidTr="00D5234B">
        <w:trPr>
          <w:jc w:val="center"/>
        </w:trPr>
        <w:tc>
          <w:tcPr>
            <w:tcW w:w="3780" w:type="dxa"/>
            <w:shd w:val="clear" w:color="auto" w:fill="auto"/>
            <w:vAlign w:val="center"/>
          </w:tcPr>
          <w:p w14:paraId="1036FB6A" w14:textId="77777777" w:rsidR="00102825" w:rsidRPr="00102825" w:rsidRDefault="00102825" w:rsidP="00102825">
            <w:pPr>
              <w:spacing w:line="360" w:lineRule="auto"/>
              <w:rPr>
                <w:rFonts w:eastAsia="Calibri"/>
                <w:bCs/>
                <w:sz w:val="18"/>
                <w:szCs w:val="18"/>
                <w:lang w:val="es-CU" w:eastAsia="en-US"/>
              </w:rPr>
            </w:pPr>
            <w:r w:rsidRPr="00102825">
              <w:rPr>
                <w:rFonts w:eastAsia="Calibri"/>
                <w:bCs/>
                <w:sz w:val="18"/>
                <w:szCs w:val="18"/>
                <w:lang w:val="es-CU" w:eastAsia="en-US"/>
              </w:rPr>
              <w:t>Entre 5 y 10 años</w:t>
            </w:r>
          </w:p>
        </w:tc>
        <w:tc>
          <w:tcPr>
            <w:tcW w:w="2215" w:type="dxa"/>
            <w:shd w:val="clear" w:color="auto" w:fill="auto"/>
            <w:vAlign w:val="center"/>
          </w:tcPr>
          <w:p w14:paraId="2857CD9A"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10 (58,82)</w:t>
            </w:r>
          </w:p>
        </w:tc>
      </w:tr>
      <w:tr w:rsidR="00102825" w:rsidRPr="00102825" w14:paraId="17FE43DF" w14:textId="77777777" w:rsidTr="00D5234B">
        <w:trPr>
          <w:jc w:val="center"/>
        </w:trPr>
        <w:tc>
          <w:tcPr>
            <w:tcW w:w="3780" w:type="dxa"/>
            <w:shd w:val="clear" w:color="auto" w:fill="auto"/>
            <w:vAlign w:val="center"/>
          </w:tcPr>
          <w:p w14:paraId="3CD1D429" w14:textId="77777777" w:rsidR="00102825" w:rsidRPr="00102825" w:rsidRDefault="00102825" w:rsidP="00102825">
            <w:pPr>
              <w:spacing w:line="360" w:lineRule="auto"/>
              <w:rPr>
                <w:rFonts w:eastAsia="Calibri"/>
                <w:bCs/>
                <w:sz w:val="18"/>
                <w:szCs w:val="18"/>
                <w:lang w:val="es-CU" w:eastAsia="en-US"/>
              </w:rPr>
            </w:pPr>
            <w:r w:rsidRPr="00102825">
              <w:rPr>
                <w:rFonts w:eastAsia="Calibri"/>
                <w:bCs/>
                <w:sz w:val="18"/>
                <w:szCs w:val="18"/>
                <w:lang w:val="es-CU" w:eastAsia="en-US"/>
              </w:rPr>
              <w:t>Más de 10 años</w:t>
            </w:r>
          </w:p>
        </w:tc>
        <w:tc>
          <w:tcPr>
            <w:tcW w:w="2215" w:type="dxa"/>
            <w:shd w:val="clear" w:color="auto" w:fill="auto"/>
            <w:vAlign w:val="center"/>
          </w:tcPr>
          <w:p w14:paraId="58C4FBD7" w14:textId="77777777" w:rsidR="00102825" w:rsidRPr="00102825" w:rsidRDefault="00102825" w:rsidP="00102825">
            <w:pPr>
              <w:spacing w:line="360" w:lineRule="auto"/>
              <w:jc w:val="center"/>
              <w:rPr>
                <w:rFonts w:eastAsia="Calibri"/>
                <w:bCs/>
                <w:sz w:val="18"/>
                <w:szCs w:val="18"/>
                <w:lang w:val="es-CU" w:eastAsia="en-US"/>
              </w:rPr>
            </w:pPr>
            <w:r w:rsidRPr="00102825">
              <w:rPr>
                <w:rFonts w:eastAsia="Calibri"/>
                <w:bCs/>
                <w:sz w:val="18"/>
                <w:szCs w:val="18"/>
                <w:lang w:val="es-CU" w:eastAsia="en-US"/>
              </w:rPr>
              <w:t>3 (17,65)</w:t>
            </w:r>
          </w:p>
        </w:tc>
      </w:tr>
    </w:tbl>
    <w:p w14:paraId="107E708C" w14:textId="77777777" w:rsidR="00102825" w:rsidRPr="00102825" w:rsidRDefault="00102825" w:rsidP="00102825">
      <w:pPr>
        <w:spacing w:line="360" w:lineRule="auto"/>
        <w:jc w:val="center"/>
        <w:rPr>
          <w:rFonts w:eastAsia="Calibri"/>
          <w:sz w:val="16"/>
          <w:szCs w:val="14"/>
          <w:lang w:val="es-CU" w:eastAsia="en-US"/>
        </w:rPr>
      </w:pPr>
      <w:r w:rsidRPr="00102825">
        <w:rPr>
          <w:rFonts w:eastAsia="Calibri"/>
          <w:sz w:val="16"/>
          <w:szCs w:val="14"/>
          <w:lang w:val="es-CU" w:eastAsia="en-US"/>
        </w:rPr>
        <w:t>*DE: desviación estándar.</w:t>
      </w:r>
    </w:p>
    <w:p w14:paraId="5DB0569E" w14:textId="397582C1" w:rsidR="00102825" w:rsidRPr="00102825" w:rsidRDefault="00102825" w:rsidP="00102825">
      <w:pPr>
        <w:spacing w:line="360" w:lineRule="auto"/>
        <w:jc w:val="center"/>
        <w:rPr>
          <w:rFonts w:eastAsia="Calibri"/>
          <w:sz w:val="16"/>
          <w:szCs w:val="14"/>
          <w:lang w:val="es-CU" w:eastAsia="en-US"/>
        </w:rPr>
      </w:pPr>
    </w:p>
    <w:p w14:paraId="50F7C83C" w14:textId="77777777" w:rsidR="00102825" w:rsidRPr="00102825" w:rsidRDefault="00102825" w:rsidP="00102825">
      <w:pPr>
        <w:spacing w:line="360" w:lineRule="auto"/>
        <w:jc w:val="both"/>
        <w:rPr>
          <w:rFonts w:eastAsia="Calibri"/>
          <w:szCs w:val="22"/>
          <w:lang w:val="es-CU" w:eastAsia="en-US"/>
        </w:rPr>
      </w:pPr>
      <w:r w:rsidRPr="00102825">
        <w:rPr>
          <w:rFonts w:eastAsia="Calibri"/>
          <w:szCs w:val="22"/>
          <w:lang w:val="es-CU" w:eastAsia="en-US"/>
        </w:rPr>
        <w:t>En la tabla 2 se muestran los elementos relacionados con el seguimiento de marcadores de inflamación. En el caso de la PCR solo el 29,41 % de los pacientes presentó valores séricos negativos al inicio del estudio; al finalizar la investigación el 82,35 % de los casos presentabas PCR negativa.</w:t>
      </w:r>
    </w:p>
    <w:p w14:paraId="4CC981A9" w14:textId="77777777" w:rsidR="00102825" w:rsidRPr="00102825" w:rsidRDefault="00102825" w:rsidP="00102825">
      <w:pPr>
        <w:spacing w:line="360" w:lineRule="auto"/>
        <w:jc w:val="both"/>
        <w:rPr>
          <w:rFonts w:eastAsia="Calibri"/>
          <w:szCs w:val="22"/>
          <w:lang w:val="es-CU" w:eastAsia="en-US"/>
        </w:rPr>
      </w:pPr>
      <w:r w:rsidRPr="00102825">
        <w:rPr>
          <w:rFonts w:eastAsia="Calibri"/>
          <w:szCs w:val="22"/>
          <w:lang w:val="es-CU" w:eastAsia="en-US"/>
        </w:rPr>
        <w:t>En relación con el fibrinógeno al final del estudio el porcentaje de pacientes con valor referencial fue de un 76,47 %, superior al 52,94 % que existía al comienzo de la investigación. En el caso de la VSG al inicio del estudio solo el 23,53 % de los pacientes presentaba valores referenciales, cifra que aumentó a 64,70 % al término del estudio.</w:t>
      </w:r>
    </w:p>
    <w:p w14:paraId="697FFE65" w14:textId="77777777" w:rsidR="00102825" w:rsidRPr="00102825" w:rsidRDefault="00102825" w:rsidP="00102825">
      <w:pPr>
        <w:spacing w:line="360" w:lineRule="auto"/>
        <w:jc w:val="both"/>
        <w:rPr>
          <w:rFonts w:eastAsia="Calibri"/>
          <w:szCs w:val="22"/>
          <w:lang w:val="es-CU" w:eastAsia="en-US"/>
        </w:rPr>
      </w:pPr>
    </w:p>
    <w:p w14:paraId="6E6D503E" w14:textId="77777777" w:rsidR="004F2575" w:rsidRDefault="004F2575">
      <w:pPr>
        <w:rPr>
          <w:rFonts w:eastAsia="Calibri"/>
          <w:b/>
          <w:sz w:val="22"/>
          <w:szCs w:val="22"/>
          <w:lang w:val="es-CU" w:eastAsia="en-US"/>
        </w:rPr>
      </w:pPr>
      <w:r>
        <w:rPr>
          <w:rFonts w:eastAsia="Calibri"/>
          <w:b/>
          <w:sz w:val="22"/>
          <w:szCs w:val="22"/>
          <w:lang w:val="es-CU" w:eastAsia="en-US"/>
        </w:rPr>
        <w:br w:type="page"/>
      </w:r>
    </w:p>
    <w:p w14:paraId="6E4F45E6" w14:textId="30BA1967" w:rsidR="00102825" w:rsidRPr="00102825" w:rsidRDefault="00102825" w:rsidP="00102825">
      <w:pPr>
        <w:spacing w:line="360" w:lineRule="auto"/>
        <w:jc w:val="center"/>
        <w:rPr>
          <w:rFonts w:eastAsia="Calibri"/>
          <w:sz w:val="22"/>
          <w:szCs w:val="22"/>
          <w:lang w:val="es-CU" w:eastAsia="en-US"/>
        </w:rPr>
      </w:pPr>
      <w:r w:rsidRPr="00102825">
        <w:rPr>
          <w:rFonts w:eastAsia="Calibri"/>
          <w:b/>
          <w:sz w:val="22"/>
          <w:szCs w:val="22"/>
          <w:lang w:val="es-CU" w:eastAsia="en-US"/>
        </w:rPr>
        <w:lastRenderedPageBreak/>
        <w:t>Tabla 2 -</w:t>
      </w:r>
      <w:r w:rsidRPr="00102825">
        <w:rPr>
          <w:rFonts w:eastAsia="Calibri"/>
          <w:sz w:val="22"/>
          <w:szCs w:val="22"/>
          <w:lang w:val="es-CU" w:eastAsia="en-US"/>
        </w:rPr>
        <w:t xml:space="preserve"> Distribución de pacientes según resultados de los marcadores de inflamación al inicio y durante los 9 meses de seguimiento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652"/>
        <w:gridCol w:w="683"/>
        <w:gridCol w:w="614"/>
        <w:gridCol w:w="761"/>
        <w:gridCol w:w="650"/>
        <w:gridCol w:w="691"/>
        <w:gridCol w:w="612"/>
        <w:gridCol w:w="750"/>
        <w:tblGridChange w:id="3">
          <w:tblGrid>
            <w:gridCol w:w="1352"/>
            <w:gridCol w:w="652"/>
            <w:gridCol w:w="683"/>
            <w:gridCol w:w="614"/>
            <w:gridCol w:w="761"/>
            <w:gridCol w:w="650"/>
            <w:gridCol w:w="691"/>
            <w:gridCol w:w="612"/>
            <w:gridCol w:w="750"/>
          </w:tblGrid>
        </w:tblGridChange>
      </w:tblGrid>
      <w:tr w:rsidR="00102825" w:rsidRPr="00102825" w14:paraId="005D7D19" w14:textId="77777777" w:rsidTr="00D5234B">
        <w:trPr>
          <w:jc w:val="center"/>
        </w:trPr>
        <w:tc>
          <w:tcPr>
            <w:tcW w:w="0" w:type="auto"/>
            <w:vMerge w:val="restart"/>
            <w:shd w:val="clear" w:color="auto" w:fill="auto"/>
            <w:vAlign w:val="center"/>
          </w:tcPr>
          <w:p w14:paraId="72398741" w14:textId="77777777" w:rsidR="00102825" w:rsidRPr="00102825" w:rsidRDefault="00102825" w:rsidP="00102825">
            <w:pPr>
              <w:spacing w:line="360" w:lineRule="auto"/>
              <w:jc w:val="center"/>
              <w:rPr>
                <w:rFonts w:eastAsia="Calibri"/>
                <w:b/>
                <w:sz w:val="18"/>
                <w:szCs w:val="18"/>
                <w:lang w:val="es-CU" w:eastAsia="en-US"/>
              </w:rPr>
            </w:pPr>
            <w:r w:rsidRPr="00102825">
              <w:rPr>
                <w:rFonts w:eastAsia="Calibri"/>
                <w:b/>
                <w:sz w:val="18"/>
                <w:szCs w:val="18"/>
                <w:lang w:val="es-CU" w:eastAsia="en-US"/>
              </w:rPr>
              <w:t xml:space="preserve">Marcadores </w:t>
            </w:r>
          </w:p>
          <w:p w14:paraId="2406CED0"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b/>
                <w:sz w:val="18"/>
                <w:szCs w:val="18"/>
                <w:lang w:val="es-CU" w:eastAsia="en-US"/>
              </w:rPr>
              <w:t>de inflamación</w:t>
            </w:r>
          </w:p>
        </w:tc>
        <w:tc>
          <w:tcPr>
            <w:tcW w:w="5413" w:type="dxa"/>
            <w:gridSpan w:val="8"/>
            <w:shd w:val="clear" w:color="auto" w:fill="auto"/>
            <w:vAlign w:val="center"/>
          </w:tcPr>
          <w:p w14:paraId="3438C154"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n= 17</w:t>
            </w:r>
          </w:p>
        </w:tc>
      </w:tr>
      <w:tr w:rsidR="00102825" w:rsidRPr="00102825" w14:paraId="3F027570" w14:textId="77777777" w:rsidTr="00D5234B">
        <w:trPr>
          <w:jc w:val="center"/>
        </w:trPr>
        <w:tc>
          <w:tcPr>
            <w:tcW w:w="0" w:type="auto"/>
            <w:vMerge/>
            <w:shd w:val="clear" w:color="auto" w:fill="auto"/>
            <w:vAlign w:val="center"/>
          </w:tcPr>
          <w:p w14:paraId="1D94E9CC" w14:textId="77777777" w:rsidR="00102825" w:rsidRPr="00102825" w:rsidRDefault="00102825" w:rsidP="00102825">
            <w:pPr>
              <w:spacing w:line="360" w:lineRule="auto"/>
              <w:jc w:val="both"/>
              <w:rPr>
                <w:rFonts w:eastAsia="Calibri"/>
                <w:sz w:val="18"/>
                <w:szCs w:val="18"/>
                <w:lang w:val="es-CU" w:eastAsia="en-US"/>
              </w:rPr>
            </w:pPr>
          </w:p>
        </w:tc>
        <w:tc>
          <w:tcPr>
            <w:tcW w:w="0" w:type="auto"/>
            <w:gridSpan w:val="2"/>
            <w:shd w:val="clear" w:color="auto" w:fill="auto"/>
            <w:vAlign w:val="center"/>
          </w:tcPr>
          <w:p w14:paraId="74D9F60C"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Inicio</w:t>
            </w:r>
          </w:p>
        </w:tc>
        <w:tc>
          <w:tcPr>
            <w:tcW w:w="1375" w:type="dxa"/>
            <w:gridSpan w:val="2"/>
            <w:shd w:val="clear" w:color="auto" w:fill="auto"/>
            <w:vAlign w:val="center"/>
          </w:tcPr>
          <w:p w14:paraId="68C128C3"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3 meses</w:t>
            </w:r>
          </w:p>
        </w:tc>
        <w:tc>
          <w:tcPr>
            <w:tcW w:w="1341" w:type="dxa"/>
            <w:gridSpan w:val="2"/>
            <w:shd w:val="clear" w:color="auto" w:fill="auto"/>
            <w:vAlign w:val="center"/>
          </w:tcPr>
          <w:p w14:paraId="5545AB2A"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6 meses</w:t>
            </w:r>
          </w:p>
        </w:tc>
        <w:tc>
          <w:tcPr>
            <w:tcW w:w="1362" w:type="dxa"/>
            <w:gridSpan w:val="2"/>
          </w:tcPr>
          <w:p w14:paraId="6CC43A6E"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9 meses</w:t>
            </w:r>
          </w:p>
        </w:tc>
      </w:tr>
      <w:tr w:rsidR="00102825" w:rsidRPr="00102825" w14:paraId="275148AB" w14:textId="77777777" w:rsidTr="00D5234B">
        <w:trPr>
          <w:jc w:val="center"/>
        </w:trPr>
        <w:tc>
          <w:tcPr>
            <w:tcW w:w="0" w:type="auto"/>
            <w:vMerge/>
            <w:shd w:val="clear" w:color="auto" w:fill="auto"/>
            <w:vAlign w:val="center"/>
          </w:tcPr>
          <w:p w14:paraId="5C601DAE" w14:textId="77777777" w:rsidR="00102825" w:rsidRPr="00102825" w:rsidRDefault="00102825" w:rsidP="00102825">
            <w:pPr>
              <w:spacing w:line="360" w:lineRule="auto"/>
              <w:jc w:val="both"/>
              <w:rPr>
                <w:rFonts w:eastAsia="Calibri"/>
                <w:sz w:val="18"/>
                <w:szCs w:val="18"/>
                <w:lang w:val="es-CU" w:eastAsia="en-US"/>
              </w:rPr>
            </w:pPr>
          </w:p>
        </w:tc>
        <w:tc>
          <w:tcPr>
            <w:tcW w:w="652" w:type="dxa"/>
            <w:shd w:val="clear" w:color="auto" w:fill="auto"/>
            <w:vAlign w:val="center"/>
          </w:tcPr>
          <w:p w14:paraId="6E5F8DCD"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n</w:t>
            </w:r>
          </w:p>
        </w:tc>
        <w:tc>
          <w:tcPr>
            <w:tcW w:w="683" w:type="dxa"/>
            <w:shd w:val="clear" w:color="auto" w:fill="auto"/>
            <w:vAlign w:val="center"/>
          </w:tcPr>
          <w:p w14:paraId="62CFD965"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w:t>
            </w:r>
          </w:p>
        </w:tc>
        <w:tc>
          <w:tcPr>
            <w:tcW w:w="614" w:type="dxa"/>
            <w:shd w:val="clear" w:color="auto" w:fill="auto"/>
            <w:vAlign w:val="center"/>
          </w:tcPr>
          <w:p w14:paraId="5AD3F57F"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n</w:t>
            </w:r>
          </w:p>
        </w:tc>
        <w:tc>
          <w:tcPr>
            <w:tcW w:w="761" w:type="dxa"/>
            <w:shd w:val="clear" w:color="auto" w:fill="auto"/>
            <w:vAlign w:val="center"/>
          </w:tcPr>
          <w:p w14:paraId="107DE201"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w:t>
            </w:r>
          </w:p>
        </w:tc>
        <w:tc>
          <w:tcPr>
            <w:tcW w:w="650" w:type="dxa"/>
            <w:shd w:val="clear" w:color="auto" w:fill="auto"/>
            <w:vAlign w:val="center"/>
          </w:tcPr>
          <w:p w14:paraId="4854042C"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n</w:t>
            </w:r>
          </w:p>
        </w:tc>
        <w:tc>
          <w:tcPr>
            <w:tcW w:w="691" w:type="dxa"/>
            <w:shd w:val="clear" w:color="auto" w:fill="auto"/>
            <w:vAlign w:val="center"/>
          </w:tcPr>
          <w:p w14:paraId="5A30F495"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w:t>
            </w:r>
          </w:p>
        </w:tc>
        <w:tc>
          <w:tcPr>
            <w:tcW w:w="612" w:type="dxa"/>
            <w:shd w:val="clear" w:color="auto" w:fill="auto"/>
            <w:vAlign w:val="center"/>
          </w:tcPr>
          <w:p w14:paraId="2323E7D9"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n</w:t>
            </w:r>
          </w:p>
        </w:tc>
        <w:tc>
          <w:tcPr>
            <w:tcW w:w="750" w:type="dxa"/>
            <w:shd w:val="clear" w:color="auto" w:fill="auto"/>
            <w:vAlign w:val="center"/>
          </w:tcPr>
          <w:p w14:paraId="33824301" w14:textId="77777777" w:rsidR="00102825" w:rsidRPr="00102825" w:rsidRDefault="00102825" w:rsidP="00102825">
            <w:pPr>
              <w:spacing w:line="360" w:lineRule="auto"/>
              <w:jc w:val="center"/>
              <w:rPr>
                <w:rFonts w:eastAsia="Calibri"/>
                <w:b/>
                <w:bCs/>
                <w:sz w:val="18"/>
                <w:szCs w:val="18"/>
                <w:lang w:val="es-CU" w:eastAsia="en-US"/>
              </w:rPr>
            </w:pPr>
            <w:r w:rsidRPr="00102825">
              <w:rPr>
                <w:rFonts w:eastAsia="Calibri"/>
                <w:b/>
                <w:bCs/>
                <w:sz w:val="18"/>
                <w:szCs w:val="18"/>
                <w:lang w:val="es-CU" w:eastAsia="en-US"/>
              </w:rPr>
              <w:t>%</w:t>
            </w:r>
          </w:p>
        </w:tc>
      </w:tr>
      <w:tr w:rsidR="00102825" w:rsidRPr="00102825" w14:paraId="448329EA" w14:textId="77777777" w:rsidTr="00D5234B">
        <w:trPr>
          <w:jc w:val="center"/>
        </w:trPr>
        <w:tc>
          <w:tcPr>
            <w:tcW w:w="6765" w:type="dxa"/>
            <w:gridSpan w:val="9"/>
            <w:shd w:val="clear" w:color="auto" w:fill="auto"/>
            <w:vAlign w:val="center"/>
          </w:tcPr>
          <w:p w14:paraId="745D90A6"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Proteína C reactiva (PCR)</w:t>
            </w:r>
          </w:p>
        </w:tc>
      </w:tr>
      <w:tr w:rsidR="00102825" w:rsidRPr="00102825" w14:paraId="790223EF" w14:textId="77777777" w:rsidTr="00D5234B">
        <w:trPr>
          <w:jc w:val="center"/>
        </w:trPr>
        <w:tc>
          <w:tcPr>
            <w:tcW w:w="0" w:type="auto"/>
            <w:shd w:val="clear" w:color="auto" w:fill="auto"/>
            <w:vAlign w:val="center"/>
          </w:tcPr>
          <w:p w14:paraId="76EBC85A" w14:textId="77777777" w:rsidR="00102825" w:rsidRPr="00102825" w:rsidRDefault="00102825" w:rsidP="00102825">
            <w:pPr>
              <w:spacing w:line="360" w:lineRule="auto"/>
              <w:rPr>
                <w:rFonts w:eastAsia="Calibri"/>
                <w:sz w:val="18"/>
                <w:szCs w:val="18"/>
                <w:lang w:val="es-CU" w:eastAsia="en-US"/>
              </w:rPr>
            </w:pPr>
            <w:r w:rsidRPr="00102825">
              <w:rPr>
                <w:rFonts w:eastAsia="Calibri"/>
                <w:sz w:val="18"/>
                <w:szCs w:val="18"/>
                <w:lang w:val="es-CU" w:eastAsia="en-US"/>
              </w:rPr>
              <w:t>Positiva</w:t>
            </w:r>
          </w:p>
        </w:tc>
        <w:tc>
          <w:tcPr>
            <w:tcW w:w="652" w:type="dxa"/>
            <w:shd w:val="clear" w:color="auto" w:fill="auto"/>
            <w:vAlign w:val="center"/>
          </w:tcPr>
          <w:p w14:paraId="4E721670"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12</w:t>
            </w:r>
          </w:p>
        </w:tc>
        <w:tc>
          <w:tcPr>
            <w:tcW w:w="683" w:type="dxa"/>
            <w:shd w:val="clear" w:color="auto" w:fill="auto"/>
            <w:vAlign w:val="center"/>
          </w:tcPr>
          <w:p w14:paraId="09D39657"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70,59</w:t>
            </w:r>
          </w:p>
        </w:tc>
        <w:tc>
          <w:tcPr>
            <w:tcW w:w="614" w:type="dxa"/>
            <w:shd w:val="clear" w:color="auto" w:fill="auto"/>
            <w:vAlign w:val="center"/>
          </w:tcPr>
          <w:p w14:paraId="153B3E4E"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10</w:t>
            </w:r>
          </w:p>
        </w:tc>
        <w:tc>
          <w:tcPr>
            <w:tcW w:w="761" w:type="dxa"/>
            <w:shd w:val="clear" w:color="auto" w:fill="auto"/>
            <w:vAlign w:val="center"/>
          </w:tcPr>
          <w:p w14:paraId="1CD200BE"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58,82</w:t>
            </w:r>
          </w:p>
        </w:tc>
        <w:tc>
          <w:tcPr>
            <w:tcW w:w="650" w:type="dxa"/>
            <w:shd w:val="clear" w:color="auto" w:fill="auto"/>
            <w:vAlign w:val="center"/>
          </w:tcPr>
          <w:p w14:paraId="3F733AA9"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7</w:t>
            </w:r>
          </w:p>
        </w:tc>
        <w:tc>
          <w:tcPr>
            <w:tcW w:w="691" w:type="dxa"/>
            <w:shd w:val="clear" w:color="auto" w:fill="auto"/>
            <w:vAlign w:val="center"/>
          </w:tcPr>
          <w:p w14:paraId="429E43BB"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41,18</w:t>
            </w:r>
          </w:p>
        </w:tc>
        <w:tc>
          <w:tcPr>
            <w:tcW w:w="612" w:type="dxa"/>
            <w:shd w:val="clear" w:color="auto" w:fill="auto"/>
            <w:vAlign w:val="center"/>
          </w:tcPr>
          <w:p w14:paraId="4C992AB5"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3</w:t>
            </w:r>
          </w:p>
        </w:tc>
        <w:tc>
          <w:tcPr>
            <w:tcW w:w="750" w:type="dxa"/>
            <w:shd w:val="clear" w:color="auto" w:fill="auto"/>
            <w:vAlign w:val="center"/>
          </w:tcPr>
          <w:p w14:paraId="2B08506D"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17,65</w:t>
            </w:r>
          </w:p>
        </w:tc>
      </w:tr>
      <w:tr w:rsidR="00102825" w:rsidRPr="00102825" w14:paraId="37306CA1" w14:textId="77777777" w:rsidTr="00D5234B">
        <w:trPr>
          <w:jc w:val="center"/>
        </w:trPr>
        <w:tc>
          <w:tcPr>
            <w:tcW w:w="0" w:type="auto"/>
            <w:shd w:val="clear" w:color="auto" w:fill="auto"/>
            <w:vAlign w:val="center"/>
          </w:tcPr>
          <w:p w14:paraId="62298CD2" w14:textId="77777777" w:rsidR="00102825" w:rsidRPr="00102825" w:rsidRDefault="00102825" w:rsidP="00102825">
            <w:pPr>
              <w:spacing w:line="360" w:lineRule="auto"/>
              <w:rPr>
                <w:rFonts w:eastAsia="Calibri"/>
                <w:sz w:val="18"/>
                <w:szCs w:val="18"/>
                <w:lang w:val="es-CU" w:eastAsia="en-US"/>
              </w:rPr>
            </w:pPr>
            <w:r w:rsidRPr="00102825">
              <w:rPr>
                <w:rFonts w:eastAsia="Calibri"/>
                <w:sz w:val="18"/>
                <w:szCs w:val="18"/>
                <w:lang w:val="es-CU" w:eastAsia="en-US"/>
              </w:rPr>
              <w:t>Negativa</w:t>
            </w:r>
          </w:p>
        </w:tc>
        <w:tc>
          <w:tcPr>
            <w:tcW w:w="652" w:type="dxa"/>
            <w:shd w:val="clear" w:color="auto" w:fill="auto"/>
            <w:vAlign w:val="center"/>
          </w:tcPr>
          <w:p w14:paraId="6F0C3E03"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5</w:t>
            </w:r>
          </w:p>
        </w:tc>
        <w:tc>
          <w:tcPr>
            <w:tcW w:w="683" w:type="dxa"/>
            <w:shd w:val="clear" w:color="auto" w:fill="auto"/>
            <w:vAlign w:val="center"/>
          </w:tcPr>
          <w:p w14:paraId="43B3DE3E"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29,41</w:t>
            </w:r>
          </w:p>
        </w:tc>
        <w:tc>
          <w:tcPr>
            <w:tcW w:w="614" w:type="dxa"/>
            <w:shd w:val="clear" w:color="auto" w:fill="auto"/>
            <w:vAlign w:val="center"/>
          </w:tcPr>
          <w:p w14:paraId="6661D2C1"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7</w:t>
            </w:r>
          </w:p>
        </w:tc>
        <w:tc>
          <w:tcPr>
            <w:tcW w:w="761" w:type="dxa"/>
            <w:shd w:val="clear" w:color="auto" w:fill="auto"/>
            <w:vAlign w:val="center"/>
          </w:tcPr>
          <w:p w14:paraId="51DF14F9"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41,18</w:t>
            </w:r>
          </w:p>
        </w:tc>
        <w:tc>
          <w:tcPr>
            <w:tcW w:w="650" w:type="dxa"/>
            <w:shd w:val="clear" w:color="auto" w:fill="auto"/>
            <w:vAlign w:val="center"/>
          </w:tcPr>
          <w:p w14:paraId="76346CA5"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10</w:t>
            </w:r>
          </w:p>
        </w:tc>
        <w:tc>
          <w:tcPr>
            <w:tcW w:w="691" w:type="dxa"/>
            <w:shd w:val="clear" w:color="auto" w:fill="auto"/>
            <w:vAlign w:val="center"/>
          </w:tcPr>
          <w:p w14:paraId="5438EE20"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58,82</w:t>
            </w:r>
          </w:p>
        </w:tc>
        <w:tc>
          <w:tcPr>
            <w:tcW w:w="612" w:type="dxa"/>
            <w:shd w:val="clear" w:color="auto" w:fill="auto"/>
            <w:vAlign w:val="center"/>
          </w:tcPr>
          <w:p w14:paraId="271428F4"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14</w:t>
            </w:r>
          </w:p>
        </w:tc>
        <w:tc>
          <w:tcPr>
            <w:tcW w:w="750" w:type="dxa"/>
            <w:shd w:val="clear" w:color="auto" w:fill="auto"/>
            <w:vAlign w:val="center"/>
          </w:tcPr>
          <w:p w14:paraId="4B73DEA0"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82,35</w:t>
            </w:r>
          </w:p>
        </w:tc>
      </w:tr>
      <w:tr w:rsidR="00102825" w:rsidRPr="00102825" w14:paraId="1A430A46" w14:textId="77777777" w:rsidTr="00D5234B">
        <w:trPr>
          <w:jc w:val="center"/>
        </w:trPr>
        <w:tc>
          <w:tcPr>
            <w:tcW w:w="6765" w:type="dxa"/>
            <w:gridSpan w:val="9"/>
            <w:shd w:val="clear" w:color="auto" w:fill="auto"/>
            <w:vAlign w:val="center"/>
          </w:tcPr>
          <w:p w14:paraId="57C4216C"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Fibrinógeno</w:t>
            </w:r>
          </w:p>
        </w:tc>
      </w:tr>
      <w:tr w:rsidR="00102825" w:rsidRPr="00102825" w14:paraId="046849FA" w14:textId="77777777" w:rsidTr="00D5234B">
        <w:trPr>
          <w:jc w:val="center"/>
        </w:trPr>
        <w:tc>
          <w:tcPr>
            <w:tcW w:w="0" w:type="auto"/>
            <w:shd w:val="clear" w:color="auto" w:fill="auto"/>
            <w:vAlign w:val="center"/>
          </w:tcPr>
          <w:p w14:paraId="18EDD156" w14:textId="77777777" w:rsidR="00102825" w:rsidRPr="00102825" w:rsidRDefault="00102825" w:rsidP="00102825">
            <w:pPr>
              <w:spacing w:line="360" w:lineRule="auto"/>
              <w:rPr>
                <w:rFonts w:eastAsia="Calibri"/>
                <w:sz w:val="18"/>
                <w:szCs w:val="18"/>
                <w:lang w:val="es-CU" w:eastAsia="en-US"/>
              </w:rPr>
            </w:pPr>
            <w:r w:rsidRPr="00102825">
              <w:rPr>
                <w:rFonts w:eastAsia="Calibri"/>
                <w:sz w:val="18"/>
                <w:szCs w:val="18"/>
                <w:lang w:val="es-CU" w:eastAsia="en-US"/>
              </w:rPr>
              <w:t>Normal</w:t>
            </w:r>
          </w:p>
        </w:tc>
        <w:tc>
          <w:tcPr>
            <w:tcW w:w="652" w:type="dxa"/>
            <w:shd w:val="clear" w:color="auto" w:fill="auto"/>
            <w:vAlign w:val="center"/>
          </w:tcPr>
          <w:p w14:paraId="768482AA"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9</w:t>
            </w:r>
          </w:p>
        </w:tc>
        <w:tc>
          <w:tcPr>
            <w:tcW w:w="683" w:type="dxa"/>
            <w:shd w:val="clear" w:color="auto" w:fill="auto"/>
            <w:vAlign w:val="center"/>
          </w:tcPr>
          <w:p w14:paraId="5495BD53"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52,94</w:t>
            </w:r>
          </w:p>
        </w:tc>
        <w:tc>
          <w:tcPr>
            <w:tcW w:w="614" w:type="dxa"/>
            <w:shd w:val="clear" w:color="auto" w:fill="auto"/>
            <w:vAlign w:val="center"/>
          </w:tcPr>
          <w:p w14:paraId="0F8D05E0"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11</w:t>
            </w:r>
          </w:p>
        </w:tc>
        <w:tc>
          <w:tcPr>
            <w:tcW w:w="761" w:type="dxa"/>
            <w:shd w:val="clear" w:color="auto" w:fill="auto"/>
            <w:vAlign w:val="center"/>
          </w:tcPr>
          <w:p w14:paraId="30272B5B"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64,70</w:t>
            </w:r>
          </w:p>
        </w:tc>
        <w:tc>
          <w:tcPr>
            <w:tcW w:w="650" w:type="dxa"/>
            <w:shd w:val="clear" w:color="auto" w:fill="auto"/>
            <w:vAlign w:val="center"/>
          </w:tcPr>
          <w:p w14:paraId="69B718C0"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12</w:t>
            </w:r>
          </w:p>
        </w:tc>
        <w:tc>
          <w:tcPr>
            <w:tcW w:w="691" w:type="dxa"/>
            <w:shd w:val="clear" w:color="auto" w:fill="auto"/>
            <w:vAlign w:val="center"/>
          </w:tcPr>
          <w:p w14:paraId="303D5DA9"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70,59</w:t>
            </w:r>
          </w:p>
        </w:tc>
        <w:tc>
          <w:tcPr>
            <w:tcW w:w="612" w:type="dxa"/>
            <w:shd w:val="clear" w:color="auto" w:fill="auto"/>
            <w:vAlign w:val="center"/>
          </w:tcPr>
          <w:p w14:paraId="3D3EE30D"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13</w:t>
            </w:r>
          </w:p>
        </w:tc>
        <w:tc>
          <w:tcPr>
            <w:tcW w:w="750" w:type="dxa"/>
            <w:shd w:val="clear" w:color="auto" w:fill="auto"/>
            <w:vAlign w:val="center"/>
          </w:tcPr>
          <w:p w14:paraId="30994E94"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76,47</w:t>
            </w:r>
          </w:p>
        </w:tc>
      </w:tr>
      <w:tr w:rsidR="00102825" w:rsidRPr="00102825" w14:paraId="511A2347" w14:textId="77777777" w:rsidTr="00D5234B">
        <w:trPr>
          <w:jc w:val="center"/>
        </w:trPr>
        <w:tc>
          <w:tcPr>
            <w:tcW w:w="0" w:type="auto"/>
            <w:shd w:val="clear" w:color="auto" w:fill="auto"/>
            <w:vAlign w:val="center"/>
          </w:tcPr>
          <w:p w14:paraId="2FEAB6DD" w14:textId="77777777" w:rsidR="00102825" w:rsidRPr="00102825" w:rsidRDefault="00102825" w:rsidP="00102825">
            <w:pPr>
              <w:spacing w:line="360" w:lineRule="auto"/>
              <w:rPr>
                <w:rFonts w:eastAsia="Calibri"/>
                <w:sz w:val="18"/>
                <w:szCs w:val="18"/>
                <w:lang w:val="es-CU" w:eastAsia="en-US"/>
              </w:rPr>
            </w:pPr>
            <w:r w:rsidRPr="00102825">
              <w:rPr>
                <w:rFonts w:eastAsia="Calibri"/>
                <w:sz w:val="18"/>
                <w:szCs w:val="18"/>
                <w:lang w:val="es-CU" w:eastAsia="en-US"/>
              </w:rPr>
              <w:t>Elevado</w:t>
            </w:r>
          </w:p>
        </w:tc>
        <w:tc>
          <w:tcPr>
            <w:tcW w:w="652" w:type="dxa"/>
            <w:shd w:val="clear" w:color="auto" w:fill="auto"/>
            <w:vAlign w:val="center"/>
          </w:tcPr>
          <w:p w14:paraId="5A761B38"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8</w:t>
            </w:r>
          </w:p>
        </w:tc>
        <w:tc>
          <w:tcPr>
            <w:tcW w:w="683" w:type="dxa"/>
            <w:shd w:val="clear" w:color="auto" w:fill="auto"/>
            <w:vAlign w:val="center"/>
          </w:tcPr>
          <w:p w14:paraId="7FFF1280"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47,06</w:t>
            </w:r>
          </w:p>
        </w:tc>
        <w:tc>
          <w:tcPr>
            <w:tcW w:w="614" w:type="dxa"/>
            <w:shd w:val="clear" w:color="auto" w:fill="auto"/>
            <w:vAlign w:val="center"/>
          </w:tcPr>
          <w:p w14:paraId="7775AC90"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7</w:t>
            </w:r>
          </w:p>
        </w:tc>
        <w:tc>
          <w:tcPr>
            <w:tcW w:w="761" w:type="dxa"/>
            <w:shd w:val="clear" w:color="auto" w:fill="auto"/>
            <w:vAlign w:val="center"/>
          </w:tcPr>
          <w:p w14:paraId="7869F816"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35,30</w:t>
            </w:r>
          </w:p>
        </w:tc>
        <w:tc>
          <w:tcPr>
            <w:tcW w:w="650" w:type="dxa"/>
            <w:shd w:val="clear" w:color="auto" w:fill="auto"/>
            <w:vAlign w:val="center"/>
          </w:tcPr>
          <w:p w14:paraId="145F53DD"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5</w:t>
            </w:r>
          </w:p>
        </w:tc>
        <w:tc>
          <w:tcPr>
            <w:tcW w:w="691" w:type="dxa"/>
            <w:shd w:val="clear" w:color="auto" w:fill="auto"/>
            <w:vAlign w:val="center"/>
          </w:tcPr>
          <w:p w14:paraId="2821001B"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29,41</w:t>
            </w:r>
          </w:p>
        </w:tc>
        <w:tc>
          <w:tcPr>
            <w:tcW w:w="612" w:type="dxa"/>
            <w:shd w:val="clear" w:color="auto" w:fill="auto"/>
            <w:vAlign w:val="center"/>
          </w:tcPr>
          <w:p w14:paraId="150DD5D7"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4</w:t>
            </w:r>
          </w:p>
        </w:tc>
        <w:tc>
          <w:tcPr>
            <w:tcW w:w="750" w:type="dxa"/>
            <w:shd w:val="clear" w:color="auto" w:fill="auto"/>
            <w:vAlign w:val="center"/>
          </w:tcPr>
          <w:p w14:paraId="4ED15E44"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23,53</w:t>
            </w:r>
          </w:p>
        </w:tc>
      </w:tr>
      <w:tr w:rsidR="00102825" w:rsidRPr="00102825" w14:paraId="0941125E" w14:textId="77777777" w:rsidTr="00D5234B">
        <w:trPr>
          <w:jc w:val="center"/>
        </w:trPr>
        <w:tc>
          <w:tcPr>
            <w:tcW w:w="6765" w:type="dxa"/>
            <w:gridSpan w:val="9"/>
            <w:shd w:val="clear" w:color="auto" w:fill="auto"/>
            <w:vAlign w:val="center"/>
          </w:tcPr>
          <w:p w14:paraId="72C84D0E"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Velocidad de sedimentación globular (VSG)</w:t>
            </w:r>
          </w:p>
        </w:tc>
      </w:tr>
      <w:tr w:rsidR="00102825" w:rsidRPr="00102825" w14:paraId="55D36231" w14:textId="77777777" w:rsidTr="00D5234B">
        <w:trPr>
          <w:jc w:val="center"/>
        </w:trPr>
        <w:tc>
          <w:tcPr>
            <w:tcW w:w="0" w:type="auto"/>
            <w:shd w:val="clear" w:color="auto" w:fill="auto"/>
            <w:vAlign w:val="center"/>
          </w:tcPr>
          <w:p w14:paraId="206A526D" w14:textId="77777777" w:rsidR="00102825" w:rsidRPr="00102825" w:rsidRDefault="00102825" w:rsidP="00102825">
            <w:pPr>
              <w:spacing w:line="360" w:lineRule="auto"/>
              <w:rPr>
                <w:rFonts w:eastAsia="Calibri"/>
                <w:sz w:val="18"/>
                <w:szCs w:val="18"/>
                <w:lang w:val="es-CU" w:eastAsia="en-US"/>
              </w:rPr>
            </w:pPr>
            <w:r w:rsidRPr="00102825">
              <w:rPr>
                <w:rFonts w:eastAsia="Calibri"/>
                <w:sz w:val="18"/>
                <w:szCs w:val="18"/>
                <w:lang w:val="es-CU" w:eastAsia="en-US"/>
              </w:rPr>
              <w:t>Normal</w:t>
            </w:r>
          </w:p>
        </w:tc>
        <w:tc>
          <w:tcPr>
            <w:tcW w:w="652" w:type="dxa"/>
            <w:shd w:val="clear" w:color="auto" w:fill="auto"/>
            <w:vAlign w:val="center"/>
          </w:tcPr>
          <w:p w14:paraId="29E8F4DE"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4</w:t>
            </w:r>
          </w:p>
        </w:tc>
        <w:tc>
          <w:tcPr>
            <w:tcW w:w="683" w:type="dxa"/>
            <w:shd w:val="clear" w:color="auto" w:fill="auto"/>
            <w:vAlign w:val="center"/>
          </w:tcPr>
          <w:p w14:paraId="6906B73F"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23,53</w:t>
            </w:r>
          </w:p>
        </w:tc>
        <w:tc>
          <w:tcPr>
            <w:tcW w:w="614" w:type="dxa"/>
            <w:shd w:val="clear" w:color="auto" w:fill="auto"/>
            <w:vAlign w:val="center"/>
          </w:tcPr>
          <w:p w14:paraId="41B0DA7B"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5</w:t>
            </w:r>
          </w:p>
        </w:tc>
        <w:tc>
          <w:tcPr>
            <w:tcW w:w="761" w:type="dxa"/>
            <w:shd w:val="clear" w:color="auto" w:fill="auto"/>
            <w:vAlign w:val="center"/>
          </w:tcPr>
          <w:p w14:paraId="38BA7E6B"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29,41</w:t>
            </w:r>
          </w:p>
        </w:tc>
        <w:tc>
          <w:tcPr>
            <w:tcW w:w="650" w:type="dxa"/>
            <w:shd w:val="clear" w:color="auto" w:fill="auto"/>
            <w:vAlign w:val="center"/>
          </w:tcPr>
          <w:p w14:paraId="6590B1A0"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8</w:t>
            </w:r>
          </w:p>
        </w:tc>
        <w:tc>
          <w:tcPr>
            <w:tcW w:w="691" w:type="dxa"/>
            <w:shd w:val="clear" w:color="auto" w:fill="auto"/>
            <w:vAlign w:val="center"/>
          </w:tcPr>
          <w:p w14:paraId="7AFB3065"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47,06</w:t>
            </w:r>
          </w:p>
        </w:tc>
        <w:tc>
          <w:tcPr>
            <w:tcW w:w="612" w:type="dxa"/>
            <w:shd w:val="clear" w:color="auto" w:fill="auto"/>
            <w:vAlign w:val="center"/>
          </w:tcPr>
          <w:p w14:paraId="117C9AC4"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11</w:t>
            </w:r>
          </w:p>
        </w:tc>
        <w:tc>
          <w:tcPr>
            <w:tcW w:w="750" w:type="dxa"/>
            <w:shd w:val="clear" w:color="auto" w:fill="auto"/>
            <w:vAlign w:val="center"/>
          </w:tcPr>
          <w:p w14:paraId="7449FF48"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64,70</w:t>
            </w:r>
          </w:p>
        </w:tc>
      </w:tr>
      <w:tr w:rsidR="00102825" w:rsidRPr="00102825" w14:paraId="6A9E449B" w14:textId="77777777" w:rsidTr="00D5234B">
        <w:trPr>
          <w:jc w:val="center"/>
        </w:trPr>
        <w:tc>
          <w:tcPr>
            <w:tcW w:w="0" w:type="auto"/>
            <w:shd w:val="clear" w:color="auto" w:fill="auto"/>
            <w:vAlign w:val="center"/>
          </w:tcPr>
          <w:p w14:paraId="296AE784" w14:textId="77777777" w:rsidR="00102825" w:rsidRPr="00102825" w:rsidRDefault="00102825" w:rsidP="00102825">
            <w:pPr>
              <w:spacing w:line="360" w:lineRule="auto"/>
              <w:rPr>
                <w:rFonts w:eastAsia="Calibri"/>
                <w:sz w:val="18"/>
                <w:szCs w:val="18"/>
                <w:lang w:val="es-CU" w:eastAsia="en-US"/>
              </w:rPr>
            </w:pPr>
            <w:r w:rsidRPr="00102825">
              <w:rPr>
                <w:rFonts w:eastAsia="Calibri"/>
                <w:sz w:val="18"/>
                <w:szCs w:val="18"/>
                <w:lang w:val="es-CU" w:eastAsia="en-US"/>
              </w:rPr>
              <w:t>Acelerado</w:t>
            </w:r>
          </w:p>
        </w:tc>
        <w:tc>
          <w:tcPr>
            <w:tcW w:w="652" w:type="dxa"/>
            <w:shd w:val="clear" w:color="auto" w:fill="auto"/>
            <w:vAlign w:val="center"/>
          </w:tcPr>
          <w:p w14:paraId="05407425"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13</w:t>
            </w:r>
          </w:p>
        </w:tc>
        <w:tc>
          <w:tcPr>
            <w:tcW w:w="683" w:type="dxa"/>
            <w:shd w:val="clear" w:color="auto" w:fill="auto"/>
            <w:vAlign w:val="center"/>
          </w:tcPr>
          <w:p w14:paraId="14B463F8"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76,47</w:t>
            </w:r>
          </w:p>
        </w:tc>
        <w:tc>
          <w:tcPr>
            <w:tcW w:w="614" w:type="dxa"/>
            <w:shd w:val="clear" w:color="auto" w:fill="auto"/>
            <w:vAlign w:val="center"/>
          </w:tcPr>
          <w:p w14:paraId="676BE13B"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12</w:t>
            </w:r>
          </w:p>
        </w:tc>
        <w:tc>
          <w:tcPr>
            <w:tcW w:w="761" w:type="dxa"/>
            <w:shd w:val="clear" w:color="auto" w:fill="auto"/>
            <w:vAlign w:val="center"/>
          </w:tcPr>
          <w:p w14:paraId="30AC80DB"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70,59</w:t>
            </w:r>
          </w:p>
        </w:tc>
        <w:tc>
          <w:tcPr>
            <w:tcW w:w="650" w:type="dxa"/>
            <w:shd w:val="clear" w:color="auto" w:fill="auto"/>
            <w:vAlign w:val="center"/>
          </w:tcPr>
          <w:p w14:paraId="64D82507"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9</w:t>
            </w:r>
          </w:p>
        </w:tc>
        <w:tc>
          <w:tcPr>
            <w:tcW w:w="691" w:type="dxa"/>
            <w:shd w:val="clear" w:color="auto" w:fill="auto"/>
            <w:vAlign w:val="center"/>
          </w:tcPr>
          <w:p w14:paraId="531164B8"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52,94</w:t>
            </w:r>
          </w:p>
        </w:tc>
        <w:tc>
          <w:tcPr>
            <w:tcW w:w="612" w:type="dxa"/>
            <w:shd w:val="clear" w:color="auto" w:fill="auto"/>
            <w:vAlign w:val="center"/>
          </w:tcPr>
          <w:p w14:paraId="5D51C540"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7</w:t>
            </w:r>
          </w:p>
        </w:tc>
        <w:tc>
          <w:tcPr>
            <w:tcW w:w="750" w:type="dxa"/>
            <w:shd w:val="clear" w:color="auto" w:fill="auto"/>
            <w:vAlign w:val="center"/>
          </w:tcPr>
          <w:p w14:paraId="2509235C" w14:textId="77777777" w:rsidR="00102825" w:rsidRPr="00102825" w:rsidRDefault="00102825" w:rsidP="00102825">
            <w:pPr>
              <w:spacing w:line="360" w:lineRule="auto"/>
              <w:jc w:val="center"/>
              <w:rPr>
                <w:rFonts w:eastAsia="Calibri"/>
                <w:sz w:val="18"/>
                <w:szCs w:val="18"/>
                <w:lang w:val="es-CU" w:eastAsia="en-US"/>
              </w:rPr>
            </w:pPr>
            <w:r w:rsidRPr="00102825">
              <w:rPr>
                <w:rFonts w:eastAsia="Calibri"/>
                <w:sz w:val="18"/>
                <w:szCs w:val="18"/>
                <w:lang w:val="es-CU" w:eastAsia="en-US"/>
              </w:rPr>
              <w:t>35,30</w:t>
            </w:r>
          </w:p>
        </w:tc>
      </w:tr>
    </w:tbl>
    <w:p w14:paraId="54BAD363" w14:textId="77777777" w:rsidR="00102825" w:rsidRPr="00102825" w:rsidRDefault="00102825" w:rsidP="00102825">
      <w:pPr>
        <w:spacing w:line="360" w:lineRule="auto"/>
        <w:jc w:val="both"/>
        <w:rPr>
          <w:rFonts w:eastAsia="Calibri"/>
          <w:szCs w:val="22"/>
          <w:lang w:val="es-CU" w:eastAsia="en-US"/>
        </w:rPr>
      </w:pPr>
    </w:p>
    <w:p w14:paraId="1E4C5814" w14:textId="72AC53D4" w:rsidR="00102825" w:rsidRPr="00102825" w:rsidRDefault="00102825" w:rsidP="00102825">
      <w:pPr>
        <w:spacing w:line="360" w:lineRule="auto"/>
        <w:jc w:val="center"/>
        <w:rPr>
          <w:rFonts w:eastAsia="Calibri"/>
          <w:szCs w:val="22"/>
          <w:lang w:val="es-CU" w:eastAsia="en-US"/>
        </w:rPr>
      </w:pPr>
    </w:p>
    <w:p w14:paraId="71DBCC4E" w14:textId="77777777" w:rsidR="00102825" w:rsidRPr="00102825" w:rsidRDefault="00102825" w:rsidP="00102825">
      <w:pPr>
        <w:spacing w:line="360" w:lineRule="auto"/>
        <w:jc w:val="center"/>
        <w:rPr>
          <w:rFonts w:eastAsia="Calibri"/>
          <w:b/>
          <w:sz w:val="32"/>
          <w:lang w:val="es-CU" w:eastAsia="en-US"/>
        </w:rPr>
      </w:pPr>
      <w:r w:rsidRPr="00102825">
        <w:rPr>
          <w:rFonts w:eastAsia="Calibri"/>
          <w:b/>
          <w:sz w:val="32"/>
          <w:lang w:val="es-CU" w:eastAsia="en-US"/>
        </w:rPr>
        <w:t>DISCUSIÓN</w:t>
      </w:r>
    </w:p>
    <w:p w14:paraId="1839D2C3"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Los pacientes con espondilitis </w:t>
      </w:r>
      <w:proofErr w:type="spellStart"/>
      <w:r w:rsidRPr="00102825">
        <w:rPr>
          <w:rFonts w:eastAsia="Calibri"/>
          <w:lang w:val="es-CU" w:eastAsia="en-US"/>
        </w:rPr>
        <w:t>enteropática</w:t>
      </w:r>
      <w:proofErr w:type="spellEnd"/>
      <w:r w:rsidRPr="00102825">
        <w:rPr>
          <w:rFonts w:eastAsia="Calibri"/>
          <w:lang w:val="es-CU" w:eastAsia="en-US"/>
        </w:rPr>
        <w:t xml:space="preserve"> presentan una serie de manifestaciones clínicas, digestivas y </w:t>
      </w:r>
      <w:proofErr w:type="spellStart"/>
      <w:r w:rsidRPr="00102825">
        <w:rPr>
          <w:rFonts w:eastAsia="Calibri"/>
          <w:lang w:val="es-CU" w:eastAsia="en-US"/>
        </w:rPr>
        <w:t>osteomioarticulares</w:t>
      </w:r>
      <w:proofErr w:type="spellEnd"/>
      <w:r w:rsidRPr="00102825">
        <w:rPr>
          <w:rFonts w:eastAsia="Calibri"/>
          <w:lang w:val="es-CU" w:eastAsia="en-US"/>
        </w:rPr>
        <w:t xml:space="preserve"> que afectan su desenvolvimiento diario. El control de la actividad clínica resulta vital para mejorar el estado de salud de los </w:t>
      </w:r>
      <w:proofErr w:type="gramStart"/>
      <w:r w:rsidRPr="00102825">
        <w:rPr>
          <w:rFonts w:eastAsia="Calibri"/>
          <w:lang w:val="es-CU" w:eastAsia="en-US"/>
        </w:rPr>
        <w:t>pacientes,</w:t>
      </w:r>
      <w:r w:rsidRPr="00102825">
        <w:rPr>
          <w:rFonts w:eastAsia="Calibri"/>
          <w:vertAlign w:val="superscript"/>
          <w:lang w:val="es-CU" w:eastAsia="en-US"/>
        </w:rPr>
        <w:t>(</w:t>
      </w:r>
      <w:proofErr w:type="gramEnd"/>
      <w:r w:rsidRPr="00102825">
        <w:rPr>
          <w:rFonts w:eastAsia="Calibri"/>
          <w:vertAlign w:val="superscript"/>
          <w:lang w:val="es-CU" w:eastAsia="en-US"/>
        </w:rPr>
        <w:t>2,3,7)</w:t>
      </w:r>
      <w:r w:rsidRPr="00102825">
        <w:rPr>
          <w:rFonts w:eastAsia="Calibri"/>
          <w:lang w:val="es-CU" w:eastAsia="en-US"/>
        </w:rPr>
        <w:t xml:space="preserve"> y en este sentido, el uso de suplementación probiótica sus beneficios relacionados con el control del proceso inflamatorio de la enfermedad.  </w:t>
      </w:r>
    </w:p>
    <w:p w14:paraId="7D573138"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El análisis de los resultados relacionados con las características generales de los pacientes muestra un promedio de edad ligeramente superior a los 40 años; este resultado coincide con lo descrito en la </w:t>
      </w:r>
      <w:proofErr w:type="gramStart"/>
      <w:r w:rsidRPr="00102825">
        <w:rPr>
          <w:rFonts w:eastAsia="Calibri"/>
          <w:lang w:val="es-CU" w:eastAsia="en-US"/>
        </w:rPr>
        <w:t>literatura,</w:t>
      </w:r>
      <w:r w:rsidRPr="00102825">
        <w:rPr>
          <w:rFonts w:eastAsia="Calibri"/>
          <w:vertAlign w:val="superscript"/>
          <w:lang w:val="es-CU" w:eastAsia="en-US"/>
        </w:rPr>
        <w:t>(</w:t>
      </w:r>
      <w:proofErr w:type="gramEnd"/>
      <w:r w:rsidRPr="00102825">
        <w:rPr>
          <w:rFonts w:eastAsia="Calibri"/>
          <w:vertAlign w:val="superscript"/>
          <w:lang w:val="es-CU" w:eastAsia="en-US"/>
        </w:rPr>
        <w:t>2,4)</w:t>
      </w:r>
      <w:r w:rsidRPr="00102825">
        <w:rPr>
          <w:rFonts w:eastAsia="Calibri"/>
          <w:lang w:val="es-CU" w:eastAsia="en-US"/>
        </w:rPr>
        <w:t xml:space="preserve"> que reporta que las </w:t>
      </w:r>
      <w:proofErr w:type="spellStart"/>
      <w:r w:rsidRPr="00102825">
        <w:rPr>
          <w:rFonts w:eastAsia="Calibri"/>
          <w:lang w:val="es-CU" w:eastAsia="en-US"/>
        </w:rPr>
        <w:t>espondiloartropatías</w:t>
      </w:r>
      <w:proofErr w:type="spellEnd"/>
      <w:r w:rsidRPr="00102825">
        <w:rPr>
          <w:rFonts w:eastAsia="Calibri"/>
          <w:lang w:val="es-CU" w:eastAsia="en-US"/>
        </w:rPr>
        <w:t xml:space="preserve"> en general se diagnostican antes de los 40 años de edad; otras enfermedades inflamatorias intestinales también muestran un predominio de </w:t>
      </w:r>
      <w:r w:rsidRPr="00102825">
        <w:rPr>
          <w:rFonts w:eastAsia="Calibri"/>
          <w:iCs/>
          <w:lang w:val="es-CU" w:eastAsia="en-US"/>
        </w:rPr>
        <w:t>debut</w:t>
      </w:r>
      <w:r w:rsidRPr="00102825">
        <w:rPr>
          <w:rFonts w:eastAsia="Calibri"/>
          <w:lang w:val="es-CU" w:eastAsia="en-US"/>
        </w:rPr>
        <w:t xml:space="preserve"> antes de los 40 años de edad.</w:t>
      </w:r>
    </w:p>
    <w:p w14:paraId="15081BE5"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El predominio de pacientes femeninos puede ser justificado por el tipo de enfermedad estudiada. Si bien es cierto que las </w:t>
      </w:r>
      <w:proofErr w:type="spellStart"/>
      <w:r w:rsidRPr="00102825">
        <w:rPr>
          <w:rFonts w:eastAsia="Calibri"/>
          <w:lang w:val="es-CU" w:eastAsia="en-US"/>
        </w:rPr>
        <w:t>espondiloartropatías</w:t>
      </w:r>
      <w:proofErr w:type="spellEnd"/>
      <w:r w:rsidRPr="00102825">
        <w:rPr>
          <w:rFonts w:eastAsia="Calibri"/>
          <w:lang w:val="es-CU" w:eastAsia="en-US"/>
        </w:rPr>
        <w:t xml:space="preserve"> son descritas con mayor frecuencia en pacientes masculinos, dentro del grupo la artropatía psoriásica y la </w:t>
      </w:r>
      <w:proofErr w:type="spellStart"/>
      <w:r w:rsidRPr="00102825">
        <w:rPr>
          <w:rFonts w:eastAsia="Calibri"/>
          <w:lang w:val="es-CU" w:eastAsia="en-US"/>
        </w:rPr>
        <w:t>enteropática</w:t>
      </w:r>
      <w:proofErr w:type="spellEnd"/>
      <w:r w:rsidRPr="00102825">
        <w:rPr>
          <w:rFonts w:eastAsia="Calibri"/>
          <w:lang w:val="es-CU" w:eastAsia="en-US"/>
        </w:rPr>
        <w:t xml:space="preserve"> presentan cierta predisposición por el sexo </w:t>
      </w:r>
      <w:proofErr w:type="gramStart"/>
      <w:r w:rsidRPr="00102825">
        <w:rPr>
          <w:rFonts w:eastAsia="Calibri"/>
          <w:lang w:val="es-CU" w:eastAsia="en-US"/>
        </w:rPr>
        <w:t>femenino.</w:t>
      </w:r>
      <w:r w:rsidRPr="00102825">
        <w:rPr>
          <w:rFonts w:eastAsia="Calibri"/>
          <w:vertAlign w:val="superscript"/>
          <w:lang w:val="es-CU" w:eastAsia="en-US"/>
        </w:rPr>
        <w:t>(</w:t>
      </w:r>
      <w:proofErr w:type="gramEnd"/>
      <w:r w:rsidRPr="00102825">
        <w:rPr>
          <w:rFonts w:eastAsia="Calibri"/>
          <w:vertAlign w:val="superscript"/>
          <w:lang w:val="es-CU" w:eastAsia="en-US"/>
        </w:rPr>
        <w:t>2,4,8)</w:t>
      </w:r>
    </w:p>
    <w:p w14:paraId="7322DF0E"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lastRenderedPageBreak/>
        <w:t>El marcador de inflamación de mayor recuperación fue la PCR, la cual ha sido señalada como el marcador con mayor sensibilidad sensibilidad;</w:t>
      </w:r>
      <w:r w:rsidRPr="00102825">
        <w:rPr>
          <w:rFonts w:eastAsia="Calibri"/>
          <w:vertAlign w:val="superscript"/>
          <w:lang w:val="es-CU" w:eastAsia="en-US"/>
        </w:rPr>
        <w:t>(7,9)</w:t>
      </w:r>
      <w:r w:rsidRPr="00102825">
        <w:rPr>
          <w:rFonts w:eastAsia="Calibri"/>
          <w:lang w:val="es-CU" w:eastAsia="en-US"/>
        </w:rPr>
        <w:t xml:space="preserve"> en el caso de la VSG, que también presentó recuperación, se puede señalar que es sensible a la presencia de otras </w:t>
      </w:r>
      <w:proofErr w:type="gramStart"/>
      <w:r w:rsidRPr="00102825">
        <w:rPr>
          <w:rFonts w:eastAsia="Calibri"/>
          <w:lang w:val="es-CU" w:eastAsia="en-US"/>
        </w:rPr>
        <w:t>enfermedades,</w:t>
      </w:r>
      <w:r w:rsidRPr="00102825">
        <w:rPr>
          <w:rFonts w:eastAsia="Calibri"/>
          <w:vertAlign w:val="superscript"/>
          <w:lang w:val="es-CU" w:eastAsia="en-US"/>
        </w:rPr>
        <w:t>(</w:t>
      </w:r>
      <w:proofErr w:type="gramEnd"/>
      <w:r w:rsidRPr="00102825">
        <w:rPr>
          <w:rFonts w:eastAsia="Calibri"/>
          <w:vertAlign w:val="superscript"/>
          <w:lang w:val="es-CU" w:eastAsia="en-US"/>
        </w:rPr>
        <w:t xml:space="preserve">8) </w:t>
      </w:r>
      <w:r w:rsidRPr="00102825">
        <w:rPr>
          <w:rFonts w:eastAsia="Calibri"/>
          <w:lang w:val="es-CU" w:eastAsia="en-US"/>
        </w:rPr>
        <w:t xml:space="preserve">no necesariamente con componente inflamatorio, lo cual es un elemento a tener en cuenta para explicar su porcentaje menor de recuperación. </w:t>
      </w:r>
    </w:p>
    <w:p w14:paraId="1BD40523"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Por último, se observa que el fibrinógeno fue el marcador con menor movimiento y recuperación, aunque también presentó un comportamiento favorable; este resultado puede estar relacionado con la complejidad del fibrinógeno, que depende de otros factores como son las concentraciones propias de fibrinógeno, trombina y calcio; también recibe influencia del valor del pH tisular y sanguíneo y de que la fuerza iónica existente favorezca la unión de sus moléculas con puentes </w:t>
      </w:r>
      <w:proofErr w:type="gramStart"/>
      <w:r w:rsidRPr="00102825">
        <w:rPr>
          <w:rFonts w:eastAsia="Calibri"/>
          <w:lang w:val="es-CU" w:eastAsia="en-US"/>
        </w:rPr>
        <w:t>laterales.</w:t>
      </w:r>
      <w:r w:rsidRPr="00102825">
        <w:rPr>
          <w:rFonts w:eastAsia="Calibri"/>
          <w:vertAlign w:val="superscript"/>
          <w:lang w:val="es-CU" w:eastAsia="en-US"/>
        </w:rPr>
        <w:t>(</w:t>
      </w:r>
      <w:proofErr w:type="gramEnd"/>
      <w:r w:rsidRPr="00102825">
        <w:rPr>
          <w:rFonts w:eastAsia="Calibri"/>
          <w:vertAlign w:val="superscript"/>
          <w:lang w:val="es-CU" w:eastAsia="en-US"/>
        </w:rPr>
        <w:t>10)</w:t>
      </w:r>
    </w:p>
    <w:p w14:paraId="2FD5DCAB"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La acción antinflamatoria de los probióticos viene dada por el restablecimiento </w:t>
      </w:r>
      <w:proofErr w:type="gramStart"/>
      <w:r w:rsidRPr="00102825">
        <w:rPr>
          <w:rFonts w:eastAsia="Calibri"/>
          <w:lang w:val="es-CU" w:eastAsia="en-US"/>
        </w:rPr>
        <w:t>de la microbiota intestinal</w:t>
      </w:r>
      <w:proofErr w:type="gramEnd"/>
      <w:r w:rsidRPr="00102825">
        <w:rPr>
          <w:rFonts w:eastAsia="Calibri"/>
          <w:lang w:val="es-CU" w:eastAsia="en-US"/>
        </w:rPr>
        <w:t xml:space="preserve">. En condiciones fisiológicas, las células parietales del intestino producen FNT α, que es una sustancia proinflamatoria; ante la producción de esta sustancia, los gérmenes que forman parte de la microbiota se encargan de producir sustancias antinflamatorias como son el lactato y ácidos grasos de cadena corta; de esta forma se mantiene el equilibrio entre sustancia pro y </w:t>
      </w:r>
      <w:proofErr w:type="gramStart"/>
      <w:r w:rsidRPr="00102825">
        <w:rPr>
          <w:rFonts w:eastAsia="Calibri"/>
          <w:lang w:val="es-CU" w:eastAsia="en-US"/>
        </w:rPr>
        <w:t>antinflamatorias.</w:t>
      </w:r>
      <w:r w:rsidRPr="00102825">
        <w:rPr>
          <w:rFonts w:eastAsia="Calibri"/>
          <w:vertAlign w:val="superscript"/>
          <w:lang w:val="es-CU" w:eastAsia="en-US"/>
        </w:rPr>
        <w:t>(</w:t>
      </w:r>
      <w:proofErr w:type="gramEnd"/>
      <w:r w:rsidRPr="00102825">
        <w:rPr>
          <w:rFonts w:eastAsia="Calibri"/>
          <w:vertAlign w:val="superscript"/>
          <w:lang w:val="es-CU" w:eastAsia="en-US"/>
        </w:rPr>
        <w:t>11)</w:t>
      </w:r>
    </w:p>
    <w:p w14:paraId="3A7F5481" w14:textId="77777777" w:rsidR="00102825" w:rsidRPr="00102825" w:rsidRDefault="00102825" w:rsidP="00102825">
      <w:pPr>
        <w:spacing w:line="360" w:lineRule="auto"/>
        <w:jc w:val="both"/>
        <w:rPr>
          <w:rFonts w:eastAsia="Calibri"/>
          <w:vertAlign w:val="superscript"/>
          <w:lang w:val="es-CU" w:eastAsia="en-US"/>
        </w:rPr>
      </w:pPr>
      <w:r w:rsidRPr="00102825">
        <w:rPr>
          <w:rFonts w:eastAsia="Calibri"/>
          <w:lang w:val="es-CU" w:eastAsia="en-US"/>
        </w:rPr>
        <w:t xml:space="preserve">Adicionalmente, el uso de probióticos también contribuye a la disminución de la permeabilidad de la membrana basal de las células intestinales y de la producción de lipopolisacáridos (LPS). Estos resultados favorecen la disminución del paso de FNT α a la circulación </w:t>
      </w:r>
      <w:proofErr w:type="gramStart"/>
      <w:r w:rsidRPr="00102825">
        <w:rPr>
          <w:rFonts w:eastAsia="Calibri"/>
          <w:lang w:val="es-CU" w:eastAsia="en-US"/>
        </w:rPr>
        <w:t>general.</w:t>
      </w:r>
      <w:r w:rsidRPr="00102825">
        <w:rPr>
          <w:rFonts w:eastAsia="Calibri"/>
          <w:vertAlign w:val="superscript"/>
          <w:lang w:val="es-CU" w:eastAsia="en-US"/>
        </w:rPr>
        <w:t>(</w:t>
      </w:r>
      <w:proofErr w:type="gramEnd"/>
      <w:r w:rsidRPr="00102825">
        <w:rPr>
          <w:rFonts w:eastAsia="Calibri"/>
          <w:vertAlign w:val="superscript"/>
          <w:lang w:val="es-CU" w:eastAsia="en-US"/>
        </w:rPr>
        <w:t>12)</w:t>
      </w:r>
    </w:p>
    <w:p w14:paraId="41D99E2C"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La acción proinflamatoria de los LPS está dada por su función de enlace (mensajero) con los receptores del sistema inmune; el aumento de la producción de LPS genera estimulación de los componentes del sistema inmune, específicamente linfocitos T y B. La disminución de la producción de LPS constituye un factor de regulación de la estimulación inadecuada del sistema </w:t>
      </w:r>
      <w:proofErr w:type="gramStart"/>
      <w:r w:rsidRPr="00102825">
        <w:rPr>
          <w:rFonts w:eastAsia="Calibri"/>
          <w:lang w:val="es-CU" w:eastAsia="en-US"/>
        </w:rPr>
        <w:t>inmune.</w:t>
      </w:r>
      <w:r w:rsidRPr="00102825">
        <w:rPr>
          <w:rFonts w:eastAsia="Calibri"/>
          <w:vertAlign w:val="superscript"/>
          <w:lang w:val="es-CU" w:eastAsia="en-US"/>
        </w:rPr>
        <w:t>(</w:t>
      </w:r>
      <w:proofErr w:type="gramEnd"/>
      <w:r w:rsidRPr="00102825">
        <w:rPr>
          <w:rFonts w:eastAsia="Calibri"/>
          <w:vertAlign w:val="superscript"/>
          <w:lang w:val="es-CU" w:eastAsia="en-US"/>
        </w:rPr>
        <w:t>11,12)</w:t>
      </w:r>
    </w:p>
    <w:p w14:paraId="5495D87F"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La principal ventaja de este estudio se centra en ser una de las investigaciones pioneras que abordan el tema de las ventajas antinflamatorias de los probióticos en enfermedades de tipo inmunológico. Dentro de las limitaciones es necesario señalar el escaso tamaño de muestra y el tipo de estudio realizado, de tipo observacional; se necesita diseñar estudios experimentales, con otro soporte de análisis, para poder llegar a evidencias científicas que consoliden la acción antinflamatoria de los probióticos.</w:t>
      </w:r>
    </w:p>
    <w:p w14:paraId="139F6A2A"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Se concluye que la intervención nutricional aplicada contribuye a mejorar los valores séricos de los marcadores de infamación en los pacientes con diagnóstico de espondilitis </w:t>
      </w:r>
      <w:proofErr w:type="spellStart"/>
      <w:r w:rsidRPr="00102825">
        <w:rPr>
          <w:rFonts w:eastAsia="Calibri"/>
          <w:lang w:val="es-CU" w:eastAsia="en-US"/>
        </w:rPr>
        <w:t>enteropática</w:t>
      </w:r>
      <w:proofErr w:type="spellEnd"/>
      <w:r w:rsidRPr="00102825">
        <w:rPr>
          <w:rFonts w:eastAsia="Calibri"/>
          <w:lang w:val="es-CU" w:eastAsia="en-US"/>
        </w:rPr>
        <w:t>.</w:t>
      </w:r>
    </w:p>
    <w:p w14:paraId="65B8818E" w14:textId="77777777" w:rsidR="00102825" w:rsidRPr="00102825" w:rsidRDefault="00102825" w:rsidP="00102825">
      <w:pPr>
        <w:spacing w:line="360" w:lineRule="auto"/>
        <w:jc w:val="both"/>
        <w:rPr>
          <w:rFonts w:eastAsia="Calibri"/>
          <w:lang w:val="es-CU" w:eastAsia="en-US"/>
        </w:rPr>
      </w:pPr>
    </w:p>
    <w:p w14:paraId="724F1C8B" w14:textId="77777777" w:rsidR="00102825" w:rsidRPr="00102825" w:rsidRDefault="00102825" w:rsidP="00102825">
      <w:pPr>
        <w:spacing w:line="360" w:lineRule="auto"/>
        <w:jc w:val="center"/>
        <w:rPr>
          <w:rFonts w:eastAsia="Calibri"/>
          <w:b/>
          <w:sz w:val="32"/>
          <w:lang w:val="es-CU" w:eastAsia="en-US"/>
        </w:rPr>
      </w:pPr>
    </w:p>
    <w:p w14:paraId="6006F947" w14:textId="77777777" w:rsidR="00102825" w:rsidRPr="00102825" w:rsidRDefault="00102825" w:rsidP="00102825">
      <w:pPr>
        <w:spacing w:line="360" w:lineRule="auto"/>
        <w:jc w:val="center"/>
        <w:rPr>
          <w:rFonts w:eastAsia="Calibri"/>
          <w:b/>
          <w:sz w:val="32"/>
          <w:lang w:val="es-CU" w:eastAsia="en-US"/>
        </w:rPr>
      </w:pPr>
      <w:r w:rsidRPr="00102825">
        <w:rPr>
          <w:rFonts w:eastAsia="Calibri"/>
          <w:b/>
          <w:sz w:val="32"/>
          <w:lang w:val="es-CU" w:eastAsia="en-US"/>
        </w:rPr>
        <w:t>REFERENCIAS BIBLIOGRÁFICAS</w:t>
      </w:r>
    </w:p>
    <w:p w14:paraId="06961182" w14:textId="77777777" w:rsidR="00102825" w:rsidRPr="00102825" w:rsidRDefault="00102825" w:rsidP="00102825">
      <w:pPr>
        <w:spacing w:line="360" w:lineRule="auto"/>
        <w:rPr>
          <w:rFonts w:eastAsia="Calibri"/>
          <w:szCs w:val="22"/>
          <w:lang w:val="es-CU" w:eastAsia="en-US"/>
        </w:rPr>
      </w:pPr>
      <w:r w:rsidRPr="00102825">
        <w:rPr>
          <w:rFonts w:eastAsia="Calibri"/>
          <w:szCs w:val="22"/>
          <w:lang w:val="es-CU" w:eastAsia="en-US"/>
        </w:rPr>
        <w:t xml:space="preserve">1. Hernández Castro JL, Casas Figueredo N, Tamargo Barbeito TO, Hernández Castillo AR. Caracterización ultrasonográfica del daño articular en rodilla para evaluación de las </w:t>
      </w:r>
      <w:proofErr w:type="spellStart"/>
      <w:r w:rsidRPr="00102825">
        <w:rPr>
          <w:rFonts w:eastAsia="Calibri"/>
          <w:szCs w:val="22"/>
          <w:lang w:val="es-CU" w:eastAsia="en-US"/>
        </w:rPr>
        <w:t>espondiloartropatías</w:t>
      </w:r>
      <w:proofErr w:type="spellEnd"/>
      <w:r w:rsidRPr="00102825">
        <w:rPr>
          <w:rFonts w:eastAsia="Calibri"/>
          <w:szCs w:val="22"/>
          <w:lang w:val="es-CU" w:eastAsia="en-US"/>
        </w:rPr>
        <w:t xml:space="preserve">. </w:t>
      </w:r>
      <w:proofErr w:type="spellStart"/>
      <w:r w:rsidRPr="00102825">
        <w:rPr>
          <w:rFonts w:eastAsia="Calibri"/>
          <w:szCs w:val="22"/>
          <w:lang w:val="es-CU" w:eastAsia="en-US"/>
        </w:rPr>
        <w:t>Rev</w:t>
      </w:r>
      <w:proofErr w:type="spellEnd"/>
      <w:r w:rsidRPr="00102825">
        <w:rPr>
          <w:rFonts w:eastAsia="Calibri"/>
          <w:szCs w:val="22"/>
          <w:lang w:val="es-CU" w:eastAsia="en-US"/>
        </w:rPr>
        <w:t xml:space="preserve"> </w:t>
      </w:r>
      <w:proofErr w:type="gramStart"/>
      <w:r w:rsidRPr="00102825">
        <w:rPr>
          <w:rFonts w:eastAsia="Calibri"/>
          <w:szCs w:val="22"/>
          <w:lang w:val="es-CU" w:eastAsia="en-US"/>
        </w:rPr>
        <w:t>Cubana</w:t>
      </w:r>
      <w:proofErr w:type="gramEnd"/>
      <w:r w:rsidRPr="00102825">
        <w:rPr>
          <w:rFonts w:eastAsia="Calibri"/>
          <w:szCs w:val="22"/>
          <w:lang w:val="es-CU" w:eastAsia="en-US"/>
        </w:rPr>
        <w:t xml:space="preserve"> </w:t>
      </w:r>
      <w:proofErr w:type="spellStart"/>
      <w:r w:rsidRPr="00102825">
        <w:rPr>
          <w:rFonts w:eastAsia="Calibri"/>
          <w:szCs w:val="22"/>
          <w:lang w:val="es-CU" w:eastAsia="en-US"/>
        </w:rPr>
        <w:t>Med</w:t>
      </w:r>
      <w:proofErr w:type="spellEnd"/>
      <w:r w:rsidRPr="00102825">
        <w:rPr>
          <w:rFonts w:eastAsia="Calibri"/>
          <w:szCs w:val="22"/>
          <w:lang w:val="es-CU" w:eastAsia="en-US"/>
        </w:rPr>
        <w:t xml:space="preserve">. 2022 [acceso: 28/08/2023];61(1): e2633. Disponible en: </w:t>
      </w:r>
      <w:hyperlink r:id="rId13" w:history="1">
        <w:r w:rsidRPr="00102825">
          <w:rPr>
            <w:rFonts w:eastAsia="Calibri"/>
            <w:color w:val="0563C1"/>
            <w:szCs w:val="22"/>
            <w:lang w:val="es-CU" w:eastAsia="en-US"/>
          </w:rPr>
          <w:t>http://scielo.sld.cu/scielo.php?script=sci_arttext&amp;pid=S0034-75232022000100010&amp;lng=es</w:t>
        </w:r>
      </w:hyperlink>
      <w:r w:rsidRPr="00102825">
        <w:rPr>
          <w:rFonts w:eastAsia="Calibri"/>
          <w:szCs w:val="22"/>
          <w:lang w:val="es-CU" w:eastAsia="en-US"/>
        </w:rPr>
        <w:t xml:space="preserve"> </w:t>
      </w:r>
    </w:p>
    <w:p w14:paraId="462A4D3E" w14:textId="77777777" w:rsidR="00102825" w:rsidRPr="00102825" w:rsidRDefault="00102825" w:rsidP="00102825">
      <w:pPr>
        <w:spacing w:line="360" w:lineRule="auto"/>
        <w:rPr>
          <w:rFonts w:eastAsia="Calibri"/>
          <w:szCs w:val="22"/>
          <w:lang w:val="en-US" w:eastAsia="en-US"/>
        </w:rPr>
      </w:pPr>
      <w:r w:rsidRPr="00102825">
        <w:rPr>
          <w:rFonts w:eastAsia="Calibri"/>
          <w:szCs w:val="22"/>
          <w:lang w:val="en-US" w:eastAsia="en-US"/>
        </w:rPr>
        <w:t xml:space="preserve">2. </w:t>
      </w:r>
      <w:proofErr w:type="spellStart"/>
      <w:r w:rsidRPr="00102825">
        <w:rPr>
          <w:rFonts w:eastAsia="Calibri"/>
          <w:szCs w:val="22"/>
          <w:lang w:val="en-US" w:eastAsia="en-US"/>
        </w:rPr>
        <w:t>Gurjit</w:t>
      </w:r>
      <w:proofErr w:type="spellEnd"/>
      <w:r w:rsidRPr="00102825">
        <w:rPr>
          <w:rFonts w:eastAsia="Calibri"/>
          <w:szCs w:val="22"/>
          <w:lang w:val="en-US" w:eastAsia="en-US"/>
        </w:rPr>
        <w:t xml:space="preserve"> K, </w:t>
      </w:r>
      <w:proofErr w:type="spellStart"/>
      <w:r w:rsidRPr="00102825">
        <w:rPr>
          <w:rFonts w:eastAsia="Calibri"/>
          <w:szCs w:val="22"/>
          <w:lang w:val="en-US" w:eastAsia="en-US"/>
        </w:rPr>
        <w:t>Lihi</w:t>
      </w:r>
      <w:proofErr w:type="spellEnd"/>
      <w:r w:rsidRPr="00102825">
        <w:rPr>
          <w:rFonts w:eastAsia="Calibri"/>
          <w:szCs w:val="22"/>
          <w:lang w:val="en-US" w:eastAsia="en-US"/>
        </w:rPr>
        <w:t xml:space="preserve"> E, Sibel A, Gutierrez M, Bakewell C. Enthesis. A Hallmark of psoriatic arthritis. Seminars in Arthritis and Rheumatism. 2018 [</w:t>
      </w:r>
      <w:proofErr w:type="spellStart"/>
      <w:r w:rsidRPr="00102825">
        <w:rPr>
          <w:rFonts w:eastAsia="Calibri"/>
          <w:szCs w:val="22"/>
          <w:lang w:val="en-US" w:eastAsia="en-US"/>
        </w:rPr>
        <w:t>acceso</w:t>
      </w:r>
      <w:proofErr w:type="spellEnd"/>
      <w:r w:rsidRPr="00102825">
        <w:rPr>
          <w:rFonts w:eastAsia="Calibri"/>
          <w:szCs w:val="22"/>
          <w:lang w:val="en-US" w:eastAsia="en-US"/>
        </w:rPr>
        <w:t xml:space="preserve">: 25/08/2023]; 48(1):35-43. Disponible </w:t>
      </w:r>
      <w:proofErr w:type="spellStart"/>
      <w:r w:rsidRPr="00102825">
        <w:rPr>
          <w:rFonts w:eastAsia="Calibri"/>
          <w:szCs w:val="22"/>
          <w:lang w:val="en-US" w:eastAsia="en-US"/>
        </w:rPr>
        <w:t>en</w:t>
      </w:r>
      <w:proofErr w:type="spellEnd"/>
      <w:r w:rsidRPr="00102825">
        <w:rPr>
          <w:rFonts w:eastAsia="Calibri"/>
          <w:szCs w:val="22"/>
          <w:lang w:val="en-US" w:eastAsia="en-US"/>
        </w:rPr>
        <w:t xml:space="preserve">: </w:t>
      </w:r>
      <w:hyperlink r:id="rId14" w:history="1">
        <w:r w:rsidRPr="00102825">
          <w:rPr>
            <w:rFonts w:eastAsia="Calibri"/>
            <w:color w:val="0563C1"/>
            <w:szCs w:val="22"/>
            <w:lang w:val="en-US" w:eastAsia="en-US"/>
          </w:rPr>
          <w:t>https://pubmed.ncbi.nlm.nih.gov/29429762/</w:t>
        </w:r>
      </w:hyperlink>
      <w:r w:rsidRPr="00102825">
        <w:rPr>
          <w:rFonts w:eastAsia="Calibri"/>
          <w:szCs w:val="22"/>
          <w:lang w:val="en-US" w:eastAsia="en-US"/>
        </w:rPr>
        <w:t xml:space="preserve">  </w:t>
      </w:r>
    </w:p>
    <w:p w14:paraId="5FE21305" w14:textId="77777777" w:rsidR="00102825" w:rsidRPr="00102825" w:rsidRDefault="00102825" w:rsidP="00102825">
      <w:pPr>
        <w:spacing w:line="360" w:lineRule="auto"/>
        <w:rPr>
          <w:rFonts w:eastAsia="Calibri"/>
          <w:szCs w:val="22"/>
          <w:lang w:val="es-CU" w:eastAsia="en-US"/>
        </w:rPr>
      </w:pPr>
      <w:r w:rsidRPr="00102825">
        <w:rPr>
          <w:rFonts w:eastAsia="Calibri"/>
          <w:szCs w:val="22"/>
          <w:lang w:val="es-CU" w:eastAsia="en-US"/>
        </w:rPr>
        <w:t xml:space="preserve">3. </w:t>
      </w:r>
      <w:proofErr w:type="spellStart"/>
      <w:r w:rsidRPr="00102825">
        <w:rPr>
          <w:rFonts w:eastAsia="Calibri"/>
          <w:szCs w:val="22"/>
          <w:lang w:val="es-CU" w:eastAsia="en-US"/>
        </w:rPr>
        <w:t>Lescano</w:t>
      </w:r>
      <w:proofErr w:type="spellEnd"/>
      <w:r w:rsidRPr="00102825">
        <w:rPr>
          <w:rFonts w:eastAsia="Calibri"/>
          <w:szCs w:val="22"/>
          <w:lang w:val="es-CU" w:eastAsia="en-US"/>
        </w:rPr>
        <w:t xml:space="preserve"> Ruíz MA, </w:t>
      </w:r>
      <w:proofErr w:type="spellStart"/>
      <w:r w:rsidRPr="00102825">
        <w:rPr>
          <w:rFonts w:eastAsia="Calibri"/>
          <w:szCs w:val="22"/>
          <w:lang w:val="es-CU" w:eastAsia="en-US"/>
        </w:rPr>
        <w:t>Solis</w:t>
      </w:r>
      <w:proofErr w:type="spellEnd"/>
      <w:r w:rsidRPr="00102825">
        <w:rPr>
          <w:rFonts w:eastAsia="Calibri"/>
          <w:szCs w:val="22"/>
          <w:lang w:val="es-CU" w:eastAsia="en-US"/>
        </w:rPr>
        <w:t xml:space="preserve"> Carta U, Rosero Mera LP. Reporte de necrosis avascular en un paciente con espondilitis anquilosante. </w:t>
      </w:r>
      <w:proofErr w:type="spellStart"/>
      <w:r w:rsidRPr="00102825">
        <w:rPr>
          <w:rFonts w:eastAsia="Calibri"/>
          <w:szCs w:val="22"/>
          <w:lang w:val="es-CU" w:eastAsia="en-US"/>
        </w:rPr>
        <w:t>Rev</w:t>
      </w:r>
      <w:proofErr w:type="spellEnd"/>
      <w:r w:rsidRPr="00102825">
        <w:rPr>
          <w:rFonts w:eastAsia="Calibri"/>
          <w:szCs w:val="22"/>
          <w:lang w:val="es-CU" w:eastAsia="en-US"/>
        </w:rPr>
        <w:t xml:space="preserve"> Cuba </w:t>
      </w:r>
      <w:proofErr w:type="spellStart"/>
      <w:r w:rsidRPr="00102825">
        <w:rPr>
          <w:rFonts w:eastAsia="Calibri"/>
          <w:szCs w:val="22"/>
          <w:lang w:val="es-CU" w:eastAsia="en-US"/>
        </w:rPr>
        <w:t>Reumatol</w:t>
      </w:r>
      <w:proofErr w:type="spellEnd"/>
      <w:r w:rsidRPr="00102825">
        <w:rPr>
          <w:rFonts w:eastAsia="Calibri"/>
          <w:szCs w:val="22"/>
          <w:lang w:val="es-CU" w:eastAsia="en-US"/>
        </w:rPr>
        <w:t>. 2019 [acceso: 27/08/2023]; 21(</w:t>
      </w:r>
      <w:proofErr w:type="spellStart"/>
      <w:r w:rsidRPr="00102825">
        <w:rPr>
          <w:rFonts w:eastAsia="Calibri"/>
          <w:szCs w:val="22"/>
          <w:lang w:val="es-CU" w:eastAsia="en-US"/>
        </w:rPr>
        <w:t>Suppl</w:t>
      </w:r>
      <w:proofErr w:type="spellEnd"/>
      <w:r w:rsidRPr="00102825">
        <w:rPr>
          <w:rFonts w:eastAsia="Calibri"/>
          <w:szCs w:val="22"/>
          <w:lang w:val="es-CU" w:eastAsia="en-US"/>
        </w:rPr>
        <w:t xml:space="preserve"> 1</w:t>
      </w:r>
      <w:proofErr w:type="gramStart"/>
      <w:r w:rsidRPr="00102825">
        <w:rPr>
          <w:rFonts w:eastAsia="Calibri"/>
          <w:szCs w:val="22"/>
          <w:lang w:val="es-CU" w:eastAsia="en-US"/>
        </w:rPr>
        <w:t>):e</w:t>
      </w:r>
      <w:proofErr w:type="gramEnd"/>
      <w:r w:rsidRPr="00102825">
        <w:rPr>
          <w:rFonts w:eastAsia="Calibri"/>
          <w:szCs w:val="22"/>
          <w:lang w:val="es-CU" w:eastAsia="en-US"/>
        </w:rPr>
        <w:t xml:space="preserve">68. Disponible en: </w:t>
      </w:r>
      <w:hyperlink r:id="rId15" w:history="1">
        <w:r w:rsidRPr="00102825">
          <w:rPr>
            <w:rFonts w:eastAsia="Calibri"/>
            <w:color w:val="0563C1"/>
            <w:szCs w:val="22"/>
            <w:lang w:val="es-CU" w:eastAsia="en-US"/>
          </w:rPr>
          <w:t>http://scielo.sld.cu/scielo.php?script=sci_arttext&amp;pid=S1817-59962019000400019&amp;lng=es</w:t>
        </w:r>
      </w:hyperlink>
      <w:r w:rsidRPr="00102825">
        <w:rPr>
          <w:rFonts w:eastAsia="Calibri"/>
          <w:szCs w:val="22"/>
          <w:lang w:val="es-CU" w:eastAsia="en-US"/>
        </w:rPr>
        <w:t xml:space="preserve">  </w:t>
      </w:r>
    </w:p>
    <w:p w14:paraId="7F009C4D" w14:textId="77777777" w:rsidR="00102825" w:rsidRPr="00102825" w:rsidRDefault="00102825" w:rsidP="00102825">
      <w:pPr>
        <w:spacing w:line="360" w:lineRule="auto"/>
        <w:rPr>
          <w:rFonts w:eastAsia="Calibri"/>
          <w:szCs w:val="22"/>
          <w:lang w:val="es-CU" w:eastAsia="en-US"/>
        </w:rPr>
      </w:pPr>
      <w:r w:rsidRPr="00102825">
        <w:rPr>
          <w:rFonts w:eastAsia="Calibri"/>
          <w:szCs w:val="22"/>
          <w:lang w:val="es-CU" w:eastAsia="en-US"/>
        </w:rPr>
        <w:t xml:space="preserve">4. Cando Ger AE, Valencia </w:t>
      </w:r>
      <w:proofErr w:type="spellStart"/>
      <w:r w:rsidRPr="00102825">
        <w:rPr>
          <w:rFonts w:eastAsia="Calibri"/>
          <w:szCs w:val="22"/>
          <w:lang w:val="es-CU" w:eastAsia="en-US"/>
        </w:rPr>
        <w:t>Catacta</w:t>
      </w:r>
      <w:proofErr w:type="spellEnd"/>
      <w:r w:rsidRPr="00102825">
        <w:rPr>
          <w:rFonts w:eastAsia="Calibri"/>
          <w:szCs w:val="22"/>
          <w:lang w:val="es-CU" w:eastAsia="en-US"/>
        </w:rPr>
        <w:t xml:space="preserve"> EE, Segovia Torres GA, </w:t>
      </w:r>
      <w:proofErr w:type="spellStart"/>
      <w:r w:rsidRPr="00102825">
        <w:rPr>
          <w:rFonts w:eastAsia="Calibri"/>
          <w:szCs w:val="22"/>
          <w:lang w:val="es-CU" w:eastAsia="en-US"/>
        </w:rPr>
        <w:t>Tutillo</w:t>
      </w:r>
      <w:proofErr w:type="spellEnd"/>
      <w:r w:rsidRPr="00102825">
        <w:rPr>
          <w:rFonts w:eastAsia="Calibri"/>
          <w:szCs w:val="22"/>
          <w:lang w:val="es-CU" w:eastAsia="en-US"/>
        </w:rPr>
        <w:t xml:space="preserve"> León JA, </w:t>
      </w:r>
      <w:proofErr w:type="spellStart"/>
      <w:r w:rsidRPr="00102825">
        <w:rPr>
          <w:rFonts w:eastAsia="Calibri"/>
          <w:szCs w:val="22"/>
          <w:lang w:val="es-CU" w:eastAsia="en-US"/>
        </w:rPr>
        <w:t>Paucar</w:t>
      </w:r>
      <w:proofErr w:type="spellEnd"/>
      <w:r w:rsidRPr="00102825">
        <w:rPr>
          <w:rFonts w:eastAsia="Calibri"/>
          <w:szCs w:val="22"/>
          <w:lang w:val="es-CU" w:eastAsia="en-US"/>
        </w:rPr>
        <w:t xml:space="preserve"> </w:t>
      </w:r>
      <w:proofErr w:type="spellStart"/>
      <w:r w:rsidRPr="00102825">
        <w:rPr>
          <w:rFonts w:eastAsia="Calibri"/>
          <w:szCs w:val="22"/>
          <w:lang w:val="es-CU" w:eastAsia="en-US"/>
        </w:rPr>
        <w:t>Tipantuña</w:t>
      </w:r>
      <w:proofErr w:type="spellEnd"/>
      <w:r w:rsidRPr="00102825">
        <w:rPr>
          <w:rFonts w:eastAsia="Calibri"/>
          <w:szCs w:val="22"/>
          <w:lang w:val="es-CU" w:eastAsia="en-US"/>
        </w:rPr>
        <w:t xml:space="preserve"> LE, Zambrano Carrión MC. Avances en la atención de salud a los pacientes con enfermedades reumáticas. </w:t>
      </w:r>
      <w:proofErr w:type="spellStart"/>
      <w:r w:rsidRPr="00102825">
        <w:rPr>
          <w:rFonts w:eastAsia="Calibri"/>
          <w:szCs w:val="22"/>
          <w:lang w:val="es-CU" w:eastAsia="en-US"/>
        </w:rPr>
        <w:t>Rev</w:t>
      </w:r>
      <w:proofErr w:type="spellEnd"/>
      <w:r w:rsidRPr="00102825">
        <w:rPr>
          <w:rFonts w:eastAsia="Calibri"/>
          <w:szCs w:val="22"/>
          <w:lang w:val="es-CU" w:eastAsia="en-US"/>
        </w:rPr>
        <w:t xml:space="preserve"> Cuba </w:t>
      </w:r>
      <w:proofErr w:type="spellStart"/>
      <w:r w:rsidRPr="00102825">
        <w:rPr>
          <w:rFonts w:eastAsia="Calibri"/>
          <w:szCs w:val="22"/>
          <w:lang w:val="es-CU" w:eastAsia="en-US"/>
        </w:rPr>
        <w:t>Reumatol</w:t>
      </w:r>
      <w:proofErr w:type="spellEnd"/>
      <w:r w:rsidRPr="00102825">
        <w:rPr>
          <w:rFonts w:eastAsia="Calibri"/>
          <w:szCs w:val="22"/>
          <w:lang w:val="es-CU" w:eastAsia="en-US"/>
        </w:rPr>
        <w:t>. 2018 [acceso: 01/09/2023]; 20(3</w:t>
      </w:r>
      <w:proofErr w:type="gramStart"/>
      <w:r w:rsidRPr="00102825">
        <w:rPr>
          <w:rFonts w:eastAsia="Calibri"/>
          <w:szCs w:val="22"/>
          <w:lang w:val="es-CU" w:eastAsia="en-US"/>
        </w:rPr>
        <w:t>):e</w:t>
      </w:r>
      <w:proofErr w:type="gramEnd"/>
      <w:r w:rsidRPr="00102825">
        <w:rPr>
          <w:rFonts w:eastAsia="Calibri"/>
          <w:szCs w:val="22"/>
          <w:lang w:val="es-CU" w:eastAsia="en-US"/>
        </w:rPr>
        <w:t xml:space="preserve">43. Disponible en: </w:t>
      </w:r>
      <w:hyperlink r:id="rId16" w:history="1">
        <w:r w:rsidRPr="00102825">
          <w:rPr>
            <w:rFonts w:eastAsia="Calibri"/>
            <w:color w:val="0563C1"/>
            <w:szCs w:val="22"/>
            <w:lang w:val="es-CU" w:eastAsia="en-US"/>
          </w:rPr>
          <w:t>http://scielo.sld.cu/scielo.php?script=sci_arttext&amp;pid=S1817-59962018000300004&amp;lng=es</w:t>
        </w:r>
      </w:hyperlink>
      <w:r w:rsidRPr="00102825">
        <w:rPr>
          <w:rFonts w:eastAsia="Calibri"/>
          <w:szCs w:val="22"/>
          <w:lang w:val="es-CU" w:eastAsia="en-US"/>
        </w:rPr>
        <w:t xml:space="preserve">  </w:t>
      </w:r>
    </w:p>
    <w:p w14:paraId="55792EFB" w14:textId="77777777" w:rsidR="00102825" w:rsidRPr="00102825" w:rsidRDefault="00102825" w:rsidP="00102825">
      <w:pPr>
        <w:spacing w:line="360" w:lineRule="auto"/>
        <w:rPr>
          <w:rFonts w:eastAsia="Calibri"/>
          <w:szCs w:val="22"/>
          <w:lang w:val="es-CU" w:eastAsia="en-US"/>
        </w:rPr>
      </w:pPr>
      <w:r w:rsidRPr="00102825">
        <w:rPr>
          <w:rFonts w:eastAsia="Calibri"/>
          <w:szCs w:val="22"/>
          <w:lang w:val="es-CU" w:eastAsia="en-US"/>
        </w:rPr>
        <w:t xml:space="preserve">5. Naranjo Logroño IE, Naranjo </w:t>
      </w:r>
      <w:proofErr w:type="gramStart"/>
      <w:r w:rsidRPr="00102825">
        <w:rPr>
          <w:rFonts w:eastAsia="Calibri"/>
          <w:szCs w:val="22"/>
          <w:lang w:val="es-CU" w:eastAsia="en-US"/>
        </w:rPr>
        <w:t>Coronel</w:t>
      </w:r>
      <w:proofErr w:type="gramEnd"/>
      <w:r w:rsidRPr="00102825">
        <w:rPr>
          <w:rFonts w:eastAsia="Calibri"/>
          <w:szCs w:val="22"/>
          <w:lang w:val="es-CU" w:eastAsia="en-US"/>
        </w:rPr>
        <w:t xml:space="preserve"> AA, Navarro Rivadeneira CJ, Romero Minaya, EA. Probióticos y reducción de la respuesta inflamatoria para la prevención de la preeclampsia: Libro de memorias del XVIII Seminario Internacional de Salud, Alimentación y Nutrición Humana SISANH 2020. Chimborazo: Escuela Superior Politécnica; 2022. [acceso: 25/08/2023];116(3):281-9. Disponible en: </w:t>
      </w:r>
      <w:hyperlink r:id="rId17" w:history="1">
        <w:r w:rsidRPr="00102825">
          <w:rPr>
            <w:rFonts w:eastAsia="Calibri"/>
            <w:color w:val="0563C1"/>
            <w:szCs w:val="22"/>
            <w:lang w:val="es-CU" w:eastAsia="en-US"/>
          </w:rPr>
          <w:t>http://cimogsys.espoch.edu.ec/direccion-publicaciones/public/docs/books/2021-01-21-164459-ARTICULOS%20CIENTIFICOS%20231120.pdf#page=116</w:t>
        </w:r>
      </w:hyperlink>
      <w:r w:rsidRPr="00102825">
        <w:rPr>
          <w:rFonts w:eastAsia="Calibri"/>
          <w:szCs w:val="22"/>
          <w:lang w:val="es-CU" w:eastAsia="en-US"/>
        </w:rPr>
        <w:t xml:space="preserve">  </w:t>
      </w:r>
    </w:p>
    <w:p w14:paraId="250C3A83" w14:textId="77777777" w:rsidR="00102825" w:rsidRPr="00102825" w:rsidRDefault="00102825" w:rsidP="00102825">
      <w:pPr>
        <w:spacing w:line="360" w:lineRule="auto"/>
        <w:rPr>
          <w:rFonts w:eastAsia="Calibri"/>
          <w:szCs w:val="22"/>
          <w:lang w:val="es-CU" w:eastAsia="en-US"/>
        </w:rPr>
      </w:pPr>
      <w:r w:rsidRPr="00102825">
        <w:rPr>
          <w:rFonts w:eastAsia="Calibri"/>
          <w:szCs w:val="22"/>
          <w:lang w:val="es-CU" w:eastAsia="en-US"/>
        </w:rPr>
        <w:t xml:space="preserve">6. Reyes Muñoz E, Espino y Sosa S, Flores Robles CM, Arce Sánchez L, Martínez Cruz N, Gutiérrez Castrellón P. Suplementos nutricionales para prevención de diabetes mellitus gestacional: lecciones aprendidas basadas en la evidencia. </w:t>
      </w:r>
      <w:proofErr w:type="spellStart"/>
      <w:r w:rsidRPr="00102825">
        <w:rPr>
          <w:rFonts w:eastAsia="Calibri"/>
          <w:szCs w:val="22"/>
          <w:lang w:val="es-CU" w:eastAsia="en-US"/>
        </w:rPr>
        <w:t>Gac</w:t>
      </w:r>
      <w:proofErr w:type="spellEnd"/>
      <w:r w:rsidRPr="00102825">
        <w:rPr>
          <w:rFonts w:eastAsia="Calibri"/>
          <w:szCs w:val="22"/>
          <w:lang w:val="es-CU" w:eastAsia="en-US"/>
        </w:rPr>
        <w:t xml:space="preserve"> </w:t>
      </w:r>
      <w:proofErr w:type="spellStart"/>
      <w:r w:rsidRPr="00102825">
        <w:rPr>
          <w:rFonts w:eastAsia="Calibri"/>
          <w:szCs w:val="22"/>
          <w:lang w:val="es-CU" w:eastAsia="en-US"/>
        </w:rPr>
        <w:t>Méd</w:t>
      </w:r>
      <w:proofErr w:type="spellEnd"/>
      <w:r w:rsidRPr="00102825">
        <w:rPr>
          <w:rFonts w:eastAsia="Calibri"/>
          <w:szCs w:val="22"/>
          <w:lang w:val="es-CU" w:eastAsia="en-US"/>
        </w:rPr>
        <w:t xml:space="preserve"> Méx. 2020 [acceso: 24/08/2023];156(</w:t>
      </w:r>
      <w:proofErr w:type="spellStart"/>
      <w:r w:rsidRPr="00102825">
        <w:rPr>
          <w:rFonts w:eastAsia="Calibri"/>
          <w:szCs w:val="22"/>
          <w:lang w:val="es-CU" w:eastAsia="en-US"/>
        </w:rPr>
        <w:t>Suppl</w:t>
      </w:r>
      <w:proofErr w:type="spellEnd"/>
      <w:r w:rsidRPr="00102825">
        <w:rPr>
          <w:rFonts w:eastAsia="Calibri"/>
          <w:szCs w:val="22"/>
          <w:lang w:val="es-CU" w:eastAsia="en-US"/>
        </w:rPr>
        <w:t xml:space="preserve"> 3):43-50. </w:t>
      </w:r>
      <w:r w:rsidRPr="00102825">
        <w:rPr>
          <w:rFonts w:eastAsia="Calibri"/>
          <w:szCs w:val="22"/>
          <w:lang w:val="es-CU" w:eastAsia="en-US"/>
        </w:rPr>
        <w:lastRenderedPageBreak/>
        <w:t xml:space="preserve">Disponible en: </w:t>
      </w:r>
      <w:hyperlink r:id="rId18" w:history="1">
        <w:r w:rsidRPr="00102825">
          <w:rPr>
            <w:rFonts w:eastAsia="Calibri"/>
            <w:color w:val="0563C1"/>
            <w:szCs w:val="22"/>
            <w:lang w:val="es-CU" w:eastAsia="en-US"/>
          </w:rPr>
          <w:t>http://www.scielo.org.mx/scielo.php?script=sci_arttext&amp;pid=S0016-38132020000900043&amp;lng=es</w:t>
        </w:r>
      </w:hyperlink>
      <w:r w:rsidRPr="00102825">
        <w:rPr>
          <w:rFonts w:eastAsia="Calibri"/>
          <w:szCs w:val="22"/>
          <w:lang w:val="es-CU" w:eastAsia="en-US"/>
        </w:rPr>
        <w:t xml:space="preserve">  </w:t>
      </w:r>
    </w:p>
    <w:p w14:paraId="612D7992" w14:textId="77777777" w:rsidR="00102825" w:rsidRPr="00102825" w:rsidRDefault="00102825" w:rsidP="00102825">
      <w:pPr>
        <w:spacing w:line="360" w:lineRule="auto"/>
        <w:rPr>
          <w:rFonts w:eastAsia="Calibri"/>
          <w:szCs w:val="22"/>
          <w:lang w:val="es-CU" w:eastAsia="en-US"/>
        </w:rPr>
      </w:pPr>
      <w:r w:rsidRPr="00102825">
        <w:rPr>
          <w:rFonts w:eastAsia="Calibri"/>
          <w:szCs w:val="22"/>
          <w:lang w:val="es-CU" w:eastAsia="en-US"/>
        </w:rPr>
        <w:t xml:space="preserve">7. Andaluz Cando ME, Cifuentes </w:t>
      </w:r>
      <w:proofErr w:type="spellStart"/>
      <w:r w:rsidRPr="00102825">
        <w:rPr>
          <w:rFonts w:eastAsia="Calibri"/>
          <w:szCs w:val="22"/>
          <w:lang w:val="es-CU" w:eastAsia="en-US"/>
        </w:rPr>
        <w:t>Tumaille</w:t>
      </w:r>
      <w:proofErr w:type="spellEnd"/>
      <w:r w:rsidRPr="00102825">
        <w:rPr>
          <w:rFonts w:eastAsia="Calibri"/>
          <w:szCs w:val="22"/>
          <w:lang w:val="es-CU" w:eastAsia="en-US"/>
        </w:rPr>
        <w:t xml:space="preserve"> MY, Dávila Aguirre EM, Reyes Ortiz LJ, </w:t>
      </w:r>
      <w:proofErr w:type="spellStart"/>
      <w:r w:rsidRPr="00102825">
        <w:rPr>
          <w:rFonts w:eastAsia="Calibri"/>
          <w:szCs w:val="22"/>
          <w:lang w:val="es-CU" w:eastAsia="en-US"/>
        </w:rPr>
        <w:t>Poalasín</w:t>
      </w:r>
      <w:proofErr w:type="spellEnd"/>
      <w:r w:rsidRPr="00102825">
        <w:rPr>
          <w:rFonts w:eastAsia="Calibri"/>
          <w:szCs w:val="22"/>
          <w:lang w:val="es-CU" w:eastAsia="en-US"/>
        </w:rPr>
        <w:t xml:space="preserve"> Narváez LA. </w:t>
      </w:r>
      <w:r w:rsidRPr="00102825">
        <w:rPr>
          <w:rFonts w:eastAsia="Calibri"/>
          <w:szCs w:val="22"/>
          <w:lang w:val="en-US" w:eastAsia="en-US"/>
        </w:rPr>
        <w:t xml:space="preserve">Uveitis as an initial manifestation of ankylosing spondylitis. About a case. </w:t>
      </w:r>
      <w:proofErr w:type="spellStart"/>
      <w:r w:rsidRPr="00102825">
        <w:rPr>
          <w:rFonts w:eastAsia="Calibri"/>
          <w:szCs w:val="22"/>
          <w:lang w:val="es-CU" w:eastAsia="en-US"/>
        </w:rPr>
        <w:t>Rev</w:t>
      </w:r>
      <w:proofErr w:type="spellEnd"/>
      <w:r w:rsidRPr="00102825">
        <w:rPr>
          <w:rFonts w:eastAsia="Calibri"/>
          <w:szCs w:val="22"/>
          <w:lang w:val="es-CU" w:eastAsia="en-US"/>
        </w:rPr>
        <w:t xml:space="preserve"> Cuba </w:t>
      </w:r>
      <w:proofErr w:type="spellStart"/>
      <w:r w:rsidRPr="00102825">
        <w:rPr>
          <w:rFonts w:eastAsia="Calibri"/>
          <w:szCs w:val="22"/>
          <w:lang w:val="es-CU" w:eastAsia="en-US"/>
        </w:rPr>
        <w:t>Reumatol</w:t>
      </w:r>
      <w:proofErr w:type="spellEnd"/>
      <w:r w:rsidRPr="00102825">
        <w:rPr>
          <w:rFonts w:eastAsia="Calibri"/>
          <w:szCs w:val="22"/>
          <w:lang w:val="es-CU" w:eastAsia="en-US"/>
        </w:rPr>
        <w:t xml:space="preserve">. 2017 [acceso: 02/09/2023];19(Suppl1):187-96. Disponible en: </w:t>
      </w:r>
      <w:hyperlink r:id="rId19" w:history="1">
        <w:r w:rsidRPr="00102825">
          <w:rPr>
            <w:rFonts w:eastAsia="Calibri"/>
            <w:color w:val="0563C1"/>
            <w:szCs w:val="22"/>
            <w:lang w:val="es-CU" w:eastAsia="en-US"/>
          </w:rPr>
          <w:t>http://scielo.sld.cu/scielo.php?script=sci_arttext&amp;pid=S1817-59962017000400009&amp;lng=es</w:t>
        </w:r>
      </w:hyperlink>
      <w:r w:rsidRPr="00102825">
        <w:rPr>
          <w:rFonts w:eastAsia="Calibri"/>
          <w:szCs w:val="22"/>
          <w:lang w:val="es-CU" w:eastAsia="en-US"/>
        </w:rPr>
        <w:t xml:space="preserve">  </w:t>
      </w:r>
    </w:p>
    <w:p w14:paraId="289DC8E8" w14:textId="77777777" w:rsidR="00102825" w:rsidRPr="00102825" w:rsidRDefault="00102825" w:rsidP="00102825">
      <w:pPr>
        <w:spacing w:line="360" w:lineRule="auto"/>
        <w:rPr>
          <w:rFonts w:eastAsia="Calibri"/>
          <w:szCs w:val="22"/>
          <w:lang w:val="es-CU" w:eastAsia="en-US"/>
        </w:rPr>
      </w:pPr>
      <w:r w:rsidRPr="00102825">
        <w:rPr>
          <w:rFonts w:eastAsia="Calibri"/>
          <w:szCs w:val="22"/>
          <w:lang w:val="es-CU" w:eastAsia="en-US"/>
        </w:rPr>
        <w:t xml:space="preserve">8. González Fajardo I, Linares Guerra EM, Díaz Padilla D, Godoy </w:t>
      </w:r>
      <w:proofErr w:type="spellStart"/>
      <w:r w:rsidRPr="00102825">
        <w:rPr>
          <w:rFonts w:eastAsia="Calibri"/>
          <w:szCs w:val="22"/>
          <w:lang w:val="es-CU" w:eastAsia="en-US"/>
        </w:rPr>
        <w:t>Lóriga</w:t>
      </w:r>
      <w:proofErr w:type="spellEnd"/>
      <w:r w:rsidRPr="00102825">
        <w:rPr>
          <w:rFonts w:eastAsia="Calibri"/>
          <w:szCs w:val="22"/>
          <w:lang w:val="es-CU" w:eastAsia="en-US"/>
        </w:rPr>
        <w:t xml:space="preserve"> LM, Núñez Betancourt A. Cambios en variables hematológicas y velocidad de sedimentación globular de pacientes no críticos con la COVID-19. </w:t>
      </w:r>
      <w:proofErr w:type="spellStart"/>
      <w:r w:rsidRPr="00102825">
        <w:rPr>
          <w:rFonts w:eastAsia="Calibri"/>
          <w:szCs w:val="22"/>
          <w:lang w:val="es-CU" w:eastAsia="en-US"/>
        </w:rPr>
        <w:t>Rev</w:t>
      </w:r>
      <w:proofErr w:type="spellEnd"/>
      <w:r w:rsidRPr="00102825">
        <w:rPr>
          <w:rFonts w:eastAsia="Calibri"/>
          <w:szCs w:val="22"/>
          <w:lang w:val="es-CU" w:eastAsia="en-US"/>
        </w:rPr>
        <w:t xml:space="preserve"> Ciencias Médicas. 2020 [acceso: 31/08/2023];24(3</w:t>
      </w:r>
      <w:proofErr w:type="gramStart"/>
      <w:r w:rsidRPr="00102825">
        <w:rPr>
          <w:rFonts w:eastAsia="Calibri"/>
          <w:szCs w:val="22"/>
          <w:lang w:val="es-CU" w:eastAsia="en-US"/>
        </w:rPr>
        <w:t>):e</w:t>
      </w:r>
      <w:proofErr w:type="gramEnd"/>
      <w:r w:rsidRPr="00102825">
        <w:rPr>
          <w:rFonts w:eastAsia="Calibri"/>
          <w:szCs w:val="22"/>
          <w:lang w:val="es-CU" w:eastAsia="en-US"/>
        </w:rPr>
        <w:t xml:space="preserve">4515. Disponible en: </w:t>
      </w:r>
      <w:hyperlink r:id="rId20" w:history="1">
        <w:r w:rsidRPr="00102825">
          <w:rPr>
            <w:rFonts w:eastAsia="Calibri"/>
            <w:color w:val="0563C1"/>
            <w:szCs w:val="22"/>
            <w:lang w:val="es-CU" w:eastAsia="en-US"/>
          </w:rPr>
          <w:t>http://scielo.sld.cu/scielo.php?script=sci_arttext&amp;pid=S1561-31942020000300009&amp;lng=es</w:t>
        </w:r>
      </w:hyperlink>
      <w:r w:rsidRPr="00102825">
        <w:rPr>
          <w:rFonts w:eastAsia="Calibri"/>
          <w:szCs w:val="22"/>
          <w:lang w:val="es-CU" w:eastAsia="en-US"/>
        </w:rPr>
        <w:t xml:space="preserve">  </w:t>
      </w:r>
    </w:p>
    <w:p w14:paraId="48313137" w14:textId="77777777" w:rsidR="00102825" w:rsidRPr="00102825" w:rsidRDefault="00102825" w:rsidP="00102825">
      <w:pPr>
        <w:spacing w:line="360" w:lineRule="auto"/>
        <w:rPr>
          <w:rFonts w:eastAsia="Calibri"/>
          <w:szCs w:val="22"/>
          <w:lang w:val="es-CU" w:eastAsia="en-US"/>
        </w:rPr>
      </w:pPr>
      <w:r w:rsidRPr="00102825">
        <w:rPr>
          <w:rFonts w:eastAsia="Calibri"/>
          <w:szCs w:val="22"/>
          <w:lang w:val="es-CU" w:eastAsia="en-US"/>
        </w:rPr>
        <w:t>9. Vera-Ponce VJ, Cruz-</w:t>
      </w:r>
      <w:proofErr w:type="spellStart"/>
      <w:r w:rsidRPr="00102825">
        <w:rPr>
          <w:rFonts w:eastAsia="Calibri"/>
          <w:szCs w:val="22"/>
          <w:lang w:val="es-CU" w:eastAsia="en-US"/>
        </w:rPr>
        <w:t>Ausejo</w:t>
      </w:r>
      <w:proofErr w:type="spellEnd"/>
      <w:r w:rsidRPr="00102825">
        <w:rPr>
          <w:rFonts w:eastAsia="Calibri"/>
          <w:szCs w:val="22"/>
          <w:lang w:val="es-CU" w:eastAsia="en-US"/>
        </w:rPr>
        <w:t xml:space="preserve"> L, Torres-Malca JR. Asociación entre la proteína c reactiva y el síndrome metabólico en la población peruana del estudio PERU MIGRANT. Rev. </w:t>
      </w:r>
      <w:proofErr w:type="spellStart"/>
      <w:r w:rsidRPr="00102825">
        <w:rPr>
          <w:rFonts w:eastAsia="Calibri"/>
          <w:szCs w:val="22"/>
          <w:lang w:val="es-CU" w:eastAsia="en-US"/>
        </w:rPr>
        <w:t>Fac</w:t>
      </w:r>
      <w:proofErr w:type="spellEnd"/>
      <w:r w:rsidRPr="00102825">
        <w:rPr>
          <w:rFonts w:eastAsia="Calibri"/>
          <w:szCs w:val="22"/>
          <w:lang w:val="es-CU" w:eastAsia="en-US"/>
        </w:rPr>
        <w:t xml:space="preserve">. </w:t>
      </w:r>
      <w:proofErr w:type="spellStart"/>
      <w:r w:rsidRPr="00102825">
        <w:rPr>
          <w:rFonts w:eastAsia="Calibri"/>
          <w:szCs w:val="22"/>
          <w:lang w:val="es-CU" w:eastAsia="en-US"/>
        </w:rPr>
        <w:t>Med</w:t>
      </w:r>
      <w:proofErr w:type="spellEnd"/>
      <w:r w:rsidRPr="00102825">
        <w:rPr>
          <w:rFonts w:eastAsia="Calibri"/>
          <w:szCs w:val="22"/>
          <w:lang w:val="es-CU" w:eastAsia="en-US"/>
        </w:rPr>
        <w:t xml:space="preserve">. Hum. 2021 [acceso: 27/08/2023];21(1):118-23. Disponible en: </w:t>
      </w:r>
      <w:hyperlink r:id="rId21" w:history="1">
        <w:r w:rsidRPr="00102825">
          <w:rPr>
            <w:rFonts w:eastAsia="Calibri"/>
            <w:color w:val="0563C1"/>
            <w:szCs w:val="22"/>
            <w:lang w:val="es-CU" w:eastAsia="en-US"/>
          </w:rPr>
          <w:t>http://www.scielo.org.pe/scielo.php?script=sci_arttext&amp;pid=S2308-05312021000100118&amp;lng=es</w:t>
        </w:r>
      </w:hyperlink>
      <w:r w:rsidRPr="00102825">
        <w:rPr>
          <w:rFonts w:eastAsia="Calibri"/>
          <w:szCs w:val="22"/>
          <w:lang w:val="es-CU" w:eastAsia="en-US"/>
        </w:rPr>
        <w:t xml:space="preserve">  </w:t>
      </w:r>
    </w:p>
    <w:p w14:paraId="2239E905" w14:textId="77777777" w:rsidR="00102825" w:rsidRPr="00102825" w:rsidRDefault="00102825" w:rsidP="00102825">
      <w:pPr>
        <w:spacing w:line="360" w:lineRule="auto"/>
        <w:rPr>
          <w:rFonts w:eastAsia="Calibri"/>
          <w:szCs w:val="22"/>
          <w:lang w:val="es-CU" w:eastAsia="en-US"/>
        </w:rPr>
      </w:pPr>
      <w:r w:rsidRPr="00102825">
        <w:rPr>
          <w:rFonts w:eastAsia="Calibri"/>
          <w:szCs w:val="22"/>
          <w:lang w:val="es-CU" w:eastAsia="en-US"/>
        </w:rPr>
        <w:t xml:space="preserve">10. Malagón D, Cardozo C, Godoy R. Uso de fibrinógeno humano en la generación de soportes para la obtención de equivalentes tisulares. </w:t>
      </w:r>
      <w:proofErr w:type="spellStart"/>
      <w:r w:rsidRPr="00102825">
        <w:rPr>
          <w:rFonts w:eastAsia="Calibri"/>
          <w:szCs w:val="22"/>
          <w:lang w:val="es-CU" w:eastAsia="en-US"/>
        </w:rPr>
        <w:t>Rev</w:t>
      </w:r>
      <w:proofErr w:type="spellEnd"/>
      <w:r w:rsidRPr="00102825">
        <w:rPr>
          <w:rFonts w:eastAsia="Calibri"/>
          <w:szCs w:val="22"/>
          <w:lang w:val="es-CU" w:eastAsia="en-US"/>
        </w:rPr>
        <w:t xml:space="preserve"> </w:t>
      </w:r>
      <w:proofErr w:type="spellStart"/>
      <w:r w:rsidRPr="00102825">
        <w:rPr>
          <w:rFonts w:eastAsia="Calibri"/>
          <w:szCs w:val="22"/>
          <w:lang w:val="es-CU" w:eastAsia="en-US"/>
        </w:rPr>
        <w:t>Colomb</w:t>
      </w:r>
      <w:proofErr w:type="spellEnd"/>
      <w:r w:rsidRPr="00102825">
        <w:rPr>
          <w:rFonts w:eastAsia="Calibri"/>
          <w:szCs w:val="22"/>
          <w:lang w:val="es-CU" w:eastAsia="en-US"/>
        </w:rPr>
        <w:t xml:space="preserve"> </w:t>
      </w:r>
      <w:proofErr w:type="spellStart"/>
      <w:r w:rsidRPr="00102825">
        <w:rPr>
          <w:rFonts w:eastAsia="Calibri"/>
          <w:szCs w:val="22"/>
          <w:lang w:val="es-CU" w:eastAsia="en-US"/>
        </w:rPr>
        <w:t>Biotecnol</w:t>
      </w:r>
      <w:proofErr w:type="spellEnd"/>
      <w:r w:rsidRPr="00102825">
        <w:rPr>
          <w:rFonts w:eastAsia="Calibri"/>
          <w:szCs w:val="22"/>
          <w:lang w:val="es-CU" w:eastAsia="en-US"/>
        </w:rPr>
        <w:t xml:space="preserve">. 2014 [acceso: 29/08/2023];13(2):243-52. Disponible en: </w:t>
      </w:r>
      <w:hyperlink r:id="rId22" w:history="1">
        <w:r w:rsidRPr="00102825">
          <w:rPr>
            <w:rFonts w:eastAsia="Calibri"/>
            <w:color w:val="0563C1"/>
            <w:szCs w:val="22"/>
            <w:lang w:val="es-CU" w:eastAsia="en-US"/>
          </w:rPr>
          <w:t>http://www.scielo.org.co/scielo.php?script=sci_arttext&amp;pid=S0123-34752011000200024&amp;lng=en</w:t>
        </w:r>
      </w:hyperlink>
      <w:r w:rsidRPr="00102825">
        <w:rPr>
          <w:rFonts w:eastAsia="Calibri"/>
          <w:szCs w:val="22"/>
          <w:lang w:val="es-CU" w:eastAsia="en-US"/>
        </w:rPr>
        <w:t xml:space="preserve">  </w:t>
      </w:r>
    </w:p>
    <w:p w14:paraId="22AD16B9" w14:textId="77777777" w:rsidR="00102825" w:rsidRPr="00102825" w:rsidRDefault="00102825" w:rsidP="00102825">
      <w:pPr>
        <w:spacing w:line="360" w:lineRule="auto"/>
        <w:rPr>
          <w:rFonts w:eastAsia="Calibri"/>
          <w:szCs w:val="22"/>
          <w:lang w:val="es-CU" w:eastAsia="en-US"/>
        </w:rPr>
      </w:pPr>
      <w:r w:rsidRPr="00102825">
        <w:rPr>
          <w:rFonts w:eastAsia="Calibri"/>
          <w:szCs w:val="22"/>
          <w:lang w:val="es-CU" w:eastAsia="en-US"/>
        </w:rPr>
        <w:t xml:space="preserve">11. Barata J, Ferreira I, </w:t>
      </w:r>
      <w:proofErr w:type="spellStart"/>
      <w:r w:rsidRPr="00102825">
        <w:rPr>
          <w:rFonts w:eastAsia="Calibri"/>
          <w:szCs w:val="22"/>
          <w:lang w:val="es-CU" w:eastAsia="en-US"/>
        </w:rPr>
        <w:t>Areia</w:t>
      </w:r>
      <w:proofErr w:type="spellEnd"/>
      <w:r w:rsidRPr="00102825">
        <w:rPr>
          <w:rFonts w:eastAsia="Calibri"/>
          <w:szCs w:val="22"/>
          <w:lang w:val="es-CU" w:eastAsia="en-US"/>
        </w:rPr>
        <w:t xml:space="preserve"> AL. Diabetes gestacional: o papel da microbiota intestinal e o potencial uso de probióticos. Acta </w:t>
      </w:r>
      <w:proofErr w:type="spellStart"/>
      <w:r w:rsidRPr="00102825">
        <w:rPr>
          <w:rFonts w:eastAsia="Calibri"/>
          <w:szCs w:val="22"/>
          <w:lang w:val="es-CU" w:eastAsia="en-US"/>
        </w:rPr>
        <w:t>Obstet</w:t>
      </w:r>
      <w:proofErr w:type="spellEnd"/>
      <w:r w:rsidRPr="00102825">
        <w:rPr>
          <w:rFonts w:eastAsia="Calibri"/>
          <w:szCs w:val="22"/>
          <w:lang w:val="es-CU" w:eastAsia="en-US"/>
        </w:rPr>
        <w:t xml:space="preserve"> </w:t>
      </w:r>
      <w:proofErr w:type="spellStart"/>
      <w:r w:rsidRPr="00102825">
        <w:rPr>
          <w:rFonts w:eastAsia="Calibri"/>
          <w:szCs w:val="22"/>
          <w:lang w:val="es-CU" w:eastAsia="en-US"/>
        </w:rPr>
        <w:t>Ginecol</w:t>
      </w:r>
      <w:proofErr w:type="spellEnd"/>
      <w:r w:rsidRPr="00102825">
        <w:rPr>
          <w:rFonts w:eastAsia="Calibri"/>
          <w:szCs w:val="22"/>
          <w:lang w:val="es-CU" w:eastAsia="en-US"/>
        </w:rPr>
        <w:t xml:space="preserve"> Port. 2019 [acceso: 30/08/2023];16(3):274-89. Disponible en: </w:t>
      </w:r>
      <w:hyperlink r:id="rId23" w:history="1">
        <w:r w:rsidRPr="00102825">
          <w:rPr>
            <w:rFonts w:eastAsia="Calibri"/>
            <w:color w:val="0563C1"/>
            <w:szCs w:val="22"/>
            <w:lang w:val="es-CU" w:eastAsia="en-US"/>
          </w:rPr>
          <w:t>http://www.fspog.com/fotos/editor2/09_aogp-d-22-00009.pdf</w:t>
        </w:r>
      </w:hyperlink>
      <w:r w:rsidRPr="00102825">
        <w:rPr>
          <w:rFonts w:eastAsia="Calibri"/>
          <w:szCs w:val="22"/>
          <w:lang w:val="es-CU" w:eastAsia="en-US"/>
        </w:rPr>
        <w:t xml:space="preserve"> </w:t>
      </w:r>
    </w:p>
    <w:p w14:paraId="654D69A2" w14:textId="77777777" w:rsidR="00102825" w:rsidRPr="00102825" w:rsidRDefault="00102825" w:rsidP="00102825">
      <w:pPr>
        <w:spacing w:line="360" w:lineRule="auto"/>
        <w:rPr>
          <w:rFonts w:eastAsia="Calibri"/>
          <w:szCs w:val="22"/>
          <w:lang w:val="es-CU" w:eastAsia="en-US"/>
        </w:rPr>
      </w:pPr>
      <w:r w:rsidRPr="00102825">
        <w:rPr>
          <w:rFonts w:eastAsia="Calibri"/>
          <w:szCs w:val="22"/>
          <w:lang w:val="es-CU" w:eastAsia="en-US"/>
        </w:rPr>
        <w:t xml:space="preserve">12. Reyes-Muñoz E, Espino y Sosa S, Flores-Robles CM, Arce-Sánchez L, Martínez-Cruz N, Garduño-García G, et al. Uso de </w:t>
      </w:r>
      <w:proofErr w:type="spellStart"/>
      <w:r w:rsidRPr="00102825">
        <w:rPr>
          <w:rFonts w:eastAsia="Calibri"/>
          <w:szCs w:val="22"/>
          <w:lang w:val="es-CU" w:eastAsia="en-US"/>
        </w:rPr>
        <w:t>mioinositol</w:t>
      </w:r>
      <w:proofErr w:type="spellEnd"/>
      <w:r w:rsidRPr="00102825">
        <w:rPr>
          <w:rFonts w:eastAsia="Calibri"/>
          <w:szCs w:val="22"/>
          <w:lang w:val="es-CU" w:eastAsia="en-US"/>
        </w:rPr>
        <w:t xml:space="preserve"> más </w:t>
      </w:r>
      <w:proofErr w:type="spellStart"/>
      <w:r w:rsidRPr="00102825">
        <w:rPr>
          <w:rFonts w:eastAsia="Calibri"/>
          <w:szCs w:val="22"/>
          <w:lang w:val="es-CU" w:eastAsia="en-US"/>
        </w:rPr>
        <w:t>Bifidobacterium</w:t>
      </w:r>
      <w:proofErr w:type="spellEnd"/>
      <w:r w:rsidRPr="00102825">
        <w:rPr>
          <w:rFonts w:eastAsia="Calibri"/>
          <w:szCs w:val="22"/>
          <w:lang w:val="es-CU" w:eastAsia="en-US"/>
        </w:rPr>
        <w:t xml:space="preserve"> </w:t>
      </w:r>
      <w:proofErr w:type="spellStart"/>
      <w:r w:rsidRPr="00102825">
        <w:rPr>
          <w:rFonts w:eastAsia="Calibri"/>
          <w:szCs w:val="22"/>
          <w:lang w:val="es-CU" w:eastAsia="en-US"/>
        </w:rPr>
        <w:t>lactis</w:t>
      </w:r>
      <w:proofErr w:type="spellEnd"/>
      <w:r w:rsidRPr="00102825">
        <w:rPr>
          <w:rFonts w:eastAsia="Calibri"/>
          <w:szCs w:val="22"/>
          <w:lang w:val="es-CU" w:eastAsia="en-US"/>
        </w:rPr>
        <w:t xml:space="preserve"> y Lactobacillus </w:t>
      </w:r>
      <w:proofErr w:type="spellStart"/>
      <w:r w:rsidRPr="00102825">
        <w:rPr>
          <w:rFonts w:eastAsia="Calibri"/>
          <w:szCs w:val="22"/>
          <w:lang w:val="es-CU" w:eastAsia="en-US"/>
        </w:rPr>
        <w:t>rhamnosus</w:t>
      </w:r>
      <w:proofErr w:type="spellEnd"/>
      <w:r w:rsidRPr="00102825">
        <w:rPr>
          <w:rFonts w:eastAsia="Calibri"/>
          <w:szCs w:val="22"/>
          <w:lang w:val="es-CU" w:eastAsia="en-US"/>
        </w:rPr>
        <w:t xml:space="preserve"> para la prevención de diabetes mellitus gestacional en mujeres mexicanas. </w:t>
      </w:r>
      <w:proofErr w:type="spellStart"/>
      <w:r w:rsidRPr="00102825">
        <w:rPr>
          <w:rFonts w:eastAsia="Calibri"/>
          <w:szCs w:val="22"/>
          <w:lang w:val="es-CU" w:eastAsia="en-US"/>
        </w:rPr>
        <w:t>Gac</w:t>
      </w:r>
      <w:proofErr w:type="spellEnd"/>
      <w:r w:rsidRPr="00102825">
        <w:rPr>
          <w:rFonts w:eastAsia="Calibri"/>
          <w:szCs w:val="22"/>
          <w:lang w:val="es-CU" w:eastAsia="en-US"/>
        </w:rPr>
        <w:t xml:space="preserve"> </w:t>
      </w:r>
      <w:proofErr w:type="spellStart"/>
      <w:r w:rsidRPr="00102825">
        <w:rPr>
          <w:rFonts w:eastAsia="Calibri"/>
          <w:szCs w:val="22"/>
          <w:lang w:val="es-CU" w:eastAsia="en-US"/>
        </w:rPr>
        <w:t>Méd</w:t>
      </w:r>
      <w:proofErr w:type="spellEnd"/>
      <w:r w:rsidRPr="00102825">
        <w:rPr>
          <w:rFonts w:eastAsia="Calibri"/>
          <w:szCs w:val="22"/>
          <w:lang w:val="es-CU" w:eastAsia="en-US"/>
        </w:rPr>
        <w:t xml:space="preserve"> Méx. 2020 [acceso: 27/08/2023];156 (</w:t>
      </w:r>
      <w:proofErr w:type="spellStart"/>
      <w:r w:rsidRPr="00102825">
        <w:rPr>
          <w:rFonts w:eastAsia="Calibri"/>
          <w:szCs w:val="22"/>
          <w:lang w:val="es-CU" w:eastAsia="en-US"/>
        </w:rPr>
        <w:t>Suppl</w:t>
      </w:r>
      <w:proofErr w:type="spellEnd"/>
      <w:r w:rsidRPr="00102825">
        <w:rPr>
          <w:rFonts w:eastAsia="Calibri"/>
          <w:szCs w:val="22"/>
          <w:lang w:val="es-CU" w:eastAsia="en-US"/>
        </w:rPr>
        <w:t xml:space="preserve"> 3):51-7. Disponible en: </w:t>
      </w:r>
      <w:hyperlink r:id="rId24" w:history="1">
        <w:r w:rsidRPr="00102825">
          <w:rPr>
            <w:rFonts w:eastAsia="Calibri"/>
            <w:color w:val="0563C1"/>
            <w:szCs w:val="22"/>
            <w:lang w:val="es-CU" w:eastAsia="en-US"/>
          </w:rPr>
          <w:t>http://www.scielo.org.mx/scielo.php?script=sci_arttext&amp;pid=S0016-38132020000900051&amp;lng=es</w:t>
        </w:r>
      </w:hyperlink>
      <w:r w:rsidRPr="00102825">
        <w:rPr>
          <w:rFonts w:eastAsia="Calibri"/>
          <w:szCs w:val="22"/>
          <w:lang w:val="es-CU" w:eastAsia="en-US"/>
        </w:rPr>
        <w:t xml:space="preserve">  </w:t>
      </w:r>
    </w:p>
    <w:p w14:paraId="65DA4F0E" w14:textId="77777777" w:rsidR="00102825" w:rsidRPr="00102825" w:rsidRDefault="00102825" w:rsidP="00102825">
      <w:pPr>
        <w:spacing w:line="360" w:lineRule="auto"/>
        <w:rPr>
          <w:rFonts w:eastAsia="Calibri"/>
          <w:lang w:val="es-CU" w:eastAsia="en-US"/>
        </w:rPr>
      </w:pPr>
      <w:r w:rsidRPr="00102825">
        <w:rPr>
          <w:rFonts w:eastAsia="Calibri"/>
          <w:lang w:val="es-CU" w:eastAsia="en-US"/>
        </w:rPr>
        <w:t xml:space="preserve"> </w:t>
      </w:r>
    </w:p>
    <w:p w14:paraId="0317B8D0" w14:textId="77777777" w:rsidR="00102825" w:rsidRPr="00102825" w:rsidRDefault="00102825" w:rsidP="00102825">
      <w:pPr>
        <w:spacing w:line="360" w:lineRule="auto"/>
        <w:jc w:val="center"/>
        <w:rPr>
          <w:rFonts w:eastAsia="Calibri"/>
          <w:b/>
          <w:lang w:val="es-CU" w:eastAsia="en-US"/>
        </w:rPr>
      </w:pPr>
    </w:p>
    <w:p w14:paraId="4019A62E" w14:textId="77777777" w:rsidR="00102825" w:rsidRPr="00102825" w:rsidRDefault="00102825" w:rsidP="00102825">
      <w:pPr>
        <w:spacing w:line="360" w:lineRule="auto"/>
        <w:jc w:val="center"/>
        <w:rPr>
          <w:rFonts w:eastAsia="Calibri"/>
          <w:b/>
          <w:lang w:val="es-CU" w:eastAsia="en-US"/>
        </w:rPr>
      </w:pPr>
      <w:r w:rsidRPr="00102825">
        <w:rPr>
          <w:rFonts w:eastAsia="Calibri"/>
          <w:b/>
          <w:lang w:val="es-CU" w:eastAsia="en-US"/>
        </w:rPr>
        <w:lastRenderedPageBreak/>
        <w:t>Conflictos de interés</w:t>
      </w:r>
    </w:p>
    <w:p w14:paraId="33090968"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Los autores no refieren conflictos de interés.</w:t>
      </w:r>
    </w:p>
    <w:p w14:paraId="7CBAAB53" w14:textId="77777777" w:rsidR="00102825" w:rsidRPr="00102825" w:rsidRDefault="00102825" w:rsidP="00102825">
      <w:pPr>
        <w:spacing w:line="360" w:lineRule="auto"/>
        <w:jc w:val="both"/>
        <w:rPr>
          <w:rFonts w:eastAsia="Calibri"/>
          <w:lang w:val="es-CU" w:eastAsia="en-US"/>
        </w:rPr>
      </w:pPr>
    </w:p>
    <w:p w14:paraId="204B9979" w14:textId="77777777" w:rsidR="00102825" w:rsidRPr="00102825" w:rsidRDefault="00102825" w:rsidP="00102825">
      <w:pPr>
        <w:spacing w:line="360" w:lineRule="auto"/>
        <w:jc w:val="center"/>
        <w:rPr>
          <w:rFonts w:eastAsia="Calibri"/>
          <w:b/>
          <w:lang w:val="es-CU" w:eastAsia="en-US"/>
        </w:rPr>
      </w:pPr>
      <w:r w:rsidRPr="00102825">
        <w:rPr>
          <w:rFonts w:eastAsia="Calibri"/>
          <w:b/>
          <w:lang w:val="es-CU" w:eastAsia="en-US"/>
        </w:rPr>
        <w:t>Contribuciones de los autores</w:t>
      </w:r>
    </w:p>
    <w:p w14:paraId="0F4B766D" w14:textId="77777777" w:rsidR="00102825" w:rsidRPr="00102825" w:rsidRDefault="00102825" w:rsidP="00102825">
      <w:pPr>
        <w:spacing w:line="360" w:lineRule="auto"/>
        <w:jc w:val="both"/>
        <w:rPr>
          <w:rFonts w:eastAsia="Calibri"/>
          <w:i/>
          <w:lang w:val="es-CU" w:eastAsia="en-US"/>
        </w:rPr>
      </w:pPr>
      <w:r w:rsidRPr="00102825">
        <w:rPr>
          <w:rFonts w:eastAsia="Calibri"/>
          <w:lang w:val="es-CU" w:eastAsia="en-US"/>
        </w:rPr>
        <w:t xml:space="preserve">Conceptualización: </w:t>
      </w:r>
      <w:bookmarkStart w:id="4" w:name="_Hlk145691191"/>
      <w:r w:rsidRPr="00102825">
        <w:rPr>
          <w:rFonts w:eastAsia="Calibri"/>
          <w:i/>
          <w:lang w:val="es-CU" w:eastAsia="en-US"/>
        </w:rPr>
        <w:t xml:space="preserve">Urbano </w:t>
      </w:r>
      <w:proofErr w:type="spellStart"/>
      <w:r w:rsidRPr="00102825">
        <w:rPr>
          <w:rFonts w:eastAsia="Calibri"/>
          <w:i/>
          <w:lang w:val="es-CU" w:eastAsia="en-US"/>
        </w:rPr>
        <w:t>Solis</w:t>
      </w:r>
      <w:proofErr w:type="spellEnd"/>
      <w:r w:rsidRPr="00102825">
        <w:rPr>
          <w:rFonts w:eastAsia="Calibri"/>
          <w:i/>
          <w:lang w:val="es-CU" w:eastAsia="en-US"/>
        </w:rPr>
        <w:t xml:space="preserve"> Cartas</w:t>
      </w:r>
      <w:bookmarkEnd w:id="4"/>
      <w:r w:rsidRPr="00102825">
        <w:rPr>
          <w:rFonts w:eastAsia="Calibri"/>
          <w:i/>
          <w:lang w:val="es-CU" w:eastAsia="en-US"/>
        </w:rPr>
        <w:t>, Libia Cristina Tinajero Novillo.</w:t>
      </w:r>
    </w:p>
    <w:p w14:paraId="5D0AE14D"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Curación de datos: </w:t>
      </w:r>
      <w:bookmarkStart w:id="5" w:name="_Hlk145691218"/>
      <w:r w:rsidRPr="00102825">
        <w:rPr>
          <w:rFonts w:eastAsia="Calibri"/>
          <w:i/>
          <w:iCs/>
          <w:lang w:val="es-CU" w:eastAsia="en-US"/>
        </w:rPr>
        <w:t xml:space="preserve">Urbano </w:t>
      </w:r>
      <w:proofErr w:type="spellStart"/>
      <w:r w:rsidRPr="00102825">
        <w:rPr>
          <w:rFonts w:eastAsia="Calibri"/>
          <w:i/>
          <w:iCs/>
          <w:lang w:val="es-CU" w:eastAsia="en-US"/>
        </w:rPr>
        <w:t>Solis</w:t>
      </w:r>
      <w:proofErr w:type="spellEnd"/>
      <w:r w:rsidRPr="00102825">
        <w:rPr>
          <w:rFonts w:eastAsia="Calibri"/>
          <w:i/>
          <w:iCs/>
          <w:lang w:val="es-CU" w:eastAsia="en-US"/>
        </w:rPr>
        <w:t xml:space="preserve"> Cartas,</w:t>
      </w:r>
      <w:r w:rsidRPr="00102825">
        <w:rPr>
          <w:rFonts w:eastAsia="Calibri"/>
          <w:lang w:val="es-CU" w:eastAsia="en-US"/>
        </w:rPr>
        <w:t xml:space="preserve"> </w:t>
      </w:r>
      <w:r w:rsidRPr="00102825">
        <w:rPr>
          <w:rFonts w:eastAsia="Calibri"/>
          <w:i/>
          <w:lang w:val="es-CU" w:eastAsia="en-US"/>
        </w:rPr>
        <w:t>Jorge Luis Valdés González</w:t>
      </w:r>
      <w:bookmarkEnd w:id="5"/>
      <w:r w:rsidRPr="00102825">
        <w:rPr>
          <w:rFonts w:eastAsia="Calibri"/>
          <w:i/>
          <w:lang w:val="es-CU" w:eastAsia="en-US"/>
        </w:rPr>
        <w:t>.</w:t>
      </w:r>
    </w:p>
    <w:p w14:paraId="05723F89" w14:textId="77777777" w:rsidR="00102825" w:rsidRPr="00102825" w:rsidRDefault="00102825" w:rsidP="00102825">
      <w:pPr>
        <w:spacing w:line="360" w:lineRule="auto"/>
        <w:jc w:val="both"/>
        <w:rPr>
          <w:rFonts w:eastAsia="Calibri"/>
          <w:lang w:val="es-CU" w:eastAsia="en-US"/>
        </w:rPr>
      </w:pPr>
      <w:r w:rsidRPr="00102825">
        <w:rPr>
          <w:rFonts w:eastAsia="Calibri"/>
          <w:lang w:val="es-CU" w:eastAsia="en-US"/>
        </w:rPr>
        <w:t xml:space="preserve">Análisis formal: </w:t>
      </w:r>
      <w:r w:rsidRPr="00102825">
        <w:rPr>
          <w:rFonts w:eastAsia="Calibri"/>
          <w:i/>
          <w:lang w:val="es-CU" w:eastAsia="en-US"/>
        </w:rPr>
        <w:t xml:space="preserve">Urbano </w:t>
      </w:r>
      <w:proofErr w:type="spellStart"/>
      <w:r w:rsidRPr="00102825">
        <w:rPr>
          <w:rFonts w:eastAsia="Calibri"/>
          <w:i/>
          <w:lang w:val="es-CU" w:eastAsia="en-US"/>
        </w:rPr>
        <w:t>Solis</w:t>
      </w:r>
      <w:proofErr w:type="spellEnd"/>
      <w:r w:rsidRPr="00102825">
        <w:rPr>
          <w:rFonts w:eastAsia="Calibri"/>
          <w:i/>
          <w:lang w:val="es-CU" w:eastAsia="en-US"/>
        </w:rPr>
        <w:t xml:space="preserve"> Cartas, Libia Cristina Tinajero Novillo.</w:t>
      </w:r>
    </w:p>
    <w:p w14:paraId="0AFC2837" w14:textId="77777777" w:rsidR="00102825" w:rsidRPr="00102825" w:rsidRDefault="00102825" w:rsidP="00102825">
      <w:pPr>
        <w:spacing w:line="360" w:lineRule="auto"/>
        <w:jc w:val="both"/>
        <w:rPr>
          <w:rFonts w:eastAsia="Calibri"/>
          <w:i/>
          <w:lang w:val="es-CU" w:eastAsia="en-US"/>
        </w:rPr>
      </w:pPr>
      <w:r w:rsidRPr="00102825">
        <w:rPr>
          <w:rFonts w:eastAsia="Calibri"/>
          <w:lang w:val="es-CU" w:eastAsia="en-US"/>
        </w:rPr>
        <w:t xml:space="preserve">Investigación: </w:t>
      </w:r>
      <w:bookmarkStart w:id="6" w:name="_Hlk145691256"/>
      <w:r w:rsidRPr="00102825">
        <w:rPr>
          <w:rFonts w:eastAsia="Calibri"/>
          <w:i/>
          <w:lang w:val="es-CU" w:eastAsia="en-US"/>
        </w:rPr>
        <w:t xml:space="preserve">Urbano </w:t>
      </w:r>
      <w:proofErr w:type="spellStart"/>
      <w:r w:rsidRPr="00102825">
        <w:rPr>
          <w:rFonts w:eastAsia="Calibri"/>
          <w:i/>
          <w:lang w:val="es-CU" w:eastAsia="en-US"/>
        </w:rPr>
        <w:t>Solis</w:t>
      </w:r>
      <w:proofErr w:type="spellEnd"/>
      <w:r w:rsidRPr="00102825">
        <w:rPr>
          <w:rFonts w:eastAsia="Calibri"/>
          <w:i/>
          <w:lang w:val="es-CU" w:eastAsia="en-US"/>
        </w:rPr>
        <w:t xml:space="preserve"> Cartas,</w:t>
      </w:r>
      <w:bookmarkEnd w:id="6"/>
      <w:r w:rsidRPr="00102825">
        <w:rPr>
          <w:rFonts w:eastAsia="Calibri"/>
          <w:i/>
          <w:lang w:val="es-CU" w:eastAsia="en-US"/>
        </w:rPr>
        <w:t xml:space="preserve"> Jorge Luis Valdés González.</w:t>
      </w:r>
    </w:p>
    <w:p w14:paraId="069F775D" w14:textId="77777777" w:rsidR="00102825" w:rsidRPr="00102825" w:rsidRDefault="00102825" w:rsidP="00102825">
      <w:pPr>
        <w:spacing w:line="360" w:lineRule="auto"/>
        <w:jc w:val="both"/>
        <w:rPr>
          <w:rFonts w:eastAsia="Calibri"/>
          <w:i/>
          <w:lang w:val="es-CU" w:eastAsia="en-US"/>
        </w:rPr>
      </w:pPr>
      <w:r w:rsidRPr="00102825">
        <w:rPr>
          <w:rFonts w:eastAsia="Calibri"/>
          <w:lang w:val="es-CU" w:eastAsia="en-US"/>
        </w:rPr>
        <w:t xml:space="preserve">Metodología: </w:t>
      </w:r>
      <w:proofErr w:type="spellStart"/>
      <w:r w:rsidRPr="00102825">
        <w:rPr>
          <w:rFonts w:eastAsia="Calibri"/>
          <w:i/>
          <w:lang w:val="es-CU" w:eastAsia="en-US"/>
        </w:rPr>
        <w:t>Brigette</w:t>
      </w:r>
      <w:proofErr w:type="spellEnd"/>
      <w:r w:rsidRPr="00102825">
        <w:rPr>
          <w:rFonts w:eastAsia="Calibri"/>
          <w:i/>
          <w:lang w:val="es-CU" w:eastAsia="en-US"/>
        </w:rPr>
        <w:t xml:space="preserve"> Carolina Huaraca Morocho, Urbano </w:t>
      </w:r>
      <w:proofErr w:type="spellStart"/>
      <w:r w:rsidRPr="00102825">
        <w:rPr>
          <w:rFonts w:eastAsia="Calibri"/>
          <w:i/>
          <w:lang w:val="es-CU" w:eastAsia="en-US"/>
        </w:rPr>
        <w:t>Solis</w:t>
      </w:r>
      <w:proofErr w:type="spellEnd"/>
      <w:r w:rsidRPr="00102825">
        <w:rPr>
          <w:rFonts w:eastAsia="Calibri"/>
          <w:i/>
          <w:lang w:val="es-CU" w:eastAsia="en-US"/>
        </w:rPr>
        <w:t xml:space="preserve"> Cartas.</w:t>
      </w:r>
    </w:p>
    <w:p w14:paraId="2EB2D2CC" w14:textId="77777777" w:rsidR="00102825" w:rsidRPr="00102825" w:rsidRDefault="00102825" w:rsidP="00102825">
      <w:pPr>
        <w:spacing w:line="360" w:lineRule="auto"/>
        <w:jc w:val="both"/>
        <w:rPr>
          <w:rFonts w:eastAsia="Calibri"/>
          <w:i/>
          <w:lang w:val="es-CU" w:eastAsia="en-US"/>
        </w:rPr>
      </w:pPr>
      <w:r w:rsidRPr="00102825">
        <w:rPr>
          <w:rFonts w:eastAsia="Calibri"/>
          <w:lang w:val="es-CU" w:eastAsia="en-US"/>
        </w:rPr>
        <w:t>Administración del proyecto</w:t>
      </w:r>
      <w:r w:rsidRPr="00102825">
        <w:rPr>
          <w:rFonts w:eastAsia="Calibri"/>
          <w:i/>
          <w:lang w:val="es-CU" w:eastAsia="en-US"/>
        </w:rPr>
        <w:t xml:space="preserve">: Urbano </w:t>
      </w:r>
      <w:proofErr w:type="spellStart"/>
      <w:r w:rsidRPr="00102825">
        <w:rPr>
          <w:rFonts w:eastAsia="Calibri"/>
          <w:i/>
          <w:lang w:val="es-CU" w:eastAsia="en-US"/>
        </w:rPr>
        <w:t>Solis</w:t>
      </w:r>
      <w:proofErr w:type="spellEnd"/>
      <w:r w:rsidRPr="00102825">
        <w:rPr>
          <w:rFonts w:eastAsia="Calibri"/>
          <w:i/>
          <w:lang w:val="es-CU" w:eastAsia="en-US"/>
        </w:rPr>
        <w:t xml:space="preserve"> Cartas, Silvia Johana Calvopiña Bejarano.</w:t>
      </w:r>
    </w:p>
    <w:p w14:paraId="1D4DB5CD" w14:textId="77777777" w:rsidR="00102825" w:rsidRPr="00102825" w:rsidRDefault="00102825" w:rsidP="00102825">
      <w:pPr>
        <w:spacing w:line="360" w:lineRule="auto"/>
        <w:jc w:val="both"/>
        <w:rPr>
          <w:rFonts w:eastAsia="Calibri"/>
          <w:i/>
          <w:lang w:val="es-CU" w:eastAsia="en-US"/>
        </w:rPr>
      </w:pPr>
      <w:r w:rsidRPr="00102825">
        <w:rPr>
          <w:rFonts w:eastAsia="Calibri"/>
          <w:lang w:val="es-CU" w:eastAsia="en-US"/>
        </w:rPr>
        <w:t xml:space="preserve">Recursos: </w:t>
      </w:r>
      <w:proofErr w:type="spellStart"/>
      <w:r w:rsidRPr="00102825">
        <w:rPr>
          <w:rFonts w:eastAsia="Calibri"/>
          <w:i/>
          <w:lang w:val="es-CU" w:eastAsia="en-US"/>
        </w:rPr>
        <w:t>Brigette</w:t>
      </w:r>
      <w:proofErr w:type="spellEnd"/>
      <w:r w:rsidRPr="00102825">
        <w:rPr>
          <w:rFonts w:eastAsia="Calibri"/>
          <w:i/>
          <w:lang w:val="es-CU" w:eastAsia="en-US"/>
        </w:rPr>
        <w:t xml:space="preserve"> Carolina Huaraca Morocho.</w:t>
      </w:r>
    </w:p>
    <w:p w14:paraId="49443D35" w14:textId="77777777" w:rsidR="00102825" w:rsidRPr="00102825" w:rsidRDefault="00102825" w:rsidP="00102825">
      <w:pPr>
        <w:spacing w:line="360" w:lineRule="auto"/>
        <w:jc w:val="both"/>
        <w:rPr>
          <w:rFonts w:eastAsia="Calibri"/>
          <w:i/>
          <w:lang w:val="es-CU" w:eastAsia="en-US"/>
        </w:rPr>
      </w:pPr>
      <w:r w:rsidRPr="00102825">
        <w:rPr>
          <w:rFonts w:eastAsia="Calibri"/>
          <w:lang w:val="es-CU" w:eastAsia="en-US"/>
        </w:rPr>
        <w:t xml:space="preserve">Supervisión: </w:t>
      </w:r>
      <w:r w:rsidRPr="00102825">
        <w:rPr>
          <w:rFonts w:eastAsia="Calibri"/>
          <w:i/>
          <w:lang w:val="es-CU" w:eastAsia="en-US"/>
        </w:rPr>
        <w:t>Libia Cristina Tinajero Novillo.</w:t>
      </w:r>
    </w:p>
    <w:p w14:paraId="59ECFBE2" w14:textId="77777777" w:rsidR="00102825" w:rsidRPr="00102825" w:rsidRDefault="00102825" w:rsidP="00102825">
      <w:pPr>
        <w:spacing w:line="360" w:lineRule="auto"/>
        <w:jc w:val="both"/>
        <w:rPr>
          <w:rFonts w:eastAsia="Calibri"/>
          <w:i/>
          <w:lang w:val="es-CU" w:eastAsia="en-US"/>
        </w:rPr>
      </w:pPr>
      <w:r w:rsidRPr="00102825">
        <w:rPr>
          <w:rFonts w:eastAsia="Calibri"/>
          <w:lang w:val="es-CU" w:eastAsia="en-US"/>
        </w:rPr>
        <w:t xml:space="preserve">Validación: </w:t>
      </w:r>
      <w:r w:rsidRPr="00102825">
        <w:rPr>
          <w:rFonts w:eastAsia="Calibri"/>
          <w:i/>
          <w:lang w:val="es-CU" w:eastAsia="en-US"/>
        </w:rPr>
        <w:t>Silvia Johana Calvopiña Bejarano</w:t>
      </w:r>
    </w:p>
    <w:p w14:paraId="738800F0" w14:textId="77777777" w:rsidR="00102825" w:rsidRPr="00102825" w:rsidRDefault="00102825" w:rsidP="00102825">
      <w:pPr>
        <w:spacing w:line="360" w:lineRule="auto"/>
        <w:jc w:val="both"/>
        <w:rPr>
          <w:rFonts w:eastAsia="Calibri"/>
          <w:i/>
          <w:lang w:val="es-CU" w:eastAsia="en-US"/>
        </w:rPr>
      </w:pPr>
      <w:r w:rsidRPr="00102825">
        <w:rPr>
          <w:rFonts w:eastAsia="Calibri"/>
          <w:lang w:val="es-CU" w:eastAsia="en-US"/>
        </w:rPr>
        <w:t xml:space="preserve">Visualización: </w:t>
      </w:r>
      <w:r w:rsidRPr="00102825">
        <w:rPr>
          <w:rFonts w:eastAsia="Calibri"/>
          <w:i/>
          <w:lang w:val="es-CU" w:eastAsia="en-US"/>
        </w:rPr>
        <w:t>Jorge Luis Valdés González.</w:t>
      </w:r>
    </w:p>
    <w:p w14:paraId="4398F059" w14:textId="77777777" w:rsidR="00102825" w:rsidRPr="00102825" w:rsidRDefault="00102825" w:rsidP="00102825">
      <w:pPr>
        <w:spacing w:line="360" w:lineRule="auto"/>
        <w:jc w:val="both"/>
        <w:rPr>
          <w:rFonts w:eastAsia="Calibri"/>
          <w:i/>
          <w:lang w:val="es-CU" w:eastAsia="en-US"/>
        </w:rPr>
      </w:pPr>
      <w:r w:rsidRPr="00102825">
        <w:rPr>
          <w:rFonts w:eastAsia="Calibri"/>
          <w:lang w:val="es-CU" w:eastAsia="en-US"/>
        </w:rPr>
        <w:t>Redacción – borrador original</w:t>
      </w:r>
      <w:r w:rsidRPr="00102825">
        <w:rPr>
          <w:rFonts w:eastAsia="Calibri"/>
          <w:i/>
          <w:lang w:val="es-CU" w:eastAsia="en-US"/>
        </w:rPr>
        <w:t xml:space="preserve">: Jorge Luis Valdés González, </w:t>
      </w:r>
      <w:proofErr w:type="spellStart"/>
      <w:r w:rsidRPr="00102825">
        <w:rPr>
          <w:rFonts w:eastAsia="Calibri"/>
          <w:i/>
          <w:lang w:val="es-CU" w:eastAsia="en-US"/>
        </w:rPr>
        <w:t>Brigette</w:t>
      </w:r>
      <w:proofErr w:type="spellEnd"/>
      <w:r w:rsidRPr="00102825">
        <w:rPr>
          <w:rFonts w:eastAsia="Calibri"/>
          <w:i/>
          <w:lang w:val="es-CU" w:eastAsia="en-US"/>
        </w:rPr>
        <w:t xml:space="preserve"> Carolina Huaraca Morocho.</w:t>
      </w:r>
    </w:p>
    <w:p w14:paraId="5D49553B" w14:textId="77777777" w:rsidR="00102825" w:rsidRPr="00102825" w:rsidRDefault="00102825" w:rsidP="00102825">
      <w:pPr>
        <w:spacing w:line="360" w:lineRule="auto"/>
        <w:jc w:val="both"/>
        <w:rPr>
          <w:rFonts w:eastAsia="Calibri"/>
          <w:i/>
          <w:lang w:val="es-CU" w:eastAsia="en-US"/>
        </w:rPr>
      </w:pPr>
      <w:r w:rsidRPr="00102825">
        <w:rPr>
          <w:rFonts w:eastAsia="Calibri"/>
          <w:lang w:val="es-CU" w:eastAsia="en-US"/>
        </w:rPr>
        <w:t xml:space="preserve">Redacción – revisión y edición: </w:t>
      </w:r>
      <w:r w:rsidRPr="00102825">
        <w:rPr>
          <w:rFonts w:eastAsia="Calibri"/>
          <w:i/>
          <w:lang w:val="es-CU" w:eastAsia="en-US"/>
        </w:rPr>
        <w:t xml:space="preserve">Urbano </w:t>
      </w:r>
      <w:proofErr w:type="spellStart"/>
      <w:r w:rsidRPr="00102825">
        <w:rPr>
          <w:rFonts w:eastAsia="Calibri"/>
          <w:i/>
          <w:lang w:val="es-CU" w:eastAsia="en-US"/>
        </w:rPr>
        <w:t>Solis</w:t>
      </w:r>
      <w:proofErr w:type="spellEnd"/>
      <w:r w:rsidRPr="00102825">
        <w:rPr>
          <w:rFonts w:eastAsia="Calibri"/>
          <w:i/>
          <w:lang w:val="es-CU" w:eastAsia="en-US"/>
        </w:rPr>
        <w:t xml:space="preserve"> Cartas.</w:t>
      </w:r>
    </w:p>
    <w:p w14:paraId="4EB62CF6" w14:textId="77777777" w:rsidR="00675476" w:rsidRPr="0055115D" w:rsidRDefault="00675476" w:rsidP="00EA1FEF">
      <w:pPr>
        <w:pStyle w:val="PDFRevista"/>
      </w:pPr>
    </w:p>
    <w:sectPr w:rsidR="00675476" w:rsidRPr="0055115D" w:rsidSect="00FD3DF8">
      <w:headerReference w:type="default" r:id="rId25"/>
      <w:footerReference w:type="even" r:id="rId26"/>
      <w:footerReference w:type="default" r:id="rId2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B52B" w14:textId="77777777" w:rsidR="002D2A77" w:rsidRDefault="002D2A77">
      <w:r>
        <w:separator/>
      </w:r>
    </w:p>
  </w:endnote>
  <w:endnote w:type="continuationSeparator" w:id="0">
    <w:p w14:paraId="4EBC72D7" w14:textId="77777777" w:rsidR="002D2A77" w:rsidRDefault="002D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4A4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58624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7C7A"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1674C46" wp14:editId="52E61270">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3FF3B"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BD63FFE" w14:textId="77777777" w:rsidR="00675476" w:rsidRPr="00AE044C" w:rsidRDefault="002D2A77" w:rsidP="00391509">
    <w:pPr>
      <w:pStyle w:val="Piedepgina"/>
      <w:ind w:right="360"/>
      <w:rPr>
        <w:sz w:val="22"/>
        <w:szCs w:val="22"/>
      </w:rPr>
    </w:pPr>
    <w:hyperlink r:id="rId1" w:history="1">
      <w:r w:rsidR="00391509" w:rsidRPr="00AE044C">
        <w:rPr>
          <w:rStyle w:val="Hipervnculo"/>
          <w:sz w:val="22"/>
          <w:szCs w:val="22"/>
        </w:rPr>
        <w:t>http://scielo.sld.cu</w:t>
      </w:r>
    </w:hyperlink>
  </w:p>
  <w:p w14:paraId="2561CDCA" w14:textId="77777777" w:rsidR="00391509" w:rsidRPr="00AE044C" w:rsidRDefault="002D2A77"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420820B"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5F5E39F0" wp14:editId="3CE19191">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4433" w14:textId="77777777" w:rsidR="002D2A77" w:rsidRDefault="002D2A77">
      <w:r>
        <w:separator/>
      </w:r>
    </w:p>
  </w:footnote>
  <w:footnote w:type="continuationSeparator" w:id="0">
    <w:p w14:paraId="791647AC" w14:textId="77777777" w:rsidR="002D2A77" w:rsidRDefault="002D2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0CB8" w14:textId="228B6A11" w:rsidR="00CC376A" w:rsidRPr="00AE044C" w:rsidRDefault="00102825"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247B00B2" wp14:editId="1DD67F04">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e024025544</w:t>
    </w:r>
  </w:p>
  <w:p w14:paraId="19A7D5B9"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8D37878" wp14:editId="73C18063">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CDBC2"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C5A70"/>
    <w:multiLevelType w:val="hybridMultilevel"/>
    <w:tmpl w:val="BE66FB8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72D82189"/>
    <w:multiLevelType w:val="hybridMultilevel"/>
    <w:tmpl w:val="7F1CD10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25"/>
    <w:rsid w:val="00057F45"/>
    <w:rsid w:val="000D3958"/>
    <w:rsid w:val="000F3690"/>
    <w:rsid w:val="00102825"/>
    <w:rsid w:val="001221D1"/>
    <w:rsid w:val="00165CB5"/>
    <w:rsid w:val="00180CE9"/>
    <w:rsid w:val="00230DD5"/>
    <w:rsid w:val="00250AE9"/>
    <w:rsid w:val="002D2A77"/>
    <w:rsid w:val="00380D64"/>
    <w:rsid w:val="00391509"/>
    <w:rsid w:val="003E03D5"/>
    <w:rsid w:val="00486BFA"/>
    <w:rsid w:val="00493701"/>
    <w:rsid w:val="004E2065"/>
    <w:rsid w:val="004F2575"/>
    <w:rsid w:val="005508A2"/>
    <w:rsid w:val="0055115D"/>
    <w:rsid w:val="00566F71"/>
    <w:rsid w:val="005918BD"/>
    <w:rsid w:val="006173A6"/>
    <w:rsid w:val="00675476"/>
    <w:rsid w:val="006F27D6"/>
    <w:rsid w:val="00762AD3"/>
    <w:rsid w:val="007C430F"/>
    <w:rsid w:val="007D2D0C"/>
    <w:rsid w:val="007D614D"/>
    <w:rsid w:val="00867BC5"/>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DC233D"/>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EA689"/>
  <w15:docId w15:val="{01D020A1-A82E-4622-980F-2923092B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661-8517" TargetMode="External"/><Relationship Id="rId13" Type="http://schemas.openxmlformats.org/officeDocument/2006/relationships/hyperlink" Target="http://scielo.sld.cu/scielo.php?script=sci_arttext&amp;pid=S0034-75232022000100010&amp;lng=es" TargetMode="External"/><Relationship Id="rId18" Type="http://schemas.openxmlformats.org/officeDocument/2006/relationships/hyperlink" Target="http://www.scielo.org.mx/scielo.php?script=sci_arttext&amp;pid=S0016-38132020000900043&amp;lng=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ielo.org.pe/scielo.php?script=sci_arttext&amp;pid=S2308-05312021000100118&amp;lng=es" TargetMode="External"/><Relationship Id="rId7" Type="http://schemas.openxmlformats.org/officeDocument/2006/relationships/hyperlink" Target="https://orcid.org/0000-0003-0350-6333" TargetMode="External"/><Relationship Id="rId12" Type="http://schemas.openxmlformats.org/officeDocument/2006/relationships/hyperlink" Target="mailto:umsmwork74@gmail.com" TargetMode="External"/><Relationship Id="rId17" Type="http://schemas.openxmlformats.org/officeDocument/2006/relationships/hyperlink" Target="http://cimogsys.espoch.edu.ec/direccion-publicaciones/public/docs/books/2021-01-21-164459-ARTICULOS%20CIENTIFICOS%20231120.pdf#page=11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elo.sld.cu/scielo.php?script=sci_arttext&amp;pid=S1817-59962018000300004&amp;lng=es" TargetMode="External"/><Relationship Id="rId20" Type="http://schemas.openxmlformats.org/officeDocument/2006/relationships/hyperlink" Target="http://scielo.sld.cu/scielo.php?script=sci_arttext&amp;pid=S1561-31942020000300009&amp;lng=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125-3572" TargetMode="External"/><Relationship Id="rId24" Type="http://schemas.openxmlformats.org/officeDocument/2006/relationships/hyperlink" Target="http://www.scielo.org.mx/scielo.php?script=sci_arttext&amp;pid=S0016-38132020000900051&amp;lng=es" TargetMode="External"/><Relationship Id="rId5" Type="http://schemas.openxmlformats.org/officeDocument/2006/relationships/footnotes" Target="footnotes.xml"/><Relationship Id="rId15" Type="http://schemas.openxmlformats.org/officeDocument/2006/relationships/hyperlink" Target="http://scielo.sld.cu/scielo.php?script=sci_arttext&amp;pid=S1817-59962019000400019&amp;lng=es" TargetMode="External"/><Relationship Id="rId23" Type="http://schemas.openxmlformats.org/officeDocument/2006/relationships/hyperlink" Target="http://www.fspog.com/fotos/editor2/09_aogp-d-22-00009.pdf" TargetMode="External"/><Relationship Id="rId28" Type="http://schemas.openxmlformats.org/officeDocument/2006/relationships/fontTable" Target="fontTable.xml"/><Relationship Id="rId10" Type="http://schemas.openxmlformats.org/officeDocument/2006/relationships/hyperlink" Target="https://orcid.org/0000-0002-5640-2733" TargetMode="External"/><Relationship Id="rId19" Type="http://schemas.openxmlformats.org/officeDocument/2006/relationships/hyperlink" Target="http://scielo.sld.cu/scielo.php?script=sci_arttext&amp;pid=S1817-59962017000400009&amp;lng=es" TargetMode="External"/><Relationship Id="rId4" Type="http://schemas.openxmlformats.org/officeDocument/2006/relationships/webSettings" Target="webSettings.xml"/><Relationship Id="rId9" Type="http://schemas.openxmlformats.org/officeDocument/2006/relationships/hyperlink" Target="https://orcid.org/0009-0006-5223-7781" TargetMode="External"/><Relationship Id="rId14" Type="http://schemas.openxmlformats.org/officeDocument/2006/relationships/hyperlink" Target="https://pubmed.ncbi.nlm.nih.gov/29429762/" TargetMode="External"/><Relationship Id="rId22" Type="http://schemas.openxmlformats.org/officeDocument/2006/relationships/hyperlink" Target="http://www.scielo.org.co/scielo.php?script=sci_arttext&amp;pid=S0123-34752011000200024&amp;lng=en"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12</Pages>
  <Words>3503</Words>
  <Characters>19267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22725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6</cp:revision>
  <cp:lastPrinted>2024-02-07T23:05:00Z</cp:lastPrinted>
  <dcterms:created xsi:type="dcterms:W3CDTF">2024-02-07T22:58:00Z</dcterms:created>
  <dcterms:modified xsi:type="dcterms:W3CDTF">2024-02-07T23:05:00Z</dcterms:modified>
</cp:coreProperties>
</file>