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0430" w14:textId="77777777" w:rsidR="002C44FC" w:rsidRPr="002C44FC" w:rsidRDefault="002C44FC" w:rsidP="002C44FC">
      <w:pPr>
        <w:spacing w:line="360" w:lineRule="auto"/>
        <w:ind w:right="256"/>
        <w:jc w:val="right"/>
        <w:rPr>
          <w:rFonts w:eastAsia="Book Antiqua"/>
          <w:bCs/>
          <w:color w:val="000000"/>
          <w:sz w:val="20"/>
          <w:szCs w:val="20"/>
          <w:lang w:val="es-ES" w:eastAsia="es-ES"/>
        </w:rPr>
      </w:pPr>
      <w:r w:rsidRPr="002C44FC">
        <w:rPr>
          <w:rFonts w:eastAsia="Book Antiqua"/>
          <w:bCs/>
          <w:color w:val="000000"/>
          <w:sz w:val="20"/>
          <w:szCs w:val="20"/>
          <w:lang w:val="es-ES" w:eastAsia="es-ES"/>
        </w:rPr>
        <w:t>Presentación de caso</w:t>
      </w:r>
    </w:p>
    <w:p w14:paraId="1C475EE9" w14:textId="77777777" w:rsidR="002C44FC" w:rsidRPr="002C44FC" w:rsidRDefault="002C44FC" w:rsidP="002C44FC">
      <w:pPr>
        <w:spacing w:line="360" w:lineRule="auto"/>
        <w:ind w:right="256"/>
        <w:jc w:val="center"/>
        <w:rPr>
          <w:rFonts w:eastAsia="Verdana"/>
          <w:b/>
          <w:color w:val="000000"/>
          <w:lang w:val="es-ES" w:eastAsia="es-ES"/>
        </w:rPr>
      </w:pPr>
    </w:p>
    <w:p w14:paraId="7910D055" w14:textId="77777777" w:rsidR="002C44FC" w:rsidRPr="002C44FC" w:rsidRDefault="002C44FC" w:rsidP="002C44FC">
      <w:pPr>
        <w:spacing w:line="360" w:lineRule="auto"/>
        <w:ind w:right="256"/>
        <w:jc w:val="center"/>
        <w:rPr>
          <w:rFonts w:eastAsia="Verdana"/>
          <w:b/>
          <w:sz w:val="28"/>
          <w:szCs w:val="28"/>
          <w:lang w:val="es-ES" w:eastAsia="es-ES"/>
        </w:rPr>
      </w:pPr>
      <w:r w:rsidRPr="002C44FC">
        <w:rPr>
          <w:rFonts w:eastAsia="Verdana"/>
          <w:b/>
          <w:color w:val="000000"/>
          <w:sz w:val="28"/>
          <w:szCs w:val="28"/>
          <w:lang w:val="es-ES" w:eastAsia="es-ES"/>
        </w:rPr>
        <w:t>Síndrome de la bolsa de orina púrpura</w:t>
      </w:r>
    </w:p>
    <w:p w14:paraId="151535DB" w14:textId="77777777" w:rsidR="002C44FC" w:rsidRPr="002C44FC" w:rsidRDefault="002C44FC" w:rsidP="002C44FC">
      <w:pPr>
        <w:spacing w:line="360" w:lineRule="auto"/>
        <w:ind w:right="256"/>
        <w:jc w:val="center"/>
        <w:rPr>
          <w:rFonts w:eastAsia="Verdana"/>
          <w:sz w:val="28"/>
          <w:szCs w:val="28"/>
          <w:lang w:val="es-ES" w:eastAsia="es-ES"/>
        </w:rPr>
      </w:pPr>
      <w:proofErr w:type="spellStart"/>
      <w:r w:rsidRPr="002C44FC">
        <w:rPr>
          <w:rFonts w:eastAsia="Verdana"/>
          <w:color w:val="000000"/>
          <w:sz w:val="28"/>
          <w:szCs w:val="28"/>
          <w:lang w:val="es-ES" w:eastAsia="es-ES"/>
        </w:rPr>
        <w:t>Purple</w:t>
      </w:r>
      <w:proofErr w:type="spellEnd"/>
      <w:r w:rsidRPr="002C44FC">
        <w:rPr>
          <w:rFonts w:eastAsia="Verdana"/>
          <w:color w:val="000000"/>
          <w:sz w:val="28"/>
          <w:szCs w:val="28"/>
          <w:lang w:val="es-ES" w:eastAsia="es-ES"/>
        </w:rPr>
        <w:t xml:space="preserve"> </w:t>
      </w:r>
      <w:proofErr w:type="spellStart"/>
      <w:r w:rsidRPr="002C44FC">
        <w:rPr>
          <w:rFonts w:eastAsia="Verdana"/>
          <w:color w:val="000000"/>
          <w:sz w:val="28"/>
          <w:szCs w:val="28"/>
          <w:lang w:val="es-ES" w:eastAsia="es-ES"/>
        </w:rPr>
        <w:t>urine</w:t>
      </w:r>
      <w:proofErr w:type="spellEnd"/>
      <w:r w:rsidRPr="002C44FC">
        <w:rPr>
          <w:rFonts w:eastAsia="Verdana"/>
          <w:color w:val="000000"/>
          <w:sz w:val="28"/>
          <w:szCs w:val="28"/>
          <w:lang w:val="es-ES" w:eastAsia="es-ES"/>
        </w:rPr>
        <w:t xml:space="preserve"> bag </w:t>
      </w:r>
      <w:proofErr w:type="spellStart"/>
      <w:r w:rsidRPr="002C44FC">
        <w:rPr>
          <w:rFonts w:eastAsia="Verdana"/>
          <w:color w:val="000000"/>
          <w:sz w:val="28"/>
          <w:szCs w:val="28"/>
          <w:lang w:val="es-ES" w:eastAsia="es-ES"/>
        </w:rPr>
        <w:t>syndrome</w:t>
      </w:r>
      <w:proofErr w:type="spellEnd"/>
    </w:p>
    <w:p w14:paraId="69BFD877" w14:textId="77777777" w:rsidR="002C44FC" w:rsidRPr="002C44FC" w:rsidRDefault="002C44FC" w:rsidP="002C44FC">
      <w:pPr>
        <w:spacing w:line="360" w:lineRule="auto"/>
        <w:ind w:right="-15"/>
        <w:jc w:val="both"/>
        <w:rPr>
          <w:rFonts w:eastAsia="Verdana"/>
          <w:color w:val="000000"/>
          <w:lang w:val="es-ES" w:eastAsia="es-ES"/>
        </w:rPr>
      </w:pPr>
    </w:p>
    <w:p w14:paraId="7FE03920"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Adriana </w:t>
      </w:r>
      <w:proofErr w:type="spellStart"/>
      <w:r w:rsidRPr="002C44FC">
        <w:rPr>
          <w:rFonts w:eastAsia="Verdana"/>
          <w:color w:val="000000"/>
          <w:lang w:val="es-ES" w:eastAsia="es-ES"/>
        </w:rPr>
        <w:t>Yllodo</w:t>
      </w:r>
      <w:proofErr w:type="spellEnd"/>
      <w:r w:rsidRPr="002C44FC">
        <w:rPr>
          <w:rFonts w:eastAsia="Verdana"/>
          <w:color w:val="000000"/>
          <w:lang w:val="es-ES" w:eastAsia="es-ES"/>
        </w:rPr>
        <w:t xml:space="preserve"> </w:t>
      </w:r>
      <w:proofErr w:type="spellStart"/>
      <w:r w:rsidRPr="002C44FC">
        <w:rPr>
          <w:rFonts w:eastAsia="Verdana"/>
          <w:color w:val="000000"/>
          <w:lang w:val="es-ES" w:eastAsia="es-ES"/>
        </w:rPr>
        <w:t>Cristo</w:t>
      </w:r>
      <w:r w:rsidRPr="002C44FC">
        <w:rPr>
          <w:rFonts w:eastAsia="Verdana"/>
          <w:color w:val="000000"/>
          <w:vertAlign w:val="superscript"/>
          <w:lang w:val="es-ES" w:eastAsia="es-ES"/>
        </w:rPr>
        <w:t>1</w:t>
      </w:r>
      <w:proofErr w:type="spellEnd"/>
      <w:r w:rsidRPr="002C44FC">
        <w:rPr>
          <w:rFonts w:eastAsia="Verdana"/>
          <w:color w:val="000000"/>
          <w:lang w:val="es-ES" w:eastAsia="es-ES"/>
        </w:rPr>
        <w:t xml:space="preserve"> </w:t>
      </w:r>
      <w:hyperlink r:id="rId7" w:history="1">
        <w:r w:rsidRPr="002C44FC">
          <w:rPr>
            <w:rFonts w:eastAsia="Verdana"/>
            <w:color w:val="0563C1"/>
            <w:lang w:val="es-ES" w:eastAsia="es-ES"/>
          </w:rPr>
          <w:t>https://orcid.org/0000-0002-1490-0216</w:t>
        </w:r>
      </w:hyperlink>
      <w:r w:rsidRPr="002C44FC">
        <w:rPr>
          <w:rFonts w:eastAsia="Verdana"/>
          <w:color w:val="000000"/>
          <w:lang w:val="es-ES" w:eastAsia="es-ES"/>
        </w:rPr>
        <w:t xml:space="preserve"> </w:t>
      </w:r>
    </w:p>
    <w:p w14:paraId="57FC700B"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Liliana V. Leyva </w:t>
      </w:r>
      <w:proofErr w:type="spellStart"/>
      <w:r w:rsidRPr="002C44FC">
        <w:rPr>
          <w:rFonts w:eastAsia="Verdana"/>
          <w:color w:val="000000"/>
          <w:lang w:val="es-ES" w:eastAsia="es-ES"/>
        </w:rPr>
        <w:t>Pupo</w:t>
      </w:r>
      <w:r w:rsidRPr="002C44FC">
        <w:rPr>
          <w:rFonts w:eastAsia="Verdana"/>
          <w:color w:val="000000"/>
          <w:vertAlign w:val="superscript"/>
          <w:lang w:val="es-ES" w:eastAsia="es-ES"/>
        </w:rPr>
        <w:t>1</w:t>
      </w:r>
      <w:proofErr w:type="spellEnd"/>
      <w:r w:rsidRPr="002C44FC">
        <w:rPr>
          <w:rFonts w:eastAsia="Verdana"/>
          <w:color w:val="000000"/>
          <w:lang w:val="es-ES" w:eastAsia="es-ES"/>
        </w:rPr>
        <w:t xml:space="preserve"> </w:t>
      </w:r>
      <w:hyperlink r:id="rId8" w:history="1">
        <w:r w:rsidRPr="002C44FC">
          <w:rPr>
            <w:rFonts w:eastAsia="Verdana"/>
            <w:color w:val="0563C1"/>
            <w:lang w:val="es-ES" w:eastAsia="es-ES"/>
          </w:rPr>
          <w:t>https://orcid.org/0000-0002-1139-8080</w:t>
        </w:r>
      </w:hyperlink>
      <w:r w:rsidRPr="002C44FC">
        <w:rPr>
          <w:rFonts w:eastAsia="Verdana"/>
          <w:color w:val="000000"/>
          <w:lang w:val="es-ES" w:eastAsia="es-ES"/>
        </w:rPr>
        <w:t xml:space="preserve"> </w:t>
      </w:r>
    </w:p>
    <w:p w14:paraId="0A6333BC"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Emmanuel Zayas </w:t>
      </w:r>
      <w:proofErr w:type="spellStart"/>
      <w:r w:rsidRPr="002C44FC">
        <w:rPr>
          <w:rFonts w:eastAsia="Verdana"/>
          <w:color w:val="000000"/>
          <w:lang w:val="es-ES" w:eastAsia="es-ES"/>
        </w:rPr>
        <w:t>Fundora</w:t>
      </w:r>
      <w:r w:rsidRPr="002C44FC">
        <w:rPr>
          <w:rFonts w:eastAsia="Verdana"/>
          <w:color w:val="000000"/>
          <w:vertAlign w:val="superscript"/>
          <w:lang w:val="es-ES" w:eastAsia="es-ES"/>
        </w:rPr>
        <w:t>1</w:t>
      </w:r>
      <w:proofErr w:type="spellEnd"/>
      <w:r w:rsidRPr="002C44FC">
        <w:rPr>
          <w:rFonts w:eastAsia="Verdana"/>
          <w:color w:val="000000"/>
          <w:lang w:val="es-ES" w:eastAsia="es-ES"/>
        </w:rPr>
        <w:t xml:space="preserve">* </w:t>
      </w:r>
      <w:hyperlink r:id="rId9" w:history="1">
        <w:r w:rsidRPr="002C44FC">
          <w:rPr>
            <w:rFonts w:eastAsia="Verdana"/>
            <w:color w:val="0563C1"/>
            <w:lang w:val="es-ES" w:eastAsia="es-ES"/>
          </w:rPr>
          <w:t>https://orcid.org/0000-0002-3830-358X</w:t>
        </w:r>
      </w:hyperlink>
      <w:r w:rsidRPr="002C44FC">
        <w:rPr>
          <w:rFonts w:eastAsia="Verdana"/>
          <w:color w:val="000000"/>
          <w:lang w:val="es-ES" w:eastAsia="es-ES"/>
        </w:rPr>
        <w:t xml:space="preserve"> </w:t>
      </w:r>
    </w:p>
    <w:p w14:paraId="1AC46FB1"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Beatriz Josefa </w:t>
      </w:r>
      <w:proofErr w:type="spellStart"/>
      <w:r w:rsidRPr="002C44FC">
        <w:rPr>
          <w:rFonts w:eastAsia="Verdana"/>
          <w:color w:val="000000"/>
          <w:lang w:val="es-ES" w:eastAsia="es-ES"/>
        </w:rPr>
        <w:t>Franchi</w:t>
      </w:r>
      <w:r w:rsidRPr="002C44FC">
        <w:rPr>
          <w:rFonts w:eastAsia="Verdana"/>
          <w:color w:val="000000"/>
          <w:vertAlign w:val="superscript"/>
          <w:lang w:val="es-ES" w:eastAsia="es-ES"/>
        </w:rPr>
        <w:t>2</w:t>
      </w:r>
      <w:proofErr w:type="spellEnd"/>
      <w:r w:rsidRPr="002C44FC">
        <w:rPr>
          <w:rFonts w:eastAsia="Verdana"/>
          <w:color w:val="000000"/>
          <w:lang w:val="es-ES" w:eastAsia="es-ES"/>
        </w:rPr>
        <w:t xml:space="preserve"> </w:t>
      </w:r>
      <w:hyperlink r:id="rId10" w:history="1">
        <w:r w:rsidRPr="002C44FC">
          <w:rPr>
            <w:rFonts w:eastAsia="Verdana"/>
            <w:color w:val="0563C1"/>
            <w:lang w:val="es-ES" w:eastAsia="es-ES"/>
          </w:rPr>
          <w:t>https://orcid.org/0000-0002-4732-9829</w:t>
        </w:r>
      </w:hyperlink>
      <w:r w:rsidRPr="002C44FC">
        <w:rPr>
          <w:rFonts w:eastAsia="Verdana"/>
          <w:color w:val="000000"/>
          <w:lang w:val="es-ES" w:eastAsia="es-ES"/>
        </w:rPr>
        <w:t xml:space="preserve"> </w:t>
      </w:r>
    </w:p>
    <w:p w14:paraId="7CFD9C35"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Viviana Cristo </w:t>
      </w:r>
      <w:proofErr w:type="spellStart"/>
      <w:r w:rsidRPr="002C44FC">
        <w:rPr>
          <w:rFonts w:eastAsia="Verdana"/>
          <w:color w:val="000000"/>
          <w:lang w:val="es-ES" w:eastAsia="es-ES"/>
        </w:rPr>
        <w:t>Pérez</w:t>
      </w:r>
      <w:r w:rsidRPr="002C44FC">
        <w:rPr>
          <w:rFonts w:eastAsia="Verdana"/>
          <w:color w:val="000000"/>
          <w:vertAlign w:val="superscript"/>
          <w:lang w:val="es-ES" w:eastAsia="es-ES"/>
        </w:rPr>
        <w:t>3</w:t>
      </w:r>
      <w:proofErr w:type="spellEnd"/>
      <w:r w:rsidRPr="002C44FC">
        <w:rPr>
          <w:rFonts w:eastAsia="Verdana"/>
          <w:color w:val="000000"/>
          <w:lang w:val="es-ES" w:eastAsia="es-ES"/>
        </w:rPr>
        <w:t xml:space="preserve"> </w:t>
      </w:r>
      <w:hyperlink r:id="rId11" w:history="1">
        <w:r w:rsidRPr="002C44FC">
          <w:rPr>
            <w:rFonts w:eastAsia="Verdana"/>
            <w:color w:val="0563C1"/>
            <w:lang w:val="es-ES" w:eastAsia="es-ES"/>
          </w:rPr>
          <w:t>https://orcid.org/0000-0002-7079-0349</w:t>
        </w:r>
      </w:hyperlink>
      <w:r w:rsidRPr="002C44FC">
        <w:rPr>
          <w:rFonts w:eastAsia="Verdana"/>
          <w:color w:val="000000"/>
          <w:lang w:val="es-ES" w:eastAsia="es-ES"/>
        </w:rPr>
        <w:t xml:space="preserve"> </w:t>
      </w:r>
    </w:p>
    <w:p w14:paraId="285EA553"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Oscar </w:t>
      </w:r>
      <w:proofErr w:type="spellStart"/>
      <w:r w:rsidRPr="002C44FC">
        <w:rPr>
          <w:rFonts w:eastAsia="Verdana"/>
          <w:color w:val="000000"/>
          <w:lang w:val="es-ES" w:eastAsia="es-ES"/>
        </w:rPr>
        <w:t>Yllodo</w:t>
      </w:r>
      <w:proofErr w:type="spellEnd"/>
      <w:r w:rsidRPr="002C44FC">
        <w:rPr>
          <w:rFonts w:eastAsia="Verdana"/>
          <w:color w:val="000000"/>
          <w:lang w:val="es-ES" w:eastAsia="es-ES"/>
        </w:rPr>
        <w:t xml:space="preserve"> </w:t>
      </w:r>
      <w:proofErr w:type="spellStart"/>
      <w:r w:rsidRPr="002C44FC">
        <w:rPr>
          <w:rFonts w:eastAsia="Verdana"/>
          <w:color w:val="000000"/>
          <w:lang w:val="es-ES" w:eastAsia="es-ES"/>
        </w:rPr>
        <w:t>Hernández</w:t>
      </w:r>
      <w:r w:rsidRPr="002C44FC">
        <w:rPr>
          <w:rFonts w:eastAsia="Verdana"/>
          <w:color w:val="000000"/>
          <w:vertAlign w:val="superscript"/>
          <w:lang w:val="es-ES" w:eastAsia="es-ES"/>
        </w:rPr>
        <w:t>3</w:t>
      </w:r>
      <w:proofErr w:type="spellEnd"/>
      <w:r w:rsidRPr="002C44FC">
        <w:rPr>
          <w:rFonts w:eastAsia="Verdana"/>
          <w:color w:val="000000"/>
          <w:lang w:val="es-ES" w:eastAsia="es-ES"/>
        </w:rPr>
        <w:t xml:space="preserve"> </w:t>
      </w:r>
      <w:hyperlink r:id="rId12" w:history="1">
        <w:r w:rsidRPr="002C44FC">
          <w:rPr>
            <w:rFonts w:eastAsia="Verdana"/>
            <w:color w:val="0563C1"/>
            <w:lang w:val="es-ES" w:eastAsia="es-ES"/>
          </w:rPr>
          <w:t>https://orcid.org/0000-0002-6921-8089</w:t>
        </w:r>
      </w:hyperlink>
      <w:r w:rsidRPr="002C44FC">
        <w:rPr>
          <w:rFonts w:eastAsia="Verdana"/>
          <w:color w:val="000000"/>
          <w:lang w:val="es-ES" w:eastAsia="es-ES"/>
        </w:rPr>
        <w:t xml:space="preserve"> </w:t>
      </w:r>
    </w:p>
    <w:p w14:paraId="51F93599" w14:textId="77777777" w:rsidR="002C44FC" w:rsidRPr="002C44FC" w:rsidRDefault="002C44FC" w:rsidP="002C44FC">
      <w:pPr>
        <w:spacing w:line="360" w:lineRule="auto"/>
        <w:ind w:right="-15"/>
        <w:jc w:val="both"/>
        <w:rPr>
          <w:rFonts w:eastAsia="Verdana"/>
          <w:color w:val="000000"/>
          <w:lang w:val="es-ES" w:eastAsia="es-ES"/>
        </w:rPr>
      </w:pPr>
    </w:p>
    <w:p w14:paraId="6089FD41" w14:textId="77777777" w:rsidR="002C44FC" w:rsidRPr="002C44FC" w:rsidRDefault="002C44FC" w:rsidP="002C44FC">
      <w:pPr>
        <w:spacing w:line="360" w:lineRule="auto"/>
        <w:ind w:right="-15"/>
        <w:jc w:val="both"/>
        <w:rPr>
          <w:rFonts w:eastAsia="Verdana"/>
          <w:color w:val="000000"/>
          <w:lang w:val="es-ES" w:eastAsia="es-ES"/>
        </w:rPr>
      </w:pPr>
      <w:proofErr w:type="spellStart"/>
      <w:r w:rsidRPr="002C44FC">
        <w:rPr>
          <w:rFonts w:eastAsia="Verdana"/>
          <w:color w:val="000000"/>
          <w:vertAlign w:val="superscript"/>
          <w:lang w:val="es-ES" w:eastAsia="es-ES"/>
        </w:rPr>
        <w:t>1</w:t>
      </w:r>
      <w:r w:rsidRPr="002C44FC">
        <w:rPr>
          <w:rFonts w:eastAsia="Verdana"/>
          <w:color w:val="000000"/>
          <w:lang w:val="es-ES" w:eastAsia="es-ES"/>
        </w:rPr>
        <w:t>Universidad</w:t>
      </w:r>
      <w:proofErr w:type="spellEnd"/>
      <w:r w:rsidRPr="002C44FC">
        <w:rPr>
          <w:rFonts w:eastAsia="Verdana"/>
          <w:color w:val="000000"/>
          <w:lang w:val="es-ES" w:eastAsia="es-ES"/>
        </w:rPr>
        <w:t xml:space="preserve"> de Ciencias Médicas de la Habana. Facultad de Ciencias Médicas “Manuel Fajardo”. La Habana, Cuba.</w:t>
      </w:r>
    </w:p>
    <w:p w14:paraId="28C59C2D" w14:textId="77777777" w:rsidR="002C44FC" w:rsidRPr="002C44FC" w:rsidRDefault="002C44FC" w:rsidP="002C44FC">
      <w:pPr>
        <w:spacing w:line="360" w:lineRule="auto"/>
        <w:ind w:right="-15"/>
        <w:jc w:val="both"/>
        <w:rPr>
          <w:rFonts w:eastAsia="Verdana"/>
          <w:color w:val="000000"/>
          <w:lang w:val="es-ES" w:eastAsia="es-ES"/>
        </w:rPr>
      </w:pPr>
      <w:proofErr w:type="spellStart"/>
      <w:r w:rsidRPr="002C44FC">
        <w:rPr>
          <w:rFonts w:eastAsia="Verdana"/>
          <w:color w:val="000000"/>
          <w:vertAlign w:val="superscript"/>
          <w:lang w:val="es-ES" w:eastAsia="es-ES"/>
        </w:rPr>
        <w:t>2</w:t>
      </w:r>
      <w:r w:rsidRPr="002C44FC">
        <w:rPr>
          <w:rFonts w:eastAsia="Verdana"/>
          <w:color w:val="000000"/>
          <w:lang w:val="es-ES" w:eastAsia="es-ES"/>
        </w:rPr>
        <w:t>Universidad</w:t>
      </w:r>
      <w:proofErr w:type="spellEnd"/>
      <w:r w:rsidRPr="002C44FC">
        <w:rPr>
          <w:rFonts w:eastAsia="Verdana"/>
          <w:color w:val="000000"/>
          <w:lang w:val="es-ES" w:eastAsia="es-ES"/>
        </w:rPr>
        <w:t xml:space="preserve"> de Ciencias Médicas de la Habana. Hospital Universitario Clínico Quirúrgico "General Calixto García". La Habana, Cuba.</w:t>
      </w:r>
    </w:p>
    <w:p w14:paraId="400543F6" w14:textId="77777777" w:rsidR="002C44FC" w:rsidRPr="002C44FC" w:rsidRDefault="002C44FC" w:rsidP="002C44FC">
      <w:pPr>
        <w:spacing w:line="360" w:lineRule="auto"/>
        <w:ind w:right="-15"/>
        <w:jc w:val="both"/>
        <w:rPr>
          <w:rFonts w:eastAsia="Verdana"/>
          <w:color w:val="000000"/>
          <w:lang w:val="es-ES" w:eastAsia="es-ES"/>
        </w:rPr>
      </w:pPr>
      <w:proofErr w:type="spellStart"/>
      <w:r w:rsidRPr="002C44FC">
        <w:rPr>
          <w:rFonts w:eastAsia="Verdana"/>
          <w:color w:val="000000"/>
          <w:vertAlign w:val="superscript"/>
          <w:lang w:val="es-ES" w:eastAsia="es-ES"/>
        </w:rPr>
        <w:t>3</w:t>
      </w:r>
      <w:r w:rsidRPr="002C44FC">
        <w:rPr>
          <w:rFonts w:eastAsia="Verdana"/>
          <w:color w:val="000000"/>
          <w:lang w:val="es-ES" w:eastAsia="es-ES"/>
        </w:rPr>
        <w:t>Universidad</w:t>
      </w:r>
      <w:proofErr w:type="spellEnd"/>
      <w:r w:rsidRPr="002C44FC">
        <w:rPr>
          <w:rFonts w:eastAsia="Verdana"/>
          <w:color w:val="000000"/>
          <w:lang w:val="es-ES" w:eastAsia="es-ES"/>
        </w:rPr>
        <w:t xml:space="preserve"> de Ciencias Médicas de las Fuerzas Armadas Revolucionarias. Hospital Militar Central “Dr. Carlos J. Finlay”. La Habana, Cuba.</w:t>
      </w:r>
    </w:p>
    <w:p w14:paraId="250D1780" w14:textId="77777777" w:rsidR="002C44FC" w:rsidRPr="002C44FC" w:rsidRDefault="002C44FC" w:rsidP="002C44FC">
      <w:pPr>
        <w:spacing w:line="360" w:lineRule="auto"/>
        <w:ind w:right="-15"/>
        <w:jc w:val="both"/>
        <w:rPr>
          <w:rFonts w:eastAsia="Verdana"/>
          <w:color w:val="000000"/>
          <w:lang w:val="es-ES" w:eastAsia="es-ES"/>
        </w:rPr>
      </w:pPr>
    </w:p>
    <w:p w14:paraId="024B48E5" w14:textId="77777777" w:rsidR="002C44FC" w:rsidRPr="002C44FC" w:rsidRDefault="002C44FC" w:rsidP="002C44FC">
      <w:pPr>
        <w:spacing w:line="360" w:lineRule="auto"/>
        <w:ind w:right="-15"/>
        <w:jc w:val="both"/>
        <w:rPr>
          <w:rFonts w:eastAsia="Verdana"/>
          <w:color w:val="000000"/>
          <w:lang w:val="es-ES" w:eastAsia="es-ES"/>
        </w:rPr>
      </w:pPr>
      <w:r w:rsidRPr="002C44FC">
        <w:rPr>
          <w:rFonts w:eastAsia="Verdana"/>
          <w:color w:val="000000"/>
          <w:lang w:val="es-ES" w:eastAsia="es-ES"/>
        </w:rPr>
        <w:t xml:space="preserve">*Autor para la correspondencia. Correo electrónico: </w:t>
      </w:r>
      <w:hyperlink r:id="rId13" w:history="1">
        <w:r w:rsidRPr="002C44FC">
          <w:rPr>
            <w:rFonts w:eastAsia="Verdana"/>
            <w:color w:val="0563C1"/>
            <w:u w:val="single"/>
            <w:lang w:val="es-ES" w:eastAsia="es-ES"/>
          </w:rPr>
          <w:t>emmanuelzayascuba@gmail.com</w:t>
        </w:r>
      </w:hyperlink>
    </w:p>
    <w:p w14:paraId="1D381FEF" w14:textId="77777777" w:rsidR="002C44FC" w:rsidRPr="002C44FC" w:rsidRDefault="002C44FC" w:rsidP="002C44FC">
      <w:pPr>
        <w:spacing w:line="360" w:lineRule="auto"/>
        <w:ind w:right="-15"/>
        <w:jc w:val="both"/>
        <w:rPr>
          <w:rFonts w:eastAsia="Verdana"/>
          <w:color w:val="000000"/>
          <w:lang w:val="es-ES" w:eastAsia="es-ES"/>
        </w:rPr>
      </w:pPr>
    </w:p>
    <w:p w14:paraId="0D2DC3C9" w14:textId="77777777" w:rsidR="002C44FC" w:rsidRPr="002C44FC" w:rsidRDefault="002C44FC" w:rsidP="002C44FC">
      <w:pPr>
        <w:spacing w:line="360" w:lineRule="auto"/>
        <w:ind w:right="-15"/>
        <w:jc w:val="both"/>
        <w:rPr>
          <w:rFonts w:eastAsia="Arial"/>
          <w:b/>
          <w:color w:val="000000"/>
          <w:lang w:val="es-ES" w:eastAsia="es-ES"/>
        </w:rPr>
      </w:pPr>
      <w:r w:rsidRPr="002C44FC">
        <w:rPr>
          <w:rFonts w:eastAsia="Arial"/>
          <w:b/>
          <w:color w:val="000000"/>
          <w:lang w:val="es-ES" w:eastAsia="es-ES"/>
        </w:rPr>
        <w:t xml:space="preserve">RESUMEN </w:t>
      </w:r>
    </w:p>
    <w:p w14:paraId="2FBCA3BA"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b/>
          <w:color w:val="000000"/>
          <w:lang w:val="es-ES" w:eastAsia="es-ES"/>
        </w:rPr>
        <w:t>Introducción</w:t>
      </w:r>
      <w:r w:rsidRPr="002C44FC">
        <w:rPr>
          <w:rFonts w:eastAsia="Arial"/>
          <w:color w:val="000000"/>
          <w:lang w:val="es-ES" w:eastAsia="es-ES"/>
        </w:rPr>
        <w:t xml:space="preserve">: El síndrome de la bolsa orina púrpura es una condición llamativa, que rara vez se presenta en la práctica clínica. Aparece en el contexto de infecciones urinarias en ancianos, pluripatológicos, con sonda vesical y factores de riesgo asociados. Se produce por una reacción química entre la orina, el material plástico de la bolsa colectora y enzimas </w:t>
      </w:r>
      <w:proofErr w:type="spellStart"/>
      <w:r w:rsidRPr="002C44FC">
        <w:rPr>
          <w:rFonts w:eastAsia="Arial"/>
          <w:color w:val="000000"/>
          <w:lang w:val="es-ES" w:eastAsia="es-ES"/>
        </w:rPr>
        <w:t>sulfatasas</w:t>
      </w:r>
      <w:proofErr w:type="spellEnd"/>
      <w:r w:rsidRPr="002C44FC">
        <w:rPr>
          <w:rFonts w:eastAsia="Arial"/>
          <w:color w:val="000000"/>
          <w:lang w:val="es-ES" w:eastAsia="es-ES"/>
        </w:rPr>
        <w:t xml:space="preserve">/ fosfatasas de bacterias que generan el color violáceo característico. </w:t>
      </w:r>
    </w:p>
    <w:p w14:paraId="72E1E8C4"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b/>
          <w:color w:val="000000"/>
          <w:lang w:val="es-ES" w:eastAsia="es-ES"/>
        </w:rPr>
        <w:lastRenderedPageBreak/>
        <w:t xml:space="preserve">Objetivo: </w:t>
      </w:r>
      <w:r w:rsidRPr="002C44FC">
        <w:rPr>
          <w:rFonts w:eastAsia="Arial"/>
          <w:color w:val="000000"/>
          <w:lang w:val="es-ES" w:eastAsia="es-ES"/>
        </w:rPr>
        <w:t xml:space="preserve">Reportar un caso con síndrome de la bolsa orina púrpura, como forma de presentación inusual de infección urinaria. </w:t>
      </w:r>
    </w:p>
    <w:p w14:paraId="5FAB8B02"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b/>
          <w:color w:val="000000"/>
          <w:lang w:val="es-ES" w:eastAsia="es-ES"/>
        </w:rPr>
        <w:t xml:space="preserve">Caso Clínico: </w:t>
      </w:r>
      <w:r w:rsidRPr="002C44FC">
        <w:rPr>
          <w:rFonts w:eastAsia="Arial"/>
          <w:color w:val="000000"/>
          <w:lang w:val="es-ES" w:eastAsia="es-ES"/>
        </w:rPr>
        <w:t xml:space="preserve">Paciente femenina, de 76 años de edad, con antecedentes de constipación habitual, acudió a urgencias por pérdida del conocimiento y hemiparesia derecha. Se realizó tomografía axial computarizada de cráneo y se diagnosticó una enfermedad cerebrovascular. Como parte de la conducta se indicó sonda vesical y 14 días después apareció orina de color violeta en la bolsa colectora. Se diagnosticó infección urinaria por </w:t>
      </w:r>
      <w:proofErr w:type="spellStart"/>
      <w:r w:rsidRPr="002C44FC">
        <w:rPr>
          <w:rFonts w:eastAsia="Arial"/>
          <w:i/>
          <w:color w:val="000000"/>
          <w:lang w:val="es-ES" w:eastAsia="es-ES"/>
        </w:rPr>
        <w:t>Escherichia</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coli</w:t>
      </w:r>
      <w:proofErr w:type="spellEnd"/>
      <w:r w:rsidRPr="002C44FC">
        <w:rPr>
          <w:rFonts w:eastAsia="Arial"/>
          <w:i/>
          <w:color w:val="000000"/>
          <w:lang w:val="es-ES" w:eastAsia="es-ES"/>
        </w:rPr>
        <w:t xml:space="preserve"> </w:t>
      </w:r>
      <w:r w:rsidRPr="002C44FC">
        <w:rPr>
          <w:rFonts w:eastAsia="Arial"/>
          <w:color w:val="000000"/>
          <w:lang w:val="es-ES" w:eastAsia="es-ES"/>
        </w:rPr>
        <w:t xml:space="preserve">y se trató con ceftriaxona. Se normalizó el color de la orina al tercer día de tratamiento, la paciente evolucionó de forma favorable. </w:t>
      </w:r>
    </w:p>
    <w:p w14:paraId="5300A377"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b/>
          <w:color w:val="000000"/>
          <w:lang w:val="es-ES" w:eastAsia="es-ES"/>
        </w:rPr>
        <w:t>Conclusiones</w:t>
      </w:r>
      <w:r w:rsidRPr="002C44FC">
        <w:rPr>
          <w:rFonts w:eastAsia="Arial"/>
          <w:b/>
          <w:bCs/>
          <w:color w:val="000000"/>
          <w:lang w:val="es-ES" w:eastAsia="es-ES"/>
        </w:rPr>
        <w:t>:</w:t>
      </w:r>
      <w:r w:rsidRPr="002C44FC">
        <w:rPr>
          <w:rFonts w:eastAsia="Arial"/>
          <w:color w:val="000000"/>
          <w:lang w:val="es-ES" w:eastAsia="es-ES"/>
        </w:rPr>
        <w:t xml:space="preserve"> Aunque se puede identificar con facilidad, sin requerir exámenes costosos, constituye un reto para los médicos que atienden a pacientes geriátricos. Conocer este trastorno es fundamental, porque, aunque es infrecuente, puede ser la única manifestación de infección urinaria en pacientes con cateterismo uretral.  </w:t>
      </w:r>
    </w:p>
    <w:p w14:paraId="5A8C00F8"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b/>
          <w:color w:val="000000"/>
          <w:lang w:val="es-ES" w:eastAsia="es-ES"/>
        </w:rPr>
        <w:t>Palabras clave</w:t>
      </w:r>
      <w:r w:rsidRPr="002C44FC">
        <w:rPr>
          <w:rFonts w:eastAsia="Arial"/>
          <w:b/>
          <w:bCs/>
          <w:color w:val="000000"/>
          <w:lang w:val="es-ES" w:eastAsia="es-ES"/>
        </w:rPr>
        <w:t>:</w:t>
      </w:r>
      <w:r w:rsidRPr="002C44FC">
        <w:rPr>
          <w:rFonts w:eastAsia="Arial"/>
          <w:color w:val="000000"/>
          <w:lang w:val="es-ES" w:eastAsia="es-ES"/>
        </w:rPr>
        <w:t xml:space="preserve"> púrpura; cateterismo urinario; infecciones urinarias; bacterias; anciano.</w:t>
      </w:r>
    </w:p>
    <w:p w14:paraId="480E03C8" w14:textId="77777777" w:rsidR="002C44FC" w:rsidRPr="002C44FC" w:rsidRDefault="002C44FC" w:rsidP="002C44FC">
      <w:pPr>
        <w:spacing w:line="360" w:lineRule="auto"/>
        <w:ind w:left="-5" w:hanging="10"/>
        <w:jc w:val="both"/>
        <w:rPr>
          <w:rFonts w:eastAsia="Arial"/>
          <w:color w:val="000000"/>
          <w:lang w:val="es-ES" w:eastAsia="es-ES"/>
        </w:rPr>
      </w:pPr>
    </w:p>
    <w:p w14:paraId="5CB3F9C1" w14:textId="77777777" w:rsidR="002C44FC" w:rsidRPr="002C44FC" w:rsidRDefault="002C44FC" w:rsidP="002C44FC">
      <w:pPr>
        <w:spacing w:line="360" w:lineRule="auto"/>
        <w:jc w:val="both"/>
        <w:rPr>
          <w:rFonts w:eastAsia="Arial"/>
          <w:color w:val="000000"/>
          <w:lang w:val="en-US" w:eastAsia="es-ES"/>
        </w:rPr>
      </w:pPr>
      <w:r w:rsidRPr="002C44FC">
        <w:rPr>
          <w:rFonts w:eastAsia="Arial"/>
          <w:b/>
          <w:color w:val="000000"/>
          <w:lang w:val="en-US" w:eastAsia="es-ES"/>
        </w:rPr>
        <w:t>ABSTRACT</w:t>
      </w:r>
    </w:p>
    <w:p w14:paraId="7F8142BE" w14:textId="77777777" w:rsidR="002C44FC" w:rsidRPr="002C44FC" w:rsidRDefault="002C44FC" w:rsidP="002C44FC">
      <w:pPr>
        <w:spacing w:line="360" w:lineRule="auto"/>
        <w:ind w:left="-5" w:hanging="10"/>
        <w:jc w:val="both"/>
        <w:rPr>
          <w:rFonts w:eastAsia="Arial"/>
          <w:color w:val="000000"/>
          <w:lang w:val="en-US" w:eastAsia="es-ES"/>
        </w:rPr>
      </w:pPr>
      <w:r w:rsidRPr="002C44FC">
        <w:rPr>
          <w:rFonts w:eastAsia="Arial"/>
          <w:b/>
          <w:color w:val="000000"/>
          <w:lang w:val="en-US" w:eastAsia="es-ES"/>
        </w:rPr>
        <w:t>Introduction</w:t>
      </w:r>
      <w:r w:rsidRPr="002C44FC">
        <w:rPr>
          <w:rFonts w:eastAsia="Arial"/>
          <w:b/>
          <w:bCs/>
          <w:color w:val="000000"/>
          <w:lang w:val="en-US" w:eastAsia="es-ES"/>
        </w:rPr>
        <w:t>:</w:t>
      </w:r>
      <w:r w:rsidRPr="002C44FC">
        <w:rPr>
          <w:rFonts w:eastAsia="Arial"/>
          <w:color w:val="000000"/>
          <w:lang w:val="en-US" w:eastAsia="es-ES"/>
        </w:rPr>
        <w:t xml:space="preserve"> Purple urine bag syndrome is a striking condition that rarely occurs in clinical practice. It appears in the context of urinary infections in the elderly, with multiple pathologies, with a bladder catheter and associated risk factors. It is produced by a chemical reaction between urine, the plastic material of the collection bag and sulfatase/ phosphatase enzymes from bacteria that generate the characteristic purple color.</w:t>
      </w:r>
    </w:p>
    <w:p w14:paraId="1CEA66DD" w14:textId="77777777" w:rsidR="002C44FC" w:rsidRPr="002C44FC" w:rsidRDefault="002C44FC" w:rsidP="002C44FC">
      <w:pPr>
        <w:spacing w:line="360" w:lineRule="auto"/>
        <w:ind w:left="-5" w:hanging="10"/>
        <w:jc w:val="both"/>
        <w:rPr>
          <w:rFonts w:eastAsia="Arial"/>
          <w:color w:val="000000"/>
          <w:lang w:val="en-US" w:eastAsia="es-ES"/>
        </w:rPr>
      </w:pPr>
      <w:r w:rsidRPr="002C44FC">
        <w:rPr>
          <w:rFonts w:eastAsia="Arial"/>
          <w:b/>
          <w:color w:val="000000"/>
          <w:lang w:val="en-US" w:eastAsia="es-ES"/>
        </w:rPr>
        <w:t>Objective</w:t>
      </w:r>
      <w:r w:rsidRPr="002C44FC">
        <w:rPr>
          <w:rFonts w:eastAsia="Arial"/>
          <w:b/>
          <w:bCs/>
          <w:color w:val="000000"/>
          <w:lang w:val="en-US" w:eastAsia="es-ES"/>
        </w:rPr>
        <w:t>:</w:t>
      </w:r>
      <w:r w:rsidRPr="002C44FC">
        <w:rPr>
          <w:rFonts w:eastAsia="Arial"/>
          <w:color w:val="000000"/>
          <w:lang w:val="en-US" w:eastAsia="es-ES"/>
        </w:rPr>
        <w:t xml:space="preserve"> To report a case with purple urine bag syndrome as an unusual presentation of urinary tract infection.</w:t>
      </w:r>
    </w:p>
    <w:p w14:paraId="6778FF3B" w14:textId="77777777" w:rsidR="002C44FC" w:rsidRPr="002C44FC" w:rsidRDefault="002C44FC" w:rsidP="002C44FC">
      <w:pPr>
        <w:spacing w:line="360" w:lineRule="auto"/>
        <w:ind w:left="-5" w:hanging="10"/>
        <w:jc w:val="both"/>
        <w:rPr>
          <w:rFonts w:eastAsia="Arial"/>
          <w:color w:val="000000"/>
          <w:lang w:val="en-US" w:eastAsia="es-ES"/>
        </w:rPr>
      </w:pPr>
      <w:r w:rsidRPr="002C44FC">
        <w:rPr>
          <w:rFonts w:eastAsia="Arial"/>
          <w:b/>
          <w:color w:val="000000"/>
          <w:lang w:val="en-US" w:eastAsia="es-ES"/>
        </w:rPr>
        <w:t>Clinical Case</w:t>
      </w:r>
      <w:r w:rsidRPr="002C44FC">
        <w:rPr>
          <w:rFonts w:eastAsia="Arial"/>
          <w:b/>
          <w:bCs/>
          <w:color w:val="000000"/>
          <w:lang w:val="en-US" w:eastAsia="es-ES"/>
        </w:rPr>
        <w:t>:</w:t>
      </w:r>
      <w:r w:rsidRPr="002C44FC">
        <w:rPr>
          <w:rFonts w:eastAsia="Arial"/>
          <w:color w:val="000000"/>
          <w:lang w:val="en-US" w:eastAsia="es-ES"/>
        </w:rPr>
        <w:t xml:space="preserve"> Female patient, 76 years old, health history, usual constipation, attended at Emergency due to loss of consciousness and right hemiparesis. Computed axial tomography of the skull was performed and a cerebrovascular disease was diagnosed. As part of the conduct, a bladder catheter was indicated and after 14 days, purple urine appeared in the collection bag. Urinary infection due to </w:t>
      </w:r>
      <w:r w:rsidRPr="002C44FC">
        <w:rPr>
          <w:rFonts w:eastAsia="Arial"/>
          <w:i/>
          <w:iCs/>
          <w:color w:val="000000"/>
          <w:lang w:val="en-US" w:eastAsia="es-ES"/>
        </w:rPr>
        <w:t>Escherichia coli</w:t>
      </w:r>
      <w:r w:rsidRPr="002C44FC">
        <w:rPr>
          <w:rFonts w:eastAsia="Arial"/>
          <w:color w:val="000000"/>
          <w:lang w:val="en-US" w:eastAsia="es-ES"/>
        </w:rPr>
        <w:t xml:space="preserve"> was diagnosed and treated with ceftriaxone, normalizing the color of the urine on the third day of treatment, with patient favorable evolution.</w:t>
      </w:r>
    </w:p>
    <w:p w14:paraId="27E45732" w14:textId="77777777" w:rsidR="002C44FC" w:rsidRPr="002C44FC" w:rsidRDefault="002C44FC" w:rsidP="002C44FC">
      <w:pPr>
        <w:spacing w:line="360" w:lineRule="auto"/>
        <w:ind w:left="-5" w:hanging="10"/>
        <w:jc w:val="both"/>
        <w:rPr>
          <w:rFonts w:eastAsia="Arial"/>
          <w:color w:val="000000"/>
          <w:lang w:val="en-US" w:eastAsia="es-ES"/>
        </w:rPr>
      </w:pPr>
      <w:r w:rsidRPr="002C44FC">
        <w:rPr>
          <w:rFonts w:eastAsia="Arial"/>
          <w:b/>
          <w:color w:val="000000"/>
          <w:lang w:val="en-US" w:eastAsia="es-ES"/>
        </w:rPr>
        <w:lastRenderedPageBreak/>
        <w:t>Conclusions</w:t>
      </w:r>
      <w:r w:rsidRPr="002C44FC">
        <w:rPr>
          <w:rFonts w:eastAsia="Arial"/>
          <w:b/>
          <w:bCs/>
          <w:color w:val="000000"/>
          <w:lang w:val="en-US" w:eastAsia="es-ES"/>
        </w:rPr>
        <w:t>:</w:t>
      </w:r>
      <w:r w:rsidRPr="002C44FC">
        <w:rPr>
          <w:rFonts w:eastAsia="Arial"/>
          <w:color w:val="000000"/>
          <w:lang w:val="en-US" w:eastAsia="es-ES"/>
        </w:rPr>
        <w:t xml:space="preserve"> Although it can be easily identified and without requiring costly tests, it is a challenge for physicians who care for geriatric patients. Knowing this disorder is essential because, although rare, it may be the only manifestation of urinary infection in patients with urethral catheterization.</w:t>
      </w:r>
    </w:p>
    <w:p w14:paraId="7DF1EE0E" w14:textId="77777777" w:rsidR="002C44FC" w:rsidRPr="002C44FC" w:rsidRDefault="002C44FC" w:rsidP="002C44FC">
      <w:pPr>
        <w:spacing w:line="360" w:lineRule="auto"/>
        <w:ind w:left="-5" w:hanging="10"/>
        <w:jc w:val="both"/>
        <w:rPr>
          <w:rFonts w:eastAsia="Arial"/>
          <w:color w:val="000000"/>
          <w:lang w:val="en-US" w:eastAsia="es-ES"/>
        </w:rPr>
      </w:pPr>
      <w:r w:rsidRPr="002C44FC">
        <w:rPr>
          <w:rFonts w:eastAsia="Arial"/>
          <w:b/>
          <w:color w:val="000000"/>
          <w:lang w:val="en-US" w:eastAsia="es-ES"/>
        </w:rPr>
        <w:t>Keywords</w:t>
      </w:r>
      <w:r w:rsidRPr="002C44FC">
        <w:rPr>
          <w:rFonts w:eastAsia="Arial"/>
          <w:color w:val="000000"/>
          <w:lang w:val="en-US" w:eastAsia="es-ES"/>
        </w:rPr>
        <w:t>: purpura; urinary catheterization; urinary tract infections; bacteria; aged.</w:t>
      </w:r>
    </w:p>
    <w:p w14:paraId="45468792" w14:textId="77777777" w:rsidR="002C44FC" w:rsidRPr="002C44FC" w:rsidRDefault="002C44FC" w:rsidP="002C44FC">
      <w:pPr>
        <w:spacing w:line="360" w:lineRule="auto"/>
        <w:ind w:left="-5" w:hanging="10"/>
        <w:jc w:val="both"/>
        <w:rPr>
          <w:rFonts w:eastAsia="Arial"/>
          <w:color w:val="000000"/>
          <w:lang w:val="en-US" w:eastAsia="es-ES"/>
        </w:rPr>
      </w:pPr>
    </w:p>
    <w:p w14:paraId="3DCBC8E0" w14:textId="77777777" w:rsidR="002C44FC" w:rsidRPr="002C44FC" w:rsidRDefault="002C44FC" w:rsidP="002C44FC">
      <w:pPr>
        <w:spacing w:line="360" w:lineRule="auto"/>
        <w:ind w:left="-5" w:hanging="10"/>
        <w:jc w:val="both"/>
        <w:rPr>
          <w:rFonts w:eastAsia="Arial"/>
          <w:color w:val="000000"/>
          <w:lang w:val="en-US" w:eastAsia="es-ES"/>
        </w:rPr>
      </w:pPr>
    </w:p>
    <w:p w14:paraId="4DE6153D"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Recibido: 01/12/2022</w:t>
      </w:r>
    </w:p>
    <w:p w14:paraId="0EC9932A" w14:textId="77777777" w:rsidR="002C44FC" w:rsidRPr="002C44FC" w:rsidRDefault="002C44FC" w:rsidP="002C44FC">
      <w:pPr>
        <w:spacing w:line="360" w:lineRule="auto"/>
        <w:ind w:left="-5" w:hanging="10"/>
        <w:jc w:val="both"/>
        <w:rPr>
          <w:rFonts w:eastAsia="Arial"/>
          <w:b/>
          <w:color w:val="000000"/>
          <w:lang w:val="es-ES" w:eastAsia="es-ES"/>
        </w:rPr>
      </w:pPr>
      <w:r w:rsidRPr="002C44FC">
        <w:rPr>
          <w:rFonts w:eastAsia="Arial"/>
          <w:color w:val="000000"/>
          <w:lang w:val="es-ES" w:eastAsia="es-ES"/>
        </w:rPr>
        <w:t>Aprobado: 16/02/2023</w:t>
      </w:r>
    </w:p>
    <w:p w14:paraId="64D737B3" w14:textId="77777777" w:rsidR="00314DDB" w:rsidRDefault="00314DDB" w:rsidP="002C44FC">
      <w:pPr>
        <w:spacing w:line="360" w:lineRule="auto"/>
        <w:ind w:left="-5" w:hanging="10"/>
        <w:jc w:val="center"/>
        <w:rPr>
          <w:rFonts w:eastAsia="Arial"/>
          <w:b/>
          <w:color w:val="000000"/>
          <w:sz w:val="32"/>
          <w:szCs w:val="32"/>
          <w:lang w:val="es-ES" w:eastAsia="es-ES"/>
        </w:rPr>
      </w:pPr>
    </w:p>
    <w:p w14:paraId="781625E6" w14:textId="77777777" w:rsidR="00314DDB" w:rsidRDefault="00314DDB" w:rsidP="002C44FC">
      <w:pPr>
        <w:spacing w:line="360" w:lineRule="auto"/>
        <w:ind w:left="-5" w:hanging="10"/>
        <w:jc w:val="center"/>
        <w:rPr>
          <w:rFonts w:eastAsia="Arial"/>
          <w:b/>
          <w:color w:val="000000"/>
          <w:sz w:val="32"/>
          <w:szCs w:val="32"/>
          <w:lang w:val="es-ES" w:eastAsia="es-ES"/>
        </w:rPr>
      </w:pPr>
    </w:p>
    <w:p w14:paraId="661F691A" w14:textId="2F80B7C1" w:rsidR="002C44FC" w:rsidRPr="002C44FC" w:rsidRDefault="002C44FC" w:rsidP="002C44FC">
      <w:pPr>
        <w:spacing w:line="360" w:lineRule="auto"/>
        <w:ind w:left="-5" w:hanging="10"/>
        <w:jc w:val="center"/>
        <w:rPr>
          <w:rFonts w:eastAsia="Arial"/>
          <w:b/>
          <w:color w:val="000000"/>
          <w:sz w:val="32"/>
          <w:szCs w:val="32"/>
          <w:lang w:val="es-ES" w:eastAsia="es-ES"/>
        </w:rPr>
      </w:pPr>
      <w:r w:rsidRPr="002C44FC">
        <w:rPr>
          <w:rFonts w:eastAsia="Arial"/>
          <w:b/>
          <w:color w:val="000000"/>
          <w:sz w:val="32"/>
          <w:szCs w:val="32"/>
          <w:lang w:val="es-ES" w:eastAsia="es-ES"/>
        </w:rPr>
        <w:t>INTRODUCCIÓN</w:t>
      </w:r>
    </w:p>
    <w:p w14:paraId="5E100926" w14:textId="77777777" w:rsidR="002C44FC" w:rsidRPr="002C44FC" w:rsidRDefault="002C44FC" w:rsidP="002C44FC">
      <w:pPr>
        <w:spacing w:line="360" w:lineRule="auto"/>
        <w:ind w:left="-5" w:hanging="10"/>
        <w:jc w:val="both"/>
        <w:rPr>
          <w:rFonts w:eastAsia="Arial"/>
          <w:bCs/>
          <w:color w:val="000000"/>
          <w:lang w:val="es-ES" w:eastAsia="es-ES"/>
        </w:rPr>
      </w:pPr>
      <w:r w:rsidRPr="002C44FC">
        <w:rPr>
          <w:rFonts w:eastAsia="Arial"/>
          <w:color w:val="000000"/>
          <w:lang w:val="es-ES" w:eastAsia="es-ES"/>
        </w:rPr>
        <w:t>El síndrome de la bolsa de orina púrpura es un trastorno raro y alarmante, que por la coloración violácea característica, suele provocar inquietud en pacientes y familiares, preocupación en el personal de la salud no familiarizado con este trastorno y como consecuencia, realizar exámenes complementarios innecesarios, errores diagnósticos y conductas inadecuadas</w:t>
      </w:r>
      <w:r w:rsidRPr="002C44FC">
        <w:rPr>
          <w:rFonts w:eastAsia="Arial"/>
          <w:bCs/>
          <w:color w:val="000000"/>
          <w:lang w:val="es-ES" w:eastAsia="es-ES"/>
        </w:rPr>
        <w:t>.</w:t>
      </w:r>
      <w:r w:rsidRPr="002C44FC">
        <w:rPr>
          <w:rFonts w:eastAsia="Arial"/>
          <w:bCs/>
          <w:color w:val="000000"/>
          <w:vertAlign w:val="superscript"/>
          <w:lang w:val="es-ES" w:eastAsia="es-ES"/>
        </w:rPr>
        <w:t xml:space="preserve">(1) </w:t>
      </w:r>
      <w:r w:rsidRPr="002C44FC">
        <w:rPr>
          <w:rFonts w:eastAsia="Arial"/>
          <w:bCs/>
          <w:color w:val="000000"/>
          <w:lang w:val="es-ES" w:eastAsia="es-ES"/>
        </w:rPr>
        <w:t>Fue d</w:t>
      </w:r>
      <w:r w:rsidRPr="002C44FC">
        <w:rPr>
          <w:rFonts w:eastAsia="Arial"/>
          <w:color w:val="000000"/>
          <w:lang w:val="es-ES" w:eastAsia="es-ES"/>
        </w:rPr>
        <w:t xml:space="preserve">escrito por primera vez por </w:t>
      </w:r>
      <w:r w:rsidRPr="002C44FC">
        <w:rPr>
          <w:rFonts w:eastAsia="Arial"/>
          <w:i/>
          <w:color w:val="000000"/>
          <w:lang w:val="es-ES" w:eastAsia="es-ES"/>
        </w:rPr>
        <w:t>Barlow</w:t>
      </w:r>
      <w:r w:rsidRPr="002C44FC">
        <w:rPr>
          <w:rFonts w:eastAsia="Arial"/>
          <w:color w:val="000000"/>
          <w:lang w:val="es-ES" w:eastAsia="es-ES"/>
        </w:rPr>
        <w:t xml:space="preserve"> y otros.</w:t>
      </w:r>
      <w:r w:rsidRPr="002C44FC">
        <w:rPr>
          <w:rFonts w:eastAsia="Arial"/>
          <w:color w:val="000000"/>
          <w:vertAlign w:val="superscript"/>
          <w:lang w:val="es-ES" w:eastAsia="es-ES"/>
        </w:rPr>
        <w:t xml:space="preserve">(2) </w:t>
      </w:r>
      <w:r w:rsidRPr="002C44FC">
        <w:rPr>
          <w:rFonts w:eastAsia="Arial"/>
          <w:b/>
          <w:color w:val="000000"/>
          <w:vertAlign w:val="superscript"/>
          <w:lang w:val="es-ES" w:eastAsia="es-ES"/>
        </w:rPr>
        <w:t xml:space="preserve"> </w:t>
      </w:r>
      <w:r w:rsidRPr="002C44FC">
        <w:rPr>
          <w:rFonts w:eastAsia="Arial"/>
          <w:color w:val="000000"/>
          <w:lang w:val="es-ES" w:eastAsia="es-ES"/>
        </w:rPr>
        <w:t xml:space="preserve"> Aparece en pacientes con sonda vesical, que presentan infecciones del tracto urinario (</w:t>
      </w:r>
      <w:proofErr w:type="spellStart"/>
      <w:r w:rsidRPr="002C44FC">
        <w:rPr>
          <w:rFonts w:eastAsia="Arial"/>
          <w:color w:val="000000"/>
          <w:lang w:val="es-ES" w:eastAsia="es-ES"/>
        </w:rPr>
        <w:t>ITU</w:t>
      </w:r>
      <w:proofErr w:type="spellEnd"/>
      <w:r w:rsidRPr="002C44FC">
        <w:rPr>
          <w:rFonts w:eastAsia="Arial"/>
          <w:color w:val="000000"/>
          <w:lang w:val="es-ES" w:eastAsia="es-ES"/>
        </w:rPr>
        <w:t>) por bacterias patógenas específicas y se asocia con diferentes factores de riesgo, que aún no están bien caracterizados</w:t>
      </w:r>
      <w:r w:rsidRPr="002C44FC">
        <w:rPr>
          <w:rFonts w:eastAsia="Arial"/>
          <w:bCs/>
          <w:color w:val="000000"/>
          <w:lang w:val="es-ES" w:eastAsia="es-ES"/>
        </w:rPr>
        <w:t>.</w:t>
      </w:r>
      <w:r w:rsidRPr="002C44FC">
        <w:rPr>
          <w:rFonts w:eastAsia="Arial"/>
          <w:bCs/>
          <w:color w:val="000000"/>
          <w:vertAlign w:val="superscript"/>
          <w:lang w:val="es-ES" w:eastAsia="es-ES"/>
        </w:rPr>
        <w:t xml:space="preserve">(3,4,5)  </w:t>
      </w:r>
    </w:p>
    <w:p w14:paraId="283BD691" w14:textId="77777777" w:rsidR="002C44FC" w:rsidRPr="002C44FC" w:rsidRDefault="002C44FC" w:rsidP="002C44FC">
      <w:pPr>
        <w:spacing w:line="360" w:lineRule="auto"/>
        <w:ind w:left="-5" w:hanging="10"/>
        <w:jc w:val="both"/>
        <w:rPr>
          <w:rFonts w:eastAsia="Arial"/>
          <w:b/>
          <w:color w:val="000000"/>
          <w:lang w:val="es-ES" w:eastAsia="es-ES"/>
        </w:rPr>
      </w:pPr>
      <w:r w:rsidRPr="002C44FC">
        <w:rPr>
          <w:rFonts w:eastAsia="Arial"/>
          <w:color w:val="000000"/>
          <w:lang w:val="es-ES" w:eastAsia="es-ES"/>
        </w:rPr>
        <w:t xml:space="preserve">La prevalencia, en el mundo, no está bien documentada. La mayoría de los artículos son reportes de casos; los estudios de serie de pacientes son escasos y difieren entre </w:t>
      </w:r>
      <w:proofErr w:type="gramStart"/>
      <w:r w:rsidRPr="002C44FC">
        <w:rPr>
          <w:rFonts w:eastAsia="Arial"/>
          <w:color w:val="000000"/>
          <w:lang w:val="es-ES" w:eastAsia="es-ES"/>
        </w:rPr>
        <w:t>sí.</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3,6)</w:t>
      </w:r>
      <w:r w:rsidRPr="002C44FC">
        <w:rPr>
          <w:rFonts w:eastAsia="Arial"/>
          <w:color w:val="000000"/>
          <w:lang w:val="es-ES" w:eastAsia="es-ES"/>
        </w:rPr>
        <w:t xml:space="preserve"> En la búsqueda realizada no se encontró en Cuba, ninguna publicación sobre la prevalencia de este síndrome; solo 2 reportes de casos hasta el 2021</w:t>
      </w:r>
      <w:r w:rsidRPr="002C44FC">
        <w:rPr>
          <w:rFonts w:eastAsia="Arial"/>
          <w:b/>
          <w:color w:val="000000"/>
          <w:lang w:val="es-ES" w:eastAsia="es-ES"/>
        </w:rPr>
        <w:t>.</w:t>
      </w:r>
      <w:r w:rsidRPr="002C44FC">
        <w:rPr>
          <w:rFonts w:eastAsia="Arial"/>
          <w:color w:val="000000"/>
          <w:vertAlign w:val="superscript"/>
          <w:lang w:val="es-ES" w:eastAsia="es-ES"/>
        </w:rPr>
        <w:t>(6,7)</w:t>
      </w:r>
      <w:r w:rsidRPr="002C44FC">
        <w:rPr>
          <w:rFonts w:eastAsia="Arial"/>
          <w:color w:val="000000"/>
          <w:lang w:val="es-ES" w:eastAsia="es-ES"/>
        </w:rPr>
        <w:t xml:space="preserve"> Se estima que en los pacientes con sonda vesical permanente, la prevalencia oscila entre 8,3 % y 42,1 %</w:t>
      </w:r>
      <w:r w:rsidRPr="002C44FC">
        <w:rPr>
          <w:rFonts w:eastAsia="Arial"/>
          <w:b/>
          <w:color w:val="000000"/>
          <w:lang w:val="es-ES" w:eastAsia="es-ES"/>
        </w:rPr>
        <w:t>.</w:t>
      </w:r>
      <w:r w:rsidRPr="002C44FC">
        <w:rPr>
          <w:rFonts w:eastAsia="Arial"/>
          <w:color w:val="000000"/>
          <w:vertAlign w:val="superscript"/>
          <w:lang w:val="es-ES" w:eastAsia="es-ES"/>
        </w:rPr>
        <w:t>(8,9)</w:t>
      </w:r>
      <w:r w:rsidRPr="002C44FC">
        <w:rPr>
          <w:rFonts w:eastAsia="Arial"/>
          <w:color w:val="000000"/>
          <w:lang w:val="es-ES" w:eastAsia="es-ES"/>
        </w:rPr>
        <w:t xml:space="preserve"> </w:t>
      </w:r>
    </w:p>
    <w:p w14:paraId="1AA33166"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Puede presentarse en cualquier nivel de atención </w:t>
      </w:r>
      <w:proofErr w:type="gramStart"/>
      <w:r w:rsidRPr="002C44FC">
        <w:rPr>
          <w:rFonts w:eastAsia="Arial"/>
          <w:color w:val="000000"/>
          <w:lang w:val="es-ES" w:eastAsia="es-ES"/>
        </w:rPr>
        <w:t>médica,</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1,3,5)</w:t>
      </w:r>
      <w:r w:rsidRPr="002C44FC">
        <w:rPr>
          <w:rFonts w:eastAsia="Arial"/>
          <w:b/>
          <w:color w:val="000000"/>
          <w:lang w:val="es-ES" w:eastAsia="es-ES"/>
        </w:rPr>
        <w:t xml:space="preserve"> </w:t>
      </w:r>
      <w:r w:rsidRPr="002C44FC">
        <w:rPr>
          <w:rFonts w:eastAsia="Arial"/>
          <w:color w:val="000000"/>
          <w:lang w:val="es-ES" w:eastAsia="es-ES"/>
        </w:rPr>
        <w:t>por esta razón es necesario que los médicos conozcan el síndrome, sepan cómo actuar en cada caso y trasmitir tranquilidad al enfermo y los familiares.</w:t>
      </w:r>
    </w:p>
    <w:p w14:paraId="01AADCCB"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lastRenderedPageBreak/>
        <w:t>Este artículo tiene como objetivo reportar un caso con síndrome de la bolsa de orina púrpura, como forma de presentación inusual de infección urinaria.</w:t>
      </w:r>
    </w:p>
    <w:p w14:paraId="12E4F6D8" w14:textId="77777777" w:rsidR="002C44FC" w:rsidRPr="002C44FC" w:rsidRDefault="002C44FC" w:rsidP="002C44FC">
      <w:pPr>
        <w:spacing w:line="360" w:lineRule="auto"/>
        <w:ind w:left="-5" w:hanging="10"/>
        <w:jc w:val="both"/>
        <w:rPr>
          <w:rFonts w:eastAsia="Arial"/>
          <w:b/>
          <w:color w:val="000000"/>
          <w:lang w:val="es-ES" w:eastAsia="es-ES"/>
        </w:rPr>
      </w:pPr>
    </w:p>
    <w:p w14:paraId="74DE7E8E" w14:textId="77777777" w:rsidR="002C44FC" w:rsidRPr="002C44FC" w:rsidRDefault="002C44FC" w:rsidP="002C44FC">
      <w:pPr>
        <w:spacing w:line="360" w:lineRule="auto"/>
        <w:jc w:val="both"/>
        <w:rPr>
          <w:rFonts w:eastAsia="Arial"/>
          <w:b/>
          <w:color w:val="000000"/>
          <w:lang w:val="es-ES" w:eastAsia="es-ES"/>
        </w:rPr>
      </w:pPr>
    </w:p>
    <w:p w14:paraId="16AA0660" w14:textId="77777777" w:rsidR="002C44FC" w:rsidRPr="002C44FC" w:rsidRDefault="002C44FC" w:rsidP="002C44FC">
      <w:pPr>
        <w:spacing w:line="360" w:lineRule="auto"/>
        <w:jc w:val="center"/>
        <w:rPr>
          <w:rFonts w:eastAsia="Arial"/>
          <w:b/>
          <w:color w:val="000000"/>
          <w:sz w:val="32"/>
          <w:szCs w:val="32"/>
          <w:lang w:val="es-ES" w:eastAsia="es-ES"/>
        </w:rPr>
      </w:pPr>
      <w:r w:rsidRPr="002C44FC">
        <w:rPr>
          <w:rFonts w:eastAsia="Arial"/>
          <w:b/>
          <w:color w:val="000000"/>
          <w:sz w:val="32"/>
          <w:szCs w:val="32"/>
          <w:lang w:val="es-ES" w:eastAsia="es-ES"/>
        </w:rPr>
        <w:t>CASO CLÍNICO</w:t>
      </w:r>
    </w:p>
    <w:p w14:paraId="13C33CDC"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Paciente femenina de 76 años, color de piel negra, con antecedentes de salud e historia de constipación habitual, negó tener hábitos tóxicos y consumo de medicamentos. Acudió a urgencias del Hospital Universitario Clínico Quirúrgico "General Calixto García",</w:t>
      </w:r>
      <w:r w:rsidRPr="002C44FC">
        <w:rPr>
          <w:rFonts w:eastAsia="Arial"/>
          <w:b/>
          <w:color w:val="000000"/>
          <w:lang w:val="es-ES" w:eastAsia="es-ES"/>
        </w:rPr>
        <w:t xml:space="preserve"> </w:t>
      </w:r>
      <w:r w:rsidRPr="002C44FC">
        <w:rPr>
          <w:rFonts w:eastAsia="Arial"/>
          <w:color w:val="000000"/>
          <w:lang w:val="es-ES" w:eastAsia="es-ES"/>
        </w:rPr>
        <w:t xml:space="preserve">por pérdida de la conciencia, precedida de cefalea, pérdida de la fuerza muscular en hemicuerpo derecho y lenguaje inentendible, una hora antes acudir al hospital. Ingresó a la unidad de cuidados intermedios, con el diagnóstico presuntivo de una enfermedad cerebrovascular. </w:t>
      </w:r>
    </w:p>
    <w:p w14:paraId="44028F4D" w14:textId="77777777" w:rsidR="002C44FC" w:rsidRPr="002C44FC" w:rsidRDefault="002C44FC" w:rsidP="002C44FC">
      <w:pPr>
        <w:spacing w:line="360" w:lineRule="auto"/>
        <w:ind w:left="-5" w:hanging="10"/>
        <w:jc w:val="both"/>
        <w:rPr>
          <w:rFonts w:eastAsia="Arial"/>
          <w:b/>
          <w:color w:val="000000"/>
          <w:lang w:val="es-ES" w:eastAsia="es-ES"/>
        </w:rPr>
      </w:pPr>
      <w:r w:rsidRPr="002C44FC">
        <w:rPr>
          <w:rFonts w:eastAsia="Arial"/>
          <w:color w:val="000000"/>
          <w:lang w:val="es-ES" w:eastAsia="es-ES"/>
        </w:rPr>
        <w:t>Examen físico</w:t>
      </w:r>
      <w:r w:rsidRPr="002C44FC">
        <w:rPr>
          <w:rFonts w:eastAsia="Arial"/>
          <w:b/>
          <w:color w:val="000000"/>
          <w:lang w:val="es-ES" w:eastAsia="es-ES"/>
        </w:rPr>
        <w:t xml:space="preserve"> </w:t>
      </w:r>
      <w:r w:rsidRPr="002C44FC">
        <w:rPr>
          <w:rFonts w:eastAsia="Arial"/>
          <w:color w:val="000000"/>
          <w:lang w:val="es-ES" w:eastAsia="es-ES"/>
        </w:rPr>
        <w:t xml:space="preserve">al ingreso: paciente consciente, desorientada, con </w:t>
      </w:r>
      <w:proofErr w:type="spellStart"/>
      <w:r w:rsidRPr="002C44FC">
        <w:rPr>
          <w:rFonts w:eastAsia="Arial"/>
          <w:color w:val="000000"/>
          <w:lang w:val="es-ES" w:eastAsia="es-ES"/>
        </w:rPr>
        <w:t>farfulleo</w:t>
      </w:r>
      <w:proofErr w:type="spellEnd"/>
      <w:r w:rsidRPr="002C44FC">
        <w:rPr>
          <w:rFonts w:eastAsia="Arial"/>
          <w:color w:val="000000"/>
          <w:lang w:val="es-ES" w:eastAsia="es-ES"/>
        </w:rPr>
        <w:t xml:space="preserve"> al hablar y una hemiparesia del lado derecho. El resto de la exploración física fue normal.</w:t>
      </w:r>
      <w:r w:rsidRPr="002C44FC">
        <w:rPr>
          <w:rFonts w:eastAsia="Arial"/>
          <w:b/>
          <w:color w:val="000000"/>
          <w:lang w:val="es-ES" w:eastAsia="es-ES"/>
        </w:rPr>
        <w:t xml:space="preserve"> </w:t>
      </w:r>
    </w:p>
    <w:p w14:paraId="31404C79"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Estudios complementarios relevantes: tomografía axial computarizada de cráneo informó imágenes hiperdensas con halo hipodenso a su alrededor, en la región parietooccipital izquierda, disminución del espacio subaracnoideo ipsilateral, sugestivo de hemorragia intraparenquimatosa. </w:t>
      </w:r>
    </w:p>
    <w:p w14:paraId="0AC28D16"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Los estudios </w:t>
      </w:r>
      <w:proofErr w:type="spellStart"/>
      <w:r w:rsidRPr="002C44FC">
        <w:rPr>
          <w:rFonts w:eastAsia="Arial"/>
          <w:color w:val="000000"/>
          <w:lang w:val="es-ES" w:eastAsia="es-ES"/>
        </w:rPr>
        <w:t>hemoquímicos</w:t>
      </w:r>
      <w:proofErr w:type="spellEnd"/>
      <w:r w:rsidRPr="002C44FC">
        <w:rPr>
          <w:rFonts w:eastAsia="Arial"/>
          <w:color w:val="000000"/>
          <w:lang w:val="es-ES" w:eastAsia="es-ES"/>
        </w:rPr>
        <w:t xml:space="preserve"> (hemograma y química) fueron negativos.</w:t>
      </w:r>
    </w:p>
    <w:p w14:paraId="64AB3146"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Como parte del plan terapéutico y cuidados de enfermería se indicó tratamiento </w:t>
      </w:r>
      <w:proofErr w:type="spellStart"/>
      <w:r w:rsidRPr="002C44FC">
        <w:rPr>
          <w:rFonts w:eastAsia="Arial"/>
          <w:color w:val="000000"/>
          <w:lang w:val="es-ES" w:eastAsia="es-ES"/>
        </w:rPr>
        <w:t>antiedema</w:t>
      </w:r>
      <w:proofErr w:type="spellEnd"/>
      <w:r w:rsidRPr="002C44FC">
        <w:rPr>
          <w:rFonts w:eastAsia="Arial"/>
          <w:color w:val="000000"/>
          <w:lang w:val="es-ES" w:eastAsia="es-ES"/>
        </w:rPr>
        <w:t xml:space="preserve"> cerebral, oxigenoterapia y sonda vesical.</w:t>
      </w:r>
    </w:p>
    <w:p w14:paraId="168E31AF"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Se traslada para la sala de medicina a los 14 días de su ingreso, con mejoría del cuadro neurológico; permanecía con sonda vesical y no deambulaba. Pasadas 24 horas de su traslado apareció en la bolsa colectora, orina de color violeta (Fig. 1), fétida, sin otra sintomatología urinaria, ni signos de sepsis. </w:t>
      </w:r>
    </w:p>
    <w:p w14:paraId="6814C596" w14:textId="77777777" w:rsidR="002C44FC" w:rsidRPr="002C44FC" w:rsidRDefault="002C44FC" w:rsidP="002C44FC">
      <w:pPr>
        <w:spacing w:line="360" w:lineRule="auto"/>
        <w:ind w:left="-5" w:hanging="10"/>
        <w:jc w:val="both"/>
        <w:rPr>
          <w:rFonts w:eastAsia="Arial"/>
          <w:color w:val="000000"/>
          <w:lang w:val="es-ES" w:eastAsia="es-ES"/>
        </w:rPr>
      </w:pPr>
    </w:p>
    <w:p w14:paraId="7FED027A" w14:textId="778C161D" w:rsidR="002C44FC" w:rsidRPr="002C44FC" w:rsidRDefault="002C44FC" w:rsidP="002C44FC">
      <w:pPr>
        <w:spacing w:line="360" w:lineRule="auto"/>
        <w:ind w:left="-5" w:hanging="10"/>
        <w:jc w:val="center"/>
        <w:rPr>
          <w:rFonts w:eastAsia="Arial"/>
          <w:color w:val="000000"/>
          <w:lang w:val="es-ES" w:eastAsia="es-ES"/>
        </w:rPr>
      </w:pPr>
      <w:r w:rsidRPr="002C44FC">
        <w:rPr>
          <w:rFonts w:eastAsia="Arial"/>
          <w:noProof/>
          <w:color w:val="000000"/>
          <w:lang w:val="es-ES" w:eastAsia="es-ES"/>
        </w:rPr>
        <w:lastRenderedPageBreak/>
        <w:drawing>
          <wp:inline distT="0" distB="0" distL="0" distR="0" wp14:anchorId="2360F385" wp14:editId="7725932D">
            <wp:extent cx="3619500" cy="275272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2752725"/>
                    </a:xfrm>
                    <a:prstGeom prst="rect">
                      <a:avLst/>
                    </a:prstGeom>
                    <a:noFill/>
                    <a:ln>
                      <a:noFill/>
                    </a:ln>
                  </pic:spPr>
                </pic:pic>
              </a:graphicData>
            </a:graphic>
          </wp:inline>
        </w:drawing>
      </w:r>
    </w:p>
    <w:p w14:paraId="4284ED3E" w14:textId="77777777" w:rsidR="002C44FC" w:rsidRPr="002C44FC" w:rsidRDefault="002C44FC" w:rsidP="002C44FC">
      <w:pPr>
        <w:spacing w:line="360" w:lineRule="auto"/>
        <w:ind w:left="10" w:right="-15" w:hanging="10"/>
        <w:jc w:val="center"/>
        <w:rPr>
          <w:rFonts w:eastAsia="Arial"/>
          <w:color w:val="000000"/>
          <w:sz w:val="22"/>
          <w:szCs w:val="22"/>
          <w:lang w:val="es-ES" w:eastAsia="es-ES"/>
        </w:rPr>
      </w:pPr>
      <w:r w:rsidRPr="002C44FC">
        <w:rPr>
          <w:rFonts w:eastAsia="Arial"/>
          <w:b/>
          <w:bCs/>
          <w:color w:val="000000"/>
          <w:sz w:val="22"/>
          <w:szCs w:val="22"/>
          <w:lang w:val="es-ES" w:eastAsia="es-ES"/>
        </w:rPr>
        <w:t>Fig. 1 -</w:t>
      </w:r>
      <w:r w:rsidRPr="002C44FC">
        <w:rPr>
          <w:rFonts w:eastAsia="Arial"/>
          <w:b/>
          <w:color w:val="000000"/>
          <w:sz w:val="22"/>
          <w:szCs w:val="22"/>
          <w:lang w:val="es-ES" w:eastAsia="es-ES"/>
        </w:rPr>
        <w:t xml:space="preserve"> </w:t>
      </w:r>
      <w:r w:rsidRPr="002C44FC">
        <w:rPr>
          <w:rFonts w:eastAsia="Arial"/>
          <w:color w:val="000000"/>
          <w:sz w:val="22"/>
          <w:szCs w:val="22"/>
          <w:lang w:val="es-ES" w:eastAsia="es-ES"/>
        </w:rPr>
        <w:t>Bolsa colectora con orina púrpura.</w:t>
      </w:r>
    </w:p>
    <w:p w14:paraId="008E4529" w14:textId="77777777" w:rsidR="002C44FC" w:rsidRPr="002C44FC" w:rsidRDefault="002C44FC" w:rsidP="002C44FC">
      <w:pPr>
        <w:spacing w:line="360" w:lineRule="auto"/>
        <w:jc w:val="both"/>
        <w:rPr>
          <w:rFonts w:eastAsia="Arial"/>
          <w:color w:val="000000"/>
          <w:lang w:val="es-ES" w:eastAsia="es-ES"/>
        </w:rPr>
      </w:pPr>
    </w:p>
    <w:p w14:paraId="6CFFDD01"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Ante este hallazgo se indicó cambiar la sonda, la bolsa colectora y se solicitaron nuevos complementarios:</w:t>
      </w:r>
    </w:p>
    <w:p w14:paraId="2ECE6886" w14:textId="77777777" w:rsidR="002C44FC" w:rsidRPr="002C44FC" w:rsidRDefault="002C44FC" w:rsidP="002C44FC">
      <w:pPr>
        <w:spacing w:line="360" w:lineRule="auto"/>
        <w:ind w:left="-5" w:hanging="10"/>
        <w:jc w:val="both"/>
        <w:rPr>
          <w:rFonts w:eastAsia="Arial"/>
          <w:b/>
          <w:color w:val="000000"/>
          <w:lang w:val="es-ES" w:eastAsia="es-ES"/>
        </w:rPr>
      </w:pPr>
      <w:r w:rsidRPr="002C44FC">
        <w:rPr>
          <w:rFonts w:eastAsia="Arial"/>
          <w:color w:val="000000"/>
          <w:lang w:val="es-ES" w:eastAsia="es-ES"/>
        </w:rPr>
        <w:t>Examen de orina (</w:t>
      </w:r>
      <w:proofErr w:type="spellStart"/>
      <w:r w:rsidRPr="002C44FC">
        <w:rPr>
          <w:rFonts w:eastAsia="Arial"/>
          <w:color w:val="000000"/>
          <w:lang w:val="es-ES" w:eastAsia="es-ES"/>
        </w:rPr>
        <w:t>EO</w:t>
      </w:r>
      <w:proofErr w:type="spellEnd"/>
      <w:r w:rsidRPr="002C44FC">
        <w:rPr>
          <w:rFonts w:eastAsia="Arial"/>
          <w:color w:val="000000"/>
          <w:lang w:val="es-ES" w:eastAsia="es-ES"/>
        </w:rPr>
        <w:t>): pH 5,2;</w:t>
      </w:r>
      <w:r w:rsidRPr="002C44FC">
        <w:rPr>
          <w:rFonts w:eastAsia="Arial"/>
          <w:b/>
          <w:color w:val="000000"/>
          <w:lang w:val="es-ES" w:eastAsia="es-ES"/>
        </w:rPr>
        <w:t xml:space="preserve"> </w:t>
      </w:r>
      <w:r w:rsidRPr="002C44FC">
        <w:rPr>
          <w:rFonts w:eastAsia="Arial"/>
          <w:color w:val="000000"/>
          <w:lang w:val="es-ES" w:eastAsia="es-ES"/>
        </w:rPr>
        <w:t>nitritos y sedimento urinario con abundantes bacterias y campo cubierto por leucocitos.</w:t>
      </w:r>
    </w:p>
    <w:p w14:paraId="3F8CB71E"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Urocultivo: </w:t>
      </w:r>
      <w:proofErr w:type="spellStart"/>
      <w:r w:rsidRPr="002C44FC">
        <w:rPr>
          <w:rFonts w:eastAsia="Arial"/>
          <w:i/>
          <w:color w:val="000000"/>
          <w:lang w:val="es-ES" w:eastAsia="es-ES"/>
        </w:rPr>
        <w:t>Escherichia</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coli</w:t>
      </w:r>
      <w:proofErr w:type="spellEnd"/>
      <w:r w:rsidRPr="002C44FC">
        <w:rPr>
          <w:rFonts w:eastAsia="Arial"/>
          <w:iCs/>
          <w:color w:val="000000"/>
          <w:lang w:val="es-ES" w:eastAsia="es-ES"/>
        </w:rPr>
        <w:t>,</w:t>
      </w:r>
      <w:r w:rsidRPr="002C44FC">
        <w:rPr>
          <w:rFonts w:eastAsia="Arial"/>
          <w:color w:val="000000"/>
          <w:lang w:val="es-ES" w:eastAsia="es-ES"/>
        </w:rPr>
        <w:t xml:space="preserve"> más de 100 000 UFC x mL.</w:t>
      </w:r>
    </w:p>
    <w:p w14:paraId="1459DCF5"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Leucograma: leucocitosis (20 x 10</w:t>
      </w:r>
      <w:r w:rsidRPr="002C44FC">
        <w:rPr>
          <w:rFonts w:eastAsia="Arial"/>
          <w:color w:val="000000"/>
          <w:vertAlign w:val="superscript"/>
          <w:lang w:val="es-ES" w:eastAsia="es-ES"/>
        </w:rPr>
        <w:t>9</w:t>
      </w:r>
      <w:r w:rsidRPr="002C44FC">
        <w:rPr>
          <w:rFonts w:eastAsia="Arial"/>
          <w:color w:val="000000"/>
          <w:lang w:val="es-ES" w:eastAsia="es-ES"/>
        </w:rPr>
        <w:t>/L) con neutrofilia.</w:t>
      </w:r>
    </w:p>
    <w:p w14:paraId="567E5B6D"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Eritrosedimentación: 98 mm/h.</w:t>
      </w:r>
    </w:p>
    <w:p w14:paraId="488635D2"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Ante la positividad del </w:t>
      </w:r>
      <w:proofErr w:type="spellStart"/>
      <w:r w:rsidRPr="002C44FC">
        <w:rPr>
          <w:rFonts w:eastAsia="Arial"/>
          <w:color w:val="000000"/>
          <w:lang w:val="es-ES" w:eastAsia="es-ES"/>
        </w:rPr>
        <w:t>EO</w:t>
      </w:r>
      <w:proofErr w:type="spellEnd"/>
      <w:r w:rsidRPr="002C44FC">
        <w:rPr>
          <w:rFonts w:eastAsia="Arial"/>
          <w:color w:val="000000"/>
          <w:lang w:val="es-ES" w:eastAsia="es-ES"/>
        </w:rPr>
        <w:t xml:space="preserve"> se comenzó con antibioticoterapia empírica: ceftriaxona 2 g/ día/ 7 días. Desapareció la coloración morada al tercer día del tratamiento (Fig. 2) y se egresó al término del antibiótico. La paciente continuó con mejoría de su estado neurológico, sin cateterismo uretral.</w:t>
      </w:r>
    </w:p>
    <w:p w14:paraId="5FCB8F3B" w14:textId="77777777" w:rsidR="002C44FC" w:rsidRPr="002C44FC" w:rsidRDefault="002C44FC" w:rsidP="002C44FC">
      <w:pPr>
        <w:spacing w:line="360" w:lineRule="auto"/>
        <w:ind w:left="-5" w:hanging="10"/>
        <w:jc w:val="both"/>
        <w:rPr>
          <w:rFonts w:eastAsia="Arial"/>
          <w:color w:val="000000"/>
          <w:lang w:val="es-ES" w:eastAsia="es-ES"/>
        </w:rPr>
      </w:pPr>
    </w:p>
    <w:p w14:paraId="1F42B163" w14:textId="369F63B7" w:rsidR="002C44FC" w:rsidRPr="002C44FC" w:rsidRDefault="002C44FC" w:rsidP="002C44FC">
      <w:pPr>
        <w:spacing w:line="360" w:lineRule="auto"/>
        <w:jc w:val="center"/>
        <w:rPr>
          <w:rFonts w:eastAsia="Arial"/>
          <w:color w:val="000000"/>
          <w:lang w:val="es-ES" w:eastAsia="es-ES"/>
        </w:rPr>
      </w:pPr>
      <w:r w:rsidRPr="002C44FC">
        <w:rPr>
          <w:rFonts w:eastAsia="Arial"/>
          <w:noProof/>
          <w:color w:val="000000"/>
          <w:lang w:val="es-ES" w:eastAsia="es-ES"/>
        </w:rPr>
        <w:lastRenderedPageBreak/>
        <w:drawing>
          <wp:inline distT="0" distB="0" distL="0" distR="0" wp14:anchorId="162552F6" wp14:editId="5861AFBA">
            <wp:extent cx="3619500" cy="316230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0" cy="3162300"/>
                    </a:xfrm>
                    <a:prstGeom prst="rect">
                      <a:avLst/>
                    </a:prstGeom>
                    <a:noFill/>
                    <a:ln>
                      <a:noFill/>
                    </a:ln>
                  </pic:spPr>
                </pic:pic>
              </a:graphicData>
            </a:graphic>
          </wp:inline>
        </w:drawing>
      </w:r>
    </w:p>
    <w:p w14:paraId="5C9BEC78" w14:textId="77777777" w:rsidR="002C44FC" w:rsidRPr="002C44FC" w:rsidRDefault="002C44FC" w:rsidP="002C44FC">
      <w:pPr>
        <w:spacing w:line="360" w:lineRule="auto"/>
        <w:ind w:left="10" w:right="-15" w:hanging="10"/>
        <w:jc w:val="center"/>
        <w:rPr>
          <w:rFonts w:eastAsia="Arial"/>
          <w:color w:val="000000"/>
          <w:sz w:val="22"/>
          <w:szCs w:val="22"/>
          <w:lang w:val="es-ES" w:eastAsia="es-ES"/>
        </w:rPr>
      </w:pPr>
      <w:r w:rsidRPr="002C44FC">
        <w:rPr>
          <w:rFonts w:eastAsia="Arial"/>
          <w:b/>
          <w:color w:val="000000"/>
          <w:sz w:val="22"/>
          <w:szCs w:val="22"/>
          <w:lang w:val="es-ES" w:eastAsia="es-ES"/>
        </w:rPr>
        <w:t xml:space="preserve">Fig. 2 – </w:t>
      </w:r>
      <w:r w:rsidRPr="002C44FC">
        <w:rPr>
          <w:rFonts w:eastAsia="Arial"/>
          <w:bCs/>
          <w:color w:val="000000"/>
          <w:sz w:val="22"/>
          <w:szCs w:val="22"/>
          <w:lang w:val="es-ES" w:eastAsia="es-ES"/>
        </w:rPr>
        <w:t>Color de la o</w:t>
      </w:r>
      <w:r w:rsidRPr="002C44FC">
        <w:rPr>
          <w:rFonts w:eastAsia="Arial"/>
          <w:color w:val="000000"/>
          <w:sz w:val="22"/>
          <w:szCs w:val="22"/>
          <w:lang w:val="es-ES" w:eastAsia="es-ES"/>
        </w:rPr>
        <w:t xml:space="preserve">rina al tercer día de tratamiento. </w:t>
      </w:r>
    </w:p>
    <w:p w14:paraId="64CB98B3" w14:textId="77777777" w:rsidR="002C44FC" w:rsidRPr="002C44FC" w:rsidRDefault="002C44FC" w:rsidP="002C44FC">
      <w:pPr>
        <w:spacing w:line="360" w:lineRule="auto"/>
        <w:ind w:left="10" w:right="-15" w:hanging="10"/>
        <w:jc w:val="center"/>
        <w:rPr>
          <w:rFonts w:eastAsia="Arial"/>
          <w:strike/>
          <w:color w:val="FF0000"/>
          <w:lang w:val="es-ES" w:eastAsia="es-ES"/>
        </w:rPr>
      </w:pPr>
    </w:p>
    <w:p w14:paraId="71ADF473" w14:textId="77777777" w:rsidR="002C44FC" w:rsidRPr="002C44FC" w:rsidRDefault="002C44FC" w:rsidP="002C44FC">
      <w:pPr>
        <w:spacing w:line="360" w:lineRule="auto"/>
        <w:ind w:right="-15"/>
        <w:jc w:val="both"/>
        <w:rPr>
          <w:rFonts w:eastAsia="Arial"/>
          <w:b/>
          <w:color w:val="000000"/>
          <w:lang w:val="es-ES" w:eastAsia="es-ES"/>
        </w:rPr>
      </w:pPr>
    </w:p>
    <w:p w14:paraId="3987CF6C" w14:textId="77777777" w:rsidR="002C44FC" w:rsidRPr="002C44FC" w:rsidRDefault="002C44FC" w:rsidP="002C44FC">
      <w:pPr>
        <w:spacing w:line="360" w:lineRule="auto"/>
        <w:ind w:right="-15"/>
        <w:jc w:val="center"/>
        <w:rPr>
          <w:rFonts w:eastAsia="Arial"/>
          <w:b/>
          <w:color w:val="000000"/>
          <w:sz w:val="32"/>
          <w:szCs w:val="32"/>
          <w:lang w:val="es-ES" w:eastAsia="es-ES"/>
        </w:rPr>
      </w:pPr>
      <w:r w:rsidRPr="002C44FC">
        <w:rPr>
          <w:rFonts w:eastAsia="Arial"/>
          <w:b/>
          <w:color w:val="000000"/>
          <w:sz w:val="32"/>
          <w:szCs w:val="32"/>
          <w:lang w:val="es-ES" w:eastAsia="es-ES"/>
        </w:rPr>
        <w:t>COMENTARIOS</w:t>
      </w:r>
    </w:p>
    <w:p w14:paraId="2A2D2E97" w14:textId="77777777" w:rsidR="002C44FC" w:rsidRPr="002C44FC" w:rsidRDefault="002C44FC" w:rsidP="002C44FC">
      <w:pPr>
        <w:spacing w:line="360" w:lineRule="auto"/>
        <w:ind w:left="-5" w:hanging="10"/>
        <w:jc w:val="both"/>
        <w:rPr>
          <w:rFonts w:eastAsia="Arial"/>
          <w:color w:val="000000"/>
          <w:vertAlign w:val="superscript"/>
          <w:lang w:val="es-ES" w:eastAsia="es-ES"/>
        </w:rPr>
      </w:pPr>
      <w:r w:rsidRPr="002C44FC">
        <w:rPr>
          <w:rFonts w:eastAsia="Arial"/>
          <w:color w:val="000000"/>
          <w:lang w:val="es-ES" w:eastAsia="es-ES"/>
        </w:rPr>
        <w:t xml:space="preserve">El síndrome de la bolsa de orina púrpura se desencadena por una serie de reacciones químicas, debido a una infección del tracto urinario, en su mayoría por una bacteriuria asintomática, causada por bacterias patógenas gramnegativas, productoras de enzimas fosfatasas y </w:t>
      </w:r>
      <w:proofErr w:type="spellStart"/>
      <w:r w:rsidRPr="002C44FC">
        <w:rPr>
          <w:rFonts w:eastAsia="Arial"/>
          <w:color w:val="000000"/>
          <w:lang w:val="es-ES" w:eastAsia="es-ES"/>
        </w:rPr>
        <w:t>sulfatasas</w:t>
      </w:r>
      <w:proofErr w:type="spellEnd"/>
      <w:r w:rsidRPr="002C44FC">
        <w:rPr>
          <w:rFonts w:eastAsia="Arial"/>
          <w:color w:val="000000"/>
          <w:lang w:val="es-ES" w:eastAsia="es-ES"/>
        </w:rPr>
        <w:t xml:space="preserve">, en pacientes con cateterismo urinario, generalmente de forma </w:t>
      </w:r>
      <w:proofErr w:type="gramStart"/>
      <w:r w:rsidRPr="002C44FC">
        <w:rPr>
          <w:rFonts w:eastAsia="Arial"/>
          <w:color w:val="000000"/>
          <w:lang w:val="es-ES" w:eastAsia="es-ES"/>
        </w:rPr>
        <w:t>permanente.</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4,8,10)</w:t>
      </w:r>
    </w:p>
    <w:p w14:paraId="22610DDB" w14:textId="77777777" w:rsidR="002C44FC" w:rsidRPr="002C44FC" w:rsidRDefault="002C44FC" w:rsidP="002C44FC">
      <w:pPr>
        <w:spacing w:line="360" w:lineRule="auto"/>
        <w:ind w:left="-5" w:hanging="10"/>
        <w:jc w:val="both"/>
        <w:rPr>
          <w:rFonts w:eastAsia="Arial"/>
          <w:b/>
          <w:color w:val="000000"/>
          <w:vertAlign w:val="superscript"/>
          <w:lang w:val="es-ES" w:eastAsia="es-ES"/>
        </w:rPr>
      </w:pPr>
      <w:r w:rsidRPr="002C44FC">
        <w:rPr>
          <w:rFonts w:eastAsia="Arial"/>
          <w:color w:val="000000"/>
          <w:lang w:val="es-ES" w:eastAsia="es-ES"/>
        </w:rPr>
        <w:t>La patogenia del síndrome involucra el triptófano de la dieta, el cual</w:t>
      </w:r>
      <w:r w:rsidRPr="002C44FC">
        <w:rPr>
          <w:rFonts w:eastAsia="Arial"/>
          <w:b/>
          <w:color w:val="000000"/>
          <w:lang w:val="es-ES" w:eastAsia="es-ES"/>
        </w:rPr>
        <w:t xml:space="preserve"> </w:t>
      </w:r>
      <w:r w:rsidRPr="002C44FC">
        <w:rPr>
          <w:rFonts w:eastAsia="Arial"/>
          <w:color w:val="000000"/>
          <w:lang w:val="es-ES" w:eastAsia="es-ES"/>
        </w:rPr>
        <w:t xml:space="preserve">es degradado por las bacterias </w:t>
      </w:r>
      <w:proofErr w:type="gramStart"/>
      <w:r w:rsidRPr="002C44FC">
        <w:rPr>
          <w:rFonts w:eastAsia="Arial"/>
          <w:color w:val="000000"/>
          <w:lang w:val="es-ES" w:eastAsia="es-ES"/>
        </w:rPr>
        <w:t>de la microbiota intestinal</w:t>
      </w:r>
      <w:proofErr w:type="gramEnd"/>
      <w:r w:rsidRPr="002C44FC">
        <w:rPr>
          <w:rFonts w:eastAsia="Arial"/>
          <w:color w:val="000000"/>
          <w:lang w:val="es-ES" w:eastAsia="es-ES"/>
        </w:rPr>
        <w:t xml:space="preserve">; se transforma en indol, que a través de la circulación portal llega al hígado y allí se convierte en </w:t>
      </w:r>
      <w:proofErr w:type="spellStart"/>
      <w:r w:rsidRPr="002C44FC">
        <w:rPr>
          <w:rFonts w:eastAsia="Arial"/>
          <w:color w:val="000000"/>
          <w:lang w:val="es-ES" w:eastAsia="es-ES"/>
        </w:rPr>
        <w:t>indoxil</w:t>
      </w:r>
      <w:proofErr w:type="spellEnd"/>
      <w:r w:rsidRPr="002C44FC">
        <w:rPr>
          <w:rFonts w:eastAsia="Arial"/>
          <w:color w:val="000000"/>
          <w:lang w:val="es-ES" w:eastAsia="es-ES"/>
        </w:rPr>
        <w:t xml:space="preserve"> sulfato que se excreta por la orina. Este último, por la acción de enzimas bacterianas </w:t>
      </w:r>
      <w:proofErr w:type="spellStart"/>
      <w:r w:rsidRPr="002C44FC">
        <w:rPr>
          <w:rFonts w:eastAsia="Arial"/>
          <w:color w:val="000000"/>
          <w:lang w:val="es-ES" w:eastAsia="es-ES"/>
        </w:rPr>
        <w:t>sulfatasas</w:t>
      </w:r>
      <w:proofErr w:type="spellEnd"/>
      <w:r w:rsidRPr="002C44FC">
        <w:rPr>
          <w:rFonts w:eastAsia="Arial"/>
          <w:color w:val="000000"/>
          <w:lang w:val="es-ES" w:eastAsia="es-ES"/>
        </w:rPr>
        <w:t xml:space="preserve"> y fosfatasas, presentes en orinas fundamentalmente alcalinas se transforma en índigo (pigmento azul) e </w:t>
      </w:r>
      <w:proofErr w:type="spellStart"/>
      <w:r w:rsidRPr="002C44FC">
        <w:rPr>
          <w:rFonts w:eastAsia="Arial"/>
          <w:color w:val="000000"/>
          <w:lang w:val="es-ES" w:eastAsia="es-ES"/>
        </w:rPr>
        <w:t>indirubina</w:t>
      </w:r>
      <w:proofErr w:type="spellEnd"/>
      <w:r w:rsidRPr="002C44FC">
        <w:rPr>
          <w:rFonts w:eastAsia="Arial"/>
          <w:color w:val="000000"/>
          <w:lang w:val="es-ES" w:eastAsia="es-ES"/>
        </w:rPr>
        <w:t xml:space="preserve"> (pigmento rojo). Al mezclarse ambos pigmentos e interactuar con el material de polivinilo de la sonda vesical y la bolsa colectora, son los responsables de la coloración </w:t>
      </w:r>
      <w:proofErr w:type="gramStart"/>
      <w:r w:rsidRPr="002C44FC">
        <w:rPr>
          <w:rFonts w:eastAsia="Arial"/>
          <w:color w:val="000000"/>
          <w:lang w:val="es-ES" w:eastAsia="es-ES"/>
        </w:rPr>
        <w:t>púrpura.</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1,3,4)</w:t>
      </w:r>
      <w:r w:rsidRPr="002C44FC">
        <w:rPr>
          <w:rFonts w:eastAsia="Arial"/>
          <w:b/>
          <w:color w:val="000000"/>
          <w:vertAlign w:val="superscript"/>
          <w:lang w:val="es-ES" w:eastAsia="es-ES"/>
        </w:rPr>
        <w:t xml:space="preserve">     </w:t>
      </w:r>
    </w:p>
    <w:p w14:paraId="005D4A7A"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Las bacterias relacionadas con mayor frecuencia con este fenómeno son: </w:t>
      </w:r>
      <w:r w:rsidRPr="002C44FC">
        <w:rPr>
          <w:rFonts w:eastAsia="Arial"/>
          <w:i/>
          <w:color w:val="000000"/>
          <w:lang w:val="es-ES" w:eastAsia="es-ES"/>
        </w:rPr>
        <w:t xml:space="preserve">Proteus </w:t>
      </w:r>
      <w:proofErr w:type="spellStart"/>
      <w:r w:rsidRPr="002C44FC">
        <w:rPr>
          <w:rFonts w:eastAsia="Arial"/>
          <w:i/>
          <w:color w:val="000000"/>
          <w:lang w:val="es-ES" w:eastAsia="es-ES"/>
        </w:rPr>
        <w:t>mirabilis</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Escherichia</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coli</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Klebsiella</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pneumoniae</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Morganella</w:t>
      </w:r>
      <w:proofErr w:type="spellEnd"/>
      <w:r w:rsidRPr="002C44FC">
        <w:rPr>
          <w:rFonts w:eastAsia="Arial"/>
          <w:i/>
          <w:color w:val="000000"/>
          <w:lang w:val="es-ES" w:eastAsia="es-ES"/>
        </w:rPr>
        <w:t xml:space="preserve"> </w:t>
      </w:r>
      <w:proofErr w:type="spellStart"/>
      <w:r w:rsidRPr="002C44FC">
        <w:rPr>
          <w:rFonts w:eastAsia="Arial"/>
          <w:i/>
          <w:color w:val="000000"/>
          <w:lang w:val="es-ES" w:eastAsia="es-ES"/>
        </w:rPr>
        <w:t>morganii</w:t>
      </w:r>
      <w:proofErr w:type="spellEnd"/>
      <w:r w:rsidRPr="002C44FC">
        <w:rPr>
          <w:rFonts w:eastAsia="Arial"/>
          <w:i/>
          <w:color w:val="000000"/>
          <w:lang w:val="es-ES" w:eastAsia="es-ES"/>
        </w:rPr>
        <w:t xml:space="preserve"> y Pseudomona </w:t>
      </w:r>
      <w:proofErr w:type="spellStart"/>
      <w:r w:rsidRPr="002C44FC">
        <w:rPr>
          <w:rFonts w:eastAsia="Arial"/>
          <w:i/>
          <w:color w:val="000000"/>
          <w:lang w:val="es-ES" w:eastAsia="es-ES"/>
        </w:rPr>
        <w:t>aeruginosa</w:t>
      </w:r>
      <w:proofErr w:type="spellEnd"/>
      <w:r w:rsidRPr="002C44FC">
        <w:rPr>
          <w:rFonts w:eastAsia="Arial"/>
          <w:color w:val="000000"/>
          <w:lang w:val="es-ES" w:eastAsia="es-ES"/>
        </w:rPr>
        <w:t xml:space="preserve">, entre </w:t>
      </w:r>
      <w:proofErr w:type="gramStart"/>
      <w:r w:rsidRPr="002C44FC">
        <w:rPr>
          <w:rFonts w:eastAsia="Arial"/>
          <w:color w:val="000000"/>
          <w:lang w:val="es-ES" w:eastAsia="es-ES"/>
        </w:rPr>
        <w:t>otras</w:t>
      </w:r>
      <w:r w:rsidRPr="002C44FC">
        <w:rPr>
          <w:rFonts w:eastAsia="Arial"/>
          <w:b/>
          <w:color w:val="000000"/>
          <w:lang w:val="es-ES" w:eastAsia="es-ES"/>
        </w:rPr>
        <w:t>.</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1,4,11)</w:t>
      </w:r>
    </w:p>
    <w:p w14:paraId="15FEDB7A"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lastRenderedPageBreak/>
        <w:t>Los factores de riesgo que con más frecuencia se relacionan con el síndrome son: el sexo femenino, edad avanzada, la orina alcalina, cateterismo urinario permanente, el material de polivinilo de las bolsas colectoras, constipación crónica, postración y diferentes comorbilidades (insuficiencia renal crónica, demencia y enfermedad cerebrovascular</w:t>
      </w:r>
      <w:proofErr w:type="gramStart"/>
      <w:r w:rsidRPr="002C44FC">
        <w:rPr>
          <w:rFonts w:eastAsia="Arial"/>
          <w:color w:val="000000"/>
          <w:lang w:val="es-ES" w:eastAsia="es-ES"/>
        </w:rPr>
        <w:t>).</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1,3,4,11)</w:t>
      </w:r>
    </w:p>
    <w:p w14:paraId="6D3690CA"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Las mujeres están más expuestas a desarrollar este síndrome, pues la uretra femenina es más corta, además, su cercanía al ano predispone más a las </w:t>
      </w:r>
      <w:proofErr w:type="spellStart"/>
      <w:proofErr w:type="gramStart"/>
      <w:r w:rsidRPr="002C44FC">
        <w:rPr>
          <w:rFonts w:eastAsia="Arial"/>
          <w:color w:val="000000"/>
          <w:lang w:val="es-ES" w:eastAsia="es-ES"/>
        </w:rPr>
        <w:t>ITU</w:t>
      </w:r>
      <w:proofErr w:type="spellEnd"/>
      <w:r w:rsidRPr="002C44FC">
        <w:rPr>
          <w:rFonts w:eastAsia="Arial"/>
          <w:bCs/>
          <w:color w:val="000000"/>
          <w:lang w:val="es-ES" w:eastAsia="es-ES"/>
        </w:rPr>
        <w:t>.</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4,8)</w:t>
      </w:r>
      <w:r w:rsidRPr="002C44FC">
        <w:rPr>
          <w:rFonts w:eastAsia="Arial"/>
          <w:color w:val="000000"/>
          <w:lang w:val="es-ES" w:eastAsia="es-ES"/>
        </w:rPr>
        <w:t xml:space="preserve"> La cateterización urinaria permanente es un factor de riesgo demostrado, sin embargo, puede aparecer horas o días después de colocar la sonda,</w:t>
      </w:r>
      <w:r w:rsidRPr="002C44FC">
        <w:rPr>
          <w:rFonts w:eastAsia="Arial"/>
          <w:color w:val="000000"/>
          <w:vertAlign w:val="superscript"/>
          <w:lang w:val="es-ES" w:eastAsia="es-ES"/>
        </w:rPr>
        <w:t>(8,9,11)</w:t>
      </w:r>
      <w:r w:rsidRPr="002C44FC">
        <w:rPr>
          <w:rFonts w:eastAsia="Arial"/>
          <w:color w:val="000000"/>
          <w:lang w:val="es-ES" w:eastAsia="es-ES"/>
        </w:rPr>
        <w:t xml:space="preserve"> como sucedió en la paciente que se presentó.</w:t>
      </w:r>
    </w:p>
    <w:p w14:paraId="615D89CD"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El estreñimiento crónico provoca un sobrecrecimiento bacteriano, debido al enlentecimiento del tránsito intestinal. Esta hipomotilidad aumenta el metabolismo del </w:t>
      </w:r>
      <w:proofErr w:type="gramStart"/>
      <w:r w:rsidRPr="002C44FC">
        <w:rPr>
          <w:rFonts w:eastAsia="Arial"/>
          <w:color w:val="000000"/>
          <w:lang w:val="es-ES" w:eastAsia="es-ES"/>
        </w:rPr>
        <w:t>triptófano.</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 xml:space="preserve">1,3,8,10) </w:t>
      </w:r>
      <w:r w:rsidRPr="002C44FC">
        <w:rPr>
          <w:rFonts w:eastAsia="Arial"/>
          <w:color w:val="000000"/>
          <w:lang w:val="es-ES" w:eastAsia="es-ES"/>
        </w:rPr>
        <w:t xml:space="preserve">El pH básico promueve la conversión del </w:t>
      </w:r>
      <w:proofErr w:type="spellStart"/>
      <w:r w:rsidRPr="002C44FC">
        <w:rPr>
          <w:rFonts w:eastAsia="Arial"/>
          <w:color w:val="000000"/>
          <w:lang w:val="es-ES" w:eastAsia="es-ES"/>
        </w:rPr>
        <w:t>indoxilo</w:t>
      </w:r>
      <w:proofErr w:type="spellEnd"/>
      <w:r w:rsidRPr="002C44FC">
        <w:rPr>
          <w:rFonts w:eastAsia="Arial"/>
          <w:color w:val="000000"/>
          <w:lang w:val="es-ES" w:eastAsia="es-ES"/>
        </w:rPr>
        <w:t xml:space="preserve">, en índigo e </w:t>
      </w:r>
      <w:proofErr w:type="spellStart"/>
      <w:r w:rsidRPr="002C44FC">
        <w:rPr>
          <w:rFonts w:eastAsia="Arial"/>
          <w:color w:val="000000"/>
          <w:lang w:val="es-ES" w:eastAsia="es-ES"/>
        </w:rPr>
        <w:t>indirubina</w:t>
      </w:r>
      <w:proofErr w:type="spellEnd"/>
      <w:r w:rsidRPr="002C44FC">
        <w:rPr>
          <w:rFonts w:eastAsia="Arial"/>
          <w:color w:val="000000"/>
          <w:lang w:val="es-ES" w:eastAsia="es-ES"/>
        </w:rPr>
        <w:t xml:space="preserve">. Este fenómeno se observa mayoritariamente en orinas alcalinas, aunque existen publicaciones que refieren el síndrome en pacientes con orinas ácidas y alta carga </w:t>
      </w:r>
      <w:proofErr w:type="gramStart"/>
      <w:r w:rsidRPr="002C44FC">
        <w:rPr>
          <w:rFonts w:eastAsia="Arial"/>
          <w:color w:val="000000"/>
          <w:lang w:val="es-ES" w:eastAsia="es-ES"/>
        </w:rPr>
        <w:t>bacteriana</w:t>
      </w:r>
      <w:r w:rsidRPr="002C44FC">
        <w:rPr>
          <w:rFonts w:eastAsia="Arial"/>
          <w:bCs/>
          <w:color w:val="000000"/>
          <w:lang w:val="es-ES" w:eastAsia="es-ES"/>
        </w:rPr>
        <w:t>.</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4,8,11)</w:t>
      </w:r>
      <w:r w:rsidRPr="002C44FC">
        <w:rPr>
          <w:rFonts w:eastAsia="Arial"/>
          <w:color w:val="000000"/>
          <w:lang w:val="es-ES" w:eastAsia="es-ES"/>
        </w:rPr>
        <w:t xml:space="preserve"> El caso que se informa presentó orina con pH ácido.</w:t>
      </w:r>
    </w:p>
    <w:p w14:paraId="5C7C6998" w14:textId="77777777" w:rsidR="002C44FC" w:rsidRPr="002C44FC" w:rsidRDefault="002C44FC" w:rsidP="002C44FC">
      <w:pPr>
        <w:spacing w:line="360" w:lineRule="auto"/>
        <w:ind w:left="-5" w:hanging="10"/>
        <w:jc w:val="both"/>
        <w:rPr>
          <w:rFonts w:eastAsia="Arial"/>
          <w:lang w:val="es-ES" w:eastAsia="es-ES"/>
        </w:rPr>
      </w:pPr>
      <w:r w:rsidRPr="002C44FC">
        <w:rPr>
          <w:rFonts w:eastAsia="Arial"/>
          <w:lang w:val="es-ES" w:eastAsia="es-ES"/>
        </w:rPr>
        <w:t xml:space="preserve">Es una forma de presentación infrecuente de una </w:t>
      </w:r>
      <w:proofErr w:type="spellStart"/>
      <w:r w:rsidRPr="002C44FC">
        <w:rPr>
          <w:rFonts w:eastAsia="Arial"/>
          <w:lang w:val="es-ES" w:eastAsia="es-ES"/>
        </w:rPr>
        <w:t>ITU</w:t>
      </w:r>
      <w:proofErr w:type="spellEnd"/>
      <w:r w:rsidRPr="002C44FC">
        <w:rPr>
          <w:rFonts w:eastAsia="Arial"/>
          <w:lang w:val="es-ES" w:eastAsia="es-ES"/>
        </w:rPr>
        <w:t xml:space="preserve">, en su mayoría asintomática, de curso generalmente benigno y con tendencia a la mejoría después del inicio del </w:t>
      </w:r>
      <w:proofErr w:type="gramStart"/>
      <w:r w:rsidRPr="002C44FC">
        <w:rPr>
          <w:rFonts w:eastAsia="Arial"/>
          <w:lang w:val="es-ES" w:eastAsia="es-ES"/>
        </w:rPr>
        <w:t>tratamiento.</w:t>
      </w:r>
      <w:r w:rsidRPr="002C44FC">
        <w:rPr>
          <w:rFonts w:eastAsia="Arial"/>
          <w:vertAlign w:val="superscript"/>
          <w:lang w:val="es-ES" w:eastAsia="es-ES"/>
        </w:rPr>
        <w:t>(</w:t>
      </w:r>
      <w:proofErr w:type="gramEnd"/>
      <w:r w:rsidRPr="002C44FC">
        <w:rPr>
          <w:rFonts w:eastAsia="Arial"/>
          <w:vertAlign w:val="superscript"/>
          <w:lang w:val="es-ES" w:eastAsia="es-ES"/>
        </w:rPr>
        <w:t>1,5)</w:t>
      </w:r>
      <w:r w:rsidRPr="002C44FC">
        <w:rPr>
          <w:rFonts w:eastAsia="Arial"/>
          <w:lang w:val="es-ES" w:eastAsia="es-ES"/>
        </w:rPr>
        <w:t xml:space="preserve"> </w:t>
      </w:r>
    </w:p>
    <w:p w14:paraId="2BEBCA2E"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No existen guías en lo que se refiere a la conducta a seguir para el síndrome de la bolsa de orina púrpura; se recomienda la prevención del estreñimiento y el recambio de la sonda cada 21 días. El uso de antimicrobianos para la resolución del cuadro es elección del </w:t>
      </w:r>
      <w:proofErr w:type="gramStart"/>
      <w:r w:rsidRPr="002C44FC">
        <w:rPr>
          <w:rFonts w:eastAsia="Arial"/>
          <w:color w:val="000000"/>
          <w:lang w:val="es-ES" w:eastAsia="es-ES"/>
        </w:rPr>
        <w:t>médico.</w:t>
      </w:r>
      <w:r w:rsidRPr="002C44FC">
        <w:rPr>
          <w:rFonts w:eastAsia="Arial"/>
          <w:color w:val="000000"/>
          <w:vertAlign w:val="superscript"/>
          <w:lang w:val="es-ES" w:eastAsia="es-ES"/>
        </w:rPr>
        <w:t>(</w:t>
      </w:r>
      <w:proofErr w:type="gramEnd"/>
      <w:r w:rsidRPr="002C44FC">
        <w:rPr>
          <w:rFonts w:eastAsia="Arial"/>
          <w:color w:val="000000"/>
          <w:vertAlign w:val="superscript"/>
          <w:lang w:val="es-ES" w:eastAsia="es-ES"/>
        </w:rPr>
        <w:t>3,6,11)</w:t>
      </w:r>
    </w:p>
    <w:p w14:paraId="0FB81803"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A pesar que esta paciente, solo presentó coloración morada y fetidez como expresión del síndrome, se administró antibiótico, por los resultados en el sedimento urinario y el urocultivo. </w:t>
      </w:r>
    </w:p>
    <w:p w14:paraId="247DE1A4"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A diferencia de lo reportado en la literatura, esta paciente no presentaba comorbilidades hasta el momento del ingreso y tenía una orina ácida. Como factores de riesgo asociados solo tenía la edad y la constipación crónica; comenzó con una enfermedad cerebrovascular y como consecuencia, postración y cateterismo uretral. </w:t>
      </w:r>
    </w:p>
    <w:p w14:paraId="0C460D0C" w14:textId="77777777" w:rsidR="002C44FC" w:rsidRPr="002C44FC" w:rsidRDefault="002C44FC" w:rsidP="002C44FC">
      <w:pPr>
        <w:spacing w:line="360" w:lineRule="auto"/>
        <w:ind w:left="-5" w:hanging="10"/>
        <w:jc w:val="both"/>
        <w:rPr>
          <w:rFonts w:eastAsia="Arial"/>
          <w:color w:val="000000"/>
          <w:lang w:val="es-ES" w:eastAsia="es-ES"/>
        </w:rPr>
      </w:pPr>
      <w:r w:rsidRPr="002C44FC">
        <w:rPr>
          <w:rFonts w:eastAsia="Arial"/>
          <w:color w:val="000000"/>
          <w:lang w:val="es-ES" w:eastAsia="es-ES"/>
        </w:rPr>
        <w:t xml:space="preserve">Aunque se puede identificar con facilidad, sin requerir exámenes costosos, constituye un reto para los médicos que atienden a pacientes geriátricos. Conocer este trastorno es fundamental, porque, aunque es infrecuente, puede ser la única manifestación de infección urinaria en pacientes con cateterismo uretral.  </w:t>
      </w:r>
    </w:p>
    <w:p w14:paraId="766F4F3C" w14:textId="77777777" w:rsidR="002C44FC" w:rsidRPr="002C44FC" w:rsidRDefault="002C44FC" w:rsidP="002C44FC">
      <w:pPr>
        <w:spacing w:line="360" w:lineRule="auto"/>
        <w:ind w:left="-5" w:hanging="10"/>
        <w:jc w:val="both"/>
        <w:rPr>
          <w:rFonts w:eastAsia="Arial"/>
          <w:b/>
          <w:color w:val="000000"/>
          <w:lang w:val="es-ES" w:eastAsia="es-ES"/>
        </w:rPr>
      </w:pPr>
    </w:p>
    <w:p w14:paraId="273FB4BF" w14:textId="77777777" w:rsidR="002C44FC" w:rsidRPr="002C44FC" w:rsidRDefault="002C44FC" w:rsidP="002C44FC">
      <w:pPr>
        <w:spacing w:line="360" w:lineRule="auto"/>
        <w:ind w:left="-5" w:hanging="10"/>
        <w:jc w:val="both"/>
        <w:rPr>
          <w:rFonts w:eastAsia="Arial"/>
          <w:b/>
          <w:color w:val="000000"/>
          <w:lang w:val="es-ES" w:eastAsia="es-ES"/>
        </w:rPr>
      </w:pPr>
    </w:p>
    <w:p w14:paraId="5205D848" w14:textId="77777777" w:rsidR="002C44FC" w:rsidRPr="002C44FC" w:rsidRDefault="002C44FC" w:rsidP="002C44FC">
      <w:pPr>
        <w:spacing w:line="360" w:lineRule="auto"/>
        <w:ind w:left="-5" w:hanging="10"/>
        <w:jc w:val="center"/>
        <w:rPr>
          <w:rFonts w:eastAsia="Arial"/>
          <w:b/>
          <w:color w:val="000000"/>
          <w:sz w:val="32"/>
          <w:szCs w:val="32"/>
          <w:lang w:val="es-ES" w:eastAsia="es-ES"/>
        </w:rPr>
      </w:pPr>
      <w:r w:rsidRPr="002C44FC">
        <w:rPr>
          <w:rFonts w:eastAsia="Arial"/>
          <w:b/>
          <w:color w:val="000000"/>
          <w:sz w:val="32"/>
          <w:szCs w:val="32"/>
          <w:lang w:val="es-ES" w:eastAsia="es-ES"/>
        </w:rPr>
        <w:t>REFERENCIAS BIBLIOGRÁFICAS</w:t>
      </w:r>
    </w:p>
    <w:p w14:paraId="45471447" w14:textId="77777777" w:rsidR="002C44FC" w:rsidRPr="002C44FC" w:rsidRDefault="002C44FC" w:rsidP="002C44FC">
      <w:pPr>
        <w:spacing w:line="360" w:lineRule="auto"/>
        <w:rPr>
          <w:rFonts w:eastAsia="Arial"/>
          <w:color w:val="000000"/>
          <w:lang w:val="es-ES" w:eastAsia="es-ES"/>
        </w:rPr>
      </w:pPr>
      <w:r w:rsidRPr="002C44FC">
        <w:rPr>
          <w:rFonts w:eastAsia="Arial"/>
          <w:color w:val="000000"/>
          <w:lang w:val="es-ES" w:eastAsia="es-ES"/>
        </w:rPr>
        <w:t xml:space="preserve">1. </w:t>
      </w:r>
      <w:proofErr w:type="spellStart"/>
      <w:r w:rsidRPr="002C44FC">
        <w:rPr>
          <w:rFonts w:eastAsia="Arial"/>
          <w:color w:val="000000"/>
          <w:lang w:val="es-ES" w:eastAsia="es-ES"/>
        </w:rPr>
        <w:t>Mastrapasqua</w:t>
      </w:r>
      <w:proofErr w:type="spellEnd"/>
      <w:r w:rsidRPr="002C44FC">
        <w:rPr>
          <w:rFonts w:eastAsia="Arial"/>
          <w:color w:val="000000"/>
          <w:lang w:val="es-ES" w:eastAsia="es-ES"/>
        </w:rPr>
        <w:t xml:space="preserve"> S, Rodríguez Somoza F, Martínez MC. Síndrome de la bolsa de orina púrpura. Un caso. </w:t>
      </w:r>
      <w:proofErr w:type="spellStart"/>
      <w:r w:rsidRPr="002C44FC">
        <w:rPr>
          <w:rFonts w:eastAsia="Arial"/>
          <w:color w:val="000000"/>
          <w:lang w:val="es-ES" w:eastAsia="es-ES"/>
        </w:rPr>
        <w:t>Rev</w:t>
      </w:r>
      <w:proofErr w:type="spellEnd"/>
      <w:r w:rsidRPr="002C44FC">
        <w:rPr>
          <w:rFonts w:eastAsia="Arial"/>
          <w:color w:val="000000"/>
          <w:lang w:val="es-ES" w:eastAsia="es-ES"/>
        </w:rPr>
        <w:t xml:space="preserve"> </w:t>
      </w:r>
      <w:proofErr w:type="spellStart"/>
      <w:r w:rsidRPr="002C44FC">
        <w:rPr>
          <w:rFonts w:eastAsia="Arial"/>
          <w:color w:val="000000"/>
          <w:lang w:val="es-ES" w:eastAsia="es-ES"/>
        </w:rPr>
        <w:t>Nefrol</w:t>
      </w:r>
      <w:proofErr w:type="spellEnd"/>
      <w:r w:rsidRPr="002C44FC">
        <w:rPr>
          <w:rFonts w:eastAsia="Arial"/>
          <w:color w:val="000000"/>
          <w:lang w:val="es-ES" w:eastAsia="es-ES"/>
        </w:rPr>
        <w:t xml:space="preserve"> Dial </w:t>
      </w:r>
      <w:proofErr w:type="spellStart"/>
      <w:r w:rsidRPr="002C44FC">
        <w:rPr>
          <w:rFonts w:eastAsia="Arial"/>
          <w:color w:val="000000"/>
          <w:lang w:val="es-ES" w:eastAsia="es-ES"/>
        </w:rPr>
        <w:t>Traspl</w:t>
      </w:r>
      <w:proofErr w:type="spellEnd"/>
      <w:r w:rsidRPr="002C44FC">
        <w:rPr>
          <w:rFonts w:eastAsia="Arial"/>
          <w:color w:val="000000"/>
          <w:lang w:val="es-ES" w:eastAsia="es-ES"/>
        </w:rPr>
        <w:t xml:space="preserve">. 2018 [acceso: 02/04/2022]; 38(1):87-90. Disponible en: </w:t>
      </w:r>
      <w:hyperlink r:id="rId16" w:history="1">
        <w:r w:rsidRPr="002C44FC">
          <w:rPr>
            <w:rFonts w:eastAsia="Arial"/>
            <w:color w:val="0563C1"/>
            <w:u w:val="single" w:color="0563C1"/>
            <w:lang w:val="es-ES" w:eastAsia="es-ES"/>
          </w:rPr>
          <w:t>https://www.revistarenal.org.ar/index.php/rndt/article/view/302</w:t>
        </w:r>
      </w:hyperlink>
      <w:hyperlink r:id="rId17"/>
    </w:p>
    <w:p w14:paraId="52E1C4A1" w14:textId="77777777" w:rsidR="002C44FC" w:rsidRPr="002C44FC" w:rsidRDefault="002C44FC" w:rsidP="002C44FC">
      <w:pPr>
        <w:spacing w:line="360" w:lineRule="auto"/>
        <w:rPr>
          <w:rFonts w:eastAsia="Arial"/>
          <w:color w:val="0563C1"/>
          <w:u w:val="single" w:color="0563C1"/>
          <w:lang w:val="es-ES" w:eastAsia="es-ES"/>
        </w:rPr>
      </w:pPr>
      <w:r w:rsidRPr="002C44FC">
        <w:rPr>
          <w:rFonts w:eastAsia="Arial"/>
          <w:color w:val="000000"/>
          <w:lang w:val="en-US" w:eastAsia="es-ES"/>
        </w:rPr>
        <w:t xml:space="preserve">2. Barlow GB, Dickson JAS. Purple urine bags. </w:t>
      </w:r>
      <w:proofErr w:type="spellStart"/>
      <w:r w:rsidRPr="002C44FC">
        <w:rPr>
          <w:rFonts w:eastAsia="Arial"/>
          <w:color w:val="000000"/>
          <w:lang w:val="es-ES" w:eastAsia="es-ES"/>
        </w:rPr>
        <w:t>The</w:t>
      </w:r>
      <w:proofErr w:type="spellEnd"/>
      <w:r w:rsidRPr="002C44FC">
        <w:rPr>
          <w:rFonts w:eastAsia="Arial"/>
          <w:color w:val="000000"/>
          <w:lang w:val="es-ES" w:eastAsia="es-ES"/>
        </w:rPr>
        <w:t xml:space="preserve"> Lancet. 1978; 311(8057):220-1. </w:t>
      </w:r>
      <w:proofErr w:type="spellStart"/>
      <w:r w:rsidRPr="002C44FC">
        <w:rPr>
          <w:rFonts w:eastAsia="Arial"/>
          <w:color w:val="000000"/>
          <w:lang w:val="es-ES" w:eastAsia="es-ES"/>
        </w:rPr>
        <w:t>DOI</w:t>
      </w:r>
      <w:proofErr w:type="spellEnd"/>
      <w:r w:rsidRPr="002C44FC">
        <w:rPr>
          <w:rFonts w:eastAsia="Arial"/>
          <w:color w:val="000000"/>
          <w:lang w:val="es-ES" w:eastAsia="es-ES"/>
        </w:rPr>
        <w:t>: 10.1016/</w:t>
      </w:r>
      <w:proofErr w:type="spellStart"/>
      <w:r w:rsidRPr="002C44FC">
        <w:rPr>
          <w:rFonts w:eastAsia="Arial"/>
          <w:color w:val="000000"/>
          <w:lang w:val="es-ES" w:eastAsia="es-ES"/>
        </w:rPr>
        <w:t>s0022</w:t>
      </w:r>
      <w:proofErr w:type="spellEnd"/>
      <w:r w:rsidRPr="002C44FC">
        <w:rPr>
          <w:rFonts w:eastAsia="Arial"/>
          <w:color w:val="000000"/>
          <w:lang w:val="es-ES" w:eastAsia="es-ES"/>
        </w:rPr>
        <w:t>-5347(17)38882-1.</w:t>
      </w:r>
    </w:p>
    <w:p w14:paraId="3A41305A" w14:textId="77777777" w:rsidR="002C44FC" w:rsidRPr="002C44FC" w:rsidRDefault="002C44FC" w:rsidP="002C44FC">
      <w:pPr>
        <w:spacing w:line="360" w:lineRule="auto"/>
        <w:rPr>
          <w:rFonts w:eastAsia="Arial"/>
          <w:u w:val="single" w:color="0563C1"/>
          <w:lang w:val="es-ES" w:eastAsia="es-ES"/>
        </w:rPr>
      </w:pPr>
      <w:r w:rsidRPr="002C44FC">
        <w:rPr>
          <w:rFonts w:eastAsia="Arial"/>
          <w:lang w:val="es-ES" w:eastAsia="es-ES"/>
        </w:rPr>
        <w:t>3.</w:t>
      </w:r>
      <w:r w:rsidRPr="002C44FC">
        <w:rPr>
          <w:rFonts w:eastAsia="Arial"/>
          <w:u w:color="0563C1"/>
          <w:lang w:val="es-ES" w:eastAsia="es-ES"/>
        </w:rPr>
        <w:t xml:space="preserve"> </w:t>
      </w:r>
      <w:r w:rsidRPr="002C44FC">
        <w:rPr>
          <w:rFonts w:eastAsia="Arial"/>
          <w:color w:val="000000"/>
          <w:lang w:val="es-ES" w:eastAsia="es-ES"/>
        </w:rPr>
        <w:t xml:space="preserve">López </w:t>
      </w:r>
      <w:proofErr w:type="spellStart"/>
      <w:r w:rsidRPr="002C44FC">
        <w:rPr>
          <w:rFonts w:eastAsia="Arial"/>
          <w:color w:val="000000"/>
          <w:lang w:val="es-ES" w:eastAsia="es-ES"/>
        </w:rPr>
        <w:t>Rios</w:t>
      </w:r>
      <w:proofErr w:type="spellEnd"/>
      <w:r w:rsidRPr="002C44FC">
        <w:rPr>
          <w:rFonts w:eastAsia="Arial"/>
          <w:color w:val="000000"/>
          <w:lang w:val="es-ES" w:eastAsia="es-ES"/>
        </w:rPr>
        <w:t xml:space="preserve"> V, Ruiz Morales </w:t>
      </w:r>
      <w:proofErr w:type="spellStart"/>
      <w:r w:rsidRPr="002C44FC">
        <w:rPr>
          <w:rFonts w:eastAsia="Arial"/>
          <w:color w:val="000000"/>
          <w:lang w:val="es-ES" w:eastAsia="es-ES"/>
        </w:rPr>
        <w:t>JJ</w:t>
      </w:r>
      <w:proofErr w:type="spellEnd"/>
      <w:r w:rsidRPr="002C44FC">
        <w:rPr>
          <w:rFonts w:eastAsia="Arial"/>
          <w:color w:val="000000"/>
          <w:lang w:val="es-ES" w:eastAsia="es-ES"/>
        </w:rPr>
        <w:t xml:space="preserve">, Trujillo Flórez DA, Barrios Arroyave FA. Síndrome de la Bolsa de Orina Púrpura. Reporte de caso y revisión de la literatura. Medicas </w:t>
      </w:r>
      <w:proofErr w:type="spellStart"/>
      <w:r w:rsidRPr="002C44FC">
        <w:rPr>
          <w:rFonts w:eastAsia="Arial"/>
          <w:color w:val="000000"/>
          <w:lang w:val="es-ES" w:eastAsia="es-ES"/>
        </w:rPr>
        <w:t>UIS</w:t>
      </w:r>
      <w:proofErr w:type="spellEnd"/>
      <w:r w:rsidRPr="002C44FC">
        <w:rPr>
          <w:rFonts w:eastAsia="Arial"/>
          <w:color w:val="000000"/>
          <w:lang w:val="es-ES" w:eastAsia="es-ES"/>
        </w:rPr>
        <w:t xml:space="preserve">. 2021 [acceso: 15/04/2022]; 34(2):83-8. Disponible en: </w:t>
      </w:r>
      <w:hyperlink r:id="rId18" w:history="1">
        <w:r w:rsidRPr="002C44FC">
          <w:rPr>
            <w:rFonts w:eastAsia="Arial"/>
            <w:color w:val="0563C1"/>
            <w:u w:val="single"/>
            <w:lang w:val="es-ES" w:eastAsia="es-ES"/>
          </w:rPr>
          <w:t>https://revistas.uis.edu.co/index.php/revistamedicasuis/article/view/12664</w:t>
        </w:r>
      </w:hyperlink>
      <w:r w:rsidRPr="002C44FC">
        <w:rPr>
          <w:rFonts w:eastAsia="Arial"/>
          <w:color w:val="000000"/>
          <w:lang w:val="es-ES" w:eastAsia="es-ES"/>
        </w:rPr>
        <w:t xml:space="preserve"> </w:t>
      </w:r>
    </w:p>
    <w:p w14:paraId="71E8BAB1" w14:textId="77777777" w:rsidR="002C44FC" w:rsidRPr="002C44FC" w:rsidRDefault="002C44FC" w:rsidP="002C44FC">
      <w:pPr>
        <w:spacing w:line="360" w:lineRule="auto"/>
        <w:rPr>
          <w:rFonts w:eastAsia="Arial"/>
          <w:color w:val="000000"/>
          <w:lang w:val="es-ES" w:eastAsia="es-ES"/>
        </w:rPr>
      </w:pPr>
      <w:r w:rsidRPr="002C44FC">
        <w:rPr>
          <w:rFonts w:eastAsia="Arial"/>
          <w:color w:val="000000"/>
          <w:lang w:val="en-US" w:eastAsia="es-ES"/>
        </w:rPr>
        <w:t xml:space="preserve">4. </w:t>
      </w:r>
      <w:proofErr w:type="spellStart"/>
      <w:r w:rsidRPr="002C44FC">
        <w:rPr>
          <w:rFonts w:eastAsia="Arial"/>
          <w:color w:val="000000"/>
          <w:lang w:val="en-US" w:eastAsia="es-ES"/>
        </w:rPr>
        <w:t>Sabanis</w:t>
      </w:r>
      <w:proofErr w:type="spellEnd"/>
      <w:r w:rsidRPr="002C44FC">
        <w:rPr>
          <w:rFonts w:eastAsia="Arial"/>
          <w:color w:val="000000"/>
          <w:lang w:val="en-US" w:eastAsia="es-ES"/>
        </w:rPr>
        <w:t xml:space="preserve"> N, </w:t>
      </w:r>
      <w:proofErr w:type="spellStart"/>
      <w:r w:rsidRPr="002C44FC">
        <w:rPr>
          <w:rFonts w:eastAsia="Arial"/>
          <w:color w:val="000000"/>
          <w:lang w:val="en-US" w:eastAsia="es-ES"/>
        </w:rPr>
        <w:t>Paschou</w:t>
      </w:r>
      <w:proofErr w:type="spellEnd"/>
      <w:r w:rsidRPr="002C44FC">
        <w:rPr>
          <w:rFonts w:eastAsia="Arial"/>
          <w:color w:val="000000"/>
          <w:lang w:val="en-US" w:eastAsia="es-ES"/>
        </w:rPr>
        <w:t xml:space="preserve"> E, Papanikolaou P, </w:t>
      </w:r>
      <w:proofErr w:type="spellStart"/>
      <w:r w:rsidRPr="002C44FC">
        <w:rPr>
          <w:rFonts w:eastAsia="Arial"/>
          <w:color w:val="000000"/>
          <w:lang w:val="en-US" w:eastAsia="es-ES"/>
        </w:rPr>
        <w:t>Zagkotsis</w:t>
      </w:r>
      <w:proofErr w:type="spellEnd"/>
      <w:r w:rsidRPr="002C44FC">
        <w:rPr>
          <w:rFonts w:eastAsia="Arial"/>
          <w:color w:val="000000"/>
          <w:lang w:val="en-US" w:eastAsia="es-ES"/>
        </w:rPr>
        <w:t xml:space="preserve"> G. Purple Urine Bag Syndrome: More Than Eyes Can See. </w:t>
      </w:r>
      <w:proofErr w:type="spellStart"/>
      <w:r w:rsidRPr="002C44FC">
        <w:rPr>
          <w:rFonts w:eastAsia="Arial"/>
          <w:color w:val="000000"/>
          <w:lang w:val="es-ES" w:eastAsia="es-ES"/>
        </w:rPr>
        <w:t>Current</w:t>
      </w:r>
      <w:proofErr w:type="spellEnd"/>
      <w:r w:rsidRPr="002C44FC">
        <w:rPr>
          <w:rFonts w:eastAsia="Arial"/>
          <w:color w:val="000000"/>
          <w:lang w:val="es-ES" w:eastAsia="es-ES"/>
        </w:rPr>
        <w:t xml:space="preserve"> </w:t>
      </w:r>
      <w:proofErr w:type="spellStart"/>
      <w:r w:rsidRPr="002C44FC">
        <w:rPr>
          <w:rFonts w:eastAsia="Arial"/>
          <w:color w:val="000000"/>
          <w:lang w:val="es-ES" w:eastAsia="es-ES"/>
        </w:rPr>
        <w:t>urology</w:t>
      </w:r>
      <w:proofErr w:type="spellEnd"/>
      <w:r w:rsidRPr="002C44FC">
        <w:rPr>
          <w:rFonts w:eastAsia="Arial"/>
          <w:color w:val="000000"/>
          <w:lang w:val="es-ES" w:eastAsia="es-ES"/>
        </w:rPr>
        <w:t xml:space="preserve">. 2019; 13(3):125-32. </w:t>
      </w:r>
      <w:proofErr w:type="spellStart"/>
      <w:r w:rsidRPr="002C44FC">
        <w:rPr>
          <w:rFonts w:eastAsia="Arial"/>
          <w:color w:val="000000"/>
          <w:lang w:val="es-ES" w:eastAsia="es-ES"/>
        </w:rPr>
        <w:t>DOI</w:t>
      </w:r>
      <w:proofErr w:type="spellEnd"/>
      <w:r w:rsidRPr="002C44FC">
        <w:rPr>
          <w:rFonts w:eastAsia="Arial"/>
          <w:color w:val="000000"/>
          <w:lang w:val="es-ES" w:eastAsia="es-ES"/>
        </w:rPr>
        <w:t xml:space="preserve">: 10.1159/000499281 </w:t>
      </w:r>
    </w:p>
    <w:p w14:paraId="084F1BE1" w14:textId="77777777" w:rsidR="002C44FC" w:rsidRPr="002C44FC" w:rsidRDefault="002C44FC" w:rsidP="002C44FC">
      <w:pPr>
        <w:spacing w:line="360" w:lineRule="auto"/>
        <w:rPr>
          <w:rFonts w:eastAsia="Arial"/>
          <w:color w:val="000000"/>
          <w:lang w:val="es-ES" w:eastAsia="es-ES"/>
        </w:rPr>
      </w:pPr>
      <w:r w:rsidRPr="002C44FC">
        <w:rPr>
          <w:rFonts w:eastAsia="Arial"/>
          <w:color w:val="000000"/>
          <w:lang w:val="es-ES" w:eastAsia="es-ES"/>
        </w:rPr>
        <w:t xml:space="preserve">5. Alba Gago I, Vicente López O, Montero San Millán R. Síndrome de orina purpura: a propósito de un caso. Atención Primaria. 2021; 53 (4):1-2. </w:t>
      </w:r>
      <w:proofErr w:type="spellStart"/>
      <w:r w:rsidRPr="002C44FC">
        <w:rPr>
          <w:rFonts w:eastAsia="Arial"/>
          <w:color w:val="000000"/>
          <w:lang w:val="es-ES" w:eastAsia="es-ES"/>
        </w:rPr>
        <w:t>DOI</w:t>
      </w:r>
      <w:proofErr w:type="spellEnd"/>
      <w:r w:rsidRPr="002C44FC">
        <w:rPr>
          <w:rFonts w:eastAsia="Arial"/>
          <w:color w:val="000000"/>
          <w:lang w:val="es-ES" w:eastAsia="es-ES"/>
        </w:rPr>
        <w:t>: 10.1016/</w:t>
      </w:r>
      <w:proofErr w:type="spellStart"/>
      <w:r w:rsidRPr="002C44FC">
        <w:rPr>
          <w:rFonts w:eastAsia="Arial"/>
          <w:color w:val="000000"/>
          <w:lang w:val="es-ES" w:eastAsia="es-ES"/>
        </w:rPr>
        <w:t>j.aprim.2021.101976</w:t>
      </w:r>
      <w:proofErr w:type="spellEnd"/>
      <w:r w:rsidRPr="002C44FC">
        <w:rPr>
          <w:rFonts w:ascii="Arial" w:eastAsia="Arial" w:hAnsi="Arial" w:cs="Arial"/>
          <w:color w:val="000000"/>
          <w:szCs w:val="22"/>
          <w:lang w:val="es-ES" w:eastAsia="es-ES"/>
        </w:rPr>
        <w:fldChar w:fldCharType="begin"/>
      </w:r>
      <w:r w:rsidRPr="002C44FC">
        <w:rPr>
          <w:rFonts w:ascii="Arial" w:eastAsia="Arial" w:hAnsi="Arial" w:cs="Arial"/>
          <w:color w:val="000000"/>
          <w:szCs w:val="22"/>
          <w:lang w:val="es-ES" w:eastAsia="es-ES"/>
        </w:rPr>
        <w:instrText xml:space="preserve"> HYPERLINK "https://www.elsevier.es/es-revista-atención-primaria-27-articulo-sindrome-orina-purpura-proposito-un-S021265672100010X" \h </w:instrText>
      </w:r>
      <w:r w:rsidRPr="002C44FC">
        <w:rPr>
          <w:rFonts w:ascii="Arial" w:eastAsia="Arial" w:hAnsi="Arial" w:cs="Arial"/>
          <w:color w:val="000000"/>
          <w:szCs w:val="22"/>
          <w:lang w:val="es-ES" w:eastAsia="es-ES"/>
        </w:rPr>
        <w:fldChar w:fldCharType="separate"/>
      </w:r>
      <w:r w:rsidRPr="002C44FC">
        <w:rPr>
          <w:rFonts w:ascii="Arial" w:eastAsia="Arial" w:hAnsi="Arial" w:cs="Arial"/>
          <w:color w:val="000000"/>
          <w:szCs w:val="22"/>
          <w:lang w:val="es-ES" w:eastAsia="es-ES"/>
        </w:rPr>
        <w:fldChar w:fldCharType="end"/>
      </w:r>
    </w:p>
    <w:p w14:paraId="5DED38B7" w14:textId="77777777" w:rsidR="002C44FC" w:rsidRPr="002C44FC" w:rsidRDefault="002C44FC" w:rsidP="002C44FC">
      <w:pPr>
        <w:spacing w:line="360" w:lineRule="auto"/>
        <w:ind w:left="-5" w:hanging="10"/>
        <w:rPr>
          <w:rFonts w:eastAsia="Arial"/>
          <w:color w:val="000000"/>
          <w:lang w:val="es-ES" w:eastAsia="es-ES"/>
        </w:rPr>
      </w:pPr>
      <w:r w:rsidRPr="002C44FC">
        <w:rPr>
          <w:rFonts w:eastAsia="Arial"/>
          <w:color w:val="000000"/>
          <w:lang w:val="es-ES" w:eastAsia="es-ES"/>
        </w:rPr>
        <w:t xml:space="preserve">6. Fernández </w:t>
      </w:r>
      <w:proofErr w:type="spellStart"/>
      <w:r w:rsidRPr="002C44FC">
        <w:rPr>
          <w:rFonts w:eastAsia="Arial"/>
          <w:color w:val="000000"/>
          <w:lang w:val="es-ES" w:eastAsia="es-ES"/>
        </w:rPr>
        <w:t>Casteleiro</w:t>
      </w:r>
      <w:proofErr w:type="spellEnd"/>
      <w:r w:rsidRPr="002C44FC">
        <w:rPr>
          <w:rFonts w:eastAsia="Arial"/>
          <w:color w:val="000000"/>
          <w:lang w:val="es-ES" w:eastAsia="es-ES"/>
        </w:rPr>
        <w:t xml:space="preserve"> E, Romero Cabrera A, Quintana López B. Síndrome de la bolsa de orina púrpura. Presentación de un caso. </w:t>
      </w:r>
      <w:proofErr w:type="spellStart"/>
      <w:r w:rsidRPr="002C44FC">
        <w:rPr>
          <w:rFonts w:eastAsia="Arial"/>
          <w:color w:val="000000"/>
          <w:lang w:val="es-ES" w:eastAsia="es-ES"/>
        </w:rPr>
        <w:t>Medisur</w:t>
      </w:r>
      <w:proofErr w:type="spellEnd"/>
      <w:r w:rsidRPr="002C44FC">
        <w:rPr>
          <w:rFonts w:eastAsia="Arial"/>
          <w:color w:val="000000"/>
          <w:lang w:val="es-ES" w:eastAsia="es-ES"/>
        </w:rPr>
        <w:t>. 2016 [acceso: 11/04/2022]; 14(1):</w:t>
      </w:r>
      <w:r w:rsidRPr="002C44FC">
        <w:rPr>
          <w:rFonts w:eastAsia="Arial"/>
          <w:color w:val="000000"/>
          <w:lang w:val="es-ES" w:eastAsia="es-ES"/>
        </w:rPr>
        <w:tab/>
        <w:t xml:space="preserve">64-6. Disponible en: </w:t>
      </w:r>
      <w:hyperlink r:id="rId19" w:history="1">
        <w:r w:rsidRPr="002C44FC">
          <w:rPr>
            <w:rFonts w:eastAsia="Arial"/>
            <w:color w:val="0563C1"/>
            <w:u w:val="single"/>
            <w:lang w:val="es-ES" w:eastAsia="es-ES"/>
          </w:rPr>
          <w:t>http://scielo.sld.cu/scielo.php?script=sci_arttext&amp;pid=S1727-897X2016000100012</w:t>
        </w:r>
      </w:hyperlink>
      <w:r w:rsidRPr="002C44FC">
        <w:rPr>
          <w:rFonts w:eastAsia="Arial"/>
          <w:color w:val="000000"/>
          <w:lang w:val="es-ES" w:eastAsia="es-ES"/>
        </w:rPr>
        <w:t xml:space="preserve"> </w:t>
      </w:r>
      <w:hyperlink r:id="rId20"/>
    </w:p>
    <w:p w14:paraId="70A5A43C" w14:textId="77777777" w:rsidR="002C44FC" w:rsidRPr="002C44FC" w:rsidRDefault="002C44FC" w:rsidP="002C44FC">
      <w:pPr>
        <w:spacing w:line="360" w:lineRule="auto"/>
        <w:rPr>
          <w:rFonts w:eastAsia="Arial"/>
          <w:color w:val="000000"/>
          <w:lang w:val="es-ES" w:eastAsia="es-ES"/>
        </w:rPr>
      </w:pPr>
      <w:r w:rsidRPr="002C44FC">
        <w:rPr>
          <w:rFonts w:eastAsia="Arial"/>
          <w:color w:val="000000"/>
          <w:lang w:val="es-ES" w:eastAsia="es-ES"/>
        </w:rPr>
        <w:t xml:space="preserve">7. Duarte Arzuaga YA, </w:t>
      </w:r>
      <w:proofErr w:type="spellStart"/>
      <w:r w:rsidRPr="002C44FC">
        <w:rPr>
          <w:rFonts w:eastAsia="Arial"/>
          <w:color w:val="000000"/>
          <w:lang w:val="es-ES" w:eastAsia="es-ES"/>
        </w:rPr>
        <w:t>Rodriguez</w:t>
      </w:r>
      <w:proofErr w:type="spellEnd"/>
      <w:r w:rsidRPr="002C44FC">
        <w:rPr>
          <w:rFonts w:eastAsia="Arial"/>
          <w:color w:val="000000"/>
          <w:lang w:val="es-ES" w:eastAsia="es-ES"/>
        </w:rPr>
        <w:t xml:space="preserve"> RG. </w:t>
      </w:r>
      <w:r w:rsidRPr="002C44FC">
        <w:rPr>
          <w:rFonts w:eastAsia="Arial"/>
          <w:color w:val="000000"/>
          <w:lang w:val="en-US" w:eastAsia="es-ES"/>
        </w:rPr>
        <w:t xml:space="preserve">Purple urine bag syndrome. Arch </w:t>
      </w:r>
      <w:proofErr w:type="spellStart"/>
      <w:r w:rsidRPr="002C44FC">
        <w:rPr>
          <w:rFonts w:eastAsia="Arial"/>
          <w:color w:val="000000"/>
          <w:lang w:val="en-US" w:eastAsia="es-ES"/>
        </w:rPr>
        <w:t>Urol</w:t>
      </w:r>
      <w:proofErr w:type="spellEnd"/>
      <w:r w:rsidRPr="002C44FC">
        <w:rPr>
          <w:rFonts w:eastAsia="Arial"/>
          <w:color w:val="000000"/>
          <w:lang w:val="en-US" w:eastAsia="es-ES"/>
        </w:rPr>
        <w:t xml:space="preserve"> Res. 2020 [</w:t>
      </w:r>
      <w:proofErr w:type="spellStart"/>
      <w:r w:rsidRPr="002C44FC">
        <w:rPr>
          <w:rFonts w:eastAsia="Arial"/>
          <w:color w:val="000000"/>
          <w:lang w:val="en-US" w:eastAsia="es-ES"/>
        </w:rPr>
        <w:t>acceso</w:t>
      </w:r>
      <w:proofErr w:type="spellEnd"/>
      <w:r w:rsidRPr="002C44FC">
        <w:rPr>
          <w:rFonts w:eastAsia="Arial"/>
          <w:color w:val="000000"/>
          <w:lang w:val="en-US" w:eastAsia="es-ES"/>
        </w:rPr>
        <w:t xml:space="preserve">: 06/04/2022]; 4(1):45-6. </w:t>
      </w:r>
      <w:r w:rsidRPr="002C44FC">
        <w:rPr>
          <w:rFonts w:eastAsia="Arial"/>
          <w:color w:val="000000"/>
          <w:lang w:val="es-ES" w:eastAsia="es-ES"/>
        </w:rPr>
        <w:t xml:space="preserve">Disponible en: </w:t>
      </w:r>
      <w:hyperlink r:id="rId21" w:history="1">
        <w:r w:rsidRPr="002C44FC">
          <w:rPr>
            <w:rFonts w:eastAsia="Arial"/>
            <w:color w:val="0563C1"/>
            <w:u w:val="single"/>
            <w:lang w:val="es-ES" w:eastAsia="es-ES"/>
          </w:rPr>
          <w:t>https://www.researchgate.net/profile/Yoeli-Antonio-Duarte-Arzuaga/publication/342099914_Purple_urine_bag_syndrome/links/5f1c9070299bf1720d65751e/Purple-urine-bag-syndrome.pdf</w:t>
        </w:r>
      </w:hyperlink>
      <w:r w:rsidRPr="002C44FC">
        <w:rPr>
          <w:rFonts w:eastAsia="Arial"/>
          <w:color w:val="000000"/>
          <w:lang w:val="es-ES" w:eastAsia="es-ES"/>
        </w:rPr>
        <w:t xml:space="preserve"> </w:t>
      </w:r>
      <w:hyperlink r:id="rId22"/>
    </w:p>
    <w:p w14:paraId="1D9A973F" w14:textId="77777777" w:rsidR="002C44FC" w:rsidRPr="002C44FC" w:rsidRDefault="002C44FC" w:rsidP="002C44FC">
      <w:pPr>
        <w:spacing w:line="360" w:lineRule="auto"/>
        <w:rPr>
          <w:rFonts w:eastAsia="Arial"/>
          <w:color w:val="000000"/>
          <w:lang w:val="en-US" w:eastAsia="es-ES"/>
        </w:rPr>
      </w:pPr>
      <w:r w:rsidRPr="002C44FC">
        <w:rPr>
          <w:rFonts w:eastAsia="Arial"/>
          <w:color w:val="000000"/>
          <w:lang w:val="es-ES" w:eastAsia="es-ES"/>
        </w:rPr>
        <w:t xml:space="preserve">8. Villarraga Márquez NJ, Franco Pineda SM, Guarín Loaiza GM, Jurado Bastidas S, Castillo Mercado </w:t>
      </w:r>
      <w:proofErr w:type="spellStart"/>
      <w:r w:rsidRPr="002C44FC">
        <w:rPr>
          <w:rFonts w:eastAsia="Arial"/>
          <w:color w:val="000000"/>
          <w:lang w:val="es-ES" w:eastAsia="es-ES"/>
        </w:rPr>
        <w:t>JS</w:t>
      </w:r>
      <w:proofErr w:type="spellEnd"/>
      <w:r w:rsidRPr="002C44FC">
        <w:rPr>
          <w:rFonts w:eastAsia="Arial"/>
          <w:color w:val="000000"/>
          <w:lang w:val="es-ES" w:eastAsia="es-ES"/>
        </w:rPr>
        <w:t xml:space="preserve">. Síndrome de la bolsa de orina púrpura. Rev. </w:t>
      </w:r>
      <w:proofErr w:type="spellStart"/>
      <w:r w:rsidRPr="002C44FC">
        <w:rPr>
          <w:rFonts w:eastAsia="Arial"/>
          <w:color w:val="000000"/>
          <w:lang w:val="es-ES" w:eastAsia="es-ES"/>
        </w:rPr>
        <w:t>Colomb</w:t>
      </w:r>
      <w:proofErr w:type="spellEnd"/>
      <w:r w:rsidRPr="002C44FC">
        <w:rPr>
          <w:rFonts w:eastAsia="Arial"/>
          <w:color w:val="000000"/>
          <w:lang w:val="es-ES" w:eastAsia="es-ES"/>
        </w:rPr>
        <w:t xml:space="preserve">. </w:t>
      </w:r>
      <w:proofErr w:type="spellStart"/>
      <w:r w:rsidRPr="002C44FC">
        <w:rPr>
          <w:rFonts w:eastAsia="Arial"/>
          <w:color w:val="000000"/>
          <w:lang w:val="es-ES" w:eastAsia="es-ES"/>
        </w:rPr>
        <w:t>Nefrol</w:t>
      </w:r>
      <w:proofErr w:type="spellEnd"/>
      <w:r w:rsidRPr="002C44FC">
        <w:rPr>
          <w:rFonts w:eastAsia="Arial"/>
          <w:color w:val="000000"/>
          <w:lang w:val="es-ES" w:eastAsia="es-ES"/>
        </w:rPr>
        <w:t xml:space="preserve">. </w:t>
      </w:r>
      <w:r w:rsidRPr="002C44FC">
        <w:rPr>
          <w:rFonts w:eastAsia="Arial"/>
          <w:color w:val="000000"/>
          <w:lang w:val="en-US" w:eastAsia="es-ES"/>
        </w:rPr>
        <w:t xml:space="preserve">2021; 8(1): </w:t>
      </w:r>
      <w:proofErr w:type="spellStart"/>
      <w:r w:rsidRPr="002C44FC">
        <w:rPr>
          <w:rFonts w:eastAsia="Arial"/>
          <w:color w:val="000000"/>
          <w:lang w:val="en-US" w:eastAsia="es-ES"/>
        </w:rPr>
        <w:t>e496</w:t>
      </w:r>
      <w:proofErr w:type="spellEnd"/>
      <w:r w:rsidRPr="002C44FC">
        <w:rPr>
          <w:rFonts w:eastAsia="Arial"/>
          <w:color w:val="000000"/>
          <w:lang w:val="en-US" w:eastAsia="es-ES"/>
        </w:rPr>
        <w:t>. DOI: 10.22265/</w:t>
      </w:r>
      <w:proofErr w:type="spellStart"/>
      <w:r w:rsidRPr="002C44FC">
        <w:rPr>
          <w:rFonts w:eastAsia="Arial"/>
          <w:color w:val="000000"/>
          <w:lang w:val="en-US" w:eastAsia="es-ES"/>
        </w:rPr>
        <w:t>acnef.8.1.496</w:t>
      </w:r>
      <w:proofErr w:type="spellEnd"/>
    </w:p>
    <w:p w14:paraId="4EA912B2" w14:textId="77777777" w:rsidR="002C44FC" w:rsidRPr="002C44FC" w:rsidRDefault="002C44FC" w:rsidP="002C44FC">
      <w:pPr>
        <w:spacing w:line="360" w:lineRule="auto"/>
        <w:ind w:left="-5" w:hanging="10"/>
        <w:rPr>
          <w:rFonts w:eastAsia="Arial"/>
          <w:color w:val="000000"/>
          <w:lang w:val="es-ES" w:eastAsia="es-ES"/>
        </w:rPr>
      </w:pPr>
      <w:r w:rsidRPr="002C44FC">
        <w:rPr>
          <w:rFonts w:eastAsia="Arial"/>
          <w:color w:val="000000"/>
          <w:lang w:val="en-US" w:eastAsia="es-ES"/>
        </w:rPr>
        <w:t xml:space="preserve">9. Lin CH, Huang HT, </w:t>
      </w:r>
      <w:proofErr w:type="spellStart"/>
      <w:r w:rsidRPr="002C44FC">
        <w:rPr>
          <w:rFonts w:eastAsia="Arial"/>
          <w:color w:val="000000"/>
          <w:lang w:val="en-US" w:eastAsia="es-ES"/>
        </w:rPr>
        <w:t>Chien</w:t>
      </w:r>
      <w:proofErr w:type="spellEnd"/>
      <w:r w:rsidRPr="002C44FC">
        <w:rPr>
          <w:rFonts w:eastAsia="Arial"/>
          <w:color w:val="000000"/>
          <w:lang w:val="en-US" w:eastAsia="es-ES"/>
        </w:rPr>
        <w:t xml:space="preserve"> CC, Tzeng DS, Lung FW. Purple urine bag </w:t>
      </w:r>
      <w:proofErr w:type="spellStart"/>
      <w:r w:rsidRPr="002C44FC">
        <w:rPr>
          <w:rFonts w:eastAsia="Arial"/>
          <w:color w:val="000000"/>
          <w:lang w:val="en-US" w:eastAsia="es-ES"/>
        </w:rPr>
        <w:t>síndrome</w:t>
      </w:r>
      <w:proofErr w:type="spellEnd"/>
      <w:r w:rsidRPr="002C44FC">
        <w:rPr>
          <w:rFonts w:eastAsia="Arial"/>
          <w:color w:val="000000"/>
          <w:lang w:val="en-US" w:eastAsia="es-ES"/>
        </w:rPr>
        <w:t xml:space="preserve"> in nursing homes: Clin </w:t>
      </w:r>
      <w:proofErr w:type="spellStart"/>
      <w:r w:rsidRPr="002C44FC">
        <w:rPr>
          <w:rFonts w:eastAsia="Arial"/>
          <w:color w:val="000000"/>
          <w:lang w:val="en-US" w:eastAsia="es-ES"/>
        </w:rPr>
        <w:t>Interv</w:t>
      </w:r>
      <w:proofErr w:type="spellEnd"/>
      <w:r w:rsidRPr="002C44FC">
        <w:rPr>
          <w:rFonts w:eastAsia="Arial"/>
          <w:color w:val="000000"/>
          <w:lang w:val="en-US" w:eastAsia="es-ES"/>
        </w:rPr>
        <w:t xml:space="preserve"> Aging. </w:t>
      </w:r>
      <w:r w:rsidRPr="002C44FC">
        <w:rPr>
          <w:rFonts w:eastAsia="Arial"/>
          <w:color w:val="000000"/>
          <w:lang w:val="es-ES" w:eastAsia="es-ES"/>
        </w:rPr>
        <w:t xml:space="preserve">2008 [acceso: 15/04/2022]; 3(4): 29-34. Disponible en: </w:t>
      </w:r>
      <w:hyperlink r:id="rId23">
        <w:r w:rsidRPr="002C44FC">
          <w:rPr>
            <w:rFonts w:eastAsia="Arial"/>
            <w:color w:val="0563C1"/>
            <w:u w:val="single" w:color="0563C1"/>
            <w:lang w:val="es-ES" w:eastAsia="es-ES"/>
          </w:rPr>
          <w:t>https://www.ncbi.nlm.nih.gov/pmc/articles/PMC2682405/</w:t>
        </w:r>
      </w:hyperlink>
      <w:hyperlink r:id="rId24"/>
    </w:p>
    <w:p w14:paraId="473F0317" w14:textId="77777777" w:rsidR="002C44FC" w:rsidRPr="002C44FC" w:rsidRDefault="002C44FC" w:rsidP="002C44FC">
      <w:pPr>
        <w:spacing w:line="360" w:lineRule="auto"/>
        <w:ind w:left="-5" w:hanging="10"/>
        <w:rPr>
          <w:rFonts w:eastAsia="Arial"/>
          <w:color w:val="000000"/>
          <w:lang w:val="en-US" w:eastAsia="es-ES"/>
        </w:rPr>
      </w:pPr>
      <w:r w:rsidRPr="002C44FC">
        <w:rPr>
          <w:rFonts w:eastAsia="Arial"/>
          <w:color w:val="000000"/>
          <w:lang w:val="es-ES" w:eastAsia="es-ES"/>
        </w:rPr>
        <w:lastRenderedPageBreak/>
        <w:t xml:space="preserve">10. </w:t>
      </w:r>
      <w:proofErr w:type="spellStart"/>
      <w:r w:rsidRPr="002C44FC">
        <w:rPr>
          <w:rFonts w:eastAsia="Arial"/>
          <w:color w:val="000000"/>
          <w:lang w:val="es-ES" w:eastAsia="es-ES"/>
        </w:rPr>
        <w:t>Therán</w:t>
      </w:r>
      <w:proofErr w:type="spellEnd"/>
      <w:r w:rsidRPr="002C44FC">
        <w:rPr>
          <w:rFonts w:eastAsia="Arial"/>
          <w:color w:val="000000"/>
          <w:lang w:val="es-ES" w:eastAsia="es-ES"/>
        </w:rPr>
        <w:t xml:space="preserve"> León </w:t>
      </w:r>
      <w:proofErr w:type="spellStart"/>
      <w:r w:rsidRPr="002C44FC">
        <w:rPr>
          <w:rFonts w:eastAsia="Arial"/>
          <w:color w:val="000000"/>
          <w:lang w:val="es-ES" w:eastAsia="es-ES"/>
        </w:rPr>
        <w:t>JS</w:t>
      </w:r>
      <w:proofErr w:type="spellEnd"/>
      <w:r w:rsidRPr="002C44FC">
        <w:rPr>
          <w:rFonts w:eastAsia="Arial"/>
          <w:color w:val="000000"/>
          <w:lang w:val="es-ES" w:eastAsia="es-ES"/>
        </w:rPr>
        <w:t xml:space="preserve">, Esteban Badillo </w:t>
      </w:r>
      <w:proofErr w:type="spellStart"/>
      <w:r w:rsidRPr="002C44FC">
        <w:rPr>
          <w:rFonts w:eastAsia="Arial"/>
          <w:color w:val="000000"/>
          <w:lang w:val="es-ES" w:eastAsia="es-ES"/>
        </w:rPr>
        <w:t>LY</w:t>
      </w:r>
      <w:proofErr w:type="spellEnd"/>
      <w:r w:rsidRPr="002C44FC">
        <w:rPr>
          <w:rFonts w:eastAsia="Arial"/>
          <w:color w:val="000000"/>
          <w:lang w:val="es-ES" w:eastAsia="es-ES"/>
        </w:rPr>
        <w:t xml:space="preserve">, </w:t>
      </w:r>
      <w:proofErr w:type="spellStart"/>
      <w:r w:rsidRPr="002C44FC">
        <w:rPr>
          <w:rFonts w:eastAsia="Arial"/>
          <w:color w:val="000000"/>
          <w:lang w:val="es-ES" w:eastAsia="es-ES"/>
        </w:rPr>
        <w:t>Garcia</w:t>
      </w:r>
      <w:proofErr w:type="spellEnd"/>
      <w:r w:rsidRPr="002C44FC">
        <w:rPr>
          <w:rFonts w:eastAsia="Arial"/>
          <w:color w:val="000000"/>
          <w:lang w:val="es-ES" w:eastAsia="es-ES"/>
        </w:rPr>
        <w:t xml:space="preserve"> Brilla </w:t>
      </w:r>
      <w:proofErr w:type="spellStart"/>
      <w:r w:rsidRPr="002C44FC">
        <w:rPr>
          <w:rFonts w:eastAsia="Arial"/>
          <w:color w:val="000000"/>
          <w:lang w:val="es-ES" w:eastAsia="es-ES"/>
        </w:rPr>
        <w:t>MF</w:t>
      </w:r>
      <w:proofErr w:type="spellEnd"/>
      <w:r w:rsidRPr="002C44FC">
        <w:rPr>
          <w:rFonts w:eastAsia="Arial"/>
          <w:color w:val="000000"/>
          <w:lang w:val="es-ES" w:eastAsia="es-ES"/>
        </w:rPr>
        <w:t xml:space="preserve">, Dulcey Sarmiento LA. Síndrome de la bolsa de orina purpura. Atención Primaria Práctica. </w:t>
      </w:r>
      <w:r w:rsidRPr="002C44FC">
        <w:rPr>
          <w:rFonts w:eastAsia="Arial"/>
          <w:color w:val="000000"/>
          <w:lang w:val="en-US" w:eastAsia="es-ES"/>
        </w:rPr>
        <w:t>2022; 4(1):100113. DOI: 10.1016/</w:t>
      </w:r>
      <w:proofErr w:type="spellStart"/>
      <w:r w:rsidRPr="002C44FC">
        <w:rPr>
          <w:rFonts w:eastAsia="Arial"/>
          <w:color w:val="000000"/>
          <w:lang w:val="en-US" w:eastAsia="es-ES"/>
        </w:rPr>
        <w:t>j.appr.2021.100113</w:t>
      </w:r>
      <w:proofErr w:type="spellEnd"/>
    </w:p>
    <w:p w14:paraId="57666DAF" w14:textId="77777777" w:rsidR="002C44FC" w:rsidRPr="002C44FC" w:rsidRDefault="002C44FC" w:rsidP="002C44FC">
      <w:pPr>
        <w:spacing w:line="360" w:lineRule="auto"/>
        <w:ind w:left="-5" w:hanging="10"/>
        <w:rPr>
          <w:rFonts w:eastAsia="Arial"/>
          <w:b/>
          <w:color w:val="000000"/>
          <w:lang w:val="es-ES" w:eastAsia="es-ES"/>
        </w:rPr>
      </w:pPr>
      <w:r w:rsidRPr="002C44FC">
        <w:rPr>
          <w:rFonts w:eastAsia="Arial"/>
          <w:color w:val="000000"/>
          <w:lang w:val="en-US" w:eastAsia="es-ES"/>
        </w:rPr>
        <w:t xml:space="preserve">11. </w:t>
      </w:r>
      <w:hyperlink r:id="rId25"/>
      <w:proofErr w:type="spellStart"/>
      <w:r w:rsidRPr="002C44FC">
        <w:rPr>
          <w:rFonts w:eastAsia="Arial"/>
          <w:color w:val="000000"/>
          <w:lang w:val="en-US" w:eastAsia="es-ES"/>
        </w:rPr>
        <w:t>Worku</w:t>
      </w:r>
      <w:proofErr w:type="spellEnd"/>
      <w:r w:rsidRPr="002C44FC">
        <w:rPr>
          <w:rFonts w:eastAsia="Arial"/>
          <w:color w:val="000000"/>
          <w:lang w:val="en-US" w:eastAsia="es-ES"/>
        </w:rPr>
        <w:t xml:space="preserve"> DA. Purple urine bag syndrome: An unusual but important manifestation of urinary tract infection. Case report and </w:t>
      </w:r>
      <w:proofErr w:type="spellStart"/>
      <w:r w:rsidRPr="002C44FC">
        <w:rPr>
          <w:rFonts w:eastAsia="Arial"/>
          <w:color w:val="000000"/>
          <w:lang w:val="en-US" w:eastAsia="es-ES"/>
        </w:rPr>
        <w:t>literatura</w:t>
      </w:r>
      <w:proofErr w:type="spellEnd"/>
      <w:r w:rsidRPr="002C44FC">
        <w:rPr>
          <w:rFonts w:eastAsia="Arial"/>
          <w:color w:val="000000"/>
          <w:lang w:val="en-US" w:eastAsia="es-ES"/>
        </w:rPr>
        <w:t xml:space="preserve"> review. SAGE Open Med Case Rep. 2019; </w:t>
      </w:r>
      <w:proofErr w:type="spellStart"/>
      <w:r w:rsidRPr="002C44FC">
        <w:rPr>
          <w:rFonts w:eastAsia="Arial"/>
          <w:color w:val="000000"/>
          <w:lang w:val="en-US" w:eastAsia="es-ES"/>
        </w:rPr>
        <w:t>7:2050313X18823105</w:t>
      </w:r>
      <w:proofErr w:type="spellEnd"/>
      <w:r w:rsidRPr="002C44FC">
        <w:rPr>
          <w:rFonts w:eastAsia="Arial"/>
          <w:color w:val="000000"/>
          <w:lang w:val="en-US" w:eastAsia="es-ES"/>
        </w:rPr>
        <w:t xml:space="preserve">. </w:t>
      </w:r>
      <w:proofErr w:type="spellStart"/>
      <w:r w:rsidRPr="002C44FC">
        <w:rPr>
          <w:rFonts w:eastAsia="Arial"/>
          <w:color w:val="000000"/>
          <w:lang w:val="es-ES" w:eastAsia="es-ES"/>
        </w:rPr>
        <w:t>DOI</w:t>
      </w:r>
      <w:proofErr w:type="spellEnd"/>
      <w:r w:rsidRPr="002C44FC">
        <w:rPr>
          <w:rFonts w:eastAsia="Arial"/>
          <w:color w:val="000000"/>
          <w:lang w:val="es-ES" w:eastAsia="es-ES"/>
        </w:rPr>
        <w:t>: 10.1177/</w:t>
      </w:r>
      <w:proofErr w:type="spellStart"/>
      <w:r w:rsidRPr="002C44FC">
        <w:rPr>
          <w:rFonts w:eastAsia="Arial"/>
          <w:color w:val="000000"/>
          <w:lang w:val="es-ES" w:eastAsia="es-ES"/>
        </w:rPr>
        <w:t>2050313X18823105</w:t>
      </w:r>
      <w:proofErr w:type="spellEnd"/>
    </w:p>
    <w:p w14:paraId="0F8AB4BC" w14:textId="77777777" w:rsidR="002C44FC" w:rsidRPr="002C44FC" w:rsidRDefault="002C44FC" w:rsidP="002C44FC">
      <w:pPr>
        <w:spacing w:line="360" w:lineRule="auto"/>
        <w:jc w:val="both"/>
        <w:rPr>
          <w:rFonts w:eastAsia="Arial"/>
          <w:color w:val="000000"/>
          <w:lang w:val="es-ES" w:eastAsia="es-ES"/>
        </w:rPr>
      </w:pPr>
    </w:p>
    <w:p w14:paraId="574441D3" w14:textId="77777777" w:rsidR="002C44FC" w:rsidRPr="002C44FC" w:rsidRDefault="002C44FC" w:rsidP="002C44FC">
      <w:pPr>
        <w:spacing w:line="360" w:lineRule="auto"/>
        <w:jc w:val="both"/>
        <w:rPr>
          <w:rFonts w:eastAsia="Arial"/>
          <w:b/>
          <w:color w:val="000000"/>
          <w:lang w:val="es-ES" w:eastAsia="es-ES"/>
        </w:rPr>
      </w:pPr>
    </w:p>
    <w:p w14:paraId="709E17F6" w14:textId="77777777" w:rsidR="002C44FC" w:rsidRPr="002C44FC" w:rsidRDefault="002C44FC" w:rsidP="002C44FC">
      <w:pPr>
        <w:spacing w:line="360" w:lineRule="auto"/>
        <w:jc w:val="center"/>
        <w:rPr>
          <w:rFonts w:eastAsia="Arial"/>
          <w:b/>
          <w:color w:val="000000"/>
          <w:lang w:val="es-ES" w:eastAsia="es-ES"/>
        </w:rPr>
      </w:pPr>
      <w:r w:rsidRPr="002C44FC">
        <w:rPr>
          <w:rFonts w:eastAsia="Arial"/>
          <w:b/>
          <w:color w:val="000000"/>
          <w:lang w:val="es-ES" w:eastAsia="es-ES"/>
        </w:rPr>
        <w:t>Conflictos de interés</w:t>
      </w:r>
    </w:p>
    <w:p w14:paraId="7C0A302D" w14:textId="77777777" w:rsidR="002C44FC" w:rsidRPr="002C44FC" w:rsidRDefault="002C44FC" w:rsidP="002C44FC">
      <w:pPr>
        <w:spacing w:line="360" w:lineRule="auto"/>
        <w:jc w:val="both"/>
        <w:rPr>
          <w:rFonts w:eastAsia="Arial"/>
          <w:color w:val="000000"/>
          <w:lang w:val="es-ES" w:eastAsia="es-ES"/>
        </w:rPr>
      </w:pPr>
      <w:r w:rsidRPr="002C44FC">
        <w:rPr>
          <w:rFonts w:eastAsia="Arial"/>
          <w:color w:val="000000"/>
          <w:lang w:val="es-ES" w:eastAsia="es-ES"/>
        </w:rPr>
        <w:t>Los autores declaran no tener conflicto de interés. La paciente dio su consentimiento informado para publicar el artículo, sin mencionar otros datos personales.</w:t>
      </w:r>
    </w:p>
    <w:p w14:paraId="086297FE" w14:textId="77777777" w:rsidR="00675476" w:rsidRPr="002C44FC" w:rsidRDefault="00675476" w:rsidP="00EA1FEF">
      <w:pPr>
        <w:pStyle w:val="PDFRevista"/>
        <w:rPr>
          <w:lang w:val="es-ES"/>
        </w:rPr>
      </w:pPr>
    </w:p>
    <w:sectPr w:rsidR="00675476" w:rsidRPr="002C44FC"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D17A" w14:textId="77777777" w:rsidR="00231FAC" w:rsidRDefault="00231FAC">
      <w:r>
        <w:separator/>
      </w:r>
    </w:p>
  </w:endnote>
  <w:endnote w:type="continuationSeparator" w:id="0">
    <w:p w14:paraId="51055091" w14:textId="77777777" w:rsidR="00231FAC" w:rsidRDefault="0023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A5C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8F9B8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56F0" w14:textId="20B44003" w:rsidR="000F3690" w:rsidRPr="00AE044C" w:rsidRDefault="002C44F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581B3E0" wp14:editId="6DE5B742">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DD5FBC"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D8428E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221049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7BA38B9" w14:textId="3CA5946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C44FC" w:rsidRPr="002C44FC">
      <w:rPr>
        <w:rFonts w:ascii="Verdana" w:hAnsi="Verdana"/>
        <w:noProof/>
        <w:sz w:val="18"/>
        <w:szCs w:val="18"/>
        <w:lang w:val="en-US" w:eastAsia="en-US"/>
      </w:rPr>
      <w:drawing>
        <wp:inline distT="0" distB="0" distL="0" distR="0" wp14:anchorId="0BDE97E8" wp14:editId="6CBA283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827B" w14:textId="77777777" w:rsidR="00231FAC" w:rsidRDefault="00231FAC">
      <w:r>
        <w:separator/>
      </w:r>
    </w:p>
  </w:footnote>
  <w:footnote w:type="continuationSeparator" w:id="0">
    <w:p w14:paraId="6F3CBBE1" w14:textId="77777777" w:rsidR="00231FAC" w:rsidRDefault="0023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CD" w14:textId="5952FFFE" w:rsidR="00CC376A" w:rsidRPr="00AE044C" w:rsidRDefault="002C44F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02302603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8592709" wp14:editId="4CAB0E5E">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9E334" w14:textId="59F5F8E1" w:rsidR="00A477DE" w:rsidRDefault="002C44FC">
    <w:r>
      <w:rPr>
        <w:noProof/>
      </w:rPr>
      <mc:AlternateContent>
        <mc:Choice Requires="wps">
          <w:drawing>
            <wp:anchor distT="0" distB="0" distL="114300" distR="114300" simplePos="0" relativeHeight="251654144" behindDoc="0" locked="0" layoutInCell="1" allowOverlap="1" wp14:anchorId="0F3B6AED" wp14:editId="708FDBF3">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B278BA"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36324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FC"/>
    <w:rsid w:val="00057F45"/>
    <w:rsid w:val="000D3958"/>
    <w:rsid w:val="000F3690"/>
    <w:rsid w:val="001221D1"/>
    <w:rsid w:val="00165CB5"/>
    <w:rsid w:val="00180CE9"/>
    <w:rsid w:val="001F7765"/>
    <w:rsid w:val="00230DD5"/>
    <w:rsid w:val="00231FAC"/>
    <w:rsid w:val="00250AE9"/>
    <w:rsid w:val="002B7BE6"/>
    <w:rsid w:val="002C44FC"/>
    <w:rsid w:val="00314DDB"/>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7A3CD"/>
  <w15:docId w15:val="{F15B8777-CE3B-4F3F-AF4D-D973F92E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39-8080" TargetMode="External"/><Relationship Id="rId13" Type="http://schemas.openxmlformats.org/officeDocument/2006/relationships/hyperlink" Target="mailto:emmanuelzayascuba@gmail.com" TargetMode="External"/><Relationship Id="rId18" Type="http://schemas.openxmlformats.org/officeDocument/2006/relationships/hyperlink" Target="https://revistas.uis.edu.co/index.php/revistamedicasuis/article/view/1266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searchgate.net/profile/Yoeli-Antonio-Duarte-Arzuaga/publication/342099914_Purple_urine_bag_syndrome/links/5f1c9070299bf1720d65751e/Purple-urine-bag-syndrome.pdf" TargetMode="External"/><Relationship Id="rId7" Type="http://schemas.openxmlformats.org/officeDocument/2006/relationships/hyperlink" Target="https://orcid.org/0000-0002-1490-0216" TargetMode="External"/><Relationship Id="rId12" Type="http://schemas.openxmlformats.org/officeDocument/2006/relationships/hyperlink" Target="https://orcid.org/0000-0002-6921-8089" TargetMode="External"/><Relationship Id="rId17" Type="http://schemas.openxmlformats.org/officeDocument/2006/relationships/hyperlink" Target="https://www.revistarenal.org.ar/index.php/rndt/article/view/302" TargetMode="External"/><Relationship Id="rId25" Type="http://schemas.openxmlformats.org/officeDocument/2006/relationships/hyperlink" Target="http://www.scielo.cl/scielo.php?script=sci_arttext&amp;pid=S0034-/S0034-98872014001100018" TargetMode="External"/><Relationship Id="rId2" Type="http://schemas.openxmlformats.org/officeDocument/2006/relationships/styles" Target="styles.xml"/><Relationship Id="rId16" Type="http://schemas.openxmlformats.org/officeDocument/2006/relationships/hyperlink" Target="https://www.revistarenal.org.ar/index.php/rndt/article/view/302" TargetMode="External"/><Relationship Id="rId20" Type="http://schemas.openxmlformats.org/officeDocument/2006/relationships/hyperlink" Target="http://scielo.sld.cu/scielo.php?script=sci_arttext&amp;pip=S17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079-0349" TargetMode="External"/><Relationship Id="rId24" Type="http://schemas.openxmlformats.org/officeDocument/2006/relationships/hyperlink" Target="https://www.ncbi.nlm.nih.gov/pmc/articles/PMC2682405/"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ncbi.nlm.nih.gov/pmc/articles/PMC2682405/" TargetMode="External"/><Relationship Id="rId28" Type="http://schemas.openxmlformats.org/officeDocument/2006/relationships/footer" Target="footer2.xml"/><Relationship Id="rId10" Type="http://schemas.openxmlformats.org/officeDocument/2006/relationships/hyperlink" Target="https://orcid.org/0000-0002-4732-9829" TargetMode="External"/><Relationship Id="rId19" Type="http://schemas.openxmlformats.org/officeDocument/2006/relationships/hyperlink" Target="http://scielo.sld.cu/scielo.php?script=sci_arttext&amp;pid=S1727-897X2016000100012" TargetMode="External"/><Relationship Id="rId4" Type="http://schemas.openxmlformats.org/officeDocument/2006/relationships/webSettings" Target="webSettings.xml"/><Relationship Id="rId9" Type="http://schemas.openxmlformats.org/officeDocument/2006/relationships/hyperlink" Target="https://orcid.org/0000-0002-3830-358X" TargetMode="External"/><Relationship Id="rId14" Type="http://schemas.openxmlformats.org/officeDocument/2006/relationships/image" Target="media/image1.jpeg"/><Relationship Id="rId22" Type="http://schemas.openxmlformats.org/officeDocument/2006/relationships/hyperlink" Target="https://www.researchgate.net/publication/342099914_Purple_urine_bag-syndrome"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23</TotalTime>
  <Pages>9</Pages>
  <Words>2407</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15617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2023-04-05T21:01:00Z</cp:lastPrinted>
  <dcterms:created xsi:type="dcterms:W3CDTF">2023-04-05T20:39:00Z</dcterms:created>
  <dcterms:modified xsi:type="dcterms:W3CDTF">2023-04-05T21:02:00Z</dcterms:modified>
</cp:coreProperties>
</file>