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B003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Cs/>
          <w:sz w:val="20"/>
          <w:szCs w:val="20"/>
          <w:lang w:val="es-ES" w:eastAsia="es-PR"/>
        </w:rPr>
      </w:pPr>
      <w:r w:rsidRPr="00106F49">
        <w:rPr>
          <w:bCs/>
          <w:sz w:val="20"/>
          <w:szCs w:val="20"/>
          <w:lang w:val="es-ES" w:eastAsia="es-PR"/>
        </w:rPr>
        <w:t>Carta al editor</w:t>
      </w:r>
    </w:p>
    <w:p w14:paraId="46735B33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b/>
          <w:lang w:val="es-ES" w:eastAsia="es-PR"/>
        </w:rPr>
      </w:pPr>
    </w:p>
    <w:p w14:paraId="527E93F6" w14:textId="4D7F8F85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val="es-PR" w:eastAsia="es-PR"/>
        </w:rPr>
      </w:pPr>
      <w:r w:rsidRPr="00106F49">
        <w:rPr>
          <w:b/>
          <w:sz w:val="28"/>
          <w:szCs w:val="28"/>
          <w:lang w:val="es-ES" w:eastAsia="es-PR"/>
        </w:rPr>
        <w:t xml:space="preserve">Tratamiento de pacientes con la COVID-19, con el anticuerpo </w:t>
      </w:r>
      <w:proofErr w:type="spellStart"/>
      <w:r w:rsidRPr="00106F49">
        <w:rPr>
          <w:b/>
          <w:sz w:val="28"/>
          <w:szCs w:val="28"/>
          <w:lang w:val="es-ES" w:eastAsia="es-PR"/>
        </w:rPr>
        <w:t>itolizumab</w:t>
      </w:r>
      <w:proofErr w:type="spellEnd"/>
      <w:r w:rsidRPr="00106F49">
        <w:rPr>
          <w:b/>
          <w:sz w:val="28"/>
          <w:szCs w:val="28"/>
          <w:lang w:val="es-ES" w:eastAsia="es-PR"/>
        </w:rPr>
        <w:t xml:space="preserve"> (anti</w:t>
      </w:r>
      <w:r w:rsidR="005338A2">
        <w:rPr>
          <w:b/>
          <w:sz w:val="28"/>
          <w:szCs w:val="28"/>
          <w:lang w:val="es-ES" w:eastAsia="es-PR"/>
        </w:rPr>
        <w:noBreakHyphen/>
      </w:r>
      <w:proofErr w:type="spellStart"/>
      <w:r w:rsidRPr="00106F49">
        <w:rPr>
          <w:b/>
          <w:sz w:val="28"/>
          <w:szCs w:val="28"/>
          <w:lang w:val="es-ES" w:eastAsia="es-PR"/>
        </w:rPr>
        <w:t>CD6</w:t>
      </w:r>
      <w:proofErr w:type="spellEnd"/>
      <w:r w:rsidRPr="00106F49">
        <w:rPr>
          <w:b/>
          <w:sz w:val="28"/>
          <w:szCs w:val="28"/>
          <w:lang w:val="es-ES" w:eastAsia="es-PR"/>
        </w:rPr>
        <w:t>)</w:t>
      </w:r>
    </w:p>
    <w:p w14:paraId="5CFF1570" w14:textId="77777777" w:rsidR="00106F49" w:rsidRPr="00106F49" w:rsidRDefault="00106F49" w:rsidP="00106F49">
      <w:pPr>
        <w:tabs>
          <w:tab w:val="left" w:pos="5235"/>
        </w:tabs>
        <w:spacing w:line="360" w:lineRule="auto"/>
        <w:jc w:val="center"/>
        <w:rPr>
          <w:rFonts w:eastAsia="Calibri"/>
          <w:bCs/>
          <w:sz w:val="28"/>
          <w:szCs w:val="28"/>
          <w:lang w:val="en-US" w:eastAsia="en-US"/>
        </w:rPr>
      </w:pPr>
      <w:r w:rsidRPr="00106F49">
        <w:rPr>
          <w:rFonts w:eastAsia="Calibri"/>
          <w:bCs/>
          <w:sz w:val="28"/>
          <w:szCs w:val="28"/>
          <w:lang w:val="en-US" w:eastAsia="en-US"/>
        </w:rPr>
        <w:t xml:space="preserve">Treatment of COVID-19 patients with the antibody </w:t>
      </w:r>
      <w:proofErr w:type="spellStart"/>
      <w:r w:rsidRPr="00106F49">
        <w:rPr>
          <w:rFonts w:eastAsia="Calibri"/>
          <w:bCs/>
          <w:sz w:val="28"/>
          <w:szCs w:val="28"/>
          <w:lang w:val="en-US" w:eastAsia="en-US"/>
        </w:rPr>
        <w:t>itolizumab</w:t>
      </w:r>
      <w:proofErr w:type="spellEnd"/>
      <w:r w:rsidRPr="00106F49">
        <w:rPr>
          <w:rFonts w:eastAsia="Calibri"/>
          <w:bCs/>
          <w:sz w:val="28"/>
          <w:szCs w:val="28"/>
          <w:lang w:val="en-US" w:eastAsia="en-US"/>
        </w:rPr>
        <w:t xml:space="preserve"> (anti-</w:t>
      </w:r>
      <w:proofErr w:type="spellStart"/>
      <w:r w:rsidRPr="00106F49">
        <w:rPr>
          <w:rFonts w:eastAsia="Calibri"/>
          <w:bCs/>
          <w:sz w:val="28"/>
          <w:szCs w:val="28"/>
          <w:lang w:val="en-US" w:eastAsia="en-US"/>
        </w:rPr>
        <w:t>CD6</w:t>
      </w:r>
      <w:proofErr w:type="spellEnd"/>
      <w:r w:rsidRPr="00106F49">
        <w:rPr>
          <w:rFonts w:eastAsia="Calibri"/>
          <w:bCs/>
          <w:sz w:val="28"/>
          <w:szCs w:val="28"/>
          <w:lang w:val="en-US" w:eastAsia="en-US"/>
        </w:rPr>
        <w:t>)</w:t>
      </w:r>
    </w:p>
    <w:p w14:paraId="40E6580F" w14:textId="77777777" w:rsidR="00106F49" w:rsidRPr="00106F49" w:rsidRDefault="00106F49" w:rsidP="00106F49">
      <w:pPr>
        <w:spacing w:line="360" w:lineRule="auto"/>
        <w:jc w:val="both"/>
        <w:rPr>
          <w:rFonts w:eastAsia="Calibri"/>
          <w:highlight w:val="yellow"/>
          <w:lang w:val="en-US" w:eastAsia="en-US"/>
        </w:rPr>
      </w:pPr>
    </w:p>
    <w:p w14:paraId="5FCD0047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 xml:space="preserve">Tatiana Hernández </w:t>
      </w:r>
      <w:proofErr w:type="spellStart"/>
      <w:r w:rsidRPr="00106F49">
        <w:rPr>
          <w:rFonts w:eastAsia="Calibri"/>
          <w:lang w:val="es-PR" w:eastAsia="en-US"/>
        </w:rPr>
        <w:t>Casola</w:t>
      </w:r>
      <w:r w:rsidRPr="00106F49">
        <w:rPr>
          <w:rFonts w:eastAsia="Calibri"/>
          <w:vertAlign w:val="superscript"/>
          <w:lang w:val="es-PR" w:eastAsia="en-US"/>
        </w:rPr>
        <w:t>1</w:t>
      </w:r>
      <w:proofErr w:type="spellEnd"/>
      <w:r w:rsidRPr="00106F49">
        <w:rPr>
          <w:rFonts w:eastAsia="Calibri"/>
          <w:lang w:val="es-PR" w:eastAsia="en-US"/>
        </w:rPr>
        <w:t xml:space="preserve">* </w:t>
      </w:r>
      <w:hyperlink r:id="rId7" w:history="1">
        <w:r w:rsidRPr="00106F49">
          <w:rPr>
            <w:rFonts w:eastAsia="Calibri"/>
            <w:color w:val="0563C1"/>
            <w:lang w:val="es-PR" w:eastAsia="en-US"/>
          </w:rPr>
          <w:t>https://orcid.org/ 0000-0002-1237-0610</w:t>
        </w:r>
      </w:hyperlink>
      <w:r w:rsidRPr="00106F49">
        <w:rPr>
          <w:rFonts w:eastAsia="Calibri"/>
          <w:lang w:val="es-PR" w:eastAsia="en-US"/>
        </w:rPr>
        <w:t xml:space="preserve">       </w:t>
      </w:r>
    </w:p>
    <w:p w14:paraId="569092E9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 xml:space="preserve">Rodolfo Vega </w:t>
      </w:r>
      <w:proofErr w:type="spellStart"/>
      <w:r w:rsidRPr="00106F49">
        <w:rPr>
          <w:rFonts w:eastAsia="Calibri"/>
          <w:lang w:val="es-PR" w:eastAsia="en-US"/>
        </w:rPr>
        <w:t>Candelario</w:t>
      </w:r>
      <w:r w:rsidRPr="00106F49">
        <w:rPr>
          <w:rFonts w:eastAsia="Calibri"/>
          <w:vertAlign w:val="superscript"/>
          <w:lang w:val="es-PR" w:eastAsia="en-US"/>
        </w:rPr>
        <w:t>1</w:t>
      </w:r>
      <w:proofErr w:type="spellEnd"/>
      <w:r w:rsidRPr="00106F49">
        <w:rPr>
          <w:rFonts w:eastAsia="Calibri"/>
          <w:lang w:val="es-PR" w:eastAsia="en-US"/>
        </w:rPr>
        <w:t xml:space="preserve"> </w:t>
      </w:r>
      <w:hyperlink r:id="rId8" w:history="1">
        <w:r w:rsidRPr="00106F49">
          <w:rPr>
            <w:rFonts w:eastAsia="Calibri"/>
            <w:color w:val="0563C1"/>
            <w:lang w:val="es-PR" w:eastAsia="en-US"/>
          </w:rPr>
          <w:t>https://orcid.org/ 0000-0003-4459-8350</w:t>
        </w:r>
      </w:hyperlink>
      <w:r w:rsidRPr="00106F49">
        <w:rPr>
          <w:rFonts w:eastAsia="Calibri"/>
          <w:lang w:val="es-PR" w:eastAsia="en-US"/>
        </w:rPr>
        <w:t xml:space="preserve"> </w:t>
      </w:r>
    </w:p>
    <w:p w14:paraId="0360DCCD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</w:p>
    <w:p w14:paraId="36034405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proofErr w:type="spellStart"/>
      <w:r w:rsidRPr="00106F49">
        <w:rPr>
          <w:rFonts w:eastAsia="Calibri"/>
          <w:vertAlign w:val="superscript"/>
          <w:lang w:val="es-PR" w:eastAsia="en-US"/>
        </w:rPr>
        <w:t>1</w:t>
      </w:r>
      <w:r w:rsidRPr="00106F49">
        <w:rPr>
          <w:rFonts w:eastAsia="Calibri"/>
          <w:lang w:val="es-PR" w:eastAsia="en-US"/>
        </w:rPr>
        <w:t>Hospital</w:t>
      </w:r>
      <w:proofErr w:type="spellEnd"/>
      <w:r w:rsidRPr="00106F49">
        <w:rPr>
          <w:rFonts w:eastAsia="Calibri"/>
          <w:lang w:val="es-PR" w:eastAsia="en-US"/>
        </w:rPr>
        <w:t xml:space="preserve"> General Provincial “Roberto Rodríguez”. Morón, Ciego de Ávila. </w:t>
      </w:r>
    </w:p>
    <w:p w14:paraId="3655395A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</w:p>
    <w:p w14:paraId="7E85FABF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 xml:space="preserve">*Autor para la correspondencia. Correo electrónico: </w:t>
      </w:r>
      <w:hyperlink r:id="rId9" w:history="1">
        <w:r w:rsidRPr="00106F49">
          <w:rPr>
            <w:rFonts w:eastAsia="Calibri"/>
            <w:color w:val="0563C1"/>
            <w:lang w:val="es-PR" w:eastAsia="en-US"/>
          </w:rPr>
          <w:t>rmonzon@infomed.sld.cu</w:t>
        </w:r>
      </w:hyperlink>
      <w:r w:rsidRPr="00106F49">
        <w:rPr>
          <w:rFonts w:eastAsia="Calibri"/>
          <w:lang w:val="es-PR" w:eastAsia="en-US"/>
        </w:rPr>
        <w:t xml:space="preserve"> </w:t>
      </w:r>
    </w:p>
    <w:p w14:paraId="74F17568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</w:p>
    <w:p w14:paraId="6E321914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</w:p>
    <w:p w14:paraId="12F90FAD" w14:textId="77777777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>Estimado Editor;</w:t>
      </w:r>
    </w:p>
    <w:p w14:paraId="77DB199D" w14:textId="77777777" w:rsidR="00106F49" w:rsidRPr="00106F49" w:rsidRDefault="00106F49" w:rsidP="00106F49">
      <w:pPr>
        <w:spacing w:line="360" w:lineRule="auto"/>
        <w:jc w:val="both"/>
        <w:rPr>
          <w:rFonts w:eastAsia="Calibri"/>
          <w:sz w:val="22"/>
          <w:szCs w:val="22"/>
          <w:lang w:val="es-PR" w:eastAsia="en-US"/>
        </w:rPr>
      </w:pPr>
      <w:r w:rsidRPr="00106F49">
        <w:rPr>
          <w:lang w:val="es-ES" w:eastAsia="es-PR"/>
        </w:rPr>
        <w:t xml:space="preserve">La pandemia de SARS </w:t>
      </w:r>
      <w:proofErr w:type="spellStart"/>
      <w:r w:rsidRPr="00106F49">
        <w:rPr>
          <w:lang w:val="es-ES" w:eastAsia="es-PR"/>
        </w:rPr>
        <w:t>CoV</w:t>
      </w:r>
      <w:proofErr w:type="spellEnd"/>
      <w:r w:rsidRPr="00106F49">
        <w:rPr>
          <w:lang w:val="es-ES" w:eastAsia="es-PR"/>
        </w:rPr>
        <w:t>-2 requiere nuevas estrategias médicas para controlar la gravedad de la enfermedad y la muerte debido a complicaciones,</w:t>
      </w:r>
      <w:r w:rsidRPr="00106F49">
        <w:rPr>
          <w:rFonts w:eastAsia="Calibri"/>
          <w:lang w:val="es-PR" w:eastAsia="en-US"/>
        </w:rPr>
        <w:t xml:space="preserve"> lo cual ha sido motivo de numerosas investigaciones dirigidas a encontrar solución a los múltiples problemas que causa. El fármaco cubano </w:t>
      </w:r>
      <w:proofErr w:type="spellStart"/>
      <w:r w:rsidRPr="00106F49">
        <w:rPr>
          <w:rFonts w:eastAsia="Calibri"/>
          <w:lang w:val="es-PR" w:eastAsia="en-US"/>
        </w:rPr>
        <w:t>itolizumab</w:t>
      </w:r>
      <w:proofErr w:type="spellEnd"/>
      <w:r w:rsidRPr="00106F49">
        <w:rPr>
          <w:rFonts w:eastAsia="Calibri"/>
          <w:lang w:val="es-PR" w:eastAsia="en-US"/>
        </w:rPr>
        <w:t>, creado por el Centro de Inmunología Molecular, unido a la terapia antiviral y anticoagulante, podría reducir la morbilidad y mortalidad asociadas a las formas clínicas graves de esta enfermedad.</w:t>
      </w:r>
    </w:p>
    <w:p w14:paraId="2B729DF6" w14:textId="737FFFAF" w:rsidR="00106F49" w:rsidRPr="00106F49" w:rsidRDefault="00106F49" w:rsidP="00106F49">
      <w:pPr>
        <w:tabs>
          <w:tab w:val="left" w:pos="5235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 xml:space="preserve">En los últimos años han emergido nuevas terapias dirigidas hacia moléculas y células del sistema inmune. Los agentes biológicos han mostrado beneficios significativos, lo cual abre un campo prometedor en terapias más efectivas y seguras, con bajo riesgo de toxicidad sistémica, buena tolerancia y eficacia a largo plazo. El </w:t>
      </w:r>
      <w:proofErr w:type="spellStart"/>
      <w:r w:rsidRPr="00106F49">
        <w:rPr>
          <w:rFonts w:eastAsia="Calibri"/>
          <w:lang w:val="es-PR" w:eastAsia="en-US"/>
        </w:rPr>
        <w:t>CD6</w:t>
      </w:r>
      <w:proofErr w:type="spellEnd"/>
      <w:r w:rsidRPr="00106F49">
        <w:rPr>
          <w:rFonts w:eastAsia="Calibri"/>
          <w:lang w:val="es-PR" w:eastAsia="en-US"/>
        </w:rPr>
        <w:t xml:space="preserve"> es un receptor </w:t>
      </w:r>
      <w:proofErr w:type="spellStart"/>
      <w:r w:rsidRPr="00106F49">
        <w:rPr>
          <w:rFonts w:eastAsia="Calibri"/>
          <w:lang w:val="es-PR" w:eastAsia="en-US"/>
        </w:rPr>
        <w:t>coseñalizador</w:t>
      </w:r>
      <w:proofErr w:type="spellEnd"/>
      <w:r w:rsidRPr="00106F49">
        <w:rPr>
          <w:rFonts w:eastAsia="Calibri"/>
          <w:lang w:val="es-PR" w:eastAsia="en-US"/>
        </w:rPr>
        <w:t xml:space="preserve"> </w:t>
      </w:r>
      <w:proofErr w:type="spellStart"/>
      <w:r w:rsidRPr="00106F49">
        <w:rPr>
          <w:rFonts w:eastAsia="Calibri"/>
          <w:lang w:val="es-PR" w:eastAsia="en-US"/>
        </w:rPr>
        <w:t>monométrico</w:t>
      </w:r>
      <w:proofErr w:type="spellEnd"/>
      <w:r w:rsidRPr="00106F49">
        <w:rPr>
          <w:rFonts w:eastAsia="Calibri"/>
          <w:lang w:val="es-PR" w:eastAsia="en-US"/>
        </w:rPr>
        <w:t xml:space="preserve"> en la superficie de los linfocitos asociado físicamente con el receptor de células T, en el centro de la sinapsis inmunológica en la cual estabiliza esta estructura y se asocia a vías que promueven la activación, proliferación, diferenciación y supervivencia celular; un objetivo importante para la modulación de enfermedades </w:t>
      </w:r>
      <w:proofErr w:type="gramStart"/>
      <w:r w:rsidRPr="00106F49">
        <w:rPr>
          <w:rFonts w:eastAsia="Calibri"/>
          <w:lang w:val="es-PR" w:eastAsia="en-US"/>
        </w:rPr>
        <w:t>autoinmunes.</w:t>
      </w:r>
      <w:r w:rsidRPr="00106F49">
        <w:rPr>
          <w:rFonts w:eastAsia="Calibri"/>
          <w:color w:val="000000"/>
          <w:vertAlign w:val="superscript"/>
          <w:lang w:val="es-PR" w:eastAsia="en-US"/>
        </w:rPr>
        <w:t>(</w:t>
      </w:r>
      <w:proofErr w:type="gramEnd"/>
      <w:r w:rsidRPr="00106F49">
        <w:rPr>
          <w:rFonts w:eastAsia="Calibri"/>
          <w:color w:val="000000"/>
          <w:vertAlign w:val="superscript"/>
          <w:lang w:val="es-PR" w:eastAsia="en-US"/>
        </w:rPr>
        <w:t>1)</w:t>
      </w:r>
    </w:p>
    <w:p w14:paraId="6722BF01" w14:textId="77777777" w:rsidR="00106F49" w:rsidRPr="00106F49" w:rsidRDefault="00106F49" w:rsidP="00106F49">
      <w:pPr>
        <w:spacing w:line="360" w:lineRule="auto"/>
        <w:jc w:val="both"/>
        <w:rPr>
          <w:rFonts w:eastAsia="Calibri"/>
          <w:b/>
          <w:vertAlign w:val="superscript"/>
          <w:lang w:val="es-PR" w:eastAsia="en-US"/>
        </w:rPr>
      </w:pPr>
      <w:r w:rsidRPr="00106F49">
        <w:rPr>
          <w:rFonts w:eastAsia="Calibri"/>
          <w:lang w:val="es-PR" w:eastAsia="en-US"/>
        </w:rPr>
        <w:lastRenderedPageBreak/>
        <w:t>E</w:t>
      </w:r>
      <w:r w:rsidRPr="00106F49">
        <w:rPr>
          <w:lang w:val="es-ES" w:eastAsia="es-PR"/>
        </w:rPr>
        <w:t>l uso del anticuerpo anti-</w:t>
      </w:r>
      <w:proofErr w:type="spellStart"/>
      <w:r w:rsidRPr="00106F49">
        <w:rPr>
          <w:lang w:val="es-ES" w:eastAsia="es-PR"/>
        </w:rPr>
        <w:t>CD6</w:t>
      </w:r>
      <w:proofErr w:type="spellEnd"/>
      <w:r w:rsidRPr="00106F49">
        <w:rPr>
          <w:lang w:val="es-ES" w:eastAsia="es-PR"/>
        </w:rPr>
        <w:t xml:space="preserve"> podría reducir la concentración de varias citoquinas proinflamatorias, incluidas interleucina-6, interleucina-17, interferón gamma y factor de necrosis tumoral alfa, entre otras, lo que representa una ventaja en comparación con los anticuerpos dirigidos a una sola citoquina. Se considera</w:t>
      </w:r>
      <w:r w:rsidRPr="00106F49">
        <w:rPr>
          <w:rFonts w:eastAsia="Calibri"/>
          <w:lang w:val="es-PR" w:eastAsia="en-US"/>
        </w:rPr>
        <w:t xml:space="preserve"> oportuno utilizar el </w:t>
      </w:r>
      <w:proofErr w:type="spellStart"/>
      <w:r w:rsidRPr="00106F49">
        <w:rPr>
          <w:rFonts w:eastAsia="Calibri"/>
          <w:lang w:val="es-PR" w:eastAsia="en-US"/>
        </w:rPr>
        <w:t>itolizumab</w:t>
      </w:r>
      <w:proofErr w:type="spellEnd"/>
      <w:r w:rsidRPr="00106F49">
        <w:rPr>
          <w:rFonts w:eastAsia="Calibri"/>
          <w:lang w:val="es-PR" w:eastAsia="en-US"/>
        </w:rPr>
        <w:t xml:space="preserve"> antes que los pacientes lleguen al estado crítico o al comienzo de este. En esa etapa de la enfermedad, las consecuencias de la </w:t>
      </w:r>
      <w:proofErr w:type="spellStart"/>
      <w:r w:rsidRPr="00106F49">
        <w:rPr>
          <w:rFonts w:eastAsia="Calibri"/>
          <w:lang w:val="es-PR" w:eastAsia="en-US"/>
        </w:rPr>
        <w:t>hiperinflamación</w:t>
      </w:r>
      <w:proofErr w:type="spellEnd"/>
      <w:r w:rsidRPr="00106F49">
        <w:rPr>
          <w:rFonts w:eastAsia="Calibri"/>
          <w:lang w:val="es-PR" w:eastAsia="en-US"/>
        </w:rPr>
        <w:t xml:space="preserve">, incluyendo la trombosis microvascular o </w:t>
      </w:r>
      <w:proofErr w:type="spellStart"/>
      <w:r w:rsidRPr="00106F49">
        <w:rPr>
          <w:rFonts w:eastAsia="Calibri"/>
          <w:lang w:val="es-PR" w:eastAsia="en-US"/>
        </w:rPr>
        <w:t>macrovascular</w:t>
      </w:r>
      <w:proofErr w:type="spellEnd"/>
      <w:r w:rsidRPr="00106F49">
        <w:rPr>
          <w:rFonts w:eastAsia="Calibri"/>
          <w:lang w:val="es-PR" w:eastAsia="en-US"/>
        </w:rPr>
        <w:t xml:space="preserve">, la membrana hialina y la lesión alveolar, pueden ser </w:t>
      </w:r>
      <w:proofErr w:type="gramStart"/>
      <w:r w:rsidRPr="00106F49">
        <w:rPr>
          <w:rFonts w:eastAsia="Calibri"/>
          <w:lang w:val="es-PR" w:eastAsia="en-US"/>
        </w:rPr>
        <w:t>irreparables.</w:t>
      </w:r>
      <w:r w:rsidRPr="00106F49">
        <w:rPr>
          <w:rFonts w:eastAsia="Calibri"/>
          <w:vertAlign w:val="superscript"/>
          <w:lang w:val="es-PR" w:eastAsia="en-US"/>
        </w:rPr>
        <w:t>(</w:t>
      </w:r>
      <w:proofErr w:type="gramEnd"/>
      <w:r w:rsidRPr="00106F49">
        <w:rPr>
          <w:rFonts w:eastAsia="Calibri"/>
          <w:vertAlign w:val="superscript"/>
          <w:lang w:val="es-PR" w:eastAsia="en-US"/>
        </w:rPr>
        <w:t>2)</w:t>
      </w:r>
      <w:r w:rsidRPr="00106F49">
        <w:rPr>
          <w:rFonts w:eastAsia="Calibri"/>
          <w:lang w:val="es-PR" w:eastAsia="en-US"/>
        </w:rPr>
        <w:t xml:space="preserve"> </w:t>
      </w:r>
    </w:p>
    <w:p w14:paraId="3B0684FF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ES" w:eastAsia="es-PR"/>
        </w:rPr>
      </w:pPr>
      <w:r w:rsidRPr="00106F49">
        <w:rPr>
          <w:lang w:val="es-ES" w:eastAsia="es-PR"/>
        </w:rPr>
        <w:t xml:space="preserve">Un informe reciente de </w:t>
      </w:r>
      <w:r w:rsidRPr="00106F49">
        <w:rPr>
          <w:i/>
          <w:iCs/>
          <w:lang w:val="es-ES" w:eastAsia="es-PR"/>
        </w:rPr>
        <w:t>Gore</w:t>
      </w:r>
      <w:r w:rsidRPr="00106F49">
        <w:rPr>
          <w:lang w:val="es-ES" w:eastAsia="es-PR"/>
        </w:rPr>
        <w:t xml:space="preserve"> y </w:t>
      </w:r>
      <w:proofErr w:type="gramStart"/>
      <w:r w:rsidRPr="00106F49">
        <w:rPr>
          <w:lang w:val="es-ES" w:eastAsia="es-PR"/>
        </w:rPr>
        <w:t>otros</w:t>
      </w:r>
      <w:r w:rsidRPr="00106F49">
        <w:rPr>
          <w:rFonts w:eastAsia="Calibri"/>
          <w:vertAlign w:val="superscript"/>
          <w:lang w:val="es-ES" w:eastAsia="es-ES"/>
        </w:rPr>
        <w:t>(</w:t>
      </w:r>
      <w:proofErr w:type="gramEnd"/>
      <w:r w:rsidRPr="00106F49">
        <w:rPr>
          <w:rFonts w:eastAsia="Calibri"/>
          <w:vertAlign w:val="superscript"/>
          <w:lang w:val="es-ES" w:eastAsia="es-ES"/>
        </w:rPr>
        <w:t>3)</w:t>
      </w:r>
      <w:r w:rsidRPr="00106F49">
        <w:rPr>
          <w:lang w:val="es-ES" w:eastAsia="es-PR"/>
        </w:rPr>
        <w:t xml:space="preserve"> afirma que una dosis única de </w:t>
      </w:r>
      <w:proofErr w:type="spellStart"/>
      <w:r w:rsidRPr="00106F49">
        <w:rPr>
          <w:lang w:val="es-ES" w:eastAsia="es-PR"/>
        </w:rPr>
        <w:t>itolizumab</w:t>
      </w:r>
      <w:proofErr w:type="spellEnd"/>
      <w:r w:rsidRPr="00106F49">
        <w:rPr>
          <w:lang w:val="es-ES" w:eastAsia="es-PR"/>
        </w:rPr>
        <w:t xml:space="preserve"> aceleró la recuperación en 25 pacientes adultos con la COVID-19, mediante el control de la hiperactivación inmunitaria. La mejora clínica se demostró mediante la reducción de los marcadores inflamatorios, la desintoxicación del oxígeno y la reducción de la duración de la estancia hospitalaria.</w:t>
      </w:r>
    </w:p>
    <w:p w14:paraId="0428F93E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PR" w:eastAsia="es-PR"/>
        </w:rPr>
      </w:pPr>
      <w:r w:rsidRPr="00106F49">
        <w:rPr>
          <w:lang w:val="es-ES" w:eastAsia="es-PR"/>
        </w:rPr>
        <w:t xml:space="preserve">Otra evidencia, de </w:t>
      </w:r>
      <w:proofErr w:type="spellStart"/>
      <w:r w:rsidRPr="00106F49">
        <w:rPr>
          <w:i/>
          <w:iCs/>
          <w:lang w:val="es-ES" w:eastAsia="es-PR"/>
        </w:rPr>
        <w:t>Thacker</w:t>
      </w:r>
      <w:proofErr w:type="spellEnd"/>
      <w:r w:rsidRPr="00106F49">
        <w:rPr>
          <w:lang w:val="es-ES" w:eastAsia="es-PR"/>
        </w:rPr>
        <w:t xml:space="preserve"> y </w:t>
      </w:r>
      <w:proofErr w:type="gramStart"/>
      <w:r w:rsidRPr="00106F49">
        <w:rPr>
          <w:lang w:val="es-ES" w:eastAsia="es-PR"/>
        </w:rPr>
        <w:t>otros,</w:t>
      </w:r>
      <w:r w:rsidRPr="00106F49">
        <w:rPr>
          <w:rFonts w:eastAsia="Calibri"/>
          <w:vertAlign w:val="superscript"/>
          <w:lang w:val="es-ES" w:eastAsia="es-ES"/>
        </w:rPr>
        <w:t>(</w:t>
      </w:r>
      <w:proofErr w:type="gramEnd"/>
      <w:r w:rsidRPr="00106F49">
        <w:rPr>
          <w:rFonts w:eastAsia="Calibri"/>
          <w:vertAlign w:val="superscript"/>
          <w:lang w:val="es-ES" w:eastAsia="es-ES"/>
        </w:rPr>
        <w:t>4)</w:t>
      </w:r>
      <w:r w:rsidRPr="00106F49">
        <w:rPr>
          <w:lang w:val="es-ES" w:eastAsia="es-PR"/>
        </w:rPr>
        <w:t xml:space="preserve"> muestra que el tratamiento de la COVID-19, de moderada a grave, con </w:t>
      </w:r>
      <w:proofErr w:type="spellStart"/>
      <w:r w:rsidRPr="00106F49">
        <w:rPr>
          <w:lang w:val="es-ES" w:eastAsia="es-PR"/>
        </w:rPr>
        <w:t>itolizumab</w:t>
      </w:r>
      <w:proofErr w:type="spellEnd"/>
      <w:r w:rsidRPr="00106F49">
        <w:rPr>
          <w:lang w:val="es-ES" w:eastAsia="es-PR"/>
        </w:rPr>
        <w:t xml:space="preserve"> mejoró los niveles de saturación de oxígeno en 27 pacientes y aceleró el tiempo de recuperación en pacientes hospitalizados, sin efectos </w:t>
      </w:r>
      <w:r w:rsidRPr="00106F49">
        <w:rPr>
          <w:rFonts w:eastAsia="Calibri"/>
          <w:lang w:val="es-PR" w:eastAsia="en-US"/>
        </w:rPr>
        <w:t>adversos</w:t>
      </w:r>
      <w:r w:rsidRPr="00106F49">
        <w:rPr>
          <w:lang w:val="es-ES" w:eastAsia="es-PR"/>
        </w:rPr>
        <w:t xml:space="preserve"> graves, ni mortalidad.</w:t>
      </w:r>
      <w:r w:rsidRPr="00106F49">
        <w:rPr>
          <w:rFonts w:eastAsia="Calibri"/>
          <w:vertAlign w:val="superscript"/>
          <w:lang w:val="es-ES" w:eastAsia="es-ES"/>
        </w:rPr>
        <w:t xml:space="preserve"> </w:t>
      </w:r>
    </w:p>
    <w:p w14:paraId="32EE6164" w14:textId="41185390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40"/>
          <w:szCs w:val="40"/>
          <w:lang w:val="es-ES" w:eastAsia="es-PR"/>
        </w:rPr>
      </w:pPr>
      <w:r w:rsidRPr="00106F49">
        <w:rPr>
          <w:rFonts w:eastAsia="Calibri"/>
          <w:lang w:val="es-ES" w:eastAsia="en-US"/>
        </w:rPr>
        <w:t xml:space="preserve">La interleucina-6 se considera el principal impulsor del síndrome </w:t>
      </w:r>
      <w:proofErr w:type="spellStart"/>
      <w:r w:rsidRPr="00106F49">
        <w:rPr>
          <w:rFonts w:eastAsia="Calibri"/>
          <w:lang w:val="es-ES" w:eastAsia="en-US"/>
        </w:rPr>
        <w:t>hiperinflamatorio</w:t>
      </w:r>
      <w:proofErr w:type="spellEnd"/>
      <w:r w:rsidRPr="00106F49">
        <w:rPr>
          <w:rFonts w:eastAsia="Calibri"/>
          <w:lang w:val="es-ES" w:eastAsia="en-US"/>
        </w:rPr>
        <w:t xml:space="preserve"> en esta </w:t>
      </w:r>
      <w:proofErr w:type="gramStart"/>
      <w:r w:rsidRPr="00106F49">
        <w:rPr>
          <w:rFonts w:eastAsia="Calibri"/>
          <w:lang w:val="es-ES" w:eastAsia="en-US"/>
        </w:rPr>
        <w:t>enfermedad.</w:t>
      </w:r>
      <w:r w:rsidRPr="00106F49">
        <w:rPr>
          <w:rFonts w:eastAsia="Calibri"/>
          <w:vertAlign w:val="superscript"/>
          <w:lang w:val="es-ES" w:eastAsia="es-ES"/>
        </w:rPr>
        <w:t>(</w:t>
      </w:r>
      <w:proofErr w:type="gramEnd"/>
      <w:r w:rsidRPr="00106F49">
        <w:rPr>
          <w:rFonts w:eastAsia="Calibri"/>
          <w:vertAlign w:val="superscript"/>
          <w:lang w:val="es-ES" w:eastAsia="es-ES"/>
        </w:rPr>
        <w:t xml:space="preserve">5) </w:t>
      </w:r>
      <w:r w:rsidRPr="00106F49">
        <w:rPr>
          <w:lang w:val="es-ES" w:eastAsia="es-PR"/>
        </w:rPr>
        <w:t>Sus niveles</w:t>
      </w:r>
      <w:r w:rsidRPr="00106F49">
        <w:rPr>
          <w:b/>
          <w:sz w:val="40"/>
          <w:szCs w:val="40"/>
          <w:lang w:val="es-ES" w:eastAsia="es-PR"/>
        </w:rPr>
        <w:t xml:space="preserve"> </w:t>
      </w:r>
      <w:r w:rsidRPr="00106F49">
        <w:rPr>
          <w:lang w:val="es-ES" w:eastAsia="es-PR"/>
        </w:rPr>
        <w:t>elevados predicen la gravedad en pacientes con COVID-19</w:t>
      </w:r>
      <w:r w:rsidR="00634EFE">
        <w:rPr>
          <w:lang w:val="es-ES" w:eastAsia="es-PR"/>
        </w:rPr>
        <w:t>.</w:t>
      </w:r>
      <w:r w:rsidRPr="00106F49">
        <w:rPr>
          <w:rFonts w:eastAsia="Calibri"/>
          <w:vertAlign w:val="superscript"/>
          <w:lang w:val="es-ES" w:eastAsia="es-ES"/>
        </w:rPr>
        <w:t>(6)</w:t>
      </w:r>
      <w:r w:rsidRPr="00106F49">
        <w:rPr>
          <w:lang w:val="es-ES" w:eastAsia="es-PR"/>
        </w:rPr>
        <w:t xml:space="preserve"> </w:t>
      </w:r>
      <w:r w:rsidRPr="00106F49">
        <w:rPr>
          <w:rFonts w:eastAsia="Calibri"/>
          <w:vertAlign w:val="superscript"/>
          <w:lang w:val="es-ES" w:eastAsia="es-ES"/>
        </w:rPr>
        <w:t xml:space="preserve"> </w:t>
      </w:r>
      <w:r w:rsidRPr="00106F49">
        <w:rPr>
          <w:rFonts w:eastAsia="Calibri"/>
          <w:lang w:val="es-ES" w:eastAsia="en-US"/>
        </w:rPr>
        <w:t>Con el objetivo de controlar la abrumadora inflamación sistémica y prevenir la liberación de citoquinas fueron tratados con este producto 70 pacientes.</w:t>
      </w:r>
      <w:r w:rsidRPr="00106F49">
        <w:rPr>
          <w:lang w:val="es-ES" w:eastAsia="es-PR"/>
        </w:rPr>
        <w:t xml:space="preserve"> La mediana de edad fue de 68 años y el 94 % tenía comorbilidades.</w:t>
      </w:r>
      <w:r w:rsidRPr="00106F49">
        <w:rPr>
          <w:rFonts w:eastAsia="Calibri"/>
          <w:lang w:val="es-ES" w:eastAsia="en-US"/>
        </w:rPr>
        <w:t xml:space="preserve"> </w:t>
      </w:r>
      <w:proofErr w:type="spellStart"/>
      <w:r w:rsidRPr="00106F49">
        <w:rPr>
          <w:rFonts w:eastAsia="Calibri"/>
          <w:lang w:val="es-ES" w:eastAsia="en-US"/>
        </w:rPr>
        <w:t>Itolizumab</w:t>
      </w:r>
      <w:proofErr w:type="spellEnd"/>
      <w:r w:rsidRPr="00106F49">
        <w:rPr>
          <w:rFonts w:eastAsia="Calibri"/>
          <w:lang w:val="es-ES" w:eastAsia="en-US"/>
        </w:rPr>
        <w:t xml:space="preserve"> redujo con éxito esta citocina en personas con concentración muy alta e impidió el refuerzo en pacientes moderados con alto riesgo de agravamiento. Aparentemente el anticuerpo inhibió la activación de las células T y obstaculizó la secreción de citoquinas. Está documentado que la ablación de interleucina-6 puede deprimir la respuesta de las células B y retrasar la respuesta antiviral.</w:t>
      </w:r>
      <w:r w:rsidRPr="00106F49">
        <w:rPr>
          <w:rFonts w:eastAsia="Calibri"/>
          <w:vertAlign w:val="superscript"/>
          <w:lang w:val="es-ES" w:eastAsia="es-ES"/>
        </w:rPr>
        <w:t xml:space="preserve"> (7) </w:t>
      </w:r>
      <w:r w:rsidRPr="00106F49">
        <w:rPr>
          <w:rFonts w:eastAsia="Calibri"/>
          <w:lang w:val="es-ES" w:eastAsia="en-US"/>
        </w:rPr>
        <w:t xml:space="preserve">La carga viral fue negativa en todos los pacientes clínicamente recuperados, lo que sugiere que </w:t>
      </w:r>
      <w:proofErr w:type="spellStart"/>
      <w:r w:rsidRPr="00106F49">
        <w:rPr>
          <w:rFonts w:eastAsia="Calibri"/>
          <w:lang w:val="es-ES" w:eastAsia="en-US"/>
        </w:rPr>
        <w:t>itolizumab</w:t>
      </w:r>
      <w:proofErr w:type="spellEnd"/>
      <w:r w:rsidRPr="00106F49">
        <w:rPr>
          <w:rFonts w:eastAsia="Calibri"/>
          <w:lang w:val="es-ES" w:eastAsia="en-US"/>
        </w:rPr>
        <w:t xml:space="preserve"> no obstaculizó la respuesta inmune adaptativa de interleucina-1 y el factor de necrosis tumoral-</w:t>
      </w:r>
      <w:proofErr w:type="gramStart"/>
      <w:r w:rsidRPr="00106F49">
        <w:rPr>
          <w:rFonts w:eastAsia="Calibri"/>
          <w:lang w:val="es-ES" w:eastAsia="en-US"/>
        </w:rPr>
        <w:t>α.</w:t>
      </w:r>
      <w:r w:rsidRPr="00106F49">
        <w:rPr>
          <w:rFonts w:eastAsia="Calibri"/>
          <w:vertAlign w:val="superscript"/>
          <w:lang w:val="es-ES" w:eastAsia="es-ES"/>
        </w:rPr>
        <w:t>(</w:t>
      </w:r>
      <w:proofErr w:type="gramEnd"/>
      <w:r w:rsidRPr="00106F49">
        <w:rPr>
          <w:rFonts w:eastAsia="Calibri"/>
          <w:vertAlign w:val="superscript"/>
          <w:lang w:val="es-ES" w:eastAsia="es-ES"/>
        </w:rPr>
        <w:t>8)</w:t>
      </w:r>
      <w:r w:rsidRPr="00106F49">
        <w:rPr>
          <w:rFonts w:eastAsia="TimesNewRomanPSMT"/>
          <w:lang w:val="es-PR" w:eastAsia="en-US"/>
        </w:rPr>
        <w:t xml:space="preserve"> Se demostró que la función respiratoria mejoró a las 72 horas y e</w:t>
      </w:r>
      <w:r w:rsidRPr="00106F49">
        <w:rPr>
          <w:rFonts w:eastAsia="Calibri"/>
          <w:lang w:val="es-ES" w:eastAsia="en-US"/>
        </w:rPr>
        <w:t>n los pacientes tratados se redujo la probabilidad de transitar a grave o crítico.</w:t>
      </w:r>
      <w:r w:rsidRPr="00106F49">
        <w:rPr>
          <w:rFonts w:eastAsia="Calibri"/>
          <w:vertAlign w:val="superscript"/>
          <w:lang w:val="es-ES" w:eastAsia="es-ES"/>
        </w:rPr>
        <w:t>(9)</w:t>
      </w:r>
    </w:p>
    <w:p w14:paraId="7E1B170F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ES" w:eastAsia="es-PR"/>
        </w:rPr>
      </w:pPr>
      <w:r w:rsidRPr="00106F49">
        <w:rPr>
          <w:lang w:val="es-ES" w:eastAsia="es-PR"/>
        </w:rPr>
        <w:t>Se prevé que el uso oportuno de este anticuerpo antinflamatorio, con la combinación de la terapia antiviral y anticoagulante adecuada, puede reducir la mortalidad asociada a esta enfermedad o estados similares.</w:t>
      </w:r>
    </w:p>
    <w:p w14:paraId="7050A391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ES" w:eastAsia="es-PR"/>
        </w:rPr>
      </w:pPr>
    </w:p>
    <w:p w14:paraId="609FDB19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bCs/>
          <w:sz w:val="32"/>
          <w:szCs w:val="32"/>
          <w:lang w:val="es-PR" w:eastAsia="en-US"/>
        </w:rPr>
      </w:pPr>
    </w:p>
    <w:p w14:paraId="6FA53DCC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bCs/>
          <w:sz w:val="32"/>
          <w:szCs w:val="32"/>
          <w:lang w:val="es-PR" w:eastAsia="en-US"/>
        </w:rPr>
      </w:pPr>
      <w:r w:rsidRPr="00106F49">
        <w:rPr>
          <w:rFonts w:eastAsia="Calibri"/>
          <w:b/>
          <w:bCs/>
          <w:sz w:val="32"/>
          <w:szCs w:val="32"/>
          <w:lang w:val="es-PR" w:eastAsia="en-US"/>
        </w:rPr>
        <w:t>REFERENCIAS BIBLIOGRÁFICAS</w:t>
      </w:r>
    </w:p>
    <w:p w14:paraId="3140B4A5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lang w:val="en-US" w:eastAsia="es-PR"/>
        </w:rPr>
      </w:pPr>
      <w:r w:rsidRPr="00106F49">
        <w:rPr>
          <w:lang w:val="es-MX" w:eastAsia="es-PR"/>
        </w:rPr>
        <w:t xml:space="preserve">1. </w:t>
      </w:r>
      <w:proofErr w:type="spellStart"/>
      <w:r w:rsidRPr="00106F49">
        <w:rPr>
          <w:lang w:val="es-MX" w:eastAsia="es-PR"/>
        </w:rPr>
        <w:t>Roshni</w:t>
      </w:r>
      <w:proofErr w:type="spellEnd"/>
      <w:r w:rsidRPr="00106F49">
        <w:rPr>
          <w:lang w:val="es-MX" w:eastAsia="es-PR"/>
        </w:rPr>
        <w:t xml:space="preserve"> </w:t>
      </w:r>
      <w:proofErr w:type="spellStart"/>
      <w:r w:rsidRPr="00106F49">
        <w:rPr>
          <w:lang w:val="es-MX" w:eastAsia="es-PR"/>
        </w:rPr>
        <w:t>Menon</w:t>
      </w:r>
      <w:proofErr w:type="spellEnd"/>
      <w:r w:rsidRPr="00106F49">
        <w:rPr>
          <w:lang w:val="es-MX" w:eastAsia="es-PR"/>
        </w:rPr>
        <w:t xml:space="preserve">, Brinda G David. </w:t>
      </w:r>
      <w:proofErr w:type="spellStart"/>
      <w:r w:rsidRPr="00106F49">
        <w:rPr>
          <w:lang w:val="en-US" w:eastAsia="es-PR"/>
        </w:rPr>
        <w:t>Itolizumab</w:t>
      </w:r>
      <w:proofErr w:type="spellEnd"/>
      <w:r w:rsidRPr="00106F49">
        <w:rPr>
          <w:lang w:val="en-US" w:eastAsia="es-PR"/>
        </w:rPr>
        <w:t xml:space="preserve"> - a humanized anti-</w:t>
      </w:r>
      <w:proofErr w:type="spellStart"/>
      <w:r w:rsidRPr="00106F49">
        <w:rPr>
          <w:lang w:val="en-US" w:eastAsia="es-PR"/>
        </w:rPr>
        <w:t>CD6</w:t>
      </w:r>
      <w:proofErr w:type="spellEnd"/>
      <w:r w:rsidRPr="00106F49">
        <w:rPr>
          <w:lang w:val="en-US" w:eastAsia="es-PR"/>
        </w:rPr>
        <w:t xml:space="preserve"> monoclonal antibody with a better side effects profile for the treatment of psoriasis. Clinical, Cosmetic and Investigational Dermatology. Pondicherry, India. 2015 [</w:t>
      </w:r>
      <w:proofErr w:type="spellStart"/>
      <w:r w:rsidRPr="00106F49">
        <w:rPr>
          <w:lang w:val="en-US" w:eastAsia="es-PR"/>
        </w:rPr>
        <w:t>acceso</w:t>
      </w:r>
      <w:proofErr w:type="spellEnd"/>
      <w:r w:rsidRPr="00106F49">
        <w:rPr>
          <w:lang w:val="en-US" w:eastAsia="es-PR"/>
        </w:rPr>
        <w:t xml:space="preserve">: 20/03/2019]; 8:215-22. Disponible </w:t>
      </w:r>
      <w:proofErr w:type="spellStart"/>
      <w:r w:rsidRPr="00106F49">
        <w:rPr>
          <w:lang w:val="en-US" w:eastAsia="es-PR"/>
        </w:rPr>
        <w:t>en</w:t>
      </w:r>
      <w:proofErr w:type="spellEnd"/>
      <w:r w:rsidRPr="00106F49">
        <w:rPr>
          <w:lang w:val="en-US" w:eastAsia="es-PR"/>
        </w:rPr>
        <w:t xml:space="preserve">: </w:t>
      </w:r>
      <w:hyperlink r:id="rId10" w:history="1">
        <w:r w:rsidRPr="00106F49">
          <w:rPr>
            <w:color w:val="0563C1"/>
            <w:lang w:val="en-US" w:eastAsia="es-PR"/>
          </w:rPr>
          <w:t>https://www.ncbi.nlm.nih.gov/pmc/articles/PMC440773</w:t>
        </w:r>
      </w:hyperlink>
    </w:p>
    <w:p w14:paraId="1A5EE966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lang w:val="en-US" w:eastAsia="en-US"/>
        </w:rPr>
      </w:pPr>
      <w:r w:rsidRPr="00106F49">
        <w:rPr>
          <w:lang w:val="en-US" w:eastAsia="es-PR"/>
        </w:rPr>
        <w:t xml:space="preserve">2. </w:t>
      </w:r>
      <w:r w:rsidRPr="00106F49">
        <w:rPr>
          <w:rFonts w:eastAsia="Calibri"/>
          <w:lang w:val="en-US" w:eastAsia="en-US"/>
        </w:rPr>
        <w:t xml:space="preserve">Lippi G, </w:t>
      </w:r>
      <w:proofErr w:type="spellStart"/>
      <w:r w:rsidRPr="00106F49">
        <w:rPr>
          <w:rFonts w:eastAsia="Calibri"/>
          <w:lang w:val="en-US" w:eastAsia="en-US"/>
        </w:rPr>
        <w:t>Sanchis-Gomar</w:t>
      </w:r>
      <w:proofErr w:type="spellEnd"/>
      <w:r w:rsidRPr="00106F49">
        <w:rPr>
          <w:rFonts w:eastAsia="Calibri"/>
          <w:lang w:val="en-US" w:eastAsia="en-US"/>
        </w:rPr>
        <w:t xml:space="preserve"> F, Henry BM. COVID-19: unravelling the clinical progression of nature’s virtually perfect biological wea-</w:t>
      </w:r>
      <w:proofErr w:type="spellStart"/>
      <w:r w:rsidRPr="00106F49">
        <w:rPr>
          <w:rFonts w:eastAsia="Calibri"/>
          <w:lang w:val="en-US" w:eastAsia="en-US"/>
        </w:rPr>
        <w:t>pon</w:t>
      </w:r>
      <w:proofErr w:type="spellEnd"/>
      <w:r w:rsidRPr="00106F49">
        <w:rPr>
          <w:rFonts w:eastAsia="Calibri"/>
          <w:lang w:val="en-US" w:eastAsia="en-US"/>
        </w:rPr>
        <w:t xml:space="preserve">. Ann </w:t>
      </w:r>
      <w:proofErr w:type="spellStart"/>
      <w:r w:rsidRPr="00106F49">
        <w:rPr>
          <w:rFonts w:eastAsia="Calibri"/>
          <w:lang w:val="en-US" w:eastAsia="en-US"/>
        </w:rPr>
        <w:t>Transl</w:t>
      </w:r>
      <w:proofErr w:type="spellEnd"/>
      <w:r w:rsidRPr="00106F49">
        <w:rPr>
          <w:rFonts w:eastAsia="Calibri"/>
          <w:lang w:val="en-US" w:eastAsia="en-US"/>
        </w:rPr>
        <w:t xml:space="preserve"> Med. 2020;8(11):693.</w:t>
      </w:r>
    </w:p>
    <w:p w14:paraId="462C9E29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lang w:val="en-US" w:eastAsia="es-PR"/>
        </w:rPr>
      </w:pPr>
      <w:r w:rsidRPr="00106F49">
        <w:rPr>
          <w:rFonts w:eastAsia="Calibri"/>
          <w:lang w:val="en-US" w:eastAsia="en-US"/>
        </w:rPr>
        <w:t xml:space="preserve">DOI: 10.21037/atm-20-3989. </w:t>
      </w:r>
    </w:p>
    <w:p w14:paraId="38BC55E6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106F49">
        <w:rPr>
          <w:lang w:val="en-US" w:eastAsia="es-PR"/>
        </w:rPr>
        <w:t xml:space="preserve">3. Gore V, </w:t>
      </w:r>
      <w:proofErr w:type="spellStart"/>
      <w:r w:rsidRPr="00106F49">
        <w:rPr>
          <w:lang w:val="en-US" w:eastAsia="es-PR"/>
        </w:rPr>
        <w:t>Kshirsagar</w:t>
      </w:r>
      <w:proofErr w:type="spellEnd"/>
      <w:r w:rsidRPr="00106F49">
        <w:rPr>
          <w:lang w:val="en-US" w:eastAsia="es-PR"/>
        </w:rPr>
        <w:t xml:space="preserve"> DP, Bhat SM. </w:t>
      </w:r>
      <w:proofErr w:type="spellStart"/>
      <w:r w:rsidRPr="00106F49">
        <w:rPr>
          <w:lang w:val="en-US" w:eastAsia="es-PR"/>
        </w:rPr>
        <w:t>Itolizumab</w:t>
      </w:r>
      <w:proofErr w:type="spellEnd"/>
      <w:r w:rsidRPr="00106F49">
        <w:rPr>
          <w:lang w:val="en-US" w:eastAsia="es-PR"/>
        </w:rPr>
        <w:t xml:space="preserve"> treatment for cytokine release syndrome in moderate to severe acute respiratory distress syndrome due to COVID-19: clinical outcomes, a retrospective study. J Assoc Physicians India. 2021; 69:43–48. </w:t>
      </w:r>
      <w:r w:rsidRPr="00106F49">
        <w:rPr>
          <w:rFonts w:eastAsia="Calibri"/>
          <w:lang w:val="en-US" w:eastAsia="en-US"/>
        </w:rPr>
        <w:t xml:space="preserve">DOI: 10. </w:t>
      </w:r>
      <w:proofErr w:type="spellStart"/>
      <w:r w:rsidRPr="00106F49">
        <w:rPr>
          <w:rFonts w:eastAsia="Calibri"/>
          <w:lang w:val="en-US" w:eastAsia="en-US"/>
        </w:rPr>
        <w:t>covidwho</w:t>
      </w:r>
      <w:proofErr w:type="spellEnd"/>
      <w:r w:rsidRPr="00106F49">
        <w:rPr>
          <w:rFonts w:eastAsia="Calibri"/>
          <w:lang w:val="en-US" w:eastAsia="en-US"/>
        </w:rPr>
        <w:t>-1161613</w:t>
      </w:r>
    </w:p>
    <w:p w14:paraId="2C382B94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sz w:val="22"/>
          <w:szCs w:val="22"/>
          <w:lang w:val="en-US" w:eastAsia="es-PR"/>
        </w:rPr>
      </w:pPr>
      <w:r w:rsidRPr="00106F49">
        <w:rPr>
          <w:rFonts w:eastAsia="Calibri"/>
          <w:lang w:val="en-US" w:eastAsia="en-US"/>
        </w:rPr>
        <w:t xml:space="preserve">4. Thacker HP, </w:t>
      </w:r>
      <w:proofErr w:type="spellStart"/>
      <w:r w:rsidRPr="00106F49">
        <w:rPr>
          <w:rFonts w:eastAsia="Calibri"/>
          <w:lang w:val="en-US" w:eastAsia="en-US"/>
        </w:rPr>
        <w:t>Halnor</w:t>
      </w:r>
      <w:proofErr w:type="spellEnd"/>
      <w:r w:rsidRPr="00106F49">
        <w:rPr>
          <w:rFonts w:eastAsia="Calibri"/>
          <w:lang w:val="en-US" w:eastAsia="en-US"/>
        </w:rPr>
        <w:t xml:space="preserve"> D, </w:t>
      </w:r>
      <w:proofErr w:type="spellStart"/>
      <w:r w:rsidRPr="00106F49">
        <w:rPr>
          <w:rFonts w:eastAsia="Calibri"/>
          <w:lang w:val="en-US" w:eastAsia="en-US"/>
        </w:rPr>
        <w:t>Dhekane</w:t>
      </w:r>
      <w:proofErr w:type="spellEnd"/>
      <w:r w:rsidRPr="00106F49">
        <w:rPr>
          <w:rFonts w:eastAsia="Calibri"/>
          <w:lang w:val="en-US" w:eastAsia="en-US"/>
        </w:rPr>
        <w:t xml:space="preserve"> A, Wadhwa N, Patil S, Gandhi B, et al. An early experience of </w:t>
      </w:r>
      <w:proofErr w:type="spellStart"/>
      <w:r w:rsidRPr="00106F49">
        <w:rPr>
          <w:rFonts w:eastAsia="Calibri"/>
          <w:lang w:val="en-US" w:eastAsia="en-US"/>
        </w:rPr>
        <w:t>Itolizumab</w:t>
      </w:r>
      <w:proofErr w:type="spellEnd"/>
      <w:r w:rsidRPr="00106F49">
        <w:rPr>
          <w:rFonts w:eastAsia="Calibri"/>
          <w:lang w:val="en-US" w:eastAsia="en-US"/>
        </w:rPr>
        <w:t xml:space="preserve"> with best supportive care in the treatment of moderate to severe COVID-19 patients: A retrospective study. </w:t>
      </w:r>
      <w:r w:rsidRPr="00106F49">
        <w:rPr>
          <w:rFonts w:eastAsia="Calibri"/>
          <w:bCs/>
          <w:lang w:val="en-US" w:eastAsia="en-US"/>
        </w:rPr>
        <w:t>IP Indian J Immunol Respir Med</w:t>
      </w:r>
      <w:r w:rsidRPr="00106F49">
        <w:rPr>
          <w:rFonts w:eastAsia="Calibri"/>
          <w:b/>
          <w:bCs/>
          <w:i/>
          <w:iCs/>
          <w:lang w:val="en-US" w:eastAsia="en-US"/>
        </w:rPr>
        <w:t xml:space="preserve">. </w:t>
      </w:r>
      <w:r w:rsidRPr="00106F49">
        <w:rPr>
          <w:rFonts w:eastAsia="Calibri"/>
          <w:lang w:val="en-US" w:eastAsia="en-US"/>
        </w:rPr>
        <w:t>2021; 6(1):24-8. DOI: 10.18231/</w:t>
      </w:r>
      <w:proofErr w:type="spellStart"/>
      <w:r w:rsidRPr="00106F49">
        <w:rPr>
          <w:rFonts w:eastAsia="Calibri"/>
          <w:lang w:val="en-US" w:eastAsia="en-US"/>
        </w:rPr>
        <w:t>j.ijirm.2021.005</w:t>
      </w:r>
      <w:proofErr w:type="spellEnd"/>
      <w:r w:rsidRPr="00106F49">
        <w:rPr>
          <w:rFonts w:eastAsia="Calibri"/>
          <w:color w:val="0000FF"/>
          <w:u w:val="single"/>
          <w:lang w:val="en-US" w:eastAsia="en-US"/>
        </w:rPr>
        <w:t xml:space="preserve">  </w:t>
      </w:r>
    </w:p>
    <w:p w14:paraId="01EC8A23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lang w:val="en-US" w:eastAsia="en-US"/>
        </w:rPr>
      </w:pPr>
      <w:r w:rsidRPr="00106F49">
        <w:rPr>
          <w:lang w:val="en-US" w:eastAsia="es-PR"/>
        </w:rPr>
        <w:t xml:space="preserve">5. </w:t>
      </w:r>
      <w:r w:rsidRPr="00106F49">
        <w:rPr>
          <w:rFonts w:eastAsia="Calibri"/>
          <w:lang w:val="en-US" w:eastAsia="en-US"/>
        </w:rPr>
        <w:t xml:space="preserve">Atal S, Fatima Z. IL-6 inhibitors in the treatment of serious COVID-19: a promising therapy? </w:t>
      </w:r>
      <w:proofErr w:type="spellStart"/>
      <w:r w:rsidRPr="00106F49">
        <w:rPr>
          <w:rFonts w:eastAsia="Calibri"/>
          <w:iCs/>
          <w:lang w:val="en-US" w:eastAsia="en-US"/>
        </w:rPr>
        <w:t>Pharmaceut</w:t>
      </w:r>
      <w:proofErr w:type="spellEnd"/>
      <w:r w:rsidRPr="00106F49">
        <w:rPr>
          <w:rFonts w:eastAsia="Calibri"/>
          <w:iCs/>
          <w:lang w:val="en-US" w:eastAsia="en-US"/>
        </w:rPr>
        <w:t xml:space="preserve"> Med.</w:t>
      </w:r>
      <w:r w:rsidRPr="00106F49">
        <w:rPr>
          <w:rFonts w:eastAsia="Calibri"/>
          <w:lang w:val="en-US" w:eastAsia="en-US"/>
        </w:rPr>
        <w:t xml:space="preserve"> 2020; 34:223–31. DOI: 10.1007/</w:t>
      </w:r>
      <w:proofErr w:type="spellStart"/>
      <w:r w:rsidRPr="00106F49">
        <w:rPr>
          <w:rFonts w:eastAsia="Calibri"/>
          <w:lang w:val="en-US" w:eastAsia="en-US"/>
        </w:rPr>
        <w:t>s40290</w:t>
      </w:r>
      <w:proofErr w:type="spellEnd"/>
      <w:r w:rsidRPr="00106F49">
        <w:rPr>
          <w:rFonts w:eastAsia="Calibri"/>
          <w:lang w:val="en-US" w:eastAsia="en-US"/>
        </w:rPr>
        <w:t>-020-00342-z</w:t>
      </w:r>
    </w:p>
    <w:p w14:paraId="6A7C0B1F" w14:textId="77777777" w:rsidR="00106F49" w:rsidRPr="00106F49" w:rsidRDefault="00106F49" w:rsidP="00106F49">
      <w:pPr>
        <w:spacing w:line="360" w:lineRule="auto"/>
        <w:rPr>
          <w:rFonts w:eastAsia="Calibri"/>
          <w:lang w:val="en-US" w:eastAsia="en-US"/>
        </w:rPr>
      </w:pPr>
      <w:r w:rsidRPr="00106F49">
        <w:rPr>
          <w:rFonts w:eastAsia="Calibri"/>
          <w:lang w:val="en-US" w:eastAsia="en-US"/>
        </w:rPr>
        <w:t>6. Chen X, Zhao B, Qu Y</w:t>
      </w:r>
      <w:r w:rsidRPr="00106F49">
        <w:rPr>
          <w:rFonts w:eastAsia="Calibri"/>
          <w:i/>
          <w:iCs/>
          <w:lang w:val="en-US" w:eastAsia="en-US"/>
        </w:rPr>
        <w:t xml:space="preserve">. </w:t>
      </w:r>
      <w:r w:rsidRPr="00106F49">
        <w:rPr>
          <w:rFonts w:eastAsia="Calibri"/>
          <w:lang w:val="en-US" w:eastAsia="en-US"/>
        </w:rPr>
        <w:t>Detectable serum severe acute respiratory syndrome coronavirus 2 viral load (</w:t>
      </w:r>
      <w:proofErr w:type="spellStart"/>
      <w:r w:rsidRPr="00106F49">
        <w:rPr>
          <w:rFonts w:eastAsia="Calibri"/>
          <w:lang w:val="en-US" w:eastAsia="en-US"/>
        </w:rPr>
        <w:t>RNAemia</w:t>
      </w:r>
      <w:proofErr w:type="spellEnd"/>
      <w:r w:rsidRPr="00106F49">
        <w:rPr>
          <w:rFonts w:eastAsia="Calibri"/>
          <w:lang w:val="en-US" w:eastAsia="en-US"/>
        </w:rPr>
        <w:t>) is closely correlated with drastically elevated interleukin 6 level in critically ill patients with coronavirus disease 2019. Clin. Infect. Dis.</w:t>
      </w:r>
      <w:r w:rsidRPr="00106F49">
        <w:rPr>
          <w:rFonts w:eastAsia="Calibri"/>
          <w:i/>
          <w:iCs/>
          <w:lang w:val="en-US" w:eastAsia="en-US"/>
        </w:rPr>
        <w:t xml:space="preserve"> </w:t>
      </w:r>
      <w:r w:rsidRPr="00106F49">
        <w:rPr>
          <w:rFonts w:eastAsia="Calibri"/>
          <w:lang w:val="en-US" w:eastAsia="en-US"/>
        </w:rPr>
        <w:t>2020; 71(8):1937-42. DOI: 10.1093/</w:t>
      </w:r>
      <w:proofErr w:type="spellStart"/>
      <w:r w:rsidRPr="00106F49">
        <w:rPr>
          <w:rFonts w:eastAsia="Calibri"/>
          <w:lang w:val="en-US" w:eastAsia="en-US"/>
        </w:rPr>
        <w:t>cid</w:t>
      </w:r>
      <w:proofErr w:type="spellEnd"/>
      <w:r w:rsidRPr="00106F49">
        <w:rPr>
          <w:rFonts w:eastAsia="Calibri"/>
          <w:lang w:val="en-US" w:eastAsia="en-US"/>
        </w:rPr>
        <w:t>/</w:t>
      </w:r>
      <w:proofErr w:type="spellStart"/>
      <w:r w:rsidRPr="00106F49">
        <w:rPr>
          <w:rFonts w:eastAsia="Calibri"/>
          <w:lang w:val="en-US" w:eastAsia="en-US"/>
        </w:rPr>
        <w:t>ciaa449</w:t>
      </w:r>
      <w:proofErr w:type="spellEnd"/>
    </w:p>
    <w:p w14:paraId="33C39D20" w14:textId="77777777" w:rsidR="00106F49" w:rsidRPr="00106F49" w:rsidRDefault="00106F49" w:rsidP="00106F49">
      <w:pPr>
        <w:spacing w:line="360" w:lineRule="auto"/>
        <w:rPr>
          <w:rFonts w:eastAsia="Calibri"/>
          <w:lang w:val="en-US" w:eastAsia="en-US"/>
        </w:rPr>
      </w:pPr>
      <w:r w:rsidRPr="00106F49">
        <w:rPr>
          <w:rFonts w:eastAsia="Calibri"/>
          <w:lang w:val="en-US" w:eastAsia="en-US"/>
        </w:rPr>
        <w:t xml:space="preserve">7. </w:t>
      </w:r>
      <w:proofErr w:type="spellStart"/>
      <w:r w:rsidRPr="00106F49">
        <w:rPr>
          <w:rFonts w:eastAsia="Calibri"/>
          <w:lang w:val="en-US" w:eastAsia="en-US"/>
        </w:rPr>
        <w:t>Gubernatorova</w:t>
      </w:r>
      <w:proofErr w:type="spellEnd"/>
      <w:r w:rsidRPr="00106F49">
        <w:rPr>
          <w:rFonts w:eastAsia="Calibri"/>
          <w:lang w:val="en-US" w:eastAsia="en-US"/>
        </w:rPr>
        <w:t xml:space="preserve"> </w:t>
      </w:r>
      <w:proofErr w:type="spellStart"/>
      <w:r w:rsidRPr="00106F49">
        <w:rPr>
          <w:rFonts w:eastAsia="Calibri"/>
          <w:lang w:val="en-US" w:eastAsia="en-US"/>
        </w:rPr>
        <w:t>EO</w:t>
      </w:r>
      <w:proofErr w:type="spellEnd"/>
      <w:r w:rsidRPr="00106F49">
        <w:rPr>
          <w:rFonts w:eastAsia="Calibri"/>
          <w:lang w:val="en-US" w:eastAsia="en-US"/>
        </w:rPr>
        <w:t xml:space="preserve">, Gorshkova EA, </w:t>
      </w:r>
      <w:proofErr w:type="spellStart"/>
      <w:r w:rsidRPr="00106F49">
        <w:rPr>
          <w:rFonts w:eastAsia="Calibri"/>
          <w:lang w:val="en-US" w:eastAsia="en-US"/>
        </w:rPr>
        <w:t>Polinova</w:t>
      </w:r>
      <w:proofErr w:type="spellEnd"/>
      <w:r w:rsidRPr="00106F49">
        <w:rPr>
          <w:rFonts w:eastAsia="Calibri"/>
          <w:lang w:val="en-US" w:eastAsia="en-US"/>
        </w:rPr>
        <w:t xml:space="preserve"> AI, </w:t>
      </w:r>
      <w:proofErr w:type="spellStart"/>
      <w:r w:rsidRPr="00106F49">
        <w:rPr>
          <w:rFonts w:eastAsia="Calibri"/>
          <w:lang w:val="en-US" w:eastAsia="en-US"/>
        </w:rPr>
        <w:t>Drutskaya</w:t>
      </w:r>
      <w:proofErr w:type="spellEnd"/>
      <w:r w:rsidRPr="00106F49">
        <w:rPr>
          <w:rFonts w:eastAsia="Calibri"/>
          <w:lang w:val="en-US" w:eastAsia="en-US"/>
        </w:rPr>
        <w:t xml:space="preserve"> MS. IL-6: relevance for immunopathology of SARS-CoV-2. Cytokine Growth Factor Rev. 2020; 53:13-24. DOI:  10.1016/</w:t>
      </w:r>
      <w:proofErr w:type="spellStart"/>
      <w:r w:rsidRPr="00106F49">
        <w:rPr>
          <w:rFonts w:eastAsia="Calibri"/>
          <w:lang w:val="en-US" w:eastAsia="en-US"/>
        </w:rPr>
        <w:t>j.cytogfr.2020.05.009</w:t>
      </w:r>
      <w:proofErr w:type="spellEnd"/>
      <w:r w:rsidRPr="00106F49">
        <w:rPr>
          <w:rFonts w:eastAsia="Calibri"/>
          <w:lang w:val="en-US" w:eastAsia="en-US"/>
        </w:rPr>
        <w:t xml:space="preserve"> </w:t>
      </w:r>
    </w:p>
    <w:p w14:paraId="726F9E94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106F49">
        <w:rPr>
          <w:rFonts w:eastAsia="Calibri"/>
          <w:lang w:val="en-US" w:eastAsia="en-US"/>
        </w:rPr>
        <w:t xml:space="preserve">8. </w:t>
      </w:r>
      <w:proofErr w:type="spellStart"/>
      <w:r w:rsidRPr="00106F49">
        <w:rPr>
          <w:rFonts w:eastAsia="Calibri"/>
          <w:lang w:val="en-US" w:eastAsia="en-US"/>
        </w:rPr>
        <w:t>Steeland</w:t>
      </w:r>
      <w:proofErr w:type="spellEnd"/>
      <w:r w:rsidRPr="00106F49">
        <w:rPr>
          <w:rFonts w:eastAsia="Calibri"/>
          <w:lang w:val="en-US" w:eastAsia="en-US"/>
        </w:rPr>
        <w:t xml:space="preserve"> S, </w:t>
      </w:r>
      <w:proofErr w:type="spellStart"/>
      <w:r w:rsidRPr="00106F49">
        <w:rPr>
          <w:rFonts w:eastAsia="Calibri"/>
          <w:lang w:val="en-US" w:eastAsia="en-US"/>
        </w:rPr>
        <w:t>Libert</w:t>
      </w:r>
      <w:proofErr w:type="spellEnd"/>
      <w:r w:rsidRPr="00106F49">
        <w:rPr>
          <w:rFonts w:eastAsia="Calibri"/>
          <w:lang w:val="en-US" w:eastAsia="en-US"/>
        </w:rPr>
        <w:t xml:space="preserve"> C, </w:t>
      </w:r>
      <w:proofErr w:type="spellStart"/>
      <w:r w:rsidRPr="00106F49">
        <w:rPr>
          <w:rFonts w:eastAsia="Calibri"/>
          <w:lang w:val="en-US" w:eastAsia="en-US"/>
        </w:rPr>
        <w:t>Vandenbroucke</w:t>
      </w:r>
      <w:proofErr w:type="spellEnd"/>
      <w:r w:rsidRPr="00106F49">
        <w:rPr>
          <w:rFonts w:eastAsia="Calibri"/>
          <w:lang w:val="en-US" w:eastAsia="en-US"/>
        </w:rPr>
        <w:t xml:space="preserve"> RE. A new venue of TNF targeting. Int J Mol Sci 2018; 19:1442. DOI: 10.1016/</w:t>
      </w:r>
      <w:proofErr w:type="spellStart"/>
      <w:r w:rsidRPr="00106F49">
        <w:rPr>
          <w:rFonts w:eastAsia="Calibri"/>
          <w:lang w:val="en-US" w:eastAsia="en-US"/>
        </w:rPr>
        <w:t>j.cytogfr.2020.05.009</w:t>
      </w:r>
      <w:proofErr w:type="spellEnd"/>
    </w:p>
    <w:p w14:paraId="3F237852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lang w:val="es-PR" w:eastAsia="en-US"/>
        </w:rPr>
      </w:pPr>
      <w:r w:rsidRPr="00106F49">
        <w:rPr>
          <w:lang w:val="en-US" w:eastAsia="es-PR"/>
        </w:rPr>
        <w:lastRenderedPageBreak/>
        <w:t xml:space="preserve">9. Stone JH, </w:t>
      </w:r>
      <w:proofErr w:type="spellStart"/>
      <w:r w:rsidRPr="00106F49">
        <w:rPr>
          <w:lang w:val="en-US" w:eastAsia="es-PR"/>
        </w:rPr>
        <w:t>Frigault</w:t>
      </w:r>
      <w:proofErr w:type="spellEnd"/>
      <w:r w:rsidRPr="00106F49">
        <w:rPr>
          <w:lang w:val="en-US" w:eastAsia="es-PR"/>
        </w:rPr>
        <w:t xml:space="preserve"> MJ, Serling-Boyd NJ. Efficacy of tocilizumab in patients hospitalized with </w:t>
      </w:r>
      <w:proofErr w:type="spellStart"/>
      <w:r w:rsidRPr="00106F49">
        <w:rPr>
          <w:lang w:val="en-US" w:eastAsia="es-PR"/>
        </w:rPr>
        <w:t>covid-19</w:t>
      </w:r>
      <w:proofErr w:type="spellEnd"/>
      <w:r w:rsidRPr="00106F49">
        <w:rPr>
          <w:lang w:val="en-US" w:eastAsia="es-PR"/>
        </w:rPr>
        <w:t xml:space="preserve">. </w:t>
      </w:r>
      <w:r w:rsidRPr="00106F49">
        <w:rPr>
          <w:lang w:val="es-MX" w:eastAsia="es-PR"/>
        </w:rPr>
        <w:t xml:space="preserve">N Engl J </w:t>
      </w:r>
      <w:proofErr w:type="spellStart"/>
      <w:r w:rsidRPr="00106F49">
        <w:rPr>
          <w:lang w:val="es-MX" w:eastAsia="es-PR"/>
        </w:rPr>
        <w:t>Med</w:t>
      </w:r>
      <w:proofErr w:type="spellEnd"/>
      <w:r w:rsidRPr="00106F49">
        <w:rPr>
          <w:lang w:val="es-MX" w:eastAsia="es-PR"/>
        </w:rPr>
        <w:t>. 2020</w:t>
      </w:r>
      <w:r w:rsidRPr="00106F49">
        <w:rPr>
          <w:rFonts w:eastAsia="Calibri"/>
          <w:lang w:val="es-PR" w:eastAsia="en-US"/>
        </w:rPr>
        <w:t>; 383(24):2333-44.</w:t>
      </w:r>
      <w:r w:rsidRPr="00106F49">
        <w:rPr>
          <w:lang w:val="es-MX" w:eastAsia="es-PR"/>
        </w:rPr>
        <w:t xml:space="preserve"> </w:t>
      </w:r>
      <w:proofErr w:type="spellStart"/>
      <w:r w:rsidRPr="00106F49">
        <w:rPr>
          <w:rFonts w:eastAsia="Calibri"/>
          <w:lang w:val="es-CU" w:eastAsia="en-US"/>
        </w:rPr>
        <w:t>DOI</w:t>
      </w:r>
      <w:proofErr w:type="spellEnd"/>
      <w:r w:rsidRPr="00106F49">
        <w:rPr>
          <w:rFonts w:eastAsia="Calibri"/>
          <w:lang w:val="es-CU" w:eastAsia="en-US"/>
        </w:rPr>
        <w:t>:</w:t>
      </w:r>
      <w:r w:rsidRPr="00106F49">
        <w:rPr>
          <w:rFonts w:eastAsia="Calibri"/>
          <w:lang w:val="es-PR" w:eastAsia="en-US"/>
        </w:rPr>
        <w:t xml:space="preserve"> 10.1056/</w:t>
      </w:r>
      <w:proofErr w:type="spellStart"/>
      <w:r w:rsidRPr="00106F49">
        <w:rPr>
          <w:rFonts w:eastAsia="Calibri"/>
          <w:lang w:val="es-PR" w:eastAsia="en-US"/>
        </w:rPr>
        <w:t>NEJMoa2028836</w:t>
      </w:r>
      <w:proofErr w:type="spellEnd"/>
    </w:p>
    <w:p w14:paraId="4ECBB2A3" w14:textId="77777777" w:rsidR="00106F49" w:rsidRPr="00106F49" w:rsidRDefault="00106F49" w:rsidP="00106F49">
      <w:pPr>
        <w:tabs>
          <w:tab w:val="left" w:pos="708"/>
        </w:tabs>
        <w:spacing w:line="360" w:lineRule="auto"/>
        <w:rPr>
          <w:rFonts w:eastAsia="Calibri"/>
          <w:lang w:val="es-PR" w:eastAsia="en-US"/>
        </w:rPr>
      </w:pPr>
    </w:p>
    <w:p w14:paraId="7790F0AD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b/>
          <w:bCs/>
          <w:iCs/>
          <w:lang w:val="es-PR" w:eastAsia="en-US"/>
        </w:rPr>
      </w:pPr>
    </w:p>
    <w:p w14:paraId="0E6E1868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bCs/>
          <w:iCs/>
          <w:lang w:val="es-PR" w:eastAsia="en-US"/>
        </w:rPr>
      </w:pPr>
      <w:r w:rsidRPr="00106F49">
        <w:rPr>
          <w:rFonts w:eastAsia="Calibri"/>
          <w:b/>
          <w:bCs/>
          <w:iCs/>
          <w:lang w:val="es-PR" w:eastAsia="en-US"/>
        </w:rPr>
        <w:t>Conflictos de interés</w:t>
      </w:r>
    </w:p>
    <w:p w14:paraId="30AB157D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 xml:space="preserve">Los autores declaran que no existen conflictos de interés en relación con el trabajo; no recibieron financiamiento para la obra presentada. </w:t>
      </w:r>
    </w:p>
    <w:p w14:paraId="2E642FBB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lang w:val="es-PR" w:eastAsia="en-US"/>
        </w:rPr>
      </w:pPr>
    </w:p>
    <w:p w14:paraId="5487F22C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lang w:val="es-PR" w:eastAsia="en-US"/>
        </w:rPr>
      </w:pPr>
    </w:p>
    <w:p w14:paraId="7E6268A2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>Recibido: 01/12/2022</w:t>
      </w:r>
    </w:p>
    <w:p w14:paraId="20550936" w14:textId="77777777" w:rsidR="00106F49" w:rsidRPr="00106F49" w:rsidRDefault="00106F49" w:rsidP="0010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alibri"/>
          <w:lang w:val="es-PR" w:eastAsia="en-US"/>
        </w:rPr>
      </w:pPr>
      <w:r w:rsidRPr="00106F49">
        <w:rPr>
          <w:rFonts w:eastAsia="Calibri"/>
          <w:lang w:val="es-PR" w:eastAsia="en-US"/>
        </w:rPr>
        <w:t>Aprobado: 14/06/2023</w:t>
      </w:r>
    </w:p>
    <w:p w14:paraId="7DACE4F9" w14:textId="77777777" w:rsidR="00675476" w:rsidRPr="0055115D" w:rsidRDefault="00675476" w:rsidP="00EA1FEF">
      <w:pPr>
        <w:pStyle w:val="PDFRevista"/>
      </w:pPr>
    </w:p>
    <w:sectPr w:rsidR="00675476" w:rsidRPr="0055115D" w:rsidSect="00FD3DF8">
      <w:headerReference w:type="default" r:id="rId11"/>
      <w:footerReference w:type="even" r:id="rId12"/>
      <w:footerReference w:type="default" r:id="rId13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A382" w14:textId="77777777" w:rsidR="00AF5681" w:rsidRDefault="00AF5681">
      <w:r>
        <w:separator/>
      </w:r>
    </w:p>
  </w:endnote>
  <w:endnote w:type="continuationSeparator" w:id="0">
    <w:p w14:paraId="02BDA487" w14:textId="77777777" w:rsidR="00AF5681" w:rsidRDefault="00AF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8CDB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7987FF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7917" w14:textId="063BA964" w:rsidR="000F3690" w:rsidRPr="00AE044C" w:rsidRDefault="00106F49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C6DB9" wp14:editId="24F5D6BC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1722408380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6CE6D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4DC91237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35CC9DED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A66186" w:rsidRPr="003B01A8">
        <w:rPr>
          <w:rStyle w:val="Hipervnculo"/>
          <w:sz w:val="22"/>
          <w:szCs w:val="22"/>
        </w:rPr>
        <w:t>https://revmedmilitar.sld.cu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05D34DB1" w14:textId="39B9C573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106F49" w:rsidRPr="00106F49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357A21A2" wp14:editId="60550BFD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4A20" w14:textId="77777777" w:rsidR="00AF5681" w:rsidRDefault="00AF5681">
      <w:r>
        <w:separator/>
      </w:r>
    </w:p>
  </w:footnote>
  <w:footnote w:type="continuationSeparator" w:id="0">
    <w:p w14:paraId="581956BE" w14:textId="77777777" w:rsidR="00AF5681" w:rsidRDefault="00AF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1174" w14:textId="63C740E3" w:rsidR="00CC376A" w:rsidRPr="00AE044C" w:rsidRDefault="00106F49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3</w:t>
    </w:r>
    <w:proofErr w:type="gramStart"/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</w:t>
    </w:r>
    <w:proofErr w:type="gramEnd"/>
    <w:r>
      <w:rPr>
        <w:sz w:val="22"/>
        <w:szCs w:val="22"/>
      </w:rPr>
      <w:t>02302609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C1429F4" wp14:editId="07019BEB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573EB" w14:textId="42E8EFCF" w:rsidR="00A477DE" w:rsidRDefault="00106F49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C9A654A" wp14:editId="629D2D8A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123108428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BE297" id="Conector recto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9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49"/>
    <w:rsid w:val="00057F45"/>
    <w:rsid w:val="000D3958"/>
    <w:rsid w:val="000F3690"/>
    <w:rsid w:val="00106F49"/>
    <w:rsid w:val="001221D1"/>
    <w:rsid w:val="00165CB5"/>
    <w:rsid w:val="00180CE9"/>
    <w:rsid w:val="00230DD5"/>
    <w:rsid w:val="00250AE9"/>
    <w:rsid w:val="00380D64"/>
    <w:rsid w:val="00391509"/>
    <w:rsid w:val="003E03D5"/>
    <w:rsid w:val="00486BFA"/>
    <w:rsid w:val="00493701"/>
    <w:rsid w:val="004E2065"/>
    <w:rsid w:val="005338A2"/>
    <w:rsid w:val="005508A2"/>
    <w:rsid w:val="0055115D"/>
    <w:rsid w:val="00566F71"/>
    <w:rsid w:val="005918BD"/>
    <w:rsid w:val="006173A6"/>
    <w:rsid w:val="00634EFE"/>
    <w:rsid w:val="00664F2F"/>
    <w:rsid w:val="00675476"/>
    <w:rsid w:val="007C430F"/>
    <w:rsid w:val="007D2D0C"/>
    <w:rsid w:val="007D614D"/>
    <w:rsid w:val="00915D3C"/>
    <w:rsid w:val="00960D6A"/>
    <w:rsid w:val="009A0560"/>
    <w:rsid w:val="009B0917"/>
    <w:rsid w:val="009F0F96"/>
    <w:rsid w:val="00A23C0C"/>
    <w:rsid w:val="00A477DE"/>
    <w:rsid w:val="00A66186"/>
    <w:rsid w:val="00A71E65"/>
    <w:rsid w:val="00AE044C"/>
    <w:rsid w:val="00AF5681"/>
    <w:rsid w:val="00B31971"/>
    <w:rsid w:val="00B4380A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E7F7E"/>
  <w15:docId w15:val="{3ADF182B-B6C9-45DB-8046-5EAA8B96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character" w:styleId="Mencinsinresolver">
    <w:name w:val="Unresolved Mention"/>
    <w:uiPriority w:val="99"/>
    <w:semiHidden/>
    <w:unhideWhenUsed/>
    <w:rsid w:val="00A6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%200000-0003-4459-835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%200000-0002-1237-061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440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onzon@infomed.sld.c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3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6845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VR</dc:creator>
  <cp:lastModifiedBy>VR</cp:lastModifiedBy>
  <cp:revision>4</cp:revision>
  <cp:lastPrinted>2023-07-19T18:47:00Z</cp:lastPrinted>
  <dcterms:created xsi:type="dcterms:W3CDTF">2023-07-19T18:44:00Z</dcterms:created>
  <dcterms:modified xsi:type="dcterms:W3CDTF">2023-07-19T18:47:00Z</dcterms:modified>
</cp:coreProperties>
</file>