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4867F" w14:textId="77777777" w:rsidR="004E0408" w:rsidRPr="004E0408" w:rsidRDefault="004E0408" w:rsidP="004E0408">
      <w:pPr>
        <w:suppressAutoHyphens/>
        <w:spacing w:line="360" w:lineRule="auto"/>
        <w:jc w:val="right"/>
        <w:rPr>
          <w:rFonts w:eastAsiaTheme="minorHAnsi"/>
          <w:sz w:val="20"/>
          <w:szCs w:val="20"/>
          <w:lang w:val="es-PE" w:eastAsia="en-US"/>
        </w:rPr>
      </w:pPr>
      <w:r w:rsidRPr="004E0408">
        <w:rPr>
          <w:rFonts w:eastAsiaTheme="minorHAnsi"/>
          <w:sz w:val="20"/>
          <w:szCs w:val="20"/>
          <w:lang w:val="es-PE" w:eastAsia="en-US"/>
        </w:rPr>
        <w:t>Carta al Editor</w:t>
      </w:r>
    </w:p>
    <w:p w14:paraId="76588735" w14:textId="77777777" w:rsidR="004E0408" w:rsidRPr="004E0408" w:rsidRDefault="004E0408" w:rsidP="004E0408">
      <w:pPr>
        <w:suppressAutoHyphens/>
        <w:spacing w:line="360" w:lineRule="auto"/>
        <w:jc w:val="right"/>
        <w:rPr>
          <w:rFonts w:eastAsiaTheme="minorHAnsi"/>
          <w:b/>
          <w:lang w:val="es-PE" w:eastAsia="en-US"/>
        </w:rPr>
      </w:pPr>
    </w:p>
    <w:p w14:paraId="3D47EAA0" w14:textId="77777777" w:rsidR="004E0408" w:rsidRPr="004E0408" w:rsidRDefault="004E0408" w:rsidP="004E0408">
      <w:pPr>
        <w:suppressAutoHyphens/>
        <w:spacing w:line="360" w:lineRule="auto"/>
        <w:jc w:val="center"/>
        <w:rPr>
          <w:rFonts w:eastAsiaTheme="minorHAnsi"/>
          <w:b/>
          <w:sz w:val="28"/>
          <w:szCs w:val="28"/>
          <w:lang w:val="es-PE" w:eastAsia="en-US"/>
        </w:rPr>
      </w:pPr>
      <w:r w:rsidRPr="004E0408">
        <w:rPr>
          <w:rFonts w:eastAsiaTheme="minorHAnsi"/>
          <w:b/>
          <w:sz w:val="28"/>
          <w:szCs w:val="28"/>
          <w:lang w:val="es-PE" w:eastAsia="en-US"/>
        </w:rPr>
        <w:t>Confiabilidad en la evaluación de la calidad de exámenes en ciencias de la salud</w:t>
      </w:r>
    </w:p>
    <w:p w14:paraId="0B00C509" w14:textId="77777777" w:rsidR="004E0408" w:rsidRPr="004E0408" w:rsidRDefault="004E0408" w:rsidP="004E0408">
      <w:pPr>
        <w:suppressAutoHyphens/>
        <w:spacing w:line="360" w:lineRule="auto"/>
        <w:jc w:val="center"/>
        <w:rPr>
          <w:rFonts w:eastAsiaTheme="minorHAnsi"/>
          <w:sz w:val="28"/>
          <w:szCs w:val="28"/>
          <w:lang w:val="en-US" w:eastAsia="en-US"/>
        </w:rPr>
      </w:pPr>
      <w:r w:rsidRPr="004E0408">
        <w:rPr>
          <w:rFonts w:eastAsiaTheme="minorHAnsi"/>
          <w:sz w:val="28"/>
          <w:szCs w:val="28"/>
          <w:lang w:val="en-US" w:eastAsia="en-US"/>
        </w:rPr>
        <w:t>Importance of reliability in evaluating the quality of exams in health sciences</w:t>
      </w:r>
    </w:p>
    <w:p w14:paraId="379393A1" w14:textId="77777777" w:rsidR="004E0408" w:rsidRPr="004E0408" w:rsidRDefault="004E0408" w:rsidP="004E0408">
      <w:pPr>
        <w:suppressAutoHyphens/>
        <w:spacing w:line="360" w:lineRule="auto"/>
        <w:jc w:val="both"/>
        <w:rPr>
          <w:rFonts w:eastAsiaTheme="minorHAnsi"/>
          <w:lang w:val="en-US" w:eastAsia="en-US"/>
        </w:rPr>
      </w:pPr>
    </w:p>
    <w:p w14:paraId="33936B85" w14:textId="77777777" w:rsidR="004E0408" w:rsidRPr="004E0408" w:rsidRDefault="004E0408" w:rsidP="004E0408">
      <w:pPr>
        <w:suppressAutoHyphens/>
        <w:spacing w:line="360" w:lineRule="auto"/>
        <w:jc w:val="both"/>
        <w:rPr>
          <w:rFonts w:eastAsiaTheme="minorHAnsi"/>
          <w:lang w:val="es-MX" w:eastAsia="en-US"/>
        </w:rPr>
      </w:pPr>
      <w:proofErr w:type="spellStart"/>
      <w:r w:rsidRPr="004E0408">
        <w:rPr>
          <w:rFonts w:eastAsiaTheme="minorHAnsi"/>
          <w:lang w:val="es-MX" w:eastAsia="en-US"/>
        </w:rPr>
        <w:t>Jeel</w:t>
      </w:r>
      <w:proofErr w:type="spellEnd"/>
      <w:r w:rsidRPr="004E0408">
        <w:rPr>
          <w:rFonts w:eastAsiaTheme="minorHAnsi"/>
          <w:lang w:val="es-MX" w:eastAsia="en-US"/>
        </w:rPr>
        <w:t xml:space="preserve"> Moya-Salazar</w:t>
      </w:r>
      <w:r w:rsidRPr="004E0408">
        <w:rPr>
          <w:rFonts w:eastAsiaTheme="minorHAnsi"/>
          <w:vertAlign w:val="superscript"/>
          <w:lang w:val="es-MX" w:eastAsia="en-US"/>
        </w:rPr>
        <w:t>1,2</w:t>
      </w:r>
      <w:r w:rsidRPr="004E0408">
        <w:rPr>
          <w:rFonts w:eastAsiaTheme="minorHAnsi"/>
          <w:lang w:val="es-MX" w:eastAsia="en-US"/>
        </w:rPr>
        <w:t xml:space="preserve">* </w:t>
      </w:r>
      <w:hyperlink r:id="rId7" w:history="1">
        <w:r w:rsidRPr="004E0408">
          <w:rPr>
            <w:rFonts w:eastAsiaTheme="minorHAnsi"/>
            <w:color w:val="0000FF" w:themeColor="hyperlink"/>
            <w:lang w:val="es-MX" w:eastAsia="en-US"/>
          </w:rPr>
          <w:t>https://orcid.org/0000-0002-7357-4940</w:t>
        </w:r>
      </w:hyperlink>
      <w:r w:rsidRPr="004E0408">
        <w:rPr>
          <w:rFonts w:eastAsiaTheme="minorHAnsi"/>
          <w:lang w:val="es-MX" w:eastAsia="en-US"/>
        </w:rPr>
        <w:t xml:space="preserve">   </w:t>
      </w:r>
    </w:p>
    <w:p w14:paraId="3990939A" w14:textId="77777777" w:rsidR="004E0408" w:rsidRPr="004E0408" w:rsidRDefault="004E0408" w:rsidP="004E0408">
      <w:pPr>
        <w:suppressAutoHyphens/>
        <w:spacing w:line="360" w:lineRule="auto"/>
        <w:jc w:val="both"/>
        <w:rPr>
          <w:rFonts w:eastAsiaTheme="minorHAnsi"/>
          <w:lang w:val="es-MX" w:eastAsia="en-US"/>
        </w:rPr>
      </w:pPr>
      <w:r w:rsidRPr="004E0408">
        <w:rPr>
          <w:rFonts w:eastAsiaTheme="minorHAnsi"/>
          <w:lang w:val="es-MX" w:eastAsia="en-US"/>
        </w:rPr>
        <w:t>Iris J. Baldárrago-Valdivia</w:t>
      </w:r>
      <w:r w:rsidRPr="004E0408">
        <w:rPr>
          <w:rFonts w:eastAsiaTheme="minorHAnsi"/>
          <w:vertAlign w:val="superscript"/>
          <w:lang w:val="es-MX" w:eastAsia="en-US"/>
        </w:rPr>
        <w:t>3</w:t>
      </w:r>
      <w:r w:rsidRPr="004E0408">
        <w:rPr>
          <w:rFonts w:eastAsiaTheme="minorHAnsi"/>
          <w:lang w:val="es-MX" w:eastAsia="en-US"/>
        </w:rPr>
        <w:t xml:space="preserve"> </w:t>
      </w:r>
      <w:hyperlink r:id="rId8" w:history="1">
        <w:r w:rsidRPr="004E0408">
          <w:rPr>
            <w:rFonts w:eastAsiaTheme="minorHAnsi"/>
            <w:color w:val="0000FF" w:themeColor="hyperlink"/>
            <w:lang w:val="es-MX" w:eastAsia="en-US"/>
          </w:rPr>
          <w:t>https://orcid.org/0009-0000-3083-1575</w:t>
        </w:r>
      </w:hyperlink>
      <w:r w:rsidRPr="004E0408">
        <w:rPr>
          <w:rFonts w:eastAsiaTheme="minorHAnsi"/>
          <w:lang w:val="es-MX" w:eastAsia="en-US"/>
        </w:rPr>
        <w:t xml:space="preserve">  </w:t>
      </w:r>
    </w:p>
    <w:p w14:paraId="7A7B3CF4" w14:textId="77777777" w:rsidR="004E0408" w:rsidRPr="004E0408" w:rsidRDefault="004E0408" w:rsidP="004E0408">
      <w:pPr>
        <w:suppressAutoHyphens/>
        <w:spacing w:line="360" w:lineRule="auto"/>
        <w:jc w:val="both"/>
        <w:rPr>
          <w:rFonts w:eastAsiaTheme="minorHAnsi"/>
          <w:lang w:val="es-MX" w:eastAsia="en-US"/>
        </w:rPr>
      </w:pPr>
      <w:r w:rsidRPr="004E0408">
        <w:rPr>
          <w:rFonts w:eastAsiaTheme="minorHAnsi"/>
          <w:lang w:val="es-MX" w:eastAsia="en-US"/>
        </w:rPr>
        <w:t>María E. Delgado-Díaz</w:t>
      </w:r>
      <w:r w:rsidRPr="004E0408">
        <w:rPr>
          <w:rFonts w:eastAsiaTheme="minorHAnsi"/>
          <w:vertAlign w:val="superscript"/>
          <w:lang w:val="es-MX" w:eastAsia="en-US"/>
        </w:rPr>
        <w:t>3</w:t>
      </w:r>
      <w:r w:rsidRPr="004E0408">
        <w:rPr>
          <w:rFonts w:eastAsiaTheme="minorHAnsi"/>
          <w:lang w:val="es-MX" w:eastAsia="en-US"/>
        </w:rPr>
        <w:t xml:space="preserve"> </w:t>
      </w:r>
      <w:hyperlink r:id="rId9" w:history="1">
        <w:r w:rsidRPr="004E0408">
          <w:rPr>
            <w:rFonts w:eastAsiaTheme="minorHAnsi"/>
            <w:color w:val="0000FF" w:themeColor="hyperlink"/>
            <w:lang w:val="es-MX" w:eastAsia="en-US"/>
          </w:rPr>
          <w:t>https://orcid.org/0009-0000-5851-2939</w:t>
        </w:r>
      </w:hyperlink>
      <w:r w:rsidRPr="004E0408">
        <w:rPr>
          <w:rFonts w:eastAsiaTheme="minorHAnsi"/>
          <w:lang w:val="es-MX" w:eastAsia="en-US"/>
        </w:rPr>
        <w:t xml:space="preserve">  </w:t>
      </w:r>
    </w:p>
    <w:p w14:paraId="64DE5DD1" w14:textId="77777777" w:rsidR="004E0408" w:rsidRPr="004E0408" w:rsidRDefault="004E0408" w:rsidP="004E0408">
      <w:pPr>
        <w:suppressAutoHyphens/>
        <w:spacing w:line="360" w:lineRule="auto"/>
        <w:jc w:val="both"/>
        <w:rPr>
          <w:rFonts w:eastAsiaTheme="minorHAnsi"/>
          <w:lang w:val="es-MX" w:eastAsia="en-US"/>
        </w:rPr>
      </w:pPr>
      <w:r w:rsidRPr="004E0408">
        <w:rPr>
          <w:rFonts w:eastAsiaTheme="minorHAnsi"/>
          <w:lang w:val="es-MX" w:eastAsia="en-US"/>
        </w:rPr>
        <w:t>Tatiana M. Erazo</w:t>
      </w:r>
      <w:r w:rsidRPr="004E0408">
        <w:rPr>
          <w:rFonts w:eastAsiaTheme="minorHAnsi"/>
          <w:vertAlign w:val="superscript"/>
          <w:lang w:val="es-MX" w:eastAsia="en-US"/>
        </w:rPr>
        <w:t>3</w:t>
      </w:r>
      <w:r w:rsidRPr="004E0408">
        <w:rPr>
          <w:rFonts w:eastAsiaTheme="minorHAnsi"/>
          <w:lang w:val="es-MX" w:eastAsia="en-US"/>
        </w:rPr>
        <w:t xml:space="preserve"> </w:t>
      </w:r>
      <w:hyperlink r:id="rId10" w:history="1">
        <w:r w:rsidRPr="004E0408">
          <w:rPr>
            <w:rFonts w:eastAsiaTheme="minorHAnsi"/>
            <w:color w:val="0000FF" w:themeColor="hyperlink"/>
            <w:lang w:val="es-MX" w:eastAsia="en-US"/>
          </w:rPr>
          <w:t>https://orcid.org/0009-0008-7375-2285</w:t>
        </w:r>
      </w:hyperlink>
      <w:r w:rsidRPr="004E0408">
        <w:rPr>
          <w:rFonts w:eastAsiaTheme="minorHAnsi"/>
          <w:lang w:val="es-MX" w:eastAsia="en-US"/>
        </w:rPr>
        <w:t xml:space="preserve">  </w:t>
      </w:r>
    </w:p>
    <w:p w14:paraId="41C1FA76" w14:textId="77777777" w:rsidR="004E0408" w:rsidRPr="004E0408" w:rsidRDefault="004E0408" w:rsidP="004E0408">
      <w:pPr>
        <w:suppressAutoHyphens/>
        <w:spacing w:line="360" w:lineRule="auto"/>
        <w:jc w:val="both"/>
        <w:rPr>
          <w:rFonts w:eastAsiaTheme="minorHAnsi"/>
          <w:lang w:val="es-MX" w:eastAsia="en-US"/>
        </w:rPr>
      </w:pPr>
      <w:proofErr w:type="spellStart"/>
      <w:r w:rsidRPr="004E0408">
        <w:rPr>
          <w:rFonts w:eastAsiaTheme="minorHAnsi"/>
          <w:lang w:val="es-MX" w:eastAsia="en-US"/>
        </w:rPr>
        <w:t>Delsy</w:t>
      </w:r>
      <w:proofErr w:type="spellEnd"/>
      <w:r w:rsidRPr="004E0408">
        <w:rPr>
          <w:rFonts w:eastAsiaTheme="minorHAnsi"/>
          <w:lang w:val="es-MX" w:eastAsia="en-US"/>
        </w:rPr>
        <w:t xml:space="preserve"> B. Ortiz</w:t>
      </w:r>
      <w:r w:rsidRPr="004E0408">
        <w:rPr>
          <w:rFonts w:eastAsiaTheme="minorHAnsi"/>
          <w:vertAlign w:val="superscript"/>
          <w:lang w:val="es-MX" w:eastAsia="en-US"/>
        </w:rPr>
        <w:t>3</w:t>
      </w:r>
      <w:r w:rsidRPr="004E0408">
        <w:rPr>
          <w:rFonts w:eastAsiaTheme="minorHAnsi"/>
          <w:lang w:val="es-MX" w:eastAsia="en-US"/>
        </w:rPr>
        <w:t xml:space="preserve"> </w:t>
      </w:r>
      <w:hyperlink r:id="rId11" w:history="1">
        <w:r w:rsidRPr="004E0408">
          <w:rPr>
            <w:rFonts w:eastAsiaTheme="minorHAnsi"/>
            <w:color w:val="0000FF" w:themeColor="hyperlink"/>
            <w:lang w:val="es-MX" w:eastAsia="en-US"/>
          </w:rPr>
          <w:t>https://orcid.org/0009-0003-3875-5353</w:t>
        </w:r>
      </w:hyperlink>
      <w:r w:rsidRPr="004E0408">
        <w:rPr>
          <w:rFonts w:eastAsiaTheme="minorHAnsi"/>
          <w:lang w:val="es-MX" w:eastAsia="en-US"/>
        </w:rPr>
        <w:t xml:space="preserve">  </w:t>
      </w:r>
    </w:p>
    <w:p w14:paraId="49B24B0C" w14:textId="77777777" w:rsidR="004E0408" w:rsidRPr="004E0408" w:rsidRDefault="004E0408" w:rsidP="004E0408">
      <w:pPr>
        <w:suppressAutoHyphens/>
        <w:spacing w:line="360" w:lineRule="auto"/>
        <w:jc w:val="both"/>
        <w:rPr>
          <w:rFonts w:eastAsiaTheme="minorHAnsi"/>
          <w:lang w:val="es-MX" w:eastAsia="en-US"/>
        </w:rPr>
      </w:pPr>
      <w:proofErr w:type="spellStart"/>
      <w:r w:rsidRPr="004E0408">
        <w:rPr>
          <w:rFonts w:eastAsiaTheme="minorHAnsi"/>
          <w:lang w:val="es-MX" w:eastAsia="en-US"/>
        </w:rPr>
        <w:t>Ericka</w:t>
      </w:r>
      <w:proofErr w:type="spellEnd"/>
      <w:r w:rsidRPr="004E0408">
        <w:rPr>
          <w:rFonts w:eastAsiaTheme="minorHAnsi"/>
          <w:lang w:val="es-MX" w:eastAsia="en-US"/>
        </w:rPr>
        <w:t xml:space="preserve"> T. Saboya</w:t>
      </w:r>
      <w:r w:rsidRPr="004E0408">
        <w:rPr>
          <w:rFonts w:eastAsiaTheme="minorHAnsi"/>
          <w:vertAlign w:val="superscript"/>
          <w:lang w:val="es-MX" w:eastAsia="en-US"/>
        </w:rPr>
        <w:t>3</w:t>
      </w:r>
      <w:r w:rsidRPr="004E0408">
        <w:rPr>
          <w:rFonts w:eastAsiaTheme="minorHAnsi"/>
          <w:lang w:val="es-MX" w:eastAsia="en-US"/>
        </w:rPr>
        <w:t xml:space="preserve"> </w:t>
      </w:r>
      <w:hyperlink r:id="rId12" w:history="1">
        <w:r w:rsidRPr="004E0408">
          <w:rPr>
            <w:rFonts w:eastAsiaTheme="minorHAnsi"/>
            <w:color w:val="0000FF" w:themeColor="hyperlink"/>
            <w:lang w:val="es-MX" w:eastAsia="en-US"/>
          </w:rPr>
          <w:t>https://orcid.org/0009-0005-2289-0432</w:t>
        </w:r>
      </w:hyperlink>
      <w:r w:rsidRPr="004E0408">
        <w:rPr>
          <w:rFonts w:eastAsiaTheme="minorHAnsi"/>
          <w:lang w:val="es-MX" w:eastAsia="en-US"/>
        </w:rPr>
        <w:t xml:space="preserve">  </w:t>
      </w:r>
    </w:p>
    <w:p w14:paraId="57F5DE74" w14:textId="77777777" w:rsidR="004E0408" w:rsidRPr="004E0408" w:rsidRDefault="004E0408" w:rsidP="004E0408">
      <w:pPr>
        <w:suppressAutoHyphens/>
        <w:spacing w:line="360" w:lineRule="auto"/>
        <w:jc w:val="both"/>
        <w:rPr>
          <w:rFonts w:eastAsiaTheme="minorHAnsi"/>
          <w:lang w:val="es-MX" w:eastAsia="en-US"/>
        </w:rPr>
      </w:pPr>
    </w:p>
    <w:p w14:paraId="0E63F2D8" w14:textId="77777777" w:rsidR="004E0408" w:rsidRPr="004E0408" w:rsidRDefault="004E0408" w:rsidP="004E0408">
      <w:pPr>
        <w:suppressAutoHyphens/>
        <w:spacing w:line="360" w:lineRule="auto"/>
        <w:jc w:val="both"/>
        <w:rPr>
          <w:rFonts w:eastAsiaTheme="minorHAnsi"/>
          <w:lang w:val="es-MX" w:eastAsia="en-US"/>
        </w:rPr>
      </w:pPr>
      <w:r w:rsidRPr="004E0408">
        <w:rPr>
          <w:rFonts w:eastAsiaTheme="minorHAnsi"/>
          <w:vertAlign w:val="superscript"/>
          <w:lang w:val="es-MX" w:eastAsia="en-US"/>
        </w:rPr>
        <w:t>1</w:t>
      </w:r>
      <w:r w:rsidRPr="004E0408">
        <w:rPr>
          <w:rFonts w:eastAsiaTheme="minorHAnsi"/>
          <w:lang w:val="es-MX" w:eastAsia="en-US"/>
        </w:rPr>
        <w:t xml:space="preserve">Universidad Norbert Wiener. Centro de Transformación Digital. Lima, Perú. </w:t>
      </w:r>
    </w:p>
    <w:p w14:paraId="2B67EEC2" w14:textId="77777777" w:rsidR="004E0408" w:rsidRPr="004E0408" w:rsidRDefault="004E0408" w:rsidP="004E0408">
      <w:pPr>
        <w:suppressAutoHyphens/>
        <w:spacing w:line="360" w:lineRule="auto"/>
        <w:jc w:val="both"/>
        <w:rPr>
          <w:rFonts w:eastAsiaTheme="minorHAnsi"/>
          <w:lang w:val="es-MX" w:eastAsia="en-US"/>
        </w:rPr>
      </w:pPr>
      <w:r w:rsidRPr="004E0408">
        <w:rPr>
          <w:rFonts w:eastAsiaTheme="minorHAnsi"/>
          <w:vertAlign w:val="superscript"/>
          <w:lang w:val="es-MX" w:eastAsia="en-US"/>
        </w:rPr>
        <w:t>2</w:t>
      </w:r>
      <w:r w:rsidRPr="004E0408">
        <w:rPr>
          <w:rFonts w:eastAsiaTheme="minorHAnsi"/>
          <w:lang w:val="es-MX" w:eastAsia="en-US"/>
        </w:rPr>
        <w:t xml:space="preserve">Universidad Tecnológica del Perú. Facultad de Ingeniería. Escuela de Ingeniería Biomédica. Lima, Perú. </w:t>
      </w:r>
    </w:p>
    <w:p w14:paraId="4D3F5B59" w14:textId="77777777" w:rsidR="004E0408" w:rsidRPr="004E0408" w:rsidRDefault="004E0408" w:rsidP="004E0408">
      <w:pPr>
        <w:suppressAutoHyphens/>
        <w:spacing w:line="360" w:lineRule="auto"/>
        <w:jc w:val="both"/>
        <w:rPr>
          <w:rFonts w:eastAsiaTheme="minorHAnsi"/>
          <w:lang w:val="es-MX" w:eastAsia="en-US"/>
        </w:rPr>
      </w:pPr>
      <w:r w:rsidRPr="004E0408">
        <w:rPr>
          <w:rFonts w:eastAsiaTheme="minorHAnsi"/>
          <w:vertAlign w:val="superscript"/>
          <w:lang w:val="es-MX" w:eastAsia="en-US"/>
        </w:rPr>
        <w:t>3</w:t>
      </w:r>
      <w:r w:rsidRPr="004E0408">
        <w:rPr>
          <w:rFonts w:eastAsiaTheme="minorHAnsi"/>
          <w:lang w:val="es-MX" w:eastAsia="en-US"/>
        </w:rPr>
        <w:t>Universidad Norbert Wiener. Facultad de Ciencias de la Salud. Escuela de Tecnología Médica. Lima, Perú.</w:t>
      </w:r>
    </w:p>
    <w:p w14:paraId="12A03B21" w14:textId="77777777" w:rsidR="004E0408" w:rsidRPr="004E0408" w:rsidRDefault="004E0408" w:rsidP="004E0408">
      <w:pPr>
        <w:suppressAutoHyphens/>
        <w:spacing w:line="360" w:lineRule="auto"/>
        <w:jc w:val="both"/>
        <w:rPr>
          <w:rFonts w:eastAsiaTheme="minorHAnsi"/>
          <w:lang w:val="es-MX" w:eastAsia="en-US"/>
        </w:rPr>
      </w:pPr>
    </w:p>
    <w:p w14:paraId="280913A4" w14:textId="77777777" w:rsidR="004E0408" w:rsidRPr="004E0408" w:rsidRDefault="004E0408" w:rsidP="004E0408">
      <w:pPr>
        <w:suppressAutoHyphens/>
        <w:spacing w:line="360" w:lineRule="auto"/>
        <w:jc w:val="both"/>
        <w:rPr>
          <w:rFonts w:eastAsiaTheme="minorHAnsi"/>
          <w:lang w:val="es-MX" w:eastAsia="en-US"/>
        </w:rPr>
      </w:pPr>
      <w:r w:rsidRPr="004E0408">
        <w:rPr>
          <w:rFonts w:ascii="Cambria Math" w:eastAsiaTheme="minorHAnsi" w:hAnsi="Cambria Math" w:cs="Cambria Math"/>
          <w:lang w:val="es-MX" w:eastAsia="en-US"/>
        </w:rPr>
        <w:t>*</w:t>
      </w:r>
      <w:r w:rsidRPr="004E0408">
        <w:rPr>
          <w:rFonts w:eastAsiaTheme="minorHAnsi"/>
          <w:lang w:val="es-MX" w:eastAsia="en-US"/>
        </w:rPr>
        <w:t xml:space="preserve">Autor para la correspondencia: </w:t>
      </w:r>
      <w:hyperlink r:id="rId13" w:history="1">
        <w:r w:rsidRPr="004E0408">
          <w:rPr>
            <w:rFonts w:eastAsiaTheme="minorHAnsi"/>
            <w:color w:val="0000FF" w:themeColor="hyperlink"/>
            <w:lang w:val="es-MX" w:eastAsia="en-US"/>
          </w:rPr>
          <w:t>c23359@utp.edu.pe</w:t>
        </w:r>
      </w:hyperlink>
      <w:r w:rsidRPr="004E0408">
        <w:rPr>
          <w:rFonts w:eastAsiaTheme="minorHAnsi"/>
          <w:lang w:val="es-MX" w:eastAsia="en-US"/>
        </w:rPr>
        <w:t xml:space="preserve">, </w:t>
      </w:r>
      <w:hyperlink r:id="rId14" w:history="1">
        <w:r w:rsidRPr="004E0408">
          <w:rPr>
            <w:rFonts w:eastAsiaTheme="minorHAnsi"/>
            <w:color w:val="0000FF" w:themeColor="hyperlink"/>
            <w:lang w:val="es-MX" w:eastAsia="en-US"/>
          </w:rPr>
          <w:t>jeel.moya@uwiener.edu.pe</w:t>
        </w:r>
      </w:hyperlink>
      <w:r w:rsidRPr="004E0408">
        <w:rPr>
          <w:rFonts w:eastAsiaTheme="minorHAnsi"/>
          <w:lang w:val="es-MX" w:eastAsia="en-US"/>
        </w:rPr>
        <w:t xml:space="preserve"> </w:t>
      </w:r>
    </w:p>
    <w:p w14:paraId="7F434C52" w14:textId="77777777" w:rsidR="004E0408" w:rsidRPr="004E0408" w:rsidRDefault="004E0408" w:rsidP="004E0408">
      <w:pPr>
        <w:suppressAutoHyphens/>
        <w:spacing w:line="360" w:lineRule="auto"/>
        <w:jc w:val="both"/>
        <w:rPr>
          <w:rFonts w:eastAsiaTheme="minorHAnsi"/>
          <w:lang w:val="es-ES" w:eastAsia="en-US"/>
        </w:rPr>
      </w:pPr>
    </w:p>
    <w:p w14:paraId="53D3EC82" w14:textId="77777777" w:rsidR="004E0408" w:rsidRPr="004E0408" w:rsidRDefault="004E0408" w:rsidP="004E0408">
      <w:pPr>
        <w:suppressAutoHyphens/>
        <w:spacing w:line="360" w:lineRule="auto"/>
        <w:jc w:val="both"/>
        <w:rPr>
          <w:rFonts w:eastAsiaTheme="minorHAnsi"/>
          <w:lang w:val="es-ES" w:eastAsia="en-US"/>
        </w:rPr>
      </w:pPr>
    </w:p>
    <w:p w14:paraId="042527D9" w14:textId="77777777" w:rsidR="004E0408" w:rsidRPr="004E0408" w:rsidRDefault="004E0408" w:rsidP="004E0408">
      <w:pPr>
        <w:suppressAutoHyphens/>
        <w:spacing w:line="360" w:lineRule="auto"/>
        <w:jc w:val="both"/>
        <w:rPr>
          <w:rFonts w:eastAsiaTheme="minorHAnsi"/>
          <w:lang w:val="es-ES" w:eastAsia="en-US"/>
        </w:rPr>
      </w:pPr>
      <w:r w:rsidRPr="004E0408">
        <w:rPr>
          <w:rFonts w:eastAsiaTheme="minorHAnsi"/>
          <w:lang w:val="es-ES" w:eastAsia="en-US"/>
        </w:rPr>
        <w:t>Sr. Editor:</w:t>
      </w:r>
    </w:p>
    <w:p w14:paraId="20766389" w14:textId="77777777" w:rsidR="004E0408" w:rsidRPr="004E0408" w:rsidRDefault="004E0408" w:rsidP="004E0408">
      <w:pPr>
        <w:suppressAutoHyphens/>
        <w:spacing w:line="360" w:lineRule="auto"/>
        <w:jc w:val="both"/>
        <w:rPr>
          <w:rFonts w:eastAsiaTheme="minorHAnsi"/>
          <w:lang w:val="es-ES" w:eastAsia="en-US"/>
        </w:rPr>
      </w:pPr>
      <w:r w:rsidRPr="004E0408">
        <w:rPr>
          <w:rFonts w:eastAsiaTheme="minorHAnsi"/>
          <w:lang w:val="es-ES" w:eastAsia="en-US"/>
        </w:rPr>
        <w:t xml:space="preserve">Se revisó el estudio de Rodríguez </w:t>
      </w:r>
      <w:r w:rsidRPr="004E0408">
        <w:rPr>
          <w:rFonts w:eastAsiaTheme="minorHAnsi"/>
          <w:i/>
          <w:iCs/>
          <w:lang w:val="es-ES" w:eastAsia="en-US"/>
        </w:rPr>
        <w:t xml:space="preserve">y </w:t>
      </w:r>
      <w:proofErr w:type="gramStart"/>
      <w:r w:rsidRPr="004E0408">
        <w:rPr>
          <w:rFonts w:eastAsiaTheme="minorHAnsi"/>
          <w:i/>
          <w:iCs/>
          <w:lang w:val="es-ES" w:eastAsia="en-US"/>
        </w:rPr>
        <w:t>otros</w:t>
      </w:r>
      <w:r w:rsidRPr="004E0408">
        <w:rPr>
          <w:rFonts w:eastAsiaTheme="minorHAnsi"/>
          <w:lang w:val="es-ES" w:eastAsia="en-US"/>
        </w:rPr>
        <w:t>,</w:t>
      </w:r>
      <w:r w:rsidRPr="004E0408">
        <w:rPr>
          <w:rFonts w:eastAsiaTheme="minorHAnsi"/>
          <w:vertAlign w:val="superscript"/>
          <w:lang w:val="es-ES" w:eastAsia="en-US"/>
        </w:rPr>
        <w:t>(</w:t>
      </w:r>
      <w:proofErr w:type="gramEnd"/>
      <w:r w:rsidRPr="004E0408">
        <w:rPr>
          <w:rFonts w:eastAsiaTheme="minorHAnsi"/>
          <w:vertAlign w:val="superscript"/>
          <w:lang w:val="es-ES" w:eastAsia="en-US"/>
        </w:rPr>
        <w:t>1)</w:t>
      </w:r>
      <w:r w:rsidRPr="004E0408">
        <w:rPr>
          <w:rFonts w:eastAsiaTheme="minorHAnsi"/>
          <w:lang w:val="es-ES" w:eastAsia="en-US"/>
        </w:rPr>
        <w:t xml:space="preserve"> en el cual se llevó a cabo un minucioso análisis de la calidad de un examen parcial, aplicado a los estudiantes de odontología de la Universidad de Ciencias Médicas de Santiago de Cuba. Este análisis se basó en un enfoque observacional empleando como parámetros el coeficiente de </w:t>
      </w:r>
      <w:proofErr w:type="spellStart"/>
      <w:r w:rsidRPr="004E0408">
        <w:rPr>
          <w:rFonts w:eastAsiaTheme="minorHAnsi"/>
          <w:lang w:val="es-ES" w:eastAsia="en-US"/>
        </w:rPr>
        <w:t>Küder</w:t>
      </w:r>
      <w:proofErr w:type="spellEnd"/>
      <w:r w:rsidRPr="004E0408">
        <w:rPr>
          <w:rFonts w:eastAsiaTheme="minorHAnsi"/>
          <w:lang w:val="es-ES" w:eastAsia="en-US"/>
        </w:rPr>
        <w:t xml:space="preserve"> Richardson (KR20), el coeficiente α de Cronbach (α-Cronbach) y el coeficiente de correlación de Spearman (Spearman), para evaluar la consistencia del examen. El estudio concluyó que el examen obtuvo una calificación de "excelente" y se consideró que su nivel de calidad era "apropiado". También se identificó una correlación adecuada entre el tiempo asignado a cada tema y la cantidad de </w:t>
      </w:r>
      <w:r w:rsidRPr="004E0408">
        <w:rPr>
          <w:rFonts w:eastAsiaTheme="minorHAnsi"/>
          <w:lang w:val="es-ES" w:eastAsia="en-US"/>
        </w:rPr>
        <w:lastRenderedPageBreak/>
        <w:t xml:space="preserve">preguntas relacionadas con esos temas en el examen. En vista de estos resultados, se realizan algunos comentarios complementarios. </w:t>
      </w:r>
    </w:p>
    <w:p w14:paraId="78D53EFB" w14:textId="77777777" w:rsidR="004E0408" w:rsidRPr="004E0408" w:rsidRDefault="004E0408" w:rsidP="004E0408">
      <w:pPr>
        <w:suppressAutoHyphens/>
        <w:spacing w:line="360" w:lineRule="auto"/>
        <w:jc w:val="both"/>
        <w:rPr>
          <w:rFonts w:eastAsiaTheme="minorHAnsi"/>
          <w:lang w:val="es-ES" w:eastAsia="en-US"/>
        </w:rPr>
      </w:pPr>
      <w:r w:rsidRPr="004E0408">
        <w:rPr>
          <w:rFonts w:eastAsiaTheme="minorHAnsi"/>
          <w:lang w:val="es-ES" w:eastAsia="en-US"/>
        </w:rPr>
        <w:t xml:space="preserve">La influencia creciente del neoliberalismo en la década de los noventa, llevó a la introducción de indicadores, métricas y regulaciones en el sistema educativo, promoviendo la uniformidad y la comparación de las instituciones </w:t>
      </w:r>
      <w:proofErr w:type="gramStart"/>
      <w:r w:rsidRPr="004E0408">
        <w:rPr>
          <w:rFonts w:eastAsiaTheme="minorHAnsi"/>
          <w:lang w:val="es-ES" w:eastAsia="en-US"/>
        </w:rPr>
        <w:t>educativas.</w:t>
      </w:r>
      <w:r w:rsidRPr="004E0408">
        <w:rPr>
          <w:rFonts w:eastAsiaTheme="minorHAnsi"/>
          <w:vertAlign w:val="superscript"/>
          <w:lang w:val="es-ES" w:eastAsia="en-US"/>
        </w:rPr>
        <w:t>(</w:t>
      </w:r>
      <w:proofErr w:type="gramEnd"/>
      <w:r w:rsidRPr="004E0408">
        <w:rPr>
          <w:rFonts w:eastAsiaTheme="minorHAnsi"/>
          <w:vertAlign w:val="superscript"/>
          <w:lang w:val="es-ES" w:eastAsia="en-US"/>
        </w:rPr>
        <w:t>2)</w:t>
      </w:r>
      <w:r w:rsidRPr="004E0408">
        <w:rPr>
          <w:rFonts w:eastAsiaTheme="minorHAnsi"/>
          <w:lang w:val="es-ES" w:eastAsia="en-US"/>
        </w:rPr>
        <w:t xml:space="preserve"> Esta creciente competencia ha impulsado la práctica constante de evaluaciones de calidad, que ahora son una parte integral de la rutina en diversas instituciones, que desarrollan y usan numerosas herramientas (como el α-Cronbach). De acuerdo con </w:t>
      </w:r>
      <w:proofErr w:type="spellStart"/>
      <w:r w:rsidRPr="004E0408">
        <w:rPr>
          <w:rFonts w:eastAsiaTheme="minorHAnsi"/>
          <w:i/>
          <w:iCs/>
          <w:lang w:val="es-ES" w:eastAsia="en-US"/>
        </w:rPr>
        <w:t>Alemañy</w:t>
      </w:r>
      <w:proofErr w:type="spellEnd"/>
      <w:r w:rsidRPr="004E0408">
        <w:rPr>
          <w:rFonts w:eastAsiaTheme="minorHAnsi"/>
          <w:lang w:val="es-ES" w:eastAsia="en-US"/>
        </w:rPr>
        <w:t xml:space="preserve"> y </w:t>
      </w:r>
      <w:proofErr w:type="gramStart"/>
      <w:r w:rsidRPr="004E0408">
        <w:rPr>
          <w:rFonts w:eastAsiaTheme="minorHAnsi"/>
          <w:lang w:val="es-ES" w:eastAsia="en-US"/>
        </w:rPr>
        <w:t>otros,</w:t>
      </w:r>
      <w:r w:rsidRPr="004E0408">
        <w:rPr>
          <w:rFonts w:eastAsiaTheme="minorHAnsi"/>
          <w:vertAlign w:val="superscript"/>
          <w:lang w:val="es-ES" w:eastAsia="en-US"/>
        </w:rPr>
        <w:t>(</w:t>
      </w:r>
      <w:proofErr w:type="gramEnd"/>
      <w:r w:rsidRPr="004E0408">
        <w:rPr>
          <w:rFonts w:eastAsiaTheme="minorHAnsi"/>
          <w:vertAlign w:val="superscript"/>
          <w:lang w:val="es-ES" w:eastAsia="en-US"/>
        </w:rPr>
        <w:t>3)</w:t>
      </w:r>
      <w:r w:rsidRPr="004E0408">
        <w:rPr>
          <w:rFonts w:eastAsiaTheme="minorHAnsi"/>
          <w:lang w:val="es-ES" w:eastAsia="en-US"/>
        </w:rPr>
        <w:t xml:space="preserve"> valorar la calidad de un instrumento de evaluación requiere establecer su confiabilidad, que cualitativamente representa la consistencia con la que el instrumento mide una característica específica. La confiabilidad es un concepto puramente estadístico y puede expresarse mediante un factor de credibilidad o mediante la medición del error típico en las evaluaciones realizadas.</w:t>
      </w:r>
    </w:p>
    <w:p w14:paraId="27DE1693" w14:textId="77777777" w:rsidR="004E0408" w:rsidRPr="004E0408" w:rsidRDefault="004E0408" w:rsidP="004E0408">
      <w:pPr>
        <w:suppressAutoHyphens/>
        <w:spacing w:line="360" w:lineRule="auto"/>
        <w:jc w:val="both"/>
        <w:rPr>
          <w:rFonts w:eastAsiaTheme="minorHAnsi"/>
          <w:lang w:val="es-ES" w:eastAsia="en-US"/>
        </w:rPr>
      </w:pPr>
      <w:r w:rsidRPr="004E0408">
        <w:rPr>
          <w:rFonts w:eastAsiaTheme="minorHAnsi"/>
          <w:lang w:val="es-ES" w:eastAsia="en-US"/>
        </w:rPr>
        <w:t xml:space="preserve">Por ejemplo, </w:t>
      </w:r>
      <w:r w:rsidRPr="004E0408">
        <w:rPr>
          <w:rFonts w:eastAsiaTheme="minorHAnsi"/>
          <w:i/>
          <w:iCs/>
          <w:lang w:val="es-ES" w:eastAsia="en-US"/>
        </w:rPr>
        <w:t>Ayala</w:t>
      </w:r>
      <w:r w:rsidRPr="004E0408">
        <w:rPr>
          <w:rFonts w:eastAsiaTheme="minorHAnsi"/>
          <w:lang w:val="es-ES" w:eastAsia="en-US"/>
        </w:rPr>
        <w:t xml:space="preserve"> y </w:t>
      </w:r>
      <w:proofErr w:type="gramStart"/>
      <w:r w:rsidRPr="004E0408">
        <w:rPr>
          <w:rFonts w:eastAsiaTheme="minorHAnsi"/>
          <w:lang w:val="es-ES" w:eastAsia="en-US"/>
        </w:rPr>
        <w:t>otros</w:t>
      </w:r>
      <w:r w:rsidRPr="004E0408">
        <w:rPr>
          <w:rFonts w:eastAsiaTheme="minorHAnsi"/>
          <w:vertAlign w:val="superscript"/>
          <w:lang w:val="es-ES" w:eastAsia="en-US"/>
        </w:rPr>
        <w:t>(</w:t>
      </w:r>
      <w:proofErr w:type="gramEnd"/>
      <w:r w:rsidRPr="004E0408">
        <w:rPr>
          <w:rFonts w:eastAsiaTheme="minorHAnsi"/>
          <w:vertAlign w:val="superscript"/>
          <w:lang w:val="es-ES" w:eastAsia="en-US"/>
        </w:rPr>
        <w:t>4)</w:t>
      </w:r>
      <w:r w:rsidRPr="004E0408">
        <w:rPr>
          <w:rFonts w:eastAsiaTheme="minorHAnsi"/>
          <w:lang w:val="es-ES" w:eastAsia="en-US"/>
        </w:rPr>
        <w:t xml:space="preserve"> llevaron a cabo una evaluación de un examen de ortodoncia en estudiantes de odontología de la misma universidad; demostraron falta de adecuación en la credibilidad de la evaluación y sus preguntas, ya que no se encontró una correspondencia apropiada entre los objetivos de enseñanza, el tiempo dedicado a los temas y el contenido de las preguntas, las cuales presentaban niveles variables de dificultad. Por otro lado, </w:t>
      </w:r>
      <w:proofErr w:type="spellStart"/>
      <w:r w:rsidRPr="004E0408">
        <w:rPr>
          <w:rFonts w:eastAsiaTheme="minorHAnsi"/>
          <w:i/>
          <w:iCs/>
          <w:lang w:val="es-ES" w:eastAsia="en-US"/>
        </w:rPr>
        <w:t>Münzenmayer</w:t>
      </w:r>
      <w:proofErr w:type="spellEnd"/>
      <w:r w:rsidRPr="004E0408">
        <w:rPr>
          <w:rFonts w:eastAsiaTheme="minorHAnsi"/>
          <w:lang w:val="es-ES" w:eastAsia="en-US"/>
        </w:rPr>
        <w:t xml:space="preserve"> y </w:t>
      </w:r>
      <w:proofErr w:type="gramStart"/>
      <w:r w:rsidRPr="004E0408">
        <w:rPr>
          <w:rFonts w:eastAsiaTheme="minorHAnsi"/>
          <w:lang w:val="es-ES" w:eastAsia="en-US"/>
        </w:rPr>
        <w:t>otros</w:t>
      </w:r>
      <w:r w:rsidRPr="004E0408">
        <w:rPr>
          <w:rFonts w:eastAsiaTheme="minorHAnsi"/>
          <w:vertAlign w:val="superscript"/>
          <w:lang w:val="es-ES" w:eastAsia="en-US"/>
        </w:rPr>
        <w:t>(</w:t>
      </w:r>
      <w:proofErr w:type="gramEnd"/>
      <w:r w:rsidRPr="004E0408">
        <w:rPr>
          <w:rFonts w:eastAsiaTheme="minorHAnsi"/>
          <w:vertAlign w:val="superscript"/>
          <w:lang w:val="es-ES" w:eastAsia="en-US"/>
        </w:rPr>
        <w:t>5)</w:t>
      </w:r>
      <w:r w:rsidRPr="004E0408">
        <w:rPr>
          <w:rFonts w:eastAsiaTheme="minorHAnsi"/>
          <w:lang w:val="es-ES" w:eastAsia="en-US"/>
        </w:rPr>
        <w:t xml:space="preserve"> señalan que los métodos de evaluación aplicados en las universidades en general, promueven niveles básicos de argumentación y cognición, lo que frecuentemente resulta en que los estudiantes alcancen niveles limitados de asociación y produzcan respuestas elementales, sin potenciar sus capacidades intelectuales. Esta observación es igualmente relevante y merece ser considerada, además de la confiabilidad del examen.</w:t>
      </w:r>
    </w:p>
    <w:p w14:paraId="0E14D4C1" w14:textId="77777777" w:rsidR="004E0408" w:rsidRPr="004E0408" w:rsidRDefault="004E0408" w:rsidP="004E0408">
      <w:pPr>
        <w:suppressAutoHyphens/>
        <w:spacing w:line="360" w:lineRule="auto"/>
        <w:jc w:val="both"/>
        <w:rPr>
          <w:rFonts w:eastAsiaTheme="minorHAnsi"/>
          <w:lang w:val="es-ES" w:eastAsia="en-US"/>
        </w:rPr>
      </w:pPr>
      <w:r w:rsidRPr="004E0408">
        <w:rPr>
          <w:rFonts w:eastAsiaTheme="minorHAnsi"/>
          <w:lang w:val="es-ES" w:eastAsia="en-US"/>
        </w:rPr>
        <w:t xml:space="preserve">Aunque un estudio de calidad de los exámenes puede validar su eficacia, es esencial recordar que el nivel de conocimiento o habilidad profesional de los estudiantes no siempre se refleja completamente en dicho instrumento. Contar con un instrumento confiable es fundamental para tomar decisiones educativas efectivas y justas. Si un examen o una evaluación carece de confiabilidad, no se pueden utilizar los resultados para orientar la enseñanza, identificar áreas de mejora o tomar decisiones en la selección de candidatos para empleo, la medición de </w:t>
      </w:r>
      <w:proofErr w:type="gramStart"/>
      <w:r w:rsidRPr="004E0408">
        <w:rPr>
          <w:rFonts w:eastAsiaTheme="minorHAnsi"/>
          <w:lang w:val="es-ES" w:eastAsia="en-US"/>
        </w:rPr>
        <w:t>miedo</w:t>
      </w:r>
      <w:r w:rsidRPr="004E0408">
        <w:rPr>
          <w:rFonts w:eastAsiaTheme="minorHAnsi"/>
          <w:vertAlign w:val="superscript"/>
          <w:lang w:val="es-ES" w:eastAsia="en-US"/>
        </w:rPr>
        <w:t>(</w:t>
      </w:r>
      <w:proofErr w:type="gramEnd"/>
      <w:r w:rsidRPr="004E0408">
        <w:rPr>
          <w:rFonts w:eastAsiaTheme="minorHAnsi"/>
          <w:vertAlign w:val="superscript"/>
          <w:lang w:val="es-ES" w:eastAsia="en-US"/>
        </w:rPr>
        <w:t>6)</w:t>
      </w:r>
      <w:r w:rsidRPr="004E0408">
        <w:rPr>
          <w:rFonts w:eastAsiaTheme="minorHAnsi"/>
          <w:lang w:val="es-ES" w:eastAsia="en-US"/>
        </w:rPr>
        <w:t xml:space="preserve"> o la procrastinación</w:t>
      </w:r>
      <w:r w:rsidRPr="004E0408">
        <w:rPr>
          <w:rFonts w:eastAsiaTheme="minorHAnsi"/>
          <w:vertAlign w:val="superscript"/>
          <w:lang w:val="es-ES" w:eastAsia="en-US"/>
        </w:rPr>
        <w:t>(7)</w:t>
      </w:r>
      <w:r w:rsidRPr="004E0408">
        <w:rPr>
          <w:rFonts w:eastAsiaTheme="minorHAnsi"/>
          <w:lang w:val="es-ES" w:eastAsia="en-US"/>
        </w:rPr>
        <w:t xml:space="preserve"> en estudiantes universitarios. Sin embargo, es importante destacar que la confiabilidad no es el único aspecto a considerar. La validez, que </w:t>
      </w:r>
      <w:r w:rsidRPr="004E0408">
        <w:rPr>
          <w:rFonts w:eastAsiaTheme="minorHAnsi"/>
          <w:lang w:val="es-ES" w:eastAsia="en-US"/>
        </w:rPr>
        <w:lastRenderedPageBreak/>
        <w:t>se refiere a si el instrumento mide realmente lo que se supone que debe medir, también es fundamental. En última instancia, un buen instrumento de evaluación debe ser tanto confiable como válido.</w:t>
      </w:r>
    </w:p>
    <w:p w14:paraId="5032B14D" w14:textId="77777777" w:rsidR="004E0408" w:rsidRPr="004E0408" w:rsidRDefault="004E0408" w:rsidP="004E0408">
      <w:pPr>
        <w:suppressAutoHyphens/>
        <w:spacing w:line="360" w:lineRule="auto"/>
        <w:jc w:val="both"/>
        <w:rPr>
          <w:rFonts w:eastAsiaTheme="minorHAnsi"/>
          <w:lang w:val="es-ES" w:eastAsia="en-US"/>
        </w:rPr>
      </w:pPr>
    </w:p>
    <w:p w14:paraId="43C8B1DC" w14:textId="77777777" w:rsidR="004E0408" w:rsidRPr="004E0408" w:rsidRDefault="004E0408" w:rsidP="004E0408">
      <w:pPr>
        <w:suppressAutoHyphens/>
        <w:spacing w:line="360" w:lineRule="auto"/>
        <w:jc w:val="both"/>
        <w:rPr>
          <w:rFonts w:eastAsiaTheme="minorHAnsi"/>
          <w:b/>
          <w:lang w:val="es-ES" w:eastAsia="en-US"/>
        </w:rPr>
      </w:pPr>
    </w:p>
    <w:p w14:paraId="055C2B6D" w14:textId="77777777" w:rsidR="004E0408" w:rsidRPr="004E0408" w:rsidRDefault="004E0408" w:rsidP="004E0408">
      <w:pPr>
        <w:suppressAutoHyphens/>
        <w:spacing w:line="360" w:lineRule="auto"/>
        <w:jc w:val="center"/>
        <w:rPr>
          <w:rFonts w:eastAsiaTheme="minorHAnsi"/>
          <w:b/>
          <w:sz w:val="32"/>
          <w:szCs w:val="32"/>
          <w:lang w:val="es-ES" w:eastAsia="en-US"/>
        </w:rPr>
      </w:pPr>
      <w:r w:rsidRPr="004E0408">
        <w:rPr>
          <w:rFonts w:eastAsiaTheme="minorHAnsi"/>
          <w:b/>
          <w:sz w:val="32"/>
          <w:szCs w:val="32"/>
          <w:lang w:val="es-ES" w:eastAsia="en-US"/>
        </w:rPr>
        <w:t>REFERENCIAS BIBLIOGRÁFICAS</w:t>
      </w:r>
    </w:p>
    <w:p w14:paraId="3BFABAA8" w14:textId="77777777" w:rsidR="004E0408" w:rsidRPr="004E0408" w:rsidRDefault="004E0408" w:rsidP="004E0408">
      <w:pPr>
        <w:suppressAutoHyphens/>
        <w:spacing w:line="360" w:lineRule="auto"/>
        <w:contextualSpacing/>
        <w:rPr>
          <w:rFonts w:eastAsia="Calibri"/>
          <w:bCs/>
          <w:lang w:val="es-MX" w:eastAsia="en-US"/>
        </w:rPr>
      </w:pPr>
      <w:r w:rsidRPr="004E0408">
        <w:rPr>
          <w:rFonts w:eastAsia="Calibri"/>
          <w:bCs/>
          <w:lang w:val="es-MX" w:eastAsia="en-US"/>
        </w:rPr>
        <w:t xml:space="preserve">1. Rodríguez-Reyes O, Fajardo-Puig M, Pérez-Sánchez N, Hernández-Cunill M, González-Palomo I, Montoya-González K. Calidad del examen parcial de la asignatura Sangre y Sistema Nervioso en la carrera Estomatología. </w:t>
      </w:r>
      <w:proofErr w:type="spellStart"/>
      <w:r w:rsidRPr="004E0408">
        <w:rPr>
          <w:rFonts w:eastAsia="Calibri"/>
          <w:bCs/>
          <w:lang w:val="es-MX" w:eastAsia="en-US"/>
        </w:rPr>
        <w:t>Rev</w:t>
      </w:r>
      <w:proofErr w:type="spellEnd"/>
      <w:r w:rsidRPr="004E0408">
        <w:rPr>
          <w:rFonts w:eastAsia="Calibri"/>
          <w:bCs/>
          <w:lang w:val="es-MX" w:eastAsia="en-US"/>
        </w:rPr>
        <w:t xml:space="preserve"> Cubana Medicina Militar. 2023; 52(2): e02302525. Disponible en: </w:t>
      </w:r>
      <w:hyperlink r:id="rId15" w:history="1">
        <w:r w:rsidRPr="004E0408">
          <w:rPr>
            <w:rFonts w:eastAsia="Calibri"/>
            <w:bCs/>
            <w:color w:val="0000FF" w:themeColor="hyperlink"/>
            <w:lang w:val="es-MX" w:eastAsia="en-US"/>
          </w:rPr>
          <w:t>https://revmedmilitar.sld.cu/index.php/mil/article/view/2525</w:t>
        </w:r>
      </w:hyperlink>
      <w:r w:rsidRPr="004E0408">
        <w:rPr>
          <w:rFonts w:eastAsia="Calibri"/>
          <w:bCs/>
          <w:lang w:val="es-MX" w:eastAsia="en-US"/>
        </w:rPr>
        <w:t xml:space="preserve">  </w:t>
      </w:r>
    </w:p>
    <w:p w14:paraId="1CD79281" w14:textId="77777777" w:rsidR="004E0408" w:rsidRPr="004E0408" w:rsidRDefault="004E0408" w:rsidP="004E0408">
      <w:pPr>
        <w:suppressAutoHyphens/>
        <w:spacing w:line="360" w:lineRule="auto"/>
        <w:contextualSpacing/>
        <w:rPr>
          <w:rFonts w:eastAsia="Calibri"/>
          <w:bCs/>
          <w:lang w:val="es-MX" w:eastAsia="en-US"/>
        </w:rPr>
      </w:pPr>
      <w:r w:rsidRPr="004E0408">
        <w:rPr>
          <w:rFonts w:eastAsia="Calibri"/>
          <w:bCs/>
          <w:lang w:val="es-MX" w:eastAsia="en-US"/>
        </w:rPr>
        <w:t xml:space="preserve">2. Rojas HIA, Rodríguez SA, Gómez CI, </w:t>
      </w:r>
      <w:proofErr w:type="spellStart"/>
      <w:r w:rsidRPr="004E0408">
        <w:rPr>
          <w:rFonts w:eastAsia="Calibri"/>
          <w:bCs/>
          <w:lang w:val="es-MX" w:eastAsia="en-US"/>
        </w:rPr>
        <w:t>Erley</w:t>
      </w:r>
      <w:proofErr w:type="spellEnd"/>
      <w:r w:rsidRPr="004E0408">
        <w:rPr>
          <w:rFonts w:eastAsia="Calibri"/>
          <w:bCs/>
          <w:lang w:val="es-MX" w:eastAsia="en-US"/>
        </w:rPr>
        <w:t xml:space="preserve"> FE. Calidad de la evaluación en estomatología en el período 2014-2021. </w:t>
      </w:r>
      <w:proofErr w:type="spellStart"/>
      <w:r w:rsidRPr="004E0408">
        <w:rPr>
          <w:rFonts w:eastAsia="Calibri"/>
          <w:bCs/>
          <w:lang w:val="es-MX" w:eastAsia="en-US"/>
        </w:rPr>
        <w:t>Educ</w:t>
      </w:r>
      <w:proofErr w:type="spellEnd"/>
      <w:r w:rsidRPr="004E0408">
        <w:rPr>
          <w:rFonts w:eastAsia="Calibri"/>
          <w:bCs/>
          <w:lang w:val="es-MX" w:eastAsia="en-US"/>
        </w:rPr>
        <w:t xml:space="preserve"> </w:t>
      </w:r>
      <w:proofErr w:type="spellStart"/>
      <w:r w:rsidRPr="004E0408">
        <w:rPr>
          <w:rFonts w:eastAsia="Calibri"/>
          <w:bCs/>
          <w:lang w:val="es-MX" w:eastAsia="en-US"/>
        </w:rPr>
        <w:t>Med</w:t>
      </w:r>
      <w:proofErr w:type="spellEnd"/>
      <w:r w:rsidRPr="004E0408">
        <w:rPr>
          <w:rFonts w:eastAsia="Calibri"/>
          <w:bCs/>
          <w:lang w:val="es-MX" w:eastAsia="en-US"/>
        </w:rPr>
        <w:t xml:space="preserve"> Superior. 2022; 36(2): e3461. Disponible en: </w:t>
      </w:r>
      <w:hyperlink r:id="rId16" w:history="1">
        <w:r w:rsidRPr="004E0408">
          <w:rPr>
            <w:rFonts w:eastAsia="Calibri"/>
            <w:bCs/>
            <w:color w:val="0000FF" w:themeColor="hyperlink"/>
            <w:lang w:val="es-MX" w:eastAsia="en-US"/>
          </w:rPr>
          <w:t>https://ems.sld.cu/index.php/ems/article/view/3461/1445</w:t>
        </w:r>
      </w:hyperlink>
      <w:r w:rsidRPr="004E0408">
        <w:rPr>
          <w:rFonts w:eastAsia="Calibri"/>
          <w:bCs/>
          <w:lang w:val="es-MX" w:eastAsia="en-US"/>
        </w:rPr>
        <w:t xml:space="preserve">  </w:t>
      </w:r>
    </w:p>
    <w:p w14:paraId="151C1FAE" w14:textId="77777777" w:rsidR="004E0408" w:rsidRPr="004E0408" w:rsidRDefault="004E0408" w:rsidP="004E0408">
      <w:pPr>
        <w:suppressAutoHyphens/>
        <w:spacing w:line="360" w:lineRule="auto"/>
        <w:contextualSpacing/>
        <w:rPr>
          <w:rFonts w:eastAsia="Calibri"/>
          <w:bCs/>
          <w:lang w:val="es-MX" w:eastAsia="en-US"/>
        </w:rPr>
      </w:pPr>
      <w:r w:rsidRPr="004E0408">
        <w:rPr>
          <w:rFonts w:eastAsia="Calibri"/>
          <w:bCs/>
          <w:lang w:val="es-MX" w:eastAsia="en-US"/>
        </w:rPr>
        <w:t xml:space="preserve">3. </w:t>
      </w:r>
      <w:proofErr w:type="spellStart"/>
      <w:r w:rsidRPr="004E0408">
        <w:rPr>
          <w:rFonts w:eastAsia="Calibri"/>
          <w:bCs/>
          <w:lang w:val="es-MX" w:eastAsia="en-US"/>
        </w:rPr>
        <w:t>Alemañy</w:t>
      </w:r>
      <w:proofErr w:type="spellEnd"/>
      <w:r w:rsidRPr="004E0408">
        <w:rPr>
          <w:rFonts w:eastAsia="Calibri"/>
          <w:bCs/>
          <w:lang w:val="es-MX" w:eastAsia="en-US"/>
        </w:rPr>
        <w:t xml:space="preserve"> PE, </w:t>
      </w:r>
      <w:proofErr w:type="spellStart"/>
      <w:r w:rsidRPr="004E0408">
        <w:rPr>
          <w:rFonts w:eastAsia="Calibri"/>
          <w:bCs/>
          <w:lang w:val="es-MX" w:eastAsia="en-US"/>
        </w:rPr>
        <w:t>Masjuán</w:t>
      </w:r>
      <w:proofErr w:type="spellEnd"/>
      <w:r w:rsidRPr="004E0408">
        <w:rPr>
          <w:rFonts w:eastAsia="Calibri"/>
          <w:bCs/>
          <w:lang w:val="es-MX" w:eastAsia="en-US"/>
        </w:rPr>
        <w:t xml:space="preserve"> del Pino M, Gutiérrez </w:t>
      </w:r>
      <w:proofErr w:type="spellStart"/>
      <w:r w:rsidRPr="004E0408">
        <w:rPr>
          <w:rFonts w:eastAsia="Calibri"/>
          <w:bCs/>
          <w:lang w:val="es-MX" w:eastAsia="en-US"/>
        </w:rPr>
        <w:t>PMdA</w:t>
      </w:r>
      <w:proofErr w:type="spellEnd"/>
      <w:r w:rsidRPr="004E0408">
        <w:rPr>
          <w:rFonts w:eastAsia="Calibri"/>
          <w:bCs/>
          <w:lang w:val="es-MX" w:eastAsia="en-US"/>
        </w:rPr>
        <w:t xml:space="preserve">. Estándares de calidad para la carrera de medicina. </w:t>
      </w:r>
      <w:proofErr w:type="spellStart"/>
      <w:r w:rsidRPr="004E0408">
        <w:rPr>
          <w:rFonts w:eastAsia="Calibri"/>
          <w:bCs/>
          <w:lang w:val="es-MX" w:eastAsia="en-US"/>
        </w:rPr>
        <w:t>Rev</w:t>
      </w:r>
      <w:proofErr w:type="spellEnd"/>
      <w:r w:rsidRPr="004E0408">
        <w:rPr>
          <w:rFonts w:eastAsia="Calibri"/>
          <w:bCs/>
          <w:lang w:val="es-MX" w:eastAsia="en-US"/>
        </w:rPr>
        <w:t xml:space="preserve"> </w:t>
      </w:r>
      <w:proofErr w:type="spellStart"/>
      <w:r w:rsidRPr="004E0408">
        <w:rPr>
          <w:rFonts w:eastAsia="Calibri"/>
          <w:bCs/>
          <w:lang w:val="es-MX" w:eastAsia="en-US"/>
        </w:rPr>
        <w:t>Haban</w:t>
      </w:r>
      <w:proofErr w:type="spellEnd"/>
      <w:r w:rsidRPr="004E0408">
        <w:rPr>
          <w:rFonts w:eastAsia="Calibri"/>
          <w:bCs/>
          <w:lang w:val="es-MX" w:eastAsia="en-US"/>
        </w:rPr>
        <w:t xml:space="preserve"> </w:t>
      </w:r>
      <w:proofErr w:type="spellStart"/>
      <w:r w:rsidRPr="004E0408">
        <w:rPr>
          <w:rFonts w:eastAsia="Calibri"/>
          <w:bCs/>
          <w:lang w:val="es-MX" w:eastAsia="en-US"/>
        </w:rPr>
        <w:t>Cienc</w:t>
      </w:r>
      <w:proofErr w:type="spellEnd"/>
      <w:r w:rsidRPr="004E0408">
        <w:rPr>
          <w:rFonts w:eastAsia="Calibri"/>
          <w:bCs/>
          <w:lang w:val="es-MX" w:eastAsia="en-US"/>
        </w:rPr>
        <w:t xml:space="preserve"> </w:t>
      </w:r>
      <w:proofErr w:type="spellStart"/>
      <w:r w:rsidRPr="004E0408">
        <w:rPr>
          <w:rFonts w:eastAsia="Calibri"/>
          <w:bCs/>
          <w:lang w:val="es-MX" w:eastAsia="en-US"/>
        </w:rPr>
        <w:t>Méd</w:t>
      </w:r>
      <w:proofErr w:type="spellEnd"/>
      <w:r w:rsidRPr="004E0408">
        <w:rPr>
          <w:rFonts w:eastAsia="Calibri"/>
          <w:bCs/>
          <w:lang w:val="es-MX" w:eastAsia="en-US"/>
        </w:rPr>
        <w:t xml:space="preserve">. 2009; 8(2): 1-14. Disponible en: </w:t>
      </w:r>
      <w:hyperlink r:id="rId17" w:history="1">
        <w:r w:rsidRPr="004E0408">
          <w:rPr>
            <w:rFonts w:eastAsia="Calibri"/>
            <w:bCs/>
            <w:color w:val="0000FF" w:themeColor="hyperlink"/>
            <w:lang w:val="es-MX" w:eastAsia="en-US"/>
          </w:rPr>
          <w:t>https://revhabanera.sld.cu/index.php/rhab/article/view/1535</w:t>
        </w:r>
      </w:hyperlink>
      <w:r w:rsidRPr="004E0408">
        <w:rPr>
          <w:rFonts w:eastAsia="Calibri"/>
          <w:bCs/>
          <w:lang w:val="es-MX" w:eastAsia="en-US"/>
        </w:rPr>
        <w:t xml:space="preserve">   </w:t>
      </w:r>
    </w:p>
    <w:p w14:paraId="72F80E41" w14:textId="77777777" w:rsidR="004E0408" w:rsidRPr="004E0408" w:rsidRDefault="004E0408" w:rsidP="004E0408">
      <w:pPr>
        <w:suppressAutoHyphens/>
        <w:spacing w:line="360" w:lineRule="auto"/>
        <w:contextualSpacing/>
        <w:rPr>
          <w:rFonts w:eastAsia="Calibri"/>
          <w:bCs/>
          <w:lang w:val="es-MX" w:eastAsia="en-US"/>
        </w:rPr>
      </w:pPr>
      <w:r w:rsidRPr="004E0408">
        <w:rPr>
          <w:rFonts w:eastAsia="Calibri"/>
          <w:bCs/>
          <w:lang w:val="es-MX" w:eastAsia="en-US"/>
        </w:rPr>
        <w:t xml:space="preserve">4. Ayala-Pérez Y, Batista-Marrero K, Martínez-Pérez M, Díaz-Morell J. Calidad en la evaluación de la asignatura Ortodoncia en la carrera de Estomatología. Correo Científico Médico. 2018; 23(1): 119-35. Disponible en: </w:t>
      </w:r>
      <w:hyperlink r:id="rId18" w:history="1">
        <w:r w:rsidRPr="004E0408">
          <w:rPr>
            <w:rFonts w:eastAsia="Calibri"/>
            <w:bCs/>
            <w:color w:val="0000FF" w:themeColor="hyperlink"/>
            <w:lang w:val="es-MX" w:eastAsia="en-US"/>
          </w:rPr>
          <w:t>https://revcocmed.sld.cu/index.php/cocmed/article/view/2903</w:t>
        </w:r>
      </w:hyperlink>
      <w:r w:rsidRPr="004E0408">
        <w:rPr>
          <w:rFonts w:eastAsia="Calibri"/>
          <w:bCs/>
          <w:lang w:val="es-MX" w:eastAsia="en-US"/>
        </w:rPr>
        <w:t xml:space="preserve"> </w:t>
      </w:r>
    </w:p>
    <w:p w14:paraId="3147CEB9" w14:textId="77777777" w:rsidR="004E0408" w:rsidRPr="004E0408" w:rsidRDefault="004E0408" w:rsidP="004E0408">
      <w:pPr>
        <w:suppressAutoHyphens/>
        <w:spacing w:line="360" w:lineRule="auto"/>
        <w:contextualSpacing/>
        <w:rPr>
          <w:rFonts w:eastAsia="Calibri"/>
          <w:bCs/>
          <w:lang w:val="es-MX" w:eastAsia="en-US"/>
        </w:rPr>
      </w:pPr>
      <w:r w:rsidRPr="004E0408">
        <w:rPr>
          <w:rFonts w:eastAsia="Calibri"/>
          <w:bCs/>
          <w:lang w:val="es-MX" w:eastAsia="en-US"/>
        </w:rPr>
        <w:t xml:space="preserve">5. </w:t>
      </w:r>
      <w:proofErr w:type="spellStart"/>
      <w:r w:rsidRPr="004E0408">
        <w:rPr>
          <w:rFonts w:eastAsia="Calibri"/>
          <w:bCs/>
          <w:lang w:val="es-MX" w:eastAsia="en-US"/>
        </w:rPr>
        <w:t>Minte</w:t>
      </w:r>
      <w:proofErr w:type="spellEnd"/>
      <w:r w:rsidRPr="004E0408">
        <w:rPr>
          <w:rFonts w:eastAsia="Calibri"/>
          <w:bCs/>
          <w:lang w:val="es-MX" w:eastAsia="en-US"/>
        </w:rPr>
        <w:t xml:space="preserve"> MA, Sepúlveda OH, Jaramillo AR, Díaz-</w:t>
      </w:r>
      <w:proofErr w:type="spellStart"/>
      <w:r w:rsidRPr="004E0408">
        <w:rPr>
          <w:rFonts w:eastAsia="Calibri"/>
          <w:bCs/>
          <w:lang w:val="es-MX" w:eastAsia="en-US"/>
        </w:rPr>
        <w:t>Levicoy</w:t>
      </w:r>
      <w:proofErr w:type="spellEnd"/>
      <w:r w:rsidRPr="004E0408">
        <w:rPr>
          <w:rFonts w:eastAsia="Calibri"/>
          <w:bCs/>
          <w:lang w:val="es-MX" w:eastAsia="en-US"/>
        </w:rPr>
        <w:t xml:space="preserve"> D. Evaluación en Educación Superior: características y demandas cognitivas de preguntas escritas. REXE. 2021; 20(44):43-52. Disponible en: </w:t>
      </w:r>
      <w:hyperlink r:id="rId19" w:history="1">
        <w:r w:rsidRPr="004E0408">
          <w:rPr>
            <w:rFonts w:eastAsia="Calibri"/>
            <w:bCs/>
            <w:color w:val="0000FF" w:themeColor="hyperlink"/>
            <w:lang w:val="es-MX" w:eastAsia="en-US"/>
          </w:rPr>
          <w:t>https://revistas.ucsc.cl/index.php/rexe/article/view/1002</w:t>
        </w:r>
      </w:hyperlink>
      <w:r w:rsidRPr="004E0408">
        <w:rPr>
          <w:rFonts w:eastAsia="Calibri"/>
          <w:bCs/>
          <w:lang w:val="es-MX" w:eastAsia="en-US"/>
        </w:rPr>
        <w:t xml:space="preserve">  </w:t>
      </w:r>
    </w:p>
    <w:p w14:paraId="2AD25378" w14:textId="77777777" w:rsidR="004E0408" w:rsidRPr="004E0408" w:rsidRDefault="004E0408" w:rsidP="004E0408">
      <w:pPr>
        <w:suppressAutoHyphens/>
        <w:spacing w:line="360" w:lineRule="auto"/>
        <w:contextualSpacing/>
        <w:rPr>
          <w:rFonts w:eastAsia="Calibri"/>
          <w:bCs/>
          <w:lang w:val="es-MX" w:eastAsia="en-US"/>
        </w:rPr>
      </w:pPr>
      <w:r w:rsidRPr="004E0408">
        <w:rPr>
          <w:rFonts w:eastAsia="Calibri"/>
          <w:bCs/>
          <w:lang w:val="es-MX" w:eastAsia="en-US"/>
        </w:rPr>
        <w:t xml:space="preserve">6. Moya-Salazar J, Sevillano-Jiménez J, Cañari B, Moya-Salazar M, Contreras-Pulache H. Validación de la escala de miedo a la COVID-19 en una muestra de estudiantes universitarios. </w:t>
      </w:r>
      <w:proofErr w:type="spellStart"/>
      <w:r w:rsidRPr="004E0408">
        <w:rPr>
          <w:rFonts w:eastAsia="Calibri"/>
          <w:bCs/>
          <w:lang w:val="es-MX" w:eastAsia="en-US"/>
        </w:rPr>
        <w:t>Rev</w:t>
      </w:r>
      <w:proofErr w:type="spellEnd"/>
      <w:r w:rsidRPr="004E0408">
        <w:rPr>
          <w:rFonts w:eastAsia="Calibri"/>
          <w:bCs/>
          <w:lang w:val="es-MX" w:eastAsia="en-US"/>
        </w:rPr>
        <w:t xml:space="preserve"> </w:t>
      </w:r>
      <w:proofErr w:type="spellStart"/>
      <w:r w:rsidRPr="004E0408">
        <w:rPr>
          <w:rFonts w:eastAsia="Calibri"/>
          <w:bCs/>
          <w:lang w:val="es-MX" w:eastAsia="en-US"/>
        </w:rPr>
        <w:t>Cub</w:t>
      </w:r>
      <w:proofErr w:type="spellEnd"/>
      <w:r w:rsidRPr="004E0408">
        <w:rPr>
          <w:rFonts w:eastAsia="Calibri"/>
          <w:bCs/>
          <w:lang w:val="es-MX" w:eastAsia="en-US"/>
        </w:rPr>
        <w:t xml:space="preserve"> Medicina Militar. 2022; 51 (3): e02201968. Disponible en: </w:t>
      </w:r>
      <w:hyperlink r:id="rId20" w:history="1">
        <w:r w:rsidRPr="004E0408">
          <w:rPr>
            <w:rFonts w:eastAsia="Calibri"/>
            <w:bCs/>
            <w:color w:val="0000FF" w:themeColor="hyperlink"/>
            <w:lang w:val="es-MX" w:eastAsia="en-US"/>
          </w:rPr>
          <w:t>https://revmedmilitar.sld.cu/index.php/mil/article/view/1968</w:t>
        </w:r>
      </w:hyperlink>
      <w:r w:rsidRPr="004E0408">
        <w:rPr>
          <w:rFonts w:eastAsia="Calibri"/>
          <w:bCs/>
          <w:lang w:val="es-MX" w:eastAsia="en-US"/>
        </w:rPr>
        <w:t xml:space="preserve"> </w:t>
      </w:r>
    </w:p>
    <w:p w14:paraId="61D8E846" w14:textId="77777777" w:rsidR="004E0408" w:rsidRPr="004E0408" w:rsidRDefault="004E0408" w:rsidP="004E0408">
      <w:pPr>
        <w:suppressAutoHyphens/>
        <w:spacing w:line="360" w:lineRule="auto"/>
        <w:contextualSpacing/>
        <w:rPr>
          <w:rFonts w:eastAsia="Calibri"/>
          <w:bCs/>
          <w:lang w:val="es-PE" w:eastAsia="en-US"/>
        </w:rPr>
      </w:pPr>
      <w:r w:rsidRPr="004E0408">
        <w:rPr>
          <w:rFonts w:eastAsia="Calibri"/>
          <w:bCs/>
          <w:lang w:val="en-US" w:eastAsia="en-US"/>
        </w:rPr>
        <w:t xml:space="preserve">7. Moya-Salazar J, Rodriguez AA, </w:t>
      </w:r>
      <w:proofErr w:type="spellStart"/>
      <w:r w:rsidRPr="004E0408">
        <w:rPr>
          <w:rFonts w:eastAsia="Calibri"/>
          <w:bCs/>
          <w:lang w:val="en-US" w:eastAsia="en-US"/>
        </w:rPr>
        <w:t>Goicochea</w:t>
      </w:r>
      <w:proofErr w:type="spellEnd"/>
      <w:r w:rsidRPr="004E0408">
        <w:rPr>
          <w:rFonts w:eastAsia="Calibri"/>
          <w:bCs/>
          <w:lang w:val="en-US" w:eastAsia="en-US"/>
        </w:rPr>
        <w:t>-Palomino EA, Salazar CR, Rojas-</w:t>
      </w:r>
      <w:proofErr w:type="spellStart"/>
      <w:r w:rsidRPr="004E0408">
        <w:rPr>
          <w:rFonts w:eastAsia="Calibri"/>
          <w:bCs/>
          <w:lang w:val="en-US" w:eastAsia="en-US"/>
        </w:rPr>
        <w:t>Zumaran</w:t>
      </w:r>
      <w:proofErr w:type="spellEnd"/>
      <w:r w:rsidRPr="004E0408">
        <w:rPr>
          <w:rFonts w:eastAsia="Calibri"/>
          <w:bCs/>
          <w:lang w:val="en-US" w:eastAsia="en-US"/>
        </w:rPr>
        <w:t xml:space="preserve"> V, Contreras-</w:t>
      </w:r>
      <w:proofErr w:type="spellStart"/>
      <w:r w:rsidRPr="004E0408">
        <w:rPr>
          <w:rFonts w:eastAsia="Calibri"/>
          <w:bCs/>
          <w:lang w:val="en-US" w:eastAsia="en-US"/>
        </w:rPr>
        <w:t>Pulache</w:t>
      </w:r>
      <w:proofErr w:type="spellEnd"/>
      <w:r w:rsidRPr="004E0408">
        <w:rPr>
          <w:rFonts w:eastAsia="Calibri"/>
          <w:bCs/>
          <w:lang w:val="en-US" w:eastAsia="en-US"/>
        </w:rPr>
        <w:t xml:space="preserve"> H. High levels of academic procrastination do not influence the academic </w:t>
      </w:r>
      <w:r w:rsidRPr="004E0408">
        <w:rPr>
          <w:rFonts w:eastAsia="Calibri"/>
          <w:bCs/>
          <w:lang w:val="en-US" w:eastAsia="en-US"/>
        </w:rPr>
        <w:lastRenderedPageBreak/>
        <w:t xml:space="preserve">performance of nursing students during internship. </w:t>
      </w:r>
      <w:r w:rsidRPr="004E0408">
        <w:rPr>
          <w:rFonts w:eastAsia="Calibri"/>
          <w:bCs/>
          <w:lang w:val="es-PE" w:eastAsia="en-US"/>
        </w:rPr>
        <w:t xml:space="preserve">Open </w:t>
      </w:r>
      <w:proofErr w:type="spellStart"/>
      <w:r w:rsidRPr="004E0408">
        <w:rPr>
          <w:rFonts w:eastAsia="Calibri"/>
          <w:bCs/>
          <w:lang w:val="es-PE" w:eastAsia="en-US"/>
        </w:rPr>
        <w:t>Nur</w:t>
      </w:r>
      <w:proofErr w:type="spellEnd"/>
      <w:r w:rsidRPr="004E0408">
        <w:rPr>
          <w:rFonts w:eastAsia="Calibri"/>
          <w:bCs/>
          <w:lang w:val="es-PE" w:eastAsia="en-US"/>
        </w:rPr>
        <w:t xml:space="preserve"> J. 2023; 17: e187443462306211. DOI: 10.2174/18744346-v17-230810-2023-16</w:t>
      </w:r>
    </w:p>
    <w:p w14:paraId="5953C2C9" w14:textId="77777777" w:rsidR="004E0408" w:rsidRPr="004E0408" w:rsidRDefault="004E0408" w:rsidP="004E0408">
      <w:pPr>
        <w:suppressAutoHyphens/>
        <w:spacing w:line="360" w:lineRule="auto"/>
        <w:contextualSpacing/>
        <w:rPr>
          <w:rFonts w:eastAsia="Calibri"/>
          <w:bCs/>
          <w:lang w:val="es-PE" w:eastAsia="en-US"/>
        </w:rPr>
      </w:pPr>
    </w:p>
    <w:p w14:paraId="7D646E6F" w14:textId="77777777" w:rsidR="004E0408" w:rsidRPr="004E0408" w:rsidRDefault="004E0408" w:rsidP="004E0408">
      <w:pPr>
        <w:suppressAutoHyphens/>
        <w:spacing w:line="360" w:lineRule="auto"/>
        <w:jc w:val="both"/>
        <w:rPr>
          <w:rFonts w:eastAsiaTheme="minorHAnsi"/>
          <w:b/>
          <w:lang w:val="es-ES" w:eastAsia="en-US"/>
        </w:rPr>
      </w:pPr>
    </w:p>
    <w:p w14:paraId="10ED9B3A" w14:textId="77777777" w:rsidR="004E0408" w:rsidRPr="004E0408" w:rsidRDefault="004E0408" w:rsidP="004E0408">
      <w:pPr>
        <w:suppressAutoHyphens/>
        <w:spacing w:line="360" w:lineRule="auto"/>
        <w:jc w:val="center"/>
        <w:rPr>
          <w:rFonts w:eastAsiaTheme="minorHAnsi"/>
          <w:b/>
          <w:lang w:val="es-ES" w:eastAsia="en-US"/>
        </w:rPr>
      </w:pPr>
      <w:r w:rsidRPr="004E0408">
        <w:rPr>
          <w:rFonts w:eastAsiaTheme="minorHAnsi"/>
          <w:b/>
          <w:lang w:val="es-ES" w:eastAsia="en-US"/>
        </w:rPr>
        <w:t>Conflictos de interés</w:t>
      </w:r>
    </w:p>
    <w:p w14:paraId="0668C023" w14:textId="77777777" w:rsidR="004E0408" w:rsidRPr="004E0408" w:rsidRDefault="004E0408" w:rsidP="004E0408">
      <w:pPr>
        <w:suppressAutoHyphens/>
        <w:spacing w:line="360" w:lineRule="auto"/>
        <w:jc w:val="both"/>
        <w:rPr>
          <w:rFonts w:eastAsiaTheme="minorHAnsi"/>
          <w:bCs/>
          <w:lang w:val="es-ES" w:eastAsia="en-US"/>
        </w:rPr>
      </w:pPr>
      <w:r w:rsidRPr="004E0408">
        <w:rPr>
          <w:rFonts w:eastAsiaTheme="minorHAnsi"/>
          <w:bCs/>
          <w:lang w:val="es-ES" w:eastAsia="en-US"/>
        </w:rPr>
        <w:t>Los autores plantean no tener conflictos de interés en relación con el artículo que se presenta.</w:t>
      </w:r>
    </w:p>
    <w:p w14:paraId="7B9FBDCD" w14:textId="77777777" w:rsidR="004E0408" w:rsidRPr="004E0408" w:rsidRDefault="004E0408" w:rsidP="004E0408">
      <w:pPr>
        <w:suppressAutoHyphens/>
        <w:spacing w:line="360" w:lineRule="auto"/>
        <w:jc w:val="both"/>
        <w:rPr>
          <w:rFonts w:eastAsiaTheme="minorHAnsi"/>
          <w:bCs/>
          <w:lang w:val="es-ES" w:eastAsia="en-US"/>
        </w:rPr>
      </w:pPr>
    </w:p>
    <w:p w14:paraId="3A415F6E" w14:textId="77777777" w:rsidR="004E0408" w:rsidRPr="004E0408" w:rsidRDefault="004E0408" w:rsidP="004E0408">
      <w:pPr>
        <w:suppressAutoHyphens/>
        <w:spacing w:line="360" w:lineRule="auto"/>
        <w:jc w:val="both"/>
        <w:rPr>
          <w:rFonts w:eastAsiaTheme="minorHAnsi"/>
          <w:bCs/>
          <w:lang w:val="es-ES" w:eastAsia="en-US"/>
        </w:rPr>
      </w:pPr>
    </w:p>
    <w:p w14:paraId="78F6BF79" w14:textId="77777777" w:rsidR="004E0408" w:rsidRPr="004E0408" w:rsidRDefault="004E0408" w:rsidP="004E0408">
      <w:pPr>
        <w:suppressAutoHyphens/>
        <w:spacing w:line="360" w:lineRule="auto"/>
        <w:jc w:val="both"/>
        <w:rPr>
          <w:rFonts w:eastAsiaTheme="minorHAnsi"/>
          <w:bCs/>
          <w:lang w:val="es-ES" w:eastAsia="en-US"/>
        </w:rPr>
      </w:pPr>
      <w:r w:rsidRPr="004E0408">
        <w:rPr>
          <w:rFonts w:eastAsiaTheme="minorHAnsi"/>
          <w:bCs/>
          <w:lang w:val="es-ES" w:eastAsia="en-US"/>
        </w:rPr>
        <w:t>Recibido: 06/12/2023</w:t>
      </w:r>
    </w:p>
    <w:p w14:paraId="2D1C6DDC" w14:textId="77777777" w:rsidR="004E0408" w:rsidRPr="004E0408" w:rsidRDefault="004E0408" w:rsidP="004E0408">
      <w:pPr>
        <w:suppressAutoHyphens/>
        <w:spacing w:line="360" w:lineRule="auto"/>
        <w:jc w:val="both"/>
        <w:rPr>
          <w:rFonts w:eastAsiaTheme="minorHAnsi"/>
          <w:bCs/>
          <w:lang w:val="es-ES" w:eastAsia="en-US"/>
        </w:rPr>
      </w:pPr>
      <w:r w:rsidRPr="004E0408">
        <w:rPr>
          <w:rFonts w:eastAsiaTheme="minorHAnsi"/>
          <w:bCs/>
          <w:lang w:val="es-ES" w:eastAsia="en-US"/>
        </w:rPr>
        <w:t>Aprobado: 02/02/2024</w:t>
      </w:r>
    </w:p>
    <w:p w14:paraId="46421D6D" w14:textId="77777777" w:rsidR="00675476" w:rsidRPr="0055115D" w:rsidRDefault="00675476" w:rsidP="00EA1FEF">
      <w:pPr>
        <w:pStyle w:val="PDFRevista"/>
      </w:pPr>
    </w:p>
    <w:sectPr w:rsidR="00675476" w:rsidRPr="0055115D" w:rsidSect="00FD3DF8">
      <w:headerReference w:type="default" r:id="rId21"/>
      <w:footerReference w:type="even" r:id="rId22"/>
      <w:footerReference w:type="default" r:id="rId2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4814" w14:textId="77777777" w:rsidR="00F8228E" w:rsidRDefault="00F8228E">
      <w:r>
        <w:separator/>
      </w:r>
    </w:p>
  </w:endnote>
  <w:endnote w:type="continuationSeparator" w:id="0">
    <w:p w14:paraId="2C3EDE2D" w14:textId="77777777" w:rsidR="00F8228E" w:rsidRDefault="00F8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63A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9328E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F6B4"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30F6F807" wp14:editId="0D95EA88">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012D4"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A0208B1" w14:textId="77777777" w:rsidR="00675476" w:rsidRPr="00AE044C" w:rsidRDefault="00F8228E" w:rsidP="00391509">
    <w:pPr>
      <w:pStyle w:val="Piedepgina"/>
      <w:ind w:right="360"/>
      <w:rPr>
        <w:sz w:val="22"/>
        <w:szCs w:val="22"/>
      </w:rPr>
    </w:pPr>
    <w:hyperlink r:id="rId1" w:history="1">
      <w:r w:rsidR="00391509" w:rsidRPr="00AE044C">
        <w:rPr>
          <w:rStyle w:val="Hipervnculo"/>
          <w:sz w:val="22"/>
          <w:szCs w:val="22"/>
        </w:rPr>
        <w:t>http://scielo.sld.cu</w:t>
      </w:r>
    </w:hyperlink>
  </w:p>
  <w:p w14:paraId="6B145C12" w14:textId="77777777" w:rsidR="00391509" w:rsidRPr="00AE044C" w:rsidRDefault="00F8228E"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071CFC5A"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4B53098B" wp14:editId="4BA204CB">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E55A2" w14:textId="77777777" w:rsidR="00F8228E" w:rsidRDefault="00F8228E">
      <w:r>
        <w:separator/>
      </w:r>
    </w:p>
  </w:footnote>
  <w:footnote w:type="continuationSeparator" w:id="0">
    <w:p w14:paraId="3B388EB1" w14:textId="77777777" w:rsidR="00F8228E" w:rsidRDefault="00F82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E014" w14:textId="4940237C" w:rsidR="00CC376A" w:rsidRPr="00AE044C" w:rsidRDefault="004E0408"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0E897865" wp14:editId="4ADC7330">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e024026094</w:t>
    </w:r>
  </w:p>
  <w:p w14:paraId="40D71883"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063BD0A2" wp14:editId="3FBF824F">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31A0B"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08"/>
    <w:rsid w:val="00057F45"/>
    <w:rsid w:val="000D3958"/>
    <w:rsid w:val="000F3690"/>
    <w:rsid w:val="001221D1"/>
    <w:rsid w:val="00165CB5"/>
    <w:rsid w:val="00180CE9"/>
    <w:rsid w:val="00230DD5"/>
    <w:rsid w:val="00250AE9"/>
    <w:rsid w:val="00380D64"/>
    <w:rsid w:val="00391509"/>
    <w:rsid w:val="003E03D5"/>
    <w:rsid w:val="00486BFA"/>
    <w:rsid w:val="00493701"/>
    <w:rsid w:val="004E0408"/>
    <w:rsid w:val="004E2065"/>
    <w:rsid w:val="005508A2"/>
    <w:rsid w:val="0055115D"/>
    <w:rsid w:val="00566F71"/>
    <w:rsid w:val="005918BD"/>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8228E"/>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379EC"/>
  <w15:docId w15:val="{FCC72C7A-65A2-4DE1-A9A2-A0C6A59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0-3083-1575" TargetMode="External"/><Relationship Id="rId13" Type="http://schemas.openxmlformats.org/officeDocument/2006/relationships/hyperlink" Target="mailto:c23359@utp.edu.pe" TargetMode="External"/><Relationship Id="rId18" Type="http://schemas.openxmlformats.org/officeDocument/2006/relationships/hyperlink" Target="https://revcocmed.sld.cu/index.php/cocmed/article/view/2903"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2-7357-4940" TargetMode="External"/><Relationship Id="rId12" Type="http://schemas.openxmlformats.org/officeDocument/2006/relationships/hyperlink" Target="https://orcid.org/0009-0005-2289-0432" TargetMode="External"/><Relationship Id="rId17" Type="http://schemas.openxmlformats.org/officeDocument/2006/relationships/hyperlink" Target="https://revhabanera.sld.cu/index.php/rhab/article/view/153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ms.sld.cu/index.php/ems/article/view/3461/1445" TargetMode="External"/><Relationship Id="rId20" Type="http://schemas.openxmlformats.org/officeDocument/2006/relationships/hyperlink" Target="https://revmedmilitar.sld.cu/index.php/mil/article/view/19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3-3875-535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vmedmilitar.sld.cu/index.php/mil/article/view/2525" TargetMode="External"/><Relationship Id="rId23" Type="http://schemas.openxmlformats.org/officeDocument/2006/relationships/footer" Target="footer2.xml"/><Relationship Id="rId10" Type="http://schemas.openxmlformats.org/officeDocument/2006/relationships/hyperlink" Target="https://orcid.org/0009-0008-7375-2285" TargetMode="External"/><Relationship Id="rId19" Type="http://schemas.openxmlformats.org/officeDocument/2006/relationships/hyperlink" Target="https://revistas.ucsc.cl/index.php/rexe/article/view/1002" TargetMode="External"/><Relationship Id="rId4" Type="http://schemas.openxmlformats.org/officeDocument/2006/relationships/webSettings" Target="webSettings.xml"/><Relationship Id="rId9" Type="http://schemas.openxmlformats.org/officeDocument/2006/relationships/hyperlink" Target="https://orcid.org/0009-0000-5851-2939" TargetMode="External"/><Relationship Id="rId14" Type="http://schemas.openxmlformats.org/officeDocument/2006/relationships/hyperlink" Target="mailto:jeel.moya@uwiener.edu.pe"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4</Pages>
  <Words>1147</Words>
  <Characters>6309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7442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1</cp:revision>
  <cp:lastPrinted>2010-09-13T21:29:00Z</cp:lastPrinted>
  <dcterms:created xsi:type="dcterms:W3CDTF">2024-02-27T20:41:00Z</dcterms:created>
  <dcterms:modified xsi:type="dcterms:W3CDTF">2024-02-27T20:42:00Z</dcterms:modified>
</cp:coreProperties>
</file>