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720E" w14:textId="77777777" w:rsidR="00252A21" w:rsidRPr="00252A21" w:rsidRDefault="00252A21" w:rsidP="00252A21">
      <w:pPr>
        <w:tabs>
          <w:tab w:val="center" w:pos="4419"/>
          <w:tab w:val="right" w:pos="8838"/>
        </w:tabs>
        <w:spacing w:line="360" w:lineRule="auto"/>
        <w:jc w:val="right"/>
        <w:rPr>
          <w:rFonts w:eastAsia="Calibri"/>
          <w:sz w:val="20"/>
          <w:szCs w:val="20"/>
          <w:lang w:val="es-PE" w:eastAsia="en-US"/>
        </w:rPr>
      </w:pPr>
      <w:r w:rsidRPr="00252A21">
        <w:rPr>
          <w:rFonts w:eastAsia="Calibri"/>
          <w:sz w:val="20"/>
          <w:szCs w:val="20"/>
          <w:lang w:val="es-PE" w:eastAsia="en-US"/>
        </w:rPr>
        <w:t>Artículo de investigación</w:t>
      </w:r>
    </w:p>
    <w:p w14:paraId="2E843930" w14:textId="77777777" w:rsidR="00252A21" w:rsidRPr="00252A21" w:rsidRDefault="00252A21" w:rsidP="00252A21">
      <w:pPr>
        <w:keepNext/>
        <w:keepLines/>
        <w:spacing w:line="360" w:lineRule="auto"/>
        <w:jc w:val="both"/>
        <w:outlineLvl w:val="0"/>
        <w:rPr>
          <w:rFonts w:eastAsia="SimSun"/>
          <w:b/>
          <w:bCs/>
          <w:lang w:val="es-PE" w:eastAsia="en-US"/>
        </w:rPr>
      </w:pPr>
    </w:p>
    <w:p w14:paraId="21929F76" w14:textId="77777777" w:rsidR="00252A21" w:rsidRPr="00252A21" w:rsidRDefault="00252A21" w:rsidP="00252A21">
      <w:pPr>
        <w:keepNext/>
        <w:keepLines/>
        <w:spacing w:line="360" w:lineRule="auto"/>
        <w:jc w:val="center"/>
        <w:outlineLvl w:val="0"/>
        <w:rPr>
          <w:rFonts w:eastAsia="SimSun"/>
          <w:b/>
          <w:bCs/>
          <w:sz w:val="28"/>
          <w:szCs w:val="28"/>
          <w:lang w:val="es-PE" w:eastAsia="en-US"/>
        </w:rPr>
      </w:pPr>
      <w:r w:rsidRPr="00252A21">
        <w:rPr>
          <w:rFonts w:eastAsia="SimSun"/>
          <w:b/>
          <w:bCs/>
          <w:sz w:val="28"/>
          <w:szCs w:val="28"/>
          <w:lang w:val="es-PE" w:eastAsia="en-US"/>
        </w:rPr>
        <w:t>Factores asociados al no uso de métodos anticonceptivos de barrera en la población LGBTI</w:t>
      </w:r>
    </w:p>
    <w:p w14:paraId="10FC2E1D" w14:textId="77777777" w:rsidR="00252A21" w:rsidRPr="00252A21" w:rsidRDefault="00252A21" w:rsidP="00252A21">
      <w:pPr>
        <w:keepNext/>
        <w:keepLines/>
        <w:spacing w:line="360" w:lineRule="auto"/>
        <w:jc w:val="center"/>
        <w:outlineLvl w:val="0"/>
        <w:rPr>
          <w:rFonts w:eastAsia="SimSun"/>
          <w:sz w:val="28"/>
          <w:szCs w:val="28"/>
          <w:lang w:val="en-US" w:eastAsia="en-US"/>
        </w:rPr>
      </w:pPr>
      <w:r w:rsidRPr="00252A21">
        <w:rPr>
          <w:rFonts w:eastAsia="SimSun"/>
          <w:sz w:val="28"/>
          <w:szCs w:val="28"/>
          <w:lang w:val="en-US" w:eastAsia="en-US"/>
        </w:rPr>
        <w:t>Factors associated with the non-use of barrier contraceptive methods in the LGBTI population</w:t>
      </w:r>
    </w:p>
    <w:p w14:paraId="3581C383" w14:textId="77777777" w:rsidR="00252A21" w:rsidRPr="00252A21" w:rsidRDefault="00252A21" w:rsidP="00252A21">
      <w:pPr>
        <w:keepNext/>
        <w:keepLines/>
        <w:spacing w:line="360" w:lineRule="auto"/>
        <w:jc w:val="both"/>
        <w:outlineLvl w:val="0"/>
        <w:rPr>
          <w:rFonts w:eastAsia="SimSun"/>
          <w:lang w:val="en-US" w:eastAsia="en-US"/>
        </w:rPr>
      </w:pPr>
    </w:p>
    <w:p w14:paraId="4E363C2D" w14:textId="77777777" w:rsidR="00252A21" w:rsidRPr="00252A21" w:rsidRDefault="00252A21" w:rsidP="00252A21">
      <w:pPr>
        <w:keepNext/>
        <w:keepLines/>
        <w:spacing w:line="360" w:lineRule="auto"/>
        <w:jc w:val="both"/>
        <w:outlineLvl w:val="0"/>
        <w:rPr>
          <w:rFonts w:eastAsia="SimSun"/>
          <w:lang w:val="es-CU" w:eastAsia="en-US"/>
        </w:rPr>
      </w:pPr>
      <w:r w:rsidRPr="00252A21">
        <w:rPr>
          <w:rFonts w:eastAsia="SimSun"/>
          <w:lang w:val="es-CU" w:eastAsia="en-US"/>
        </w:rPr>
        <w:t>Mary Carmen Guillén-Contreras</w:t>
      </w:r>
      <w:r w:rsidRPr="00252A21">
        <w:rPr>
          <w:rFonts w:eastAsia="SimSun"/>
          <w:vertAlign w:val="superscript"/>
          <w:lang w:val="es-CU" w:eastAsia="en-US"/>
        </w:rPr>
        <w:t>1</w:t>
      </w:r>
      <w:r w:rsidRPr="00252A21">
        <w:rPr>
          <w:rFonts w:eastAsia="SimSun"/>
          <w:lang w:val="es-CU" w:eastAsia="en-US"/>
        </w:rPr>
        <w:t xml:space="preserve"> </w:t>
      </w:r>
      <w:hyperlink r:id="rId7" w:history="1">
        <w:r w:rsidRPr="00252A21">
          <w:rPr>
            <w:rFonts w:eastAsia="SimSun"/>
            <w:color w:val="0563C1"/>
            <w:lang w:val="es-CU" w:eastAsia="en-US"/>
          </w:rPr>
          <w:t>https://orcid.org/0000-0002-2198-7217</w:t>
        </w:r>
      </w:hyperlink>
      <w:r w:rsidRPr="00252A21">
        <w:rPr>
          <w:rFonts w:eastAsia="SimSun"/>
          <w:lang w:val="es-CU" w:eastAsia="en-US"/>
        </w:rPr>
        <w:t xml:space="preserve"> </w:t>
      </w:r>
    </w:p>
    <w:p w14:paraId="11AF5E0C" w14:textId="77777777" w:rsidR="00252A21" w:rsidRPr="00252A21" w:rsidRDefault="00252A21" w:rsidP="00252A21">
      <w:pPr>
        <w:keepNext/>
        <w:keepLines/>
        <w:spacing w:line="360" w:lineRule="auto"/>
        <w:jc w:val="both"/>
        <w:outlineLvl w:val="0"/>
        <w:rPr>
          <w:rFonts w:eastAsia="SimSun"/>
          <w:lang w:val="es-CU" w:eastAsia="en-US"/>
        </w:rPr>
      </w:pPr>
      <w:r w:rsidRPr="00252A21">
        <w:rPr>
          <w:rFonts w:eastAsia="SimSun"/>
          <w:lang w:val="es-CU" w:eastAsia="en-US"/>
        </w:rPr>
        <w:t>Yuly Santos-Rosales</w:t>
      </w:r>
      <w:r w:rsidRPr="00252A21">
        <w:rPr>
          <w:rFonts w:eastAsia="SimSun"/>
          <w:vertAlign w:val="superscript"/>
          <w:lang w:val="es-CU" w:eastAsia="en-US"/>
        </w:rPr>
        <w:t>2</w:t>
      </w:r>
      <w:r w:rsidRPr="00252A21">
        <w:rPr>
          <w:rFonts w:eastAsia="SimSun"/>
          <w:lang w:val="es-CU" w:eastAsia="en-US"/>
        </w:rPr>
        <w:t xml:space="preserve"> </w:t>
      </w:r>
      <w:hyperlink r:id="rId8" w:history="1">
        <w:r w:rsidRPr="00252A21">
          <w:rPr>
            <w:rFonts w:eastAsia="SimSun"/>
            <w:color w:val="0563C1"/>
            <w:lang w:val="es-CU" w:eastAsia="en-US"/>
          </w:rPr>
          <w:t>https://orcid.org/0000-0002-4536-8293</w:t>
        </w:r>
      </w:hyperlink>
      <w:r w:rsidRPr="00252A21">
        <w:rPr>
          <w:rFonts w:eastAsia="SimSun"/>
          <w:lang w:val="es-CU" w:eastAsia="en-US"/>
        </w:rPr>
        <w:t xml:space="preserve"> </w:t>
      </w:r>
    </w:p>
    <w:p w14:paraId="0FB7A1B8" w14:textId="77777777" w:rsidR="00252A21" w:rsidRPr="00252A21" w:rsidRDefault="00252A21" w:rsidP="00252A21">
      <w:pPr>
        <w:keepNext/>
        <w:keepLines/>
        <w:spacing w:line="360" w:lineRule="auto"/>
        <w:jc w:val="both"/>
        <w:outlineLvl w:val="0"/>
        <w:rPr>
          <w:rFonts w:eastAsia="SimSun"/>
          <w:lang w:val="es-CU" w:eastAsia="en-US"/>
        </w:rPr>
      </w:pPr>
      <w:r w:rsidRPr="00252A21">
        <w:rPr>
          <w:rFonts w:eastAsia="SimSun"/>
          <w:lang w:val="es-CU" w:eastAsia="en-US"/>
        </w:rPr>
        <w:t>Victor Hugo Moquillaza-Alcantara</w:t>
      </w:r>
      <w:r w:rsidRPr="00252A21">
        <w:rPr>
          <w:rFonts w:eastAsia="SimSun"/>
          <w:vertAlign w:val="superscript"/>
          <w:lang w:val="es-CU" w:eastAsia="en-US"/>
        </w:rPr>
        <w:t>3</w:t>
      </w:r>
      <w:r w:rsidRPr="00252A21">
        <w:rPr>
          <w:rFonts w:eastAsia="SimSun"/>
          <w:lang w:val="es-CU" w:eastAsia="en-US"/>
        </w:rPr>
        <w:t xml:space="preserve">* </w:t>
      </w:r>
      <w:hyperlink r:id="rId9" w:history="1">
        <w:r w:rsidRPr="00252A21">
          <w:rPr>
            <w:rFonts w:eastAsia="SimSun"/>
            <w:color w:val="0563C1"/>
            <w:lang w:val="es-CU" w:eastAsia="en-US"/>
          </w:rPr>
          <w:t>https://orcid.org/0000-0002-0362-907X</w:t>
        </w:r>
      </w:hyperlink>
      <w:r w:rsidRPr="00252A21">
        <w:rPr>
          <w:rFonts w:eastAsia="SimSun"/>
          <w:lang w:val="es-CU" w:eastAsia="en-US"/>
        </w:rPr>
        <w:t xml:space="preserve"> </w:t>
      </w:r>
    </w:p>
    <w:p w14:paraId="12C3BB88" w14:textId="77777777" w:rsidR="00252A21" w:rsidRPr="00252A21" w:rsidRDefault="00252A21" w:rsidP="00252A21">
      <w:pPr>
        <w:spacing w:line="360" w:lineRule="auto"/>
        <w:rPr>
          <w:rFonts w:eastAsia="Calibri"/>
          <w:sz w:val="22"/>
          <w:szCs w:val="22"/>
          <w:lang w:val="es-CU" w:eastAsia="en-US"/>
        </w:rPr>
      </w:pPr>
    </w:p>
    <w:p w14:paraId="79FDFFE8" w14:textId="77777777" w:rsidR="00252A21" w:rsidRPr="00252A21" w:rsidRDefault="00252A21" w:rsidP="00252A21">
      <w:pPr>
        <w:spacing w:line="360" w:lineRule="auto"/>
        <w:rPr>
          <w:rFonts w:eastAsia="Calibri"/>
          <w:lang w:val="es-CU" w:eastAsia="en-US"/>
        </w:rPr>
      </w:pPr>
      <w:r w:rsidRPr="00252A21">
        <w:rPr>
          <w:rFonts w:eastAsia="Calibri"/>
          <w:vertAlign w:val="superscript"/>
          <w:lang w:val="es-CU" w:eastAsia="en-US"/>
        </w:rPr>
        <w:t>1</w:t>
      </w:r>
      <w:r w:rsidRPr="00252A21">
        <w:rPr>
          <w:rFonts w:eastAsia="Calibri"/>
          <w:lang w:val="es-CU" w:eastAsia="en-US"/>
        </w:rPr>
        <w:t>Universidad Nacional Mayor de San Marcos. Escuela Profesional de Obstetricia. Lima, Perú.</w:t>
      </w:r>
    </w:p>
    <w:p w14:paraId="204F6DA1" w14:textId="77777777" w:rsidR="00252A21" w:rsidRPr="00252A21" w:rsidRDefault="00252A21" w:rsidP="00252A21">
      <w:pPr>
        <w:spacing w:line="360" w:lineRule="auto"/>
        <w:rPr>
          <w:rFonts w:eastAsia="Calibri"/>
          <w:lang w:val="es-CU" w:eastAsia="en-US"/>
        </w:rPr>
      </w:pPr>
      <w:r w:rsidRPr="00252A21">
        <w:rPr>
          <w:rFonts w:eastAsia="Calibri"/>
          <w:vertAlign w:val="superscript"/>
          <w:lang w:val="es-CU" w:eastAsia="en-US"/>
        </w:rPr>
        <w:t>2</w:t>
      </w:r>
      <w:r w:rsidRPr="00252A21">
        <w:rPr>
          <w:rFonts w:eastAsia="Calibri"/>
          <w:lang w:val="es-CU" w:eastAsia="en-US"/>
        </w:rPr>
        <w:t>Universidad Nacional Mayor de San Marcos. Departamento Académico de Obstetricia. Lima, Perú.</w:t>
      </w:r>
    </w:p>
    <w:p w14:paraId="222D8731" w14:textId="77777777" w:rsidR="00252A21" w:rsidRPr="00252A21" w:rsidRDefault="00252A21" w:rsidP="00252A21">
      <w:pPr>
        <w:spacing w:line="360" w:lineRule="auto"/>
        <w:rPr>
          <w:rFonts w:eastAsia="Calibri"/>
          <w:lang w:val="es-CU" w:eastAsia="en-US"/>
        </w:rPr>
      </w:pPr>
      <w:r w:rsidRPr="00252A21">
        <w:rPr>
          <w:rFonts w:eastAsia="Calibri"/>
          <w:vertAlign w:val="superscript"/>
          <w:lang w:val="es-CU" w:eastAsia="en-US"/>
        </w:rPr>
        <w:t>3</w:t>
      </w:r>
      <w:r w:rsidRPr="00252A21">
        <w:rPr>
          <w:rFonts w:eastAsia="Calibri"/>
          <w:lang w:val="es-CU" w:eastAsia="en-US"/>
        </w:rPr>
        <w:t>Universidad Privada Norbert Wiener. Escuela de Posgrado. Lima, Perú.</w:t>
      </w:r>
    </w:p>
    <w:p w14:paraId="47A82423" w14:textId="77777777" w:rsidR="00252A21" w:rsidRPr="00252A21" w:rsidRDefault="00252A21" w:rsidP="00252A21">
      <w:pPr>
        <w:spacing w:line="360" w:lineRule="auto"/>
        <w:rPr>
          <w:rFonts w:eastAsia="Calibri"/>
          <w:lang w:val="es-CU" w:eastAsia="en-US"/>
        </w:rPr>
      </w:pPr>
    </w:p>
    <w:p w14:paraId="187F3B8B" w14:textId="77777777" w:rsidR="00252A21" w:rsidRPr="00252A21" w:rsidRDefault="00252A21" w:rsidP="00252A21">
      <w:pPr>
        <w:spacing w:line="360" w:lineRule="auto"/>
        <w:rPr>
          <w:rFonts w:eastAsia="Calibri"/>
          <w:lang w:val="es-CU" w:eastAsia="en-US"/>
        </w:rPr>
      </w:pPr>
      <w:r w:rsidRPr="00252A21">
        <w:rPr>
          <w:rFonts w:eastAsia="Calibri"/>
          <w:lang w:val="es-CU" w:eastAsia="en-US"/>
        </w:rPr>
        <w:t xml:space="preserve">*Autor para la correspondencia. Correo electrónico: </w:t>
      </w:r>
      <w:hyperlink r:id="rId10" w:history="1">
        <w:r w:rsidRPr="00252A21">
          <w:rPr>
            <w:rFonts w:eastAsia="Calibri"/>
            <w:color w:val="0563C1"/>
            <w:lang w:val="es-CU" w:eastAsia="en-US"/>
          </w:rPr>
          <w:t>victor.moquillaza@uwiener.edu.pe</w:t>
        </w:r>
      </w:hyperlink>
      <w:r w:rsidRPr="00252A21">
        <w:rPr>
          <w:rFonts w:eastAsia="Calibri"/>
          <w:lang w:val="es-CU" w:eastAsia="en-US"/>
        </w:rPr>
        <w:t xml:space="preserve"> </w:t>
      </w:r>
    </w:p>
    <w:p w14:paraId="641BFB64" w14:textId="77777777" w:rsidR="00252A21" w:rsidRPr="00252A21" w:rsidRDefault="00252A21" w:rsidP="00252A21">
      <w:pPr>
        <w:spacing w:line="360" w:lineRule="auto"/>
        <w:rPr>
          <w:rFonts w:eastAsia="Calibri"/>
          <w:sz w:val="22"/>
          <w:szCs w:val="22"/>
          <w:lang w:val="es-CU" w:eastAsia="en-US"/>
        </w:rPr>
      </w:pPr>
    </w:p>
    <w:p w14:paraId="20881880" w14:textId="77777777" w:rsidR="00252A21" w:rsidRPr="00252A21" w:rsidRDefault="00252A21" w:rsidP="00252A21">
      <w:pPr>
        <w:spacing w:line="360" w:lineRule="auto"/>
        <w:jc w:val="both"/>
        <w:rPr>
          <w:rFonts w:eastAsia="Calibri"/>
          <w:b/>
          <w:bCs/>
          <w:lang w:val="es-PE" w:eastAsia="en-US"/>
        </w:rPr>
      </w:pPr>
      <w:r w:rsidRPr="00252A21">
        <w:rPr>
          <w:rFonts w:eastAsia="Calibri"/>
          <w:b/>
          <w:bCs/>
          <w:lang w:val="es-PE" w:eastAsia="en-US"/>
        </w:rPr>
        <w:t>RESUMEN</w:t>
      </w:r>
    </w:p>
    <w:p w14:paraId="2020B2EE" w14:textId="77777777" w:rsidR="00252A21" w:rsidRPr="00252A21" w:rsidRDefault="00252A21" w:rsidP="00252A21">
      <w:pPr>
        <w:spacing w:line="360" w:lineRule="auto"/>
        <w:jc w:val="both"/>
        <w:rPr>
          <w:rFonts w:eastAsia="Calibri"/>
          <w:lang w:val="es-PE" w:eastAsia="en-US"/>
        </w:rPr>
      </w:pPr>
      <w:r w:rsidRPr="00252A21">
        <w:rPr>
          <w:rFonts w:eastAsia="Calibri"/>
          <w:b/>
          <w:bCs/>
          <w:lang w:val="es-PE" w:eastAsia="en-US"/>
        </w:rPr>
        <w:t xml:space="preserve">Introducción: </w:t>
      </w:r>
      <w:r w:rsidRPr="00252A21">
        <w:rPr>
          <w:rFonts w:eastAsia="Calibri"/>
          <w:lang w:val="es-PE" w:eastAsia="en-US"/>
        </w:rPr>
        <w:t xml:space="preserve">El no uso de métodos anticonceptivos de barrera en la comunidad </w:t>
      </w:r>
      <w:bookmarkStart w:id="0" w:name="_Hlk139878667"/>
      <w:r w:rsidRPr="00252A21">
        <w:rPr>
          <w:rFonts w:eastAsia="Calibri"/>
          <w:lang w:val="es-PE" w:eastAsia="en-US"/>
        </w:rPr>
        <w:t>de lesbianas, gais, transexuales, bisexuales e intersexuales</w:t>
      </w:r>
      <w:bookmarkEnd w:id="0"/>
      <w:r w:rsidRPr="00252A21">
        <w:rPr>
          <w:rFonts w:eastAsia="Calibri"/>
          <w:lang w:val="es-PE" w:eastAsia="en-US"/>
        </w:rPr>
        <w:t xml:space="preserve"> (LGBTI), favorece el contagio de infecciones de transmisión sexual; pero no se han evaluado qué características predisponen al no uso.</w:t>
      </w:r>
    </w:p>
    <w:p w14:paraId="217D126E" w14:textId="77777777" w:rsidR="00252A21" w:rsidRPr="00252A21" w:rsidRDefault="00252A21" w:rsidP="00252A21">
      <w:pPr>
        <w:spacing w:line="360" w:lineRule="auto"/>
        <w:jc w:val="both"/>
        <w:rPr>
          <w:rFonts w:eastAsia="Calibri"/>
          <w:lang w:val="es-PE" w:eastAsia="en-US"/>
        </w:rPr>
      </w:pPr>
      <w:r w:rsidRPr="00252A21">
        <w:rPr>
          <w:rFonts w:eastAsia="Calibri"/>
          <w:b/>
          <w:bCs/>
          <w:lang w:val="es-PE" w:eastAsia="en-US"/>
        </w:rPr>
        <w:t xml:space="preserve">Objetivo: </w:t>
      </w:r>
      <w:r w:rsidRPr="00252A21">
        <w:rPr>
          <w:rFonts w:eastAsia="Calibri"/>
          <w:lang w:val="es-PE" w:eastAsia="en-US"/>
        </w:rPr>
        <w:t xml:space="preserve">Identificar la proporción y factores asociados al no uso de métodos anticonceptivos de barrera en la población LGBTI peruana. </w:t>
      </w:r>
    </w:p>
    <w:p w14:paraId="5638C1C1" w14:textId="77777777" w:rsidR="00252A21" w:rsidRPr="00252A21" w:rsidRDefault="00252A21" w:rsidP="00252A21">
      <w:pPr>
        <w:spacing w:line="360" w:lineRule="auto"/>
        <w:jc w:val="both"/>
        <w:rPr>
          <w:rFonts w:eastAsia="Calibri"/>
          <w:lang w:val="es-PE" w:eastAsia="en-US"/>
        </w:rPr>
      </w:pPr>
      <w:r w:rsidRPr="00252A21">
        <w:rPr>
          <w:rFonts w:eastAsia="Calibri"/>
          <w:b/>
          <w:bCs/>
          <w:lang w:val="es-PE" w:eastAsia="en-US"/>
        </w:rPr>
        <w:t xml:space="preserve">Métodos: </w:t>
      </w:r>
      <w:r w:rsidRPr="00252A21">
        <w:rPr>
          <w:rFonts w:eastAsia="Calibri"/>
          <w:lang w:val="es-PE" w:eastAsia="en-US"/>
        </w:rPr>
        <w:t xml:space="preserve">Estudio observacional, analítico transversal en 11 987 peruanos de la comunidad de LGBTI, que completaron una encuesta virtual poblacional. El análisis bivariado se realizó mediante las pruebas </w:t>
      </w:r>
      <w:r w:rsidRPr="00252A21">
        <w:rPr>
          <w:rFonts w:eastAsia="Calibri"/>
          <w:i/>
          <w:iCs/>
          <w:lang w:val="es-PE" w:eastAsia="en-US"/>
        </w:rPr>
        <w:t>ji</w:t>
      </w:r>
      <w:r w:rsidRPr="00252A21">
        <w:rPr>
          <w:rFonts w:eastAsia="Calibri"/>
          <w:lang w:val="es-PE" w:eastAsia="en-US"/>
        </w:rPr>
        <w:t xml:space="preserve"> cuadrado de Pearson y t de Student, mientras que el análisis multivariado fue con regresión de Poisson. </w:t>
      </w:r>
    </w:p>
    <w:p w14:paraId="5A6DE101" w14:textId="77777777" w:rsidR="00252A21" w:rsidRPr="00252A21" w:rsidRDefault="00252A21" w:rsidP="00252A21">
      <w:pPr>
        <w:spacing w:line="360" w:lineRule="auto"/>
        <w:jc w:val="both"/>
        <w:rPr>
          <w:rFonts w:eastAsia="Calibri"/>
          <w:lang w:val="es-PE" w:eastAsia="en-US"/>
        </w:rPr>
      </w:pPr>
      <w:r w:rsidRPr="00252A21">
        <w:rPr>
          <w:rFonts w:eastAsia="Calibri"/>
          <w:b/>
          <w:bCs/>
          <w:lang w:val="es-PE" w:eastAsia="en-US"/>
        </w:rPr>
        <w:t>Resultados:</w:t>
      </w:r>
      <w:r w:rsidRPr="00252A21">
        <w:rPr>
          <w:rFonts w:eastAsia="Calibri"/>
          <w:lang w:val="es-PE" w:eastAsia="en-US"/>
        </w:rPr>
        <w:t xml:space="preserve"> El 36,15 % no usa anticoncepción de barrera. Son factores protectores: tener grado de instrucción secundaria (p= 0,042) y superior (p= 0,013), el desconocimiento familiar de ser persona </w:t>
      </w:r>
      <w:r w:rsidRPr="00252A21">
        <w:rPr>
          <w:rFonts w:eastAsia="Calibri"/>
          <w:lang w:val="es-PE" w:eastAsia="en-US"/>
        </w:rPr>
        <w:lastRenderedPageBreak/>
        <w:t xml:space="preserve">LGBTI (p&lt; 0,001; RPa= 0,78) y no presentar pareja sentimental (p&lt; 0,001), mientras que son factores de riesgo: la mayor edad (p= 0,001), no haber recibido información sobre prevención de infecciones de transmisión sexual o virus de inmunodeficiencia humana (p&lt; 0,001) y ser de sexo femenino (p&lt; 0,001). </w:t>
      </w:r>
    </w:p>
    <w:p w14:paraId="445DBFAD" w14:textId="77777777" w:rsidR="00252A21" w:rsidRPr="00252A21" w:rsidRDefault="00252A21" w:rsidP="00252A21">
      <w:pPr>
        <w:spacing w:line="360" w:lineRule="auto"/>
        <w:jc w:val="both"/>
        <w:rPr>
          <w:rFonts w:eastAsia="Calibri"/>
          <w:lang w:val="es-PE" w:eastAsia="en-US"/>
        </w:rPr>
      </w:pPr>
      <w:r w:rsidRPr="00252A21">
        <w:rPr>
          <w:rFonts w:eastAsia="Calibri"/>
          <w:b/>
          <w:bCs/>
          <w:lang w:val="es-PE" w:eastAsia="en-US"/>
        </w:rPr>
        <w:t>Conclusiones:</w:t>
      </w:r>
      <w:r w:rsidRPr="00252A21">
        <w:rPr>
          <w:rFonts w:eastAsia="Calibri"/>
          <w:lang w:val="es-PE" w:eastAsia="en-US"/>
        </w:rPr>
        <w:t xml:space="preserve"> Se identifican como factores de riesgo el tener mayor edad, no haber recibido información sobre prevención de infecciones de transmisión sexual o virus de inmunodeficiencia humana y presentar sexo biológico de mujer, mientras que fueron fatores protectores el contar con grado de instrucción secundaria o superior, que su familia desconozca que es parte de la comunidad de LGBTI peruana y no presentar una pareja estable.</w:t>
      </w:r>
    </w:p>
    <w:p w14:paraId="5B8F214B" w14:textId="77777777" w:rsidR="00252A21" w:rsidRPr="00252A21" w:rsidRDefault="00252A21" w:rsidP="00252A21">
      <w:pPr>
        <w:spacing w:line="360" w:lineRule="auto"/>
        <w:jc w:val="both"/>
        <w:rPr>
          <w:rFonts w:eastAsia="Calibri"/>
          <w:lang w:val="es-PE" w:eastAsia="en-US"/>
        </w:rPr>
      </w:pPr>
      <w:bookmarkStart w:id="1" w:name="_Hlk119175677"/>
      <w:r w:rsidRPr="00252A21">
        <w:rPr>
          <w:rFonts w:eastAsia="Calibri"/>
          <w:b/>
          <w:bCs/>
          <w:lang w:val="es-PE" w:eastAsia="en-US"/>
        </w:rPr>
        <w:t xml:space="preserve">Palabras clave: </w:t>
      </w:r>
      <w:r w:rsidRPr="00252A21">
        <w:rPr>
          <w:rFonts w:eastAsia="Calibri"/>
          <w:lang w:val="es-PE" w:eastAsia="en-US"/>
        </w:rPr>
        <w:t>anticonceptivos; identidad de género; minorías sexuales y de género</w:t>
      </w:r>
      <w:bookmarkEnd w:id="1"/>
      <w:r w:rsidRPr="00252A21">
        <w:rPr>
          <w:rFonts w:eastAsia="Calibri"/>
          <w:lang w:val="es-PE" w:eastAsia="en-US"/>
        </w:rPr>
        <w:t>.</w:t>
      </w:r>
    </w:p>
    <w:p w14:paraId="1CFD2519" w14:textId="77777777" w:rsidR="00252A21" w:rsidRPr="00252A21" w:rsidRDefault="00252A21" w:rsidP="00252A21">
      <w:pPr>
        <w:spacing w:line="360" w:lineRule="auto"/>
        <w:jc w:val="both"/>
        <w:rPr>
          <w:rFonts w:eastAsia="Calibri"/>
          <w:lang w:val="es-PE" w:eastAsia="en-US"/>
        </w:rPr>
      </w:pPr>
    </w:p>
    <w:p w14:paraId="3684E44F" w14:textId="77777777" w:rsidR="00252A21" w:rsidRPr="00252A21" w:rsidRDefault="00252A21" w:rsidP="00252A21">
      <w:pPr>
        <w:spacing w:line="360" w:lineRule="auto"/>
        <w:jc w:val="both"/>
        <w:rPr>
          <w:rFonts w:eastAsia="Calibri"/>
          <w:b/>
          <w:bCs/>
          <w:lang w:val="en-US" w:eastAsia="en-US"/>
        </w:rPr>
      </w:pPr>
      <w:r w:rsidRPr="00252A21">
        <w:rPr>
          <w:rFonts w:eastAsia="Calibri"/>
          <w:b/>
          <w:bCs/>
          <w:lang w:val="en-US" w:eastAsia="en-US"/>
        </w:rPr>
        <w:t>ABSTRACT</w:t>
      </w:r>
    </w:p>
    <w:p w14:paraId="23377554" w14:textId="77777777" w:rsidR="00252A21" w:rsidRPr="00252A21" w:rsidRDefault="00252A21" w:rsidP="00252A21">
      <w:pPr>
        <w:spacing w:line="360" w:lineRule="auto"/>
        <w:jc w:val="both"/>
        <w:rPr>
          <w:rFonts w:eastAsia="Calibri"/>
          <w:lang w:val="en-US" w:eastAsia="en-US"/>
        </w:rPr>
      </w:pPr>
      <w:r w:rsidRPr="00252A21">
        <w:rPr>
          <w:rFonts w:eastAsia="Calibri"/>
          <w:b/>
          <w:bCs/>
          <w:lang w:val="en-US" w:eastAsia="en-US"/>
        </w:rPr>
        <w:t xml:space="preserve">Introduction: </w:t>
      </w:r>
      <w:r w:rsidRPr="00252A21">
        <w:rPr>
          <w:rFonts w:eastAsia="Calibri"/>
          <w:lang w:val="en-US" w:eastAsia="en-US"/>
        </w:rPr>
        <w:t>The non-use of barrier contraceptive methods in the lesbian, gay, transsexual, bisexual and intersex community (LGBTI), can favor the appearance of sexually transmitted infections, however, what characteristics can predispose to avoid using them has not been evaluated.</w:t>
      </w:r>
    </w:p>
    <w:p w14:paraId="219CEE0F" w14:textId="77777777" w:rsidR="00252A21" w:rsidRPr="00252A21" w:rsidRDefault="00252A21" w:rsidP="00252A21">
      <w:pPr>
        <w:spacing w:line="360" w:lineRule="auto"/>
        <w:jc w:val="both"/>
        <w:rPr>
          <w:rFonts w:eastAsia="Calibri"/>
          <w:lang w:val="en-US" w:eastAsia="en-US"/>
        </w:rPr>
      </w:pPr>
      <w:r w:rsidRPr="00252A21">
        <w:rPr>
          <w:rFonts w:eastAsia="Calibri"/>
          <w:b/>
          <w:bCs/>
          <w:lang w:val="en-US" w:eastAsia="en-US"/>
        </w:rPr>
        <w:t>Objective:</w:t>
      </w:r>
      <w:r w:rsidRPr="00252A21">
        <w:rPr>
          <w:rFonts w:eastAsia="Calibri"/>
          <w:lang w:val="en-US" w:eastAsia="en-US"/>
        </w:rPr>
        <w:t xml:space="preserve"> To identify the proportion and factors associated with the non-use of barrier contraceptive methods in the Peruvian LGBTI population. </w:t>
      </w:r>
    </w:p>
    <w:p w14:paraId="1C65876C" w14:textId="77777777" w:rsidR="00252A21" w:rsidRPr="00252A21" w:rsidRDefault="00252A21" w:rsidP="00252A21">
      <w:pPr>
        <w:spacing w:line="360" w:lineRule="auto"/>
        <w:jc w:val="both"/>
        <w:rPr>
          <w:rFonts w:eastAsia="Calibri"/>
          <w:lang w:val="en-US" w:eastAsia="en-US"/>
        </w:rPr>
      </w:pPr>
      <w:r w:rsidRPr="00252A21">
        <w:rPr>
          <w:rFonts w:eastAsia="Calibri"/>
          <w:b/>
          <w:bCs/>
          <w:lang w:val="en-US" w:eastAsia="en-US"/>
        </w:rPr>
        <w:t>Methods:</w:t>
      </w:r>
      <w:r w:rsidRPr="00252A21">
        <w:rPr>
          <w:rFonts w:eastAsia="Calibri"/>
          <w:lang w:val="en-US" w:eastAsia="en-US"/>
        </w:rPr>
        <w:t xml:space="preserve"> Cross-sectional analytical design study with 11,987 participants, identified as part of the Peruvian LGBTI, who completed a virtual population survey. Bivariate analysis was performed using Pearson's Chi-square and Student's T tests, while multivariate analysis was performed using Poisson Regression. </w:t>
      </w:r>
    </w:p>
    <w:p w14:paraId="7E090921" w14:textId="77777777" w:rsidR="00252A21" w:rsidRPr="00252A21" w:rsidRDefault="00252A21" w:rsidP="00252A21">
      <w:pPr>
        <w:spacing w:line="360" w:lineRule="auto"/>
        <w:jc w:val="both"/>
        <w:rPr>
          <w:rFonts w:eastAsia="Calibri"/>
          <w:lang w:val="en-US" w:eastAsia="en-US"/>
        </w:rPr>
      </w:pPr>
      <w:r w:rsidRPr="00252A21">
        <w:rPr>
          <w:rFonts w:eastAsia="Calibri"/>
          <w:b/>
          <w:bCs/>
          <w:lang w:val="en-US" w:eastAsia="en-US"/>
        </w:rPr>
        <w:t>Results:</w:t>
      </w:r>
      <w:r w:rsidRPr="00252A21">
        <w:rPr>
          <w:rFonts w:eastAsia="Calibri"/>
          <w:lang w:val="en-US" w:eastAsia="en-US"/>
        </w:rPr>
        <w:t xml:space="preserve"> 36.15% do not use barrier contraception. The protective factors are: having a secondary education level (p= 0.042) and higher (p= 0.013), family ignorance of being a LGBTI person (p&lt; 0.001; RPa= 0.78) and not presenting a sentimental partner (p&lt; 0.001), while the following are risk factors: older age (p= 0.001), not having received information on the prevention of sexually transmitted infections or human immunodeficiency virus (p&lt; 0.001) and being female (p&lt; 0.001). </w:t>
      </w:r>
    </w:p>
    <w:p w14:paraId="3BB04175" w14:textId="77777777" w:rsidR="00252A21" w:rsidRPr="00252A21" w:rsidRDefault="00252A21" w:rsidP="00252A21">
      <w:pPr>
        <w:spacing w:line="360" w:lineRule="auto"/>
        <w:jc w:val="both"/>
        <w:rPr>
          <w:rFonts w:eastAsia="Calibri"/>
          <w:lang w:val="en-US" w:eastAsia="en-US"/>
        </w:rPr>
      </w:pPr>
      <w:r w:rsidRPr="00252A21">
        <w:rPr>
          <w:rFonts w:eastAsia="Calibri"/>
          <w:b/>
          <w:bCs/>
          <w:lang w:val="en-US" w:eastAsia="en-US"/>
        </w:rPr>
        <w:t>Conclusions:</w:t>
      </w:r>
      <w:r w:rsidRPr="00252A21">
        <w:rPr>
          <w:rFonts w:eastAsia="Calibri"/>
          <w:lang w:val="en-US" w:eastAsia="en-US"/>
        </w:rPr>
        <w:t xml:space="preserve"> Being older, not having received information on sexually transmitted infections or human immunodeficiency virus prevention, and having the biological sex of a woman were identified as risk </w:t>
      </w:r>
      <w:r w:rsidRPr="00252A21">
        <w:rPr>
          <w:rFonts w:eastAsia="Calibri"/>
          <w:lang w:val="en-US" w:eastAsia="en-US"/>
        </w:rPr>
        <w:lastRenderedPageBreak/>
        <w:t>factors, while having a secondary or higher level of education, that his family does not know that he is part of it, were protective factors from the LGBTI community and not presenting a stable partner.</w:t>
      </w:r>
    </w:p>
    <w:p w14:paraId="73CBF2C1" w14:textId="77777777" w:rsidR="00252A21" w:rsidRPr="00252A21" w:rsidRDefault="00252A21" w:rsidP="00252A21">
      <w:pPr>
        <w:spacing w:line="360" w:lineRule="auto"/>
        <w:jc w:val="both"/>
        <w:rPr>
          <w:rFonts w:eastAsia="Calibri"/>
          <w:lang w:val="en-US" w:eastAsia="en-US"/>
        </w:rPr>
      </w:pPr>
      <w:r w:rsidRPr="00252A21">
        <w:rPr>
          <w:rFonts w:eastAsia="Calibri"/>
          <w:b/>
          <w:bCs/>
          <w:lang w:val="en-US" w:eastAsia="en-US"/>
        </w:rPr>
        <w:t xml:space="preserve">Keywords: </w:t>
      </w:r>
      <w:r w:rsidRPr="00252A21">
        <w:rPr>
          <w:rFonts w:eastAsia="Calibri"/>
          <w:lang w:val="en-US" w:eastAsia="en-US"/>
        </w:rPr>
        <w:t>contraceptives; gender identity; sexual and gender minorities.</w:t>
      </w:r>
    </w:p>
    <w:p w14:paraId="722CBA5D" w14:textId="77777777" w:rsidR="00252A21" w:rsidRPr="00252A21" w:rsidRDefault="00252A21" w:rsidP="00252A21">
      <w:pPr>
        <w:spacing w:line="360" w:lineRule="auto"/>
        <w:jc w:val="both"/>
        <w:rPr>
          <w:rFonts w:eastAsia="Calibri"/>
          <w:lang w:val="en-US" w:eastAsia="en-US"/>
        </w:rPr>
      </w:pPr>
    </w:p>
    <w:p w14:paraId="38F6837D" w14:textId="77777777" w:rsidR="00252A21" w:rsidRPr="00252A21" w:rsidRDefault="00252A21" w:rsidP="00252A21">
      <w:pPr>
        <w:spacing w:line="360" w:lineRule="auto"/>
        <w:jc w:val="both"/>
        <w:rPr>
          <w:rFonts w:eastAsia="Calibri"/>
          <w:lang w:val="en-US" w:eastAsia="en-US"/>
        </w:rPr>
      </w:pPr>
    </w:p>
    <w:p w14:paraId="641F1612" w14:textId="77777777" w:rsidR="00252A21" w:rsidRPr="00252A21" w:rsidRDefault="00252A21" w:rsidP="00252A21">
      <w:pPr>
        <w:spacing w:line="360" w:lineRule="auto"/>
        <w:jc w:val="both"/>
        <w:rPr>
          <w:rFonts w:eastAsia="Calibri"/>
          <w:lang w:val="es-PE" w:eastAsia="en-US"/>
        </w:rPr>
      </w:pPr>
      <w:r w:rsidRPr="00252A21">
        <w:rPr>
          <w:rFonts w:eastAsia="Calibri"/>
          <w:lang w:val="es-PE" w:eastAsia="en-US"/>
        </w:rPr>
        <w:t>Recibido: 17/12/2022</w:t>
      </w:r>
    </w:p>
    <w:p w14:paraId="179E8B35" w14:textId="77777777" w:rsidR="00252A21" w:rsidRPr="00252A21" w:rsidRDefault="00252A21" w:rsidP="00252A21">
      <w:pPr>
        <w:spacing w:line="360" w:lineRule="auto"/>
        <w:jc w:val="both"/>
        <w:rPr>
          <w:rFonts w:eastAsia="Calibri"/>
          <w:lang w:val="es-PE" w:eastAsia="en-US"/>
        </w:rPr>
      </w:pPr>
      <w:r w:rsidRPr="00252A21">
        <w:rPr>
          <w:rFonts w:eastAsia="Calibri"/>
          <w:lang w:val="es-PE" w:eastAsia="en-US"/>
        </w:rPr>
        <w:t>Aprobado: 22/07/2023</w:t>
      </w:r>
    </w:p>
    <w:p w14:paraId="384F1B7D" w14:textId="77777777" w:rsidR="00252A21" w:rsidRPr="00252A21" w:rsidRDefault="00252A21" w:rsidP="00252A21">
      <w:pPr>
        <w:spacing w:line="360" w:lineRule="auto"/>
        <w:jc w:val="both"/>
        <w:rPr>
          <w:rFonts w:eastAsia="Calibri"/>
          <w:lang w:val="es-PE" w:eastAsia="en-US"/>
        </w:rPr>
      </w:pPr>
    </w:p>
    <w:p w14:paraId="4DDE5CD5" w14:textId="77777777" w:rsidR="00252A21" w:rsidRPr="00252A21" w:rsidRDefault="00252A21" w:rsidP="00252A21">
      <w:pPr>
        <w:spacing w:line="360" w:lineRule="auto"/>
        <w:jc w:val="both"/>
        <w:rPr>
          <w:rFonts w:eastAsia="Calibri"/>
          <w:lang w:val="es-PE" w:eastAsia="en-US"/>
        </w:rPr>
      </w:pPr>
    </w:p>
    <w:p w14:paraId="669C29B9" w14:textId="77777777" w:rsidR="00252A21" w:rsidRPr="00252A21" w:rsidRDefault="00252A21" w:rsidP="00252A21">
      <w:pPr>
        <w:spacing w:line="360" w:lineRule="auto"/>
        <w:jc w:val="center"/>
        <w:rPr>
          <w:rFonts w:eastAsia="Calibri"/>
          <w:b/>
          <w:bCs/>
          <w:sz w:val="32"/>
          <w:szCs w:val="32"/>
          <w:lang w:val="es-PE" w:eastAsia="en-US"/>
        </w:rPr>
      </w:pPr>
      <w:r w:rsidRPr="00252A21">
        <w:rPr>
          <w:rFonts w:eastAsia="Calibri"/>
          <w:b/>
          <w:bCs/>
          <w:sz w:val="32"/>
          <w:szCs w:val="32"/>
          <w:lang w:val="es-PE" w:eastAsia="en-US"/>
        </w:rPr>
        <w:t>INTRODUCCIÓN</w:t>
      </w:r>
    </w:p>
    <w:p w14:paraId="0FF98FF4" w14:textId="77777777" w:rsidR="00252A21" w:rsidRPr="00252A21" w:rsidRDefault="00252A21" w:rsidP="00252A21">
      <w:pPr>
        <w:spacing w:line="360" w:lineRule="auto"/>
        <w:jc w:val="both"/>
        <w:rPr>
          <w:rFonts w:eastAsia="Calibri"/>
          <w:lang w:val="es-PE" w:eastAsia="en-US"/>
        </w:rPr>
      </w:pPr>
      <w:bookmarkStart w:id="2" w:name="_Hlk133678440"/>
      <w:r w:rsidRPr="00252A21">
        <w:rPr>
          <w:rFonts w:eastAsia="Calibri"/>
          <w:lang w:val="es-PE" w:eastAsia="en-US"/>
        </w:rPr>
        <w:t>La población de lesbianas, gais, bisexuales, trans e intersexuales (LGBTI) presenta diversas necesidades no satisfechas que, vinculadas a la discriminación de la cual son víctimas,</w:t>
      </w:r>
      <w:r w:rsidRPr="00252A21">
        <w:rPr>
          <w:rFonts w:eastAsia="Calibri"/>
          <w:vertAlign w:val="superscript"/>
          <w:lang w:val="es-PE" w:eastAsia="en-US"/>
        </w:rPr>
        <w:t>(1)</w:t>
      </w:r>
      <w:r w:rsidRPr="00252A21">
        <w:rPr>
          <w:rFonts w:eastAsia="Calibri"/>
          <w:lang w:val="es-PE" w:eastAsia="en-US"/>
        </w:rPr>
        <w:t xml:space="preserve"> ha favorecido que presenten mayor tasa de infección por el virus de inmunodeficiencia humana (VIH).</w:t>
      </w:r>
      <w:r w:rsidRPr="00252A21">
        <w:rPr>
          <w:rFonts w:eastAsia="Calibri"/>
          <w:vertAlign w:val="superscript"/>
          <w:lang w:val="es-PE" w:eastAsia="en-US"/>
        </w:rPr>
        <w:t>(2)</w:t>
      </w:r>
      <w:r w:rsidRPr="00252A21">
        <w:rPr>
          <w:rFonts w:eastAsia="Calibri"/>
          <w:lang w:val="es-PE" w:eastAsia="en-US"/>
        </w:rPr>
        <w:t xml:space="preserve"> La prevalencia de infección por VIH en hombres que tienen sexo con hombres y mujeres transexuales es 15 y 20 veces mayor respectivamente, que la población general y se incrementa en muchos países.</w:t>
      </w:r>
      <w:r w:rsidRPr="00252A21">
        <w:rPr>
          <w:rFonts w:eastAsia="Calibri"/>
          <w:vertAlign w:val="superscript"/>
          <w:lang w:val="es-PE" w:eastAsia="en-US"/>
        </w:rPr>
        <w:t>(3,4,5)</w:t>
      </w:r>
      <w:r w:rsidRPr="00252A21">
        <w:rPr>
          <w:rFonts w:eastAsia="Calibri"/>
          <w:lang w:val="es-PE" w:eastAsia="en-US"/>
        </w:rPr>
        <w:t xml:space="preserve"> En gran medida esta problemática obedece a la falta de competencias del sistema de salud para abordar las disparidades en esta población vulnerable.</w:t>
      </w:r>
      <w:r w:rsidRPr="00252A21">
        <w:rPr>
          <w:rFonts w:eastAsia="Calibri"/>
          <w:vertAlign w:val="superscript"/>
          <w:lang w:val="es-PE" w:eastAsia="en-US"/>
        </w:rPr>
        <w:t>(6)</w:t>
      </w:r>
    </w:p>
    <w:p w14:paraId="74142CC6" w14:textId="77777777" w:rsidR="00252A21" w:rsidRPr="00252A21" w:rsidRDefault="00252A21" w:rsidP="00252A21">
      <w:pPr>
        <w:spacing w:line="360" w:lineRule="auto"/>
        <w:jc w:val="both"/>
        <w:rPr>
          <w:rFonts w:eastAsia="Calibri"/>
          <w:lang w:val="es-PE" w:eastAsia="en-US"/>
        </w:rPr>
      </w:pPr>
      <w:r w:rsidRPr="00252A21">
        <w:rPr>
          <w:rFonts w:eastAsia="Calibri"/>
          <w:lang w:val="es-PE" w:eastAsia="en-US"/>
        </w:rPr>
        <w:t>La principal vía de transmisión del VIH en esta población son las relaciones sexuales sin uso de métodos anticonceptivos de barrera, pese a que sigue siendo la mejor herramienta de prevención.</w:t>
      </w:r>
      <w:r w:rsidRPr="00252A21">
        <w:rPr>
          <w:rFonts w:eastAsia="Calibri"/>
          <w:vertAlign w:val="superscript"/>
          <w:lang w:val="es-PE" w:eastAsia="en-US"/>
        </w:rPr>
        <w:t>(7,8)</w:t>
      </w:r>
      <w:r w:rsidRPr="00252A21">
        <w:rPr>
          <w:rFonts w:eastAsia="Calibri"/>
          <w:lang w:val="es-PE" w:eastAsia="en-US"/>
        </w:rPr>
        <w:t xml:space="preserve"> Entre los determinantes asociados al no uso del método anticonceptivo se reporta el consumo de alcohol previo al coito,</w:t>
      </w:r>
      <w:r w:rsidRPr="00252A21">
        <w:rPr>
          <w:rFonts w:eastAsia="Calibri"/>
          <w:vertAlign w:val="superscript"/>
          <w:lang w:val="es-PE" w:eastAsia="en-US"/>
        </w:rPr>
        <w:t>(9)</w:t>
      </w:r>
      <w:r w:rsidRPr="00252A21">
        <w:rPr>
          <w:rFonts w:eastAsia="Calibri"/>
          <w:lang w:val="es-PE" w:eastAsia="en-US"/>
        </w:rPr>
        <w:t xml:space="preserve"> la molestia al utilizar preservativos,</w:t>
      </w:r>
      <w:r w:rsidRPr="00252A21">
        <w:rPr>
          <w:rFonts w:eastAsia="Calibri"/>
          <w:vertAlign w:val="superscript"/>
          <w:lang w:val="es-PE" w:eastAsia="en-US"/>
        </w:rPr>
        <w:t>(10)</w:t>
      </w:r>
      <w:r w:rsidRPr="00252A21">
        <w:rPr>
          <w:rFonts w:eastAsia="Calibri"/>
          <w:lang w:val="es-PE" w:eastAsia="en-US"/>
        </w:rPr>
        <w:t xml:space="preserve"> la ausencia de profesionales con formación y sensibilización en la temática LGTBI,</w:t>
      </w:r>
      <w:r w:rsidRPr="00252A21">
        <w:rPr>
          <w:rFonts w:eastAsia="Calibri"/>
          <w:vertAlign w:val="superscript"/>
          <w:lang w:val="es-PE" w:eastAsia="en-US"/>
        </w:rPr>
        <w:fldChar w:fldCharType="begin"/>
      </w:r>
      <w:r w:rsidRPr="00252A21">
        <w:rPr>
          <w:rFonts w:eastAsia="Calibri"/>
          <w:vertAlign w:val="superscript"/>
          <w:lang w:val="es-PE" w:eastAsia="en-US"/>
        </w:rPr>
        <w:instrText xml:space="preserve"> ADDIN ZOTERO_ITEM CSL_CITATION {"citationID":"mG8ZkKn8","properties":{"formattedCitation":"(9)","plainCitation":"(9)","noteIndex":0},"citationItems":[{"id":494,"uris":["http://zotero.org/users/local/EDRS0uWj/items/F9E27ZT8"],"uri":["http://zotero.org/users/local/EDRS0uWj/items/F9E27ZT8"],"itemData":{"id":494,"type":"article-journal","abstract":"OBJECTIVE: to describe and analyze the scientific production on health care for Lesbians, Gays, Bisexuals, Transvestites, Transsexuals, Transgenders, Intersex (LGBTI+) and other variations of gender or sexual orientation living in Nursing Homes (NHs).\nMETHODS: a scoping review, in which PubMed, Web of Science, Scopus and Virtual Health Library databases were analyzed and studies from other sources were added. After assessment by two independent reviewers, 19 publications were selected to compose the sample.\nRESULTS: the studies were grouped into two categories.\nFINAL CONSIDERATIONS: NHs are configured as spaces that are not very inclusive, where LGBTI+ elders' demands are not considered due to the cis-heteronormativity in force in these places. Training and awareness of health professionals on the LGBTI+ theme is a tool that can make such spaces more inclusive for this population.","container-title":"Revista Brasileira De Enfermagem","DOI":"10.1590/0034-7167-2020-0403","ISSN":"1984-0446","issue":"Suppl 2","journalAbbreviation":"Rev Bras Enferm","language":"eng, por","note":"PMID: 33759943","page":"e20200403","source":"PubMed","title":"Health care for LGBTI+ elders living in Nursing Homes","volume":"74Suppl 2","author":[{"family":"Silva Junior","given":"Jumar Reis","dropping-particle":"da"},{"family":"França","given":"Letícia Diniz"},{"family":"Rosa","given":"Anderson"},{"family":"Neves","given":"Vanessa Ribeiro"},{"family":"Siqueira","given":"Lucíola D'Emery"}],"issued":{"date-parts":[["2021"]]}}}],"schema":"https://github.com/citation-style-language/schema/raw/master/csl-citation.json"} </w:instrText>
      </w:r>
      <w:r w:rsidRPr="00252A21">
        <w:rPr>
          <w:rFonts w:eastAsia="Calibri"/>
          <w:vertAlign w:val="superscript"/>
          <w:lang w:val="es-PE" w:eastAsia="en-US"/>
        </w:rPr>
        <w:fldChar w:fldCharType="separate"/>
      </w:r>
      <w:r w:rsidRPr="00252A21">
        <w:rPr>
          <w:rFonts w:eastAsia="Calibri"/>
          <w:vertAlign w:val="superscript"/>
          <w:lang w:val="es-PE" w:eastAsia="en-US"/>
        </w:rPr>
        <w:t>(11)</w:t>
      </w:r>
      <w:r w:rsidRPr="00252A21">
        <w:rPr>
          <w:rFonts w:eastAsia="Calibri"/>
          <w:vertAlign w:val="superscript"/>
          <w:lang w:val="es-PE" w:eastAsia="en-US"/>
        </w:rPr>
        <w:fldChar w:fldCharType="end"/>
      </w:r>
      <w:r w:rsidRPr="00252A21">
        <w:rPr>
          <w:rFonts w:eastAsia="Calibri"/>
          <w:lang w:val="es-PE" w:eastAsia="en-US"/>
        </w:rPr>
        <w:t xml:space="preserve"> la ausencia de una educación sexual integral e inclusiva</w:t>
      </w:r>
      <w:r w:rsidRPr="00252A21">
        <w:rPr>
          <w:rFonts w:eastAsia="Calibri"/>
          <w:vertAlign w:val="superscript"/>
          <w:lang w:val="es-PE" w:eastAsia="en-US"/>
        </w:rPr>
        <w:fldChar w:fldCharType="begin"/>
      </w:r>
      <w:r w:rsidRPr="00252A21">
        <w:rPr>
          <w:rFonts w:eastAsia="Calibri"/>
          <w:vertAlign w:val="superscript"/>
          <w:lang w:val="es-PE" w:eastAsia="en-US"/>
        </w:rPr>
        <w:instrText xml:space="preserve"> ADDIN ZOTERO_ITEM CSL_CITATION {"citationID":"xYgv5jKl","properties":{"formattedCitation":"(10)","plainCitation":"(10)","noteIndex":0},"citationItems":[{"id":492,"uris":["http://zotero.org/users/local/EDRS0uWj/items/QD6IL6D9"],"uri":["http://zotero.org/users/local/EDRS0uWj/items/QD6IL6D9"],"itemData":{"id":492,"type":"article-journal","abstract":"OBJECTIVES: To critically appraise and synthesise the evidence in relation to both the receipt and delivery of LGBTI+ (Lesbian, Gay, Bisexual, Transgender, Intersex) inclusive sexual health education.\nDESIGN: A systematic review and narrative synthesis.\nDATA SOURCES: A systematic search of three online databases (EMBASE, PsychINFO and SocINDEX) from January 1990 to May 2021 was conducted.\nELIGIBILITY CRITERIA: Studies included were (1) peer-reviewed; (2) English; (3) quantitative, qualitative and mixed methods; that evaluated (4) inclusive sexual health in an educational or online setting and (5) focused on training or educating. Studies were excluded if (1) the population was not LGBTI+ inclusive; (2) the studies did not focus on original data or (3) the study was not available in full text.\nDATA EXTRACTION AND SYNTHESIS: The studies that met the inclusion criteria were assessed using the Critical Appraisal Skills Programme tool. A narrative synthesis was then completed employing content analysis focusing on the results section of each article.\nRESULTS: Of the 5656 records retrieved, 24 studies met the inclusion criteria. The majority of studies noted that both LGBTI+ youth and those who facilitate sexual health education are turning to online sources of information. Current sexual health education programmes operate mainly from a heterosexual perspective, creating a sense of exclusion for LGBTI+ youth. This is compounded by a lack of training, or provision of an inclusive curricula, resulting in facilitators feeling ill equipped or inhibited by their personal biases.\nCONCLUSIONS: LGBTI+ youth are not experiencing inclusive and comprehensive sexual health education. In parallel, educators report poor access to information, training and resources remain the primary reasons. There is a need to standardise sexual health curricula, making them LGBTI+ inclusive and incorporate holistic aspects of health such as pleasure and healthy relationships. Online approaches should be considered in the future, as they represent equality of access for both sexual health education professionals and LGBTI+ youth alike.","container-title":"BMJ open","DOI":"10.1136/bmjopen-2020-047856","ISSN":"2044-6055","issue":"9","journalAbbreviation":"BMJ Open","language":"eng","note":"PMID: 34475162\nPMCID: PMC8413959","page":"e047856","source":"PubMed","title":"Examining LGBTI+ inclusive sexual health education from the perspective of both youth and facilitators: a systematic review","title-short":"Examining LGBTI+ inclusive sexual health education from the perspective of both youth and facilitators","volume":"11","author":[{"family":"O'Farrell","given":"Muire"},{"family":"Corcoran","given":"Phil"},{"family":"Davoren","given":"Martin P."}],"issued":{"date-parts":[["2021",9,2]]}}}],"schema":"https://github.com/citation-style-language/schema/raw/master/csl-citation.json"} </w:instrText>
      </w:r>
      <w:r w:rsidRPr="00252A21">
        <w:rPr>
          <w:rFonts w:eastAsia="Calibri"/>
          <w:vertAlign w:val="superscript"/>
          <w:lang w:val="es-PE" w:eastAsia="en-US"/>
        </w:rPr>
        <w:fldChar w:fldCharType="separate"/>
      </w:r>
      <w:r w:rsidRPr="00252A21">
        <w:rPr>
          <w:rFonts w:eastAsia="Calibri"/>
          <w:vertAlign w:val="superscript"/>
          <w:lang w:val="es-PE" w:eastAsia="en-US"/>
        </w:rPr>
        <w:t>(12)</w:t>
      </w:r>
      <w:r w:rsidRPr="00252A21">
        <w:rPr>
          <w:rFonts w:eastAsia="Calibri"/>
          <w:vertAlign w:val="superscript"/>
          <w:lang w:val="es-PE" w:eastAsia="en-US"/>
        </w:rPr>
        <w:fldChar w:fldCharType="end"/>
      </w:r>
      <w:r w:rsidRPr="00252A21">
        <w:rPr>
          <w:rFonts w:eastAsia="Calibri"/>
          <w:lang w:val="es-PE" w:eastAsia="en-US"/>
        </w:rPr>
        <w:t xml:space="preserve"> y las limitaciones para acceder al sistema de salud.</w:t>
      </w:r>
      <w:r w:rsidRPr="00252A21">
        <w:rPr>
          <w:rFonts w:eastAsia="Calibri"/>
          <w:vertAlign w:val="superscript"/>
          <w:lang w:val="es-PE" w:eastAsia="en-US"/>
        </w:rPr>
        <w:fldChar w:fldCharType="begin"/>
      </w:r>
      <w:r w:rsidRPr="00252A21">
        <w:rPr>
          <w:rFonts w:eastAsia="Calibri"/>
          <w:vertAlign w:val="superscript"/>
          <w:lang w:val="es-PE" w:eastAsia="en-US"/>
        </w:rPr>
        <w:instrText xml:space="preserve"> ADDIN ZOTERO_ITEM CSL_CITATION {"citationID":"nXUtJ53H","properties":{"formattedCitation":"(11)","plainCitation":"(11)","noteIndex":0},"citationItems":[{"id":497,"uris":["http://zotero.org/users/local/EDRS0uWj/items/4UFZ4YCQ"],"uri":["http://zotero.org/users/local/EDRS0uWj/items/4UFZ4YCQ"],"itemData":{"id":497,"type":"article-journal","abstract":"AIM: Our objective was to explore the difficulties experienced by transgender people in accessing primary health-care services and their expectations towards primary care providers to improve their health-care access.\nBACKGROUND: Because transgender people are exposed to many discriminations, their health-care access is particularly poor. Guidelines recommend greater involvement of primary care providers in the processes because of the accessibility feature of primary care services.\nMETHODS: A qualitative study using semi-directed interviews was conducted among 27 transgender people (February 2018 - August 2018). These voluntary participants were recruited through different means: local trans or LGBTI (lesbian, gay, bisexual, trans, and/or intersex) associations, primary care providers, and social networks. The data analysis was based on reflexive thematic analysis in an inductive approach.\nFINDINGS: Difficulties in accessing health-care occurred at all the levels of the primary health-care system: primary care providers - transgender people interaction, access to the primary care team facility (starting with the secretariat), access to secondary care specialists, and continuity of care. Transgender people report ill-adapted health-care services as a result of gender-based identification in health-care settings. Their main expectation was depsychiatrization and self-determination. They supported mixed health network comprising primary care providers and transgender people with a coordinating role for the general practitioner. These expectations should be priorities to consider in our primary health-care system to improve access to health-care for transgender people.","container-title":"Primary Health Care Research &amp; Development","DOI":"10.1017/S1463423620000638","ISSN":"1477-1128","journalAbbreviation":"Prim Health Care Res Dev","language":"eng","note":"PMID: 33323162\nPMCID: PMC7801925","page":"e62","source":"PubMed","title":"The expectations of transgender people in the face of their health-care access difficulties and how they can be overcome. A qualitative study in France","volume":"21","author":[{"family":"Allory","given":"Emmanuel"},{"family":"Duval","given":"Ellie"},{"family":"Caroff","given":"Marion"},{"family":"Kendir","given":"Candan"},{"family":"Magnan","given":"Raphaël"},{"family":"Brau","given":"Bernard"},{"family":"Lapadu-Hargue","given":"Elinore"},{"family":"Chhor","given":"Sidonie"}],"issued":{"date-parts":[["2020",12,16]]}}}],"schema":"https://github.com/citation-style-language/schema/raw/master/csl-citation.json"} </w:instrText>
      </w:r>
      <w:r w:rsidRPr="00252A21">
        <w:rPr>
          <w:rFonts w:eastAsia="Calibri"/>
          <w:vertAlign w:val="superscript"/>
          <w:lang w:val="es-PE" w:eastAsia="en-US"/>
        </w:rPr>
        <w:fldChar w:fldCharType="separate"/>
      </w:r>
      <w:r w:rsidRPr="00252A21">
        <w:rPr>
          <w:rFonts w:eastAsia="Calibri"/>
          <w:vertAlign w:val="superscript"/>
          <w:lang w:val="es-PE" w:eastAsia="en-US"/>
        </w:rPr>
        <w:t>(13)</w:t>
      </w:r>
      <w:r w:rsidRPr="00252A21">
        <w:rPr>
          <w:rFonts w:eastAsia="Calibri"/>
          <w:vertAlign w:val="superscript"/>
          <w:lang w:val="es-PE" w:eastAsia="en-US"/>
        </w:rPr>
        <w:fldChar w:fldCharType="end"/>
      </w:r>
      <w:r w:rsidRPr="00252A21">
        <w:rPr>
          <w:rFonts w:eastAsia="Calibri"/>
          <w:lang w:val="es-PE" w:eastAsia="en-US"/>
        </w:rPr>
        <w:t xml:space="preserve"> A pesar de la evidencia disponible, el conocimiento de los determinantes aún es escaso y no permiten enfocar adecuadamente los programas de lucha contra el VIH y las infecciones de transmisión sexual (ITS).</w:t>
      </w:r>
      <w:r w:rsidRPr="00252A21">
        <w:rPr>
          <w:rFonts w:eastAsia="Calibri"/>
          <w:vertAlign w:val="superscript"/>
          <w:lang w:val="es-PE" w:eastAsia="en-US"/>
        </w:rPr>
        <w:fldChar w:fldCharType="begin"/>
      </w:r>
      <w:r w:rsidRPr="00252A21">
        <w:rPr>
          <w:rFonts w:eastAsia="Calibri"/>
          <w:vertAlign w:val="superscript"/>
          <w:lang w:val="es-PE" w:eastAsia="en-US"/>
        </w:rPr>
        <w:instrText xml:space="preserve"> ADDIN ZOTERO_ITEM CSL_CITATION {"citationID":"he58fikq","properties":{"formattedCitation":"(12,13)","plainCitation":"(12,13)","noteIndex":0},"citationItems":[{"id":476,"uris":["http://zotero.org/users/local/EDRS0uWj/items/8P4UADFC"],"uri":["http://zotero.org/users/local/EDRS0uWj/items/8P4UADFC"],"itemData":{"id":476,"type":"article-journal","container-title":"Enfermería Global","DOI":"10.6018/eglobal.16.2.245451","ISSN":"1695-6141","issue":"46","page":"50-93","source":"SciELO","title":"Factores asociados con el uso del preservativo entre hombres jóvenes que tienen sexo con hombres","volume":"16","author":[{"family":"Fonte","given":"Vinícius Rodrigues Fernandes","non-dropping-particle":"da","dropping-particle":"da"},{"family":"Pinheiro","given":"Carina D’Onofrio Prince"},{"family":"Barcelos","given":"Nathália de Souza"},{"family":"Costa","given":"Cristiane Maria Amorim"},{"family":"Ribeiro","given":"Francisco Marcio Tadeu"},{"family":"Spindola","given":"Thelma"}],"issued":{"date-parts":[["2017"]]}}},{"id":500,"uris":["http://zotero.org/users/local/EDRS0uWj/items/QDYKHJSV"],"uri":["http://zotero.org/users/local/EDRS0uWj/items/QDYKHJSV"],"itemData":{"id":500,"type":"article-journal","abstract":"BACKGROUND: Lesbian, gay, bisexual, trans and intersex (LGBTI) people experience significant health inequalities. Located within a European Commission funded pilot project, this paper presents a review of the health inequalities faced by LGBTI people and the barriers health professionals encounter when providing care.\nMETHODS: A narrative synthesis of 57 papers including systematic reviews, narrative reviews, meta-analyses and primary research. Literature was searched in Cochrane, Campbell Collaboration, Web of Science, CINAHL, PsychINFO and Medline. The review was undertaken to promote understanding of the causes and range of inequalities, as well as how to reduce inequalities.\nRESULTS: LGBTI people are more likely to experience health inequalities due to heteronormativity or heterosexism, minority stress, experiences of victimization and discrimination, compounded by stigma. Inequalities pertaining to LGBTI health(care) vary depending on gender, age, income and disability as well as between LGBTI groupings. Gaps in the literature remain around how these factors intersect to influence health, with further large-scale research needed particularly regarding trans and intersex people.\nCONCLUSION: Health inequalities can be addressed via changes in policy, research and in practice through health services that accommodate the needs of LGBTI people. With improved training to address gaps in their knowledge of LGBTI health and healthcare, health professionals should work in collaboration with LGBTI people to address a range of barriers that prevent access to care. Through structural change combined with increased knowledge and understanding, services can potentially become more inclusive and equally accessible to all.","container-title":"European Journal of Public Health","DOI":"10.1093/eurpub/cky226","ISSN":"1464-360X","issue":"5","journalAbbreviation":"Eur J Public Health","language":"eng","note":"PMID: 30380045\nPMCID: PMC6761838","page":"974-980","source":"PubMed","title":"A review of lesbian, gay, bisexual, trans and intersex (LGBTI) health and healthcare inequalities","volume":"29","author":[{"family":"Zeeman","given":"Laetitia"},{"family":"Sherriff","given":"Nigel"},{"family":"Browne","given":"Kath"},{"family":"McGlynn","given":"Nick"},{"family":"Mirandola","given":"Massimo"},{"family":"Gios","given":"Lorenzo"},{"family":"Davis","given":"Ruth"},{"family":"Sanchez-Lambert","given":"Juliette"},{"family":"Aujean","given":"Sophie"},{"family":"Pinto","given":"Nuno"},{"family":"Farinella","given":"Francesco"},{"family":"Donisi","given":"Valeria"},{"family":"Niedźwiedzka-Stadnik","given":"Marta"},{"family":"Rosińska","given":"Magdalena"},{"family":"Pierson","given":"Anne"},{"family":"Amaddeo","given":"Francesco"},{"literal":"Health4LGBTI Network"}],"issued":{"date-parts":[["2019",10,1]]}}}],"schema":"https://github.com/citation-style-language/schema/raw/master/csl-citation.json"} </w:instrText>
      </w:r>
      <w:r w:rsidRPr="00252A21">
        <w:rPr>
          <w:rFonts w:eastAsia="Calibri"/>
          <w:vertAlign w:val="superscript"/>
          <w:lang w:val="es-PE" w:eastAsia="en-US"/>
        </w:rPr>
        <w:fldChar w:fldCharType="separate"/>
      </w:r>
      <w:r w:rsidRPr="00252A21">
        <w:rPr>
          <w:rFonts w:eastAsia="Calibri"/>
          <w:vertAlign w:val="superscript"/>
          <w:lang w:val="es-PE" w:eastAsia="en-US"/>
        </w:rPr>
        <w:t>(14,15)</w:t>
      </w:r>
      <w:r w:rsidRPr="00252A21">
        <w:rPr>
          <w:rFonts w:eastAsia="Calibri"/>
          <w:vertAlign w:val="superscript"/>
          <w:lang w:val="es-PE" w:eastAsia="en-US"/>
        </w:rPr>
        <w:fldChar w:fldCharType="end"/>
      </w:r>
    </w:p>
    <w:p w14:paraId="45069D6B" w14:textId="77777777" w:rsidR="00252A21" w:rsidRPr="00252A21" w:rsidRDefault="00252A21" w:rsidP="00252A21">
      <w:pPr>
        <w:spacing w:line="360" w:lineRule="auto"/>
        <w:jc w:val="both"/>
        <w:rPr>
          <w:rFonts w:eastAsia="Calibri"/>
          <w:lang w:val="es-PE" w:eastAsia="en-US"/>
        </w:rPr>
      </w:pPr>
      <w:r w:rsidRPr="00252A21">
        <w:rPr>
          <w:rFonts w:eastAsia="Calibri"/>
          <w:lang w:val="es-PE" w:eastAsia="en-US"/>
        </w:rPr>
        <w:t xml:space="preserve">El presente manuscrito se propone identificar explícitamente los patrones de las características de quienes no utilizan los métodos de barrera, quienes representan a subgrupos con alto riesgo de una infección por VIH. Por otro lado, se espera que esta evidencia permita el desarrollo de planes de mejora focalizados, </w:t>
      </w:r>
      <w:r w:rsidRPr="00252A21">
        <w:rPr>
          <w:rFonts w:eastAsia="Calibri"/>
          <w:lang w:val="es-PE" w:eastAsia="en-US"/>
        </w:rPr>
        <w:lastRenderedPageBreak/>
        <w:t>encaminadas a los objetivos de desarrollo sostenible, de reducir las desigualdades, inclusión social y otros, independientes de la condición LGBTI; en base a tratar los cambios en la política nacional y su práctica desde los servicios de salud.</w:t>
      </w:r>
      <w:r w:rsidRPr="00252A21">
        <w:rPr>
          <w:rFonts w:eastAsia="Calibri"/>
          <w:vertAlign w:val="superscript"/>
          <w:lang w:val="es-PE" w:eastAsia="en-US"/>
        </w:rPr>
        <w:t>(15)</w:t>
      </w:r>
    </w:p>
    <w:p w14:paraId="29D1E485" w14:textId="77777777" w:rsidR="00252A21" w:rsidRPr="00252A21" w:rsidRDefault="00252A21" w:rsidP="00252A21">
      <w:pPr>
        <w:spacing w:line="360" w:lineRule="auto"/>
        <w:jc w:val="both"/>
        <w:rPr>
          <w:rFonts w:eastAsia="Calibri"/>
          <w:lang w:val="es-PE" w:eastAsia="en-US"/>
        </w:rPr>
      </w:pPr>
      <w:r w:rsidRPr="00252A21">
        <w:rPr>
          <w:rFonts w:eastAsia="Calibri"/>
          <w:lang w:val="es-PE" w:eastAsia="en-US"/>
        </w:rPr>
        <w:t>El objetivo del presente estudio es identificar la proporción y factores asociados al no uso métodos anticonceptivos de barrera en la población LGBTI peruana.</w:t>
      </w:r>
    </w:p>
    <w:bookmarkEnd w:id="2"/>
    <w:p w14:paraId="74388334" w14:textId="77777777" w:rsidR="00252A21" w:rsidRPr="00252A21" w:rsidRDefault="00252A21" w:rsidP="00252A21">
      <w:pPr>
        <w:spacing w:line="360" w:lineRule="auto"/>
        <w:jc w:val="both"/>
        <w:rPr>
          <w:rFonts w:eastAsia="Calibri"/>
          <w:lang w:val="es-PE" w:eastAsia="en-US"/>
        </w:rPr>
      </w:pPr>
    </w:p>
    <w:p w14:paraId="370E4745" w14:textId="77777777" w:rsidR="00252A21" w:rsidRPr="00252A21" w:rsidRDefault="00252A21" w:rsidP="00252A21">
      <w:pPr>
        <w:spacing w:line="360" w:lineRule="auto"/>
        <w:jc w:val="both"/>
        <w:rPr>
          <w:rFonts w:eastAsia="Calibri"/>
          <w:lang w:val="es-PE" w:eastAsia="en-US"/>
        </w:rPr>
      </w:pPr>
    </w:p>
    <w:p w14:paraId="39D0F2C4" w14:textId="77777777" w:rsidR="00252A21" w:rsidRPr="00252A21" w:rsidRDefault="00252A21" w:rsidP="00252A21">
      <w:pPr>
        <w:spacing w:line="360" w:lineRule="auto"/>
        <w:jc w:val="center"/>
        <w:rPr>
          <w:rFonts w:eastAsia="Calibri"/>
          <w:b/>
          <w:bCs/>
          <w:sz w:val="32"/>
          <w:szCs w:val="32"/>
          <w:lang w:val="es-PE" w:eastAsia="en-US"/>
        </w:rPr>
      </w:pPr>
      <w:r w:rsidRPr="00252A21">
        <w:rPr>
          <w:rFonts w:eastAsia="Calibri"/>
          <w:b/>
          <w:bCs/>
          <w:sz w:val="32"/>
          <w:szCs w:val="32"/>
          <w:lang w:val="es-PE" w:eastAsia="en-US"/>
        </w:rPr>
        <w:t>MÉTODOS</w:t>
      </w:r>
    </w:p>
    <w:p w14:paraId="1FFE14BC" w14:textId="77777777" w:rsidR="00252A21" w:rsidRPr="00252A21" w:rsidRDefault="00252A21" w:rsidP="00252A21">
      <w:pPr>
        <w:spacing w:line="360" w:lineRule="auto"/>
        <w:jc w:val="center"/>
        <w:rPr>
          <w:rFonts w:eastAsia="Calibri"/>
          <w:b/>
          <w:bCs/>
          <w:sz w:val="28"/>
          <w:szCs w:val="28"/>
          <w:lang w:val="es-PE" w:eastAsia="en-US"/>
        </w:rPr>
      </w:pPr>
      <w:r w:rsidRPr="00252A21">
        <w:rPr>
          <w:rFonts w:eastAsia="Calibri"/>
          <w:b/>
          <w:bCs/>
          <w:sz w:val="28"/>
          <w:szCs w:val="28"/>
          <w:lang w:val="es-PE" w:eastAsia="en-US"/>
        </w:rPr>
        <w:t>Diseño</w:t>
      </w:r>
    </w:p>
    <w:p w14:paraId="716E275E" w14:textId="77777777" w:rsidR="00252A21" w:rsidRPr="00252A21" w:rsidRDefault="00252A21" w:rsidP="00252A21">
      <w:pPr>
        <w:spacing w:line="360" w:lineRule="auto"/>
        <w:jc w:val="both"/>
        <w:rPr>
          <w:rFonts w:eastAsia="Calibri"/>
          <w:lang w:val="es-PE" w:eastAsia="en-US"/>
        </w:rPr>
      </w:pPr>
      <w:r w:rsidRPr="00252A21">
        <w:rPr>
          <w:rFonts w:eastAsia="Calibri"/>
          <w:lang w:val="es-PE" w:eastAsia="en-US"/>
        </w:rPr>
        <w:t>Estudio de diseño observacional, trasversal, de base secundaria: “Primera encuesta virtual para personas LGBTI en el Perú, 2017”</w:t>
      </w:r>
      <w:bookmarkStart w:id="3" w:name="_Hlk86946976"/>
      <w:r w:rsidRPr="00252A21">
        <w:rPr>
          <w:rFonts w:eastAsia="Calibri"/>
          <w:lang w:val="es-PE" w:eastAsia="en-US"/>
        </w:rPr>
        <w:t>, ejecutado por el Instituto Nacional de Estadística e Informática</w:t>
      </w:r>
      <w:bookmarkEnd w:id="3"/>
      <w:r w:rsidRPr="00252A21">
        <w:rPr>
          <w:rFonts w:eastAsia="Calibri"/>
          <w:lang w:val="es-PE" w:eastAsia="en-US"/>
        </w:rPr>
        <w:t xml:space="preserve"> del Perú (INEI). Esta base de datos cuenta con un solo módulo (código 1287); tiene como población a las personas adultas (</w:t>
      </w:r>
      <w:r w:rsidRPr="00252A21">
        <w:rPr>
          <w:rFonts w:eastAsia="Calibri"/>
          <w:u w:val="single"/>
          <w:lang w:val="es-PE" w:eastAsia="en-US"/>
        </w:rPr>
        <w:t>&gt; </w:t>
      </w:r>
      <w:r w:rsidRPr="00252A21">
        <w:rPr>
          <w:rFonts w:eastAsia="Calibri"/>
          <w:lang w:val="es-PE" w:eastAsia="en-US"/>
        </w:rPr>
        <w:t>18 años) residentes en el Perú, que se identifican como parte de la comunidad LGTBI o que, sin identificarse con dichas categorías, tienen una identidad de género no adscrita a las definiciones binarias.</w:t>
      </w:r>
      <w:r w:rsidRPr="00252A21">
        <w:rPr>
          <w:rFonts w:eastAsia="Calibri"/>
          <w:vertAlign w:val="superscript"/>
          <w:lang w:val="es-PE" w:eastAsia="en-US"/>
        </w:rPr>
        <w:fldChar w:fldCharType="begin"/>
      </w:r>
      <w:r w:rsidRPr="00252A21">
        <w:rPr>
          <w:rFonts w:eastAsia="Calibri"/>
          <w:vertAlign w:val="superscript"/>
          <w:lang w:val="es-PE" w:eastAsia="en-US"/>
        </w:rPr>
        <w:instrText xml:space="preserve"> ADDIN ZOTERO_ITEM CSL_CITATION {"citationID":"ndHg4HIA","properties":{"formattedCitation":"(14)","plainCitation":"(14)","noteIndex":0},"citationItems":[{"id":503,"uris":["http://zotero.org/users/local/EDRS0uWj/items/7CY5YPPH"],"uri":["http://zotero.org/users/local/EDRS0uWj/items/7CY5YPPH"],"itemData":{"id":503,"type":"article","publisher":"Dirección Técnica de Demografía e Indicadores Sociales","title":"Ficha técnica: Primera encuesta virtual para personas LGTBI en el Perú, 2017","URL":"http://iinei.inei.gob.pe/iinei/srienaho/Descarga/FichaTecnica/602-Ficha.pdf","author":[{"family":"Instituto Nacional de Estadística e Informática","given":""}],"issued":{"date-parts":[["2017",5]]}}}],"schema":"https://github.com/citation-style-language/schema/raw/master/csl-citation.json"} </w:instrText>
      </w:r>
      <w:r w:rsidRPr="00252A21">
        <w:rPr>
          <w:rFonts w:eastAsia="Calibri"/>
          <w:vertAlign w:val="superscript"/>
          <w:lang w:val="es-PE" w:eastAsia="en-US"/>
        </w:rPr>
        <w:fldChar w:fldCharType="separate"/>
      </w:r>
      <w:r w:rsidRPr="00252A21">
        <w:rPr>
          <w:rFonts w:eastAsia="Calibri"/>
          <w:vertAlign w:val="superscript"/>
          <w:lang w:val="es-PE" w:eastAsia="en-US"/>
        </w:rPr>
        <w:t>(16)</w:t>
      </w:r>
      <w:r w:rsidRPr="00252A21">
        <w:rPr>
          <w:rFonts w:eastAsia="Calibri"/>
          <w:vertAlign w:val="superscript"/>
          <w:lang w:val="es-PE" w:eastAsia="en-US"/>
        </w:rPr>
        <w:fldChar w:fldCharType="end"/>
      </w:r>
    </w:p>
    <w:p w14:paraId="29E92E65" w14:textId="77777777" w:rsidR="00252A21" w:rsidRPr="00252A21" w:rsidRDefault="00252A21" w:rsidP="00252A21">
      <w:pPr>
        <w:spacing w:line="360" w:lineRule="auto"/>
        <w:jc w:val="center"/>
        <w:rPr>
          <w:rFonts w:eastAsia="Calibri"/>
          <w:b/>
          <w:bCs/>
          <w:sz w:val="28"/>
          <w:szCs w:val="28"/>
          <w:lang w:val="es-PE" w:eastAsia="en-US"/>
        </w:rPr>
      </w:pPr>
      <w:r w:rsidRPr="00252A21">
        <w:rPr>
          <w:rFonts w:eastAsia="Calibri"/>
          <w:b/>
          <w:bCs/>
          <w:sz w:val="28"/>
          <w:szCs w:val="28"/>
          <w:lang w:val="es-PE" w:eastAsia="en-US"/>
        </w:rPr>
        <w:t>Sujetos</w:t>
      </w:r>
    </w:p>
    <w:p w14:paraId="71A5AC3C" w14:textId="77777777" w:rsidR="00252A21" w:rsidRPr="00252A21" w:rsidRDefault="00252A21" w:rsidP="00252A21">
      <w:pPr>
        <w:spacing w:line="360" w:lineRule="auto"/>
        <w:jc w:val="both"/>
        <w:rPr>
          <w:rFonts w:eastAsia="Calibri"/>
          <w:lang w:val="es-PE" w:eastAsia="en-US"/>
        </w:rPr>
      </w:pPr>
      <w:r w:rsidRPr="00252A21">
        <w:rPr>
          <w:rFonts w:eastAsia="Calibri"/>
          <w:lang w:val="es-PE" w:eastAsia="en-US"/>
        </w:rPr>
        <w:t>En la encuesta participaron 12 026 personas de los 24 departamentos del Perú y la provincia constitucional del Callao, durante mayo a agosto del 2017. Se excluyeron a quienes no especificaron si utilizaban o no métodos anticonceptivos, y por lo tanto, no se presentaba la información completa; se alcanzó un total de 11 987 registros completos (Fig. 1). Se optó por analizar la totalidad de la base de datos, a fin de no reducir el poder estadístico. La encuesta muestra un carácter exploratorio, no probabilístico, debido a que no se dispone de información previa sobre el tamaño de la población.</w:t>
      </w:r>
      <w:r w:rsidRPr="00252A21">
        <w:rPr>
          <w:rFonts w:eastAsia="Calibri"/>
          <w:vertAlign w:val="superscript"/>
          <w:lang w:val="es-PE" w:eastAsia="en-US"/>
        </w:rPr>
        <w:fldChar w:fldCharType="begin"/>
      </w:r>
      <w:r w:rsidRPr="00252A21">
        <w:rPr>
          <w:rFonts w:eastAsia="Calibri"/>
          <w:vertAlign w:val="superscript"/>
          <w:lang w:val="es-PE" w:eastAsia="en-US"/>
        </w:rPr>
        <w:instrText xml:space="preserve"> ADDIN ZOTERO_ITEM CSL_CITATION {"citationID":"MYFQyyrw","properties":{"formattedCitation":"(14)","plainCitation":"(14)","noteIndex":0},"citationItems":[{"id":503,"uris":["http://zotero.org/users/local/EDRS0uWj/items/7CY5YPPH"],"uri":["http://zotero.org/users/local/EDRS0uWj/items/7CY5YPPH"],"itemData":{"id":503,"type":"article","publisher":"Dirección Técnica de Demografía e Indicadores Sociales","title":"Ficha técnica: Primera encuesta virtual para personas LGTBI en el Perú, 2017","URL":"http://iinei.inei.gob.pe/iinei/srienaho/Descarga/FichaTecnica/602-Ficha.pdf","author":[{"family":"Instituto Nacional de Estadística e Informática","given":""}],"issued":{"date-parts":[["2017",5]]}}}],"schema":"https://github.com/citation-style-language/schema/raw/master/csl-citation.json"} </w:instrText>
      </w:r>
      <w:r w:rsidRPr="00252A21">
        <w:rPr>
          <w:rFonts w:eastAsia="Calibri"/>
          <w:vertAlign w:val="superscript"/>
          <w:lang w:val="es-PE" w:eastAsia="en-US"/>
        </w:rPr>
        <w:fldChar w:fldCharType="separate"/>
      </w:r>
      <w:r w:rsidRPr="00252A21">
        <w:rPr>
          <w:rFonts w:eastAsia="Calibri"/>
          <w:vertAlign w:val="superscript"/>
          <w:lang w:val="es-PE" w:eastAsia="en-US"/>
        </w:rPr>
        <w:t>(16)</w:t>
      </w:r>
      <w:r w:rsidRPr="00252A21">
        <w:rPr>
          <w:rFonts w:eastAsia="Calibri"/>
          <w:vertAlign w:val="superscript"/>
          <w:lang w:val="es-PE" w:eastAsia="en-US"/>
        </w:rPr>
        <w:fldChar w:fldCharType="end"/>
      </w:r>
    </w:p>
    <w:p w14:paraId="7BCD67F0" w14:textId="77777777" w:rsidR="00252A21" w:rsidRPr="00252A21" w:rsidRDefault="00252A21" w:rsidP="00252A21">
      <w:pPr>
        <w:spacing w:line="360" w:lineRule="auto"/>
        <w:jc w:val="center"/>
        <w:rPr>
          <w:rFonts w:eastAsia="Calibri"/>
          <w:b/>
          <w:bCs/>
          <w:sz w:val="28"/>
          <w:szCs w:val="28"/>
          <w:lang w:val="es-PE" w:eastAsia="en-US"/>
        </w:rPr>
      </w:pPr>
      <w:r w:rsidRPr="00252A21">
        <w:rPr>
          <w:rFonts w:eastAsia="Calibri"/>
          <w:b/>
          <w:bCs/>
          <w:sz w:val="28"/>
          <w:szCs w:val="28"/>
          <w:lang w:val="es-PE" w:eastAsia="en-US"/>
        </w:rPr>
        <w:t>Variables</w:t>
      </w:r>
    </w:p>
    <w:p w14:paraId="121962FE" w14:textId="77777777" w:rsidR="00252A21" w:rsidRPr="00252A21" w:rsidRDefault="00252A21" w:rsidP="00252A21">
      <w:pPr>
        <w:spacing w:line="360" w:lineRule="auto"/>
        <w:jc w:val="both"/>
        <w:rPr>
          <w:rFonts w:eastAsia="Calibri"/>
          <w:lang w:val="es-PE" w:eastAsia="en-US"/>
        </w:rPr>
      </w:pPr>
      <w:r w:rsidRPr="00252A21">
        <w:rPr>
          <w:rFonts w:eastAsia="Calibri"/>
          <w:lang w:val="es-PE" w:eastAsia="en-US"/>
        </w:rPr>
        <w:t xml:space="preserve">La variable “factores” estuvo conformada por las siguientes subvariables: </w:t>
      </w:r>
    </w:p>
    <w:p w14:paraId="72F7670A" w14:textId="77777777" w:rsidR="00252A21" w:rsidRPr="00252A21" w:rsidRDefault="00252A21" w:rsidP="00BC3B55">
      <w:pPr>
        <w:spacing w:line="360" w:lineRule="auto"/>
        <w:jc w:val="both"/>
        <w:rPr>
          <w:rFonts w:eastAsia="Calibri"/>
          <w:lang w:val="es-PE" w:eastAsia="en-US"/>
        </w:rPr>
      </w:pPr>
    </w:p>
    <w:p w14:paraId="1838D063" w14:textId="77777777" w:rsidR="00252A21" w:rsidRPr="00252A21" w:rsidRDefault="00252A21" w:rsidP="00BC3B55">
      <w:pPr>
        <w:numPr>
          <w:ilvl w:val="0"/>
          <w:numId w:val="12"/>
        </w:numPr>
        <w:spacing w:line="360" w:lineRule="auto"/>
        <w:ind w:left="284" w:hanging="284"/>
        <w:contextualSpacing/>
        <w:jc w:val="both"/>
        <w:rPr>
          <w:rFonts w:eastAsia="Calibri"/>
          <w:lang w:val="es-PE" w:eastAsia="en-US"/>
        </w:rPr>
      </w:pPr>
      <w:r w:rsidRPr="00252A21">
        <w:rPr>
          <w:rFonts w:eastAsia="Calibri"/>
          <w:lang w:val="es-PE" w:eastAsia="en-US"/>
        </w:rPr>
        <w:t>Máximo grado de instrucción alcanzado (ningún grado de instrucción, inicial o primaria, secundaria y superior).</w:t>
      </w:r>
    </w:p>
    <w:p w14:paraId="569F3337" w14:textId="77777777" w:rsidR="00252A21" w:rsidRPr="00252A21" w:rsidRDefault="00252A21" w:rsidP="00BC3B55">
      <w:pPr>
        <w:numPr>
          <w:ilvl w:val="0"/>
          <w:numId w:val="12"/>
        </w:numPr>
        <w:spacing w:line="360" w:lineRule="auto"/>
        <w:ind w:left="284" w:hanging="284"/>
        <w:contextualSpacing/>
        <w:jc w:val="both"/>
        <w:rPr>
          <w:rFonts w:eastAsia="Calibri"/>
          <w:lang w:val="es-PE" w:eastAsia="en-US"/>
        </w:rPr>
      </w:pPr>
      <w:r w:rsidRPr="00252A21">
        <w:rPr>
          <w:rFonts w:eastAsia="Calibri"/>
          <w:lang w:val="es-PE" w:eastAsia="en-US"/>
        </w:rPr>
        <w:lastRenderedPageBreak/>
        <w:t>Edad (en años cumplidos).</w:t>
      </w:r>
    </w:p>
    <w:p w14:paraId="347CA93C" w14:textId="77777777" w:rsidR="00252A21" w:rsidRPr="00252A21" w:rsidRDefault="00252A21" w:rsidP="00BC3B55">
      <w:pPr>
        <w:numPr>
          <w:ilvl w:val="0"/>
          <w:numId w:val="12"/>
        </w:numPr>
        <w:spacing w:line="360" w:lineRule="auto"/>
        <w:ind w:left="284" w:hanging="284"/>
        <w:contextualSpacing/>
        <w:jc w:val="both"/>
        <w:rPr>
          <w:rFonts w:eastAsia="Calibri"/>
          <w:lang w:val="es-PE" w:eastAsia="en-US"/>
        </w:rPr>
      </w:pPr>
      <w:r w:rsidRPr="00252A21">
        <w:rPr>
          <w:rFonts w:eastAsia="Calibri"/>
          <w:lang w:val="es-PE" w:eastAsia="en-US"/>
        </w:rPr>
        <w:t>Afiliación a algún seguro de salud (tiene o no tiene).</w:t>
      </w:r>
    </w:p>
    <w:p w14:paraId="2D753DFC" w14:textId="77777777" w:rsidR="00252A21" w:rsidRPr="00252A21" w:rsidRDefault="00252A21" w:rsidP="00BC3B55">
      <w:pPr>
        <w:numPr>
          <w:ilvl w:val="0"/>
          <w:numId w:val="12"/>
        </w:numPr>
        <w:spacing w:line="360" w:lineRule="auto"/>
        <w:ind w:left="284" w:hanging="284"/>
        <w:contextualSpacing/>
        <w:jc w:val="both"/>
        <w:rPr>
          <w:rFonts w:eastAsia="Calibri"/>
          <w:lang w:val="es-PE" w:eastAsia="en-US"/>
        </w:rPr>
      </w:pPr>
      <w:r w:rsidRPr="00252A21">
        <w:rPr>
          <w:rFonts w:eastAsia="Calibri"/>
          <w:lang w:val="es-PE" w:eastAsia="en-US"/>
        </w:rPr>
        <w:t>Recibió información sobre ITS o VIH (recibió o no recibió).</w:t>
      </w:r>
    </w:p>
    <w:p w14:paraId="05D7C890" w14:textId="77777777" w:rsidR="00252A21" w:rsidRPr="00252A21" w:rsidRDefault="00252A21" w:rsidP="00BC3B55">
      <w:pPr>
        <w:numPr>
          <w:ilvl w:val="0"/>
          <w:numId w:val="12"/>
        </w:numPr>
        <w:spacing w:line="360" w:lineRule="auto"/>
        <w:ind w:left="284" w:hanging="284"/>
        <w:contextualSpacing/>
        <w:jc w:val="both"/>
        <w:rPr>
          <w:rFonts w:eastAsia="Calibri"/>
          <w:lang w:val="es-PE" w:eastAsia="en-US"/>
        </w:rPr>
      </w:pPr>
      <w:r w:rsidRPr="00252A21">
        <w:rPr>
          <w:rFonts w:eastAsia="Calibri"/>
          <w:lang w:val="es-PE" w:eastAsia="en-US"/>
        </w:rPr>
        <w:t>Sexo al nacer (hombre o mujer).</w:t>
      </w:r>
    </w:p>
    <w:p w14:paraId="4235F1E3" w14:textId="77777777" w:rsidR="00252A21" w:rsidRPr="00252A21" w:rsidRDefault="00252A21" w:rsidP="00BC3B55">
      <w:pPr>
        <w:numPr>
          <w:ilvl w:val="0"/>
          <w:numId w:val="12"/>
        </w:numPr>
        <w:spacing w:line="360" w:lineRule="auto"/>
        <w:ind w:left="284" w:hanging="284"/>
        <w:contextualSpacing/>
        <w:jc w:val="both"/>
        <w:rPr>
          <w:rFonts w:eastAsia="Calibri"/>
          <w:lang w:val="es-PE" w:eastAsia="en-US"/>
        </w:rPr>
      </w:pPr>
      <w:r w:rsidRPr="00252A21">
        <w:rPr>
          <w:rFonts w:eastAsia="Calibri"/>
          <w:lang w:val="es-PE" w:eastAsia="en-US"/>
        </w:rPr>
        <w:t>Algún miembro de la familia conoce que es LGTBI (sí o no).</w:t>
      </w:r>
    </w:p>
    <w:p w14:paraId="2A8D666F" w14:textId="77777777" w:rsidR="00252A21" w:rsidRPr="00252A21" w:rsidRDefault="00252A21" w:rsidP="00BC3B55">
      <w:pPr>
        <w:numPr>
          <w:ilvl w:val="0"/>
          <w:numId w:val="12"/>
        </w:numPr>
        <w:spacing w:line="360" w:lineRule="auto"/>
        <w:ind w:left="284" w:hanging="284"/>
        <w:contextualSpacing/>
        <w:jc w:val="both"/>
        <w:rPr>
          <w:rFonts w:eastAsia="Calibri"/>
          <w:lang w:val="es-PE" w:eastAsia="en-US"/>
        </w:rPr>
      </w:pPr>
      <w:r w:rsidRPr="00252A21">
        <w:rPr>
          <w:rFonts w:eastAsia="Calibri"/>
          <w:lang w:val="es-PE" w:eastAsia="en-US"/>
        </w:rPr>
        <w:t>Presencia de pareja estable (sí o no).</w:t>
      </w:r>
    </w:p>
    <w:p w14:paraId="0D9F896B" w14:textId="77777777" w:rsidR="00252A21" w:rsidRPr="00252A21" w:rsidRDefault="00252A21" w:rsidP="00BC3B55">
      <w:pPr>
        <w:numPr>
          <w:ilvl w:val="0"/>
          <w:numId w:val="12"/>
        </w:numPr>
        <w:spacing w:line="360" w:lineRule="auto"/>
        <w:ind w:left="284" w:hanging="284"/>
        <w:contextualSpacing/>
        <w:jc w:val="both"/>
        <w:rPr>
          <w:rFonts w:eastAsia="Calibri"/>
          <w:lang w:val="es-PE" w:eastAsia="en-US"/>
        </w:rPr>
      </w:pPr>
      <w:r w:rsidRPr="00252A21">
        <w:rPr>
          <w:rFonts w:eastAsia="Calibri"/>
          <w:lang w:val="es-PE" w:eastAsia="en-US"/>
        </w:rPr>
        <w:t xml:space="preserve">Presencia de hijos (sí o no). </w:t>
      </w:r>
    </w:p>
    <w:p w14:paraId="3C678039" w14:textId="77777777" w:rsidR="00252A21" w:rsidRPr="00252A21" w:rsidRDefault="00252A21" w:rsidP="00252A21">
      <w:pPr>
        <w:spacing w:line="360" w:lineRule="auto"/>
        <w:jc w:val="both"/>
        <w:rPr>
          <w:rFonts w:eastAsia="Calibri"/>
          <w:lang w:val="es-PE" w:eastAsia="en-US"/>
        </w:rPr>
      </w:pPr>
    </w:p>
    <w:p w14:paraId="69AEE6F1" w14:textId="77777777" w:rsidR="00252A21" w:rsidRPr="00252A21" w:rsidRDefault="00252A21" w:rsidP="00252A21">
      <w:pPr>
        <w:spacing w:line="360" w:lineRule="auto"/>
        <w:jc w:val="both"/>
        <w:rPr>
          <w:rFonts w:eastAsia="Calibri"/>
          <w:lang w:val="es-PE" w:eastAsia="en-US"/>
        </w:rPr>
      </w:pPr>
      <w:r w:rsidRPr="00252A21">
        <w:rPr>
          <w:rFonts w:eastAsia="Calibri"/>
          <w:lang w:val="es-PE" w:eastAsia="en-US"/>
        </w:rPr>
        <w:t>La segunda variable fue el no uso de métodos anticonceptivos de barrera, considerada como la ausencia de uso del condón masculino y femenino durante el acto sexual.</w:t>
      </w:r>
    </w:p>
    <w:p w14:paraId="75DE9C64" w14:textId="77777777" w:rsidR="00252A21" w:rsidRPr="00252A21" w:rsidRDefault="00252A21" w:rsidP="00252A21">
      <w:pPr>
        <w:spacing w:line="360" w:lineRule="auto"/>
        <w:jc w:val="center"/>
        <w:rPr>
          <w:rFonts w:eastAsia="Calibri"/>
          <w:b/>
          <w:bCs/>
          <w:sz w:val="28"/>
          <w:szCs w:val="28"/>
          <w:lang w:val="es-PE" w:eastAsia="en-US"/>
        </w:rPr>
      </w:pPr>
      <w:r w:rsidRPr="00252A21">
        <w:rPr>
          <w:rFonts w:eastAsia="Calibri"/>
          <w:b/>
          <w:bCs/>
          <w:sz w:val="28"/>
          <w:szCs w:val="28"/>
          <w:lang w:val="es-PE" w:eastAsia="en-US"/>
        </w:rPr>
        <w:t>Procesamiento de los datos</w:t>
      </w:r>
    </w:p>
    <w:p w14:paraId="7822974B" w14:textId="77777777" w:rsidR="00252A21" w:rsidRPr="00252A21" w:rsidRDefault="00252A21" w:rsidP="00252A21">
      <w:pPr>
        <w:spacing w:line="360" w:lineRule="auto"/>
        <w:jc w:val="both"/>
        <w:rPr>
          <w:rFonts w:eastAsia="Calibri"/>
          <w:lang w:val="es-PE" w:eastAsia="en-US"/>
        </w:rPr>
      </w:pPr>
      <w:r w:rsidRPr="00252A21">
        <w:rPr>
          <w:rFonts w:eastAsia="Calibri"/>
          <w:lang w:val="es-PE" w:eastAsia="en-US"/>
        </w:rPr>
        <w:t xml:space="preserve">Los datos obtenidos del portal del INEI se analizaron en el software STATA versión 14; primero se realizó un control de la calidad de la base de datos. Para el análisis descriptivo se incluyeron intervalos de confianza (IC) al 95 % y la normalidad de la variable numérica (edad) fue evaluada mediante la prueba Shapiro-Wilk. </w:t>
      </w:r>
    </w:p>
    <w:p w14:paraId="621318E5" w14:textId="77777777" w:rsidR="00252A21" w:rsidRPr="00252A21" w:rsidRDefault="00252A21" w:rsidP="00252A21">
      <w:pPr>
        <w:spacing w:line="360" w:lineRule="auto"/>
        <w:jc w:val="both"/>
        <w:rPr>
          <w:rFonts w:eastAsia="Calibri"/>
          <w:lang w:val="es-PE" w:eastAsia="en-US"/>
        </w:rPr>
      </w:pPr>
      <w:r w:rsidRPr="00252A21">
        <w:rPr>
          <w:rFonts w:eastAsia="Calibri"/>
          <w:lang w:val="es-PE" w:eastAsia="en-US"/>
        </w:rPr>
        <w:t xml:space="preserve">La asociación entre cada uno de los factores y el uso de métodos anticonceptivos de barrera fue evaluada a través de la prueba </w:t>
      </w:r>
      <w:r w:rsidRPr="00252A21">
        <w:rPr>
          <w:rFonts w:eastAsia="Calibri"/>
          <w:i/>
          <w:iCs/>
          <w:lang w:val="es-PE" w:eastAsia="en-US"/>
        </w:rPr>
        <w:t>ji</w:t>
      </w:r>
      <w:r w:rsidRPr="00252A21">
        <w:rPr>
          <w:rFonts w:eastAsia="Calibri"/>
          <w:lang w:val="es-PE" w:eastAsia="en-US"/>
        </w:rPr>
        <w:t xml:space="preserve"> cuadrado de Pearson (para categóricas) y T de Student (si al menos una es numérica). El análisis multivariado (ajustado) se realizó mediante la prueba de regresión de Poisson. Se reportaron razones de prevalencias crudas (RPc) y ajustadas (RPa), con sus respectivos IC. Se consideró como estadísticamente significativo a todo valor de p</w:t>
      </w:r>
      <w:r w:rsidRPr="00252A21">
        <w:rPr>
          <w:rFonts w:ascii="MS Reference Sans Serif" w:eastAsia="Calibri" w:hAnsi="MS Reference Sans Serif"/>
          <w:lang w:val="es-PE" w:eastAsia="en-US"/>
        </w:rPr>
        <w:t>&lt;</w:t>
      </w:r>
      <w:r w:rsidRPr="00252A21">
        <w:rPr>
          <w:rFonts w:eastAsia="Calibri"/>
          <w:lang w:val="es-PE" w:eastAsia="en-US"/>
        </w:rPr>
        <w:t xml:space="preserve"> 0,05. La distribución geográfica fue reportada mediante mapas; generados con el software </w:t>
      </w:r>
      <w:hyperlink r:id="rId11" w:history="1">
        <w:r w:rsidRPr="00252A21">
          <w:rPr>
            <w:rFonts w:eastAsia="Calibri"/>
            <w:color w:val="0563C1"/>
            <w:u w:val="single"/>
            <w:lang w:val="es-PE" w:eastAsia="en-US"/>
          </w:rPr>
          <w:t>QGIS</w:t>
        </w:r>
      </w:hyperlink>
      <w:r w:rsidRPr="00252A21">
        <w:rPr>
          <w:rFonts w:eastAsia="Calibri"/>
          <w:lang w:val="es-PE" w:eastAsia="en-US"/>
        </w:rPr>
        <w:t>.</w:t>
      </w:r>
    </w:p>
    <w:p w14:paraId="11AF04C0" w14:textId="77777777" w:rsidR="00252A21" w:rsidRPr="00252A21" w:rsidRDefault="00252A21" w:rsidP="00252A21">
      <w:pPr>
        <w:spacing w:line="360" w:lineRule="auto"/>
        <w:jc w:val="center"/>
        <w:rPr>
          <w:rFonts w:eastAsia="Calibri"/>
          <w:b/>
          <w:bCs/>
          <w:sz w:val="28"/>
          <w:szCs w:val="28"/>
          <w:lang w:val="es-PE" w:eastAsia="en-US"/>
        </w:rPr>
      </w:pPr>
      <w:r w:rsidRPr="00252A21">
        <w:rPr>
          <w:rFonts w:eastAsia="Calibri"/>
          <w:b/>
          <w:bCs/>
          <w:sz w:val="28"/>
          <w:szCs w:val="28"/>
          <w:lang w:val="es-PE" w:eastAsia="en-US"/>
        </w:rPr>
        <w:t>Aspectos bioéticos</w:t>
      </w:r>
    </w:p>
    <w:p w14:paraId="02560163" w14:textId="77777777" w:rsidR="00252A21" w:rsidRPr="00252A21" w:rsidRDefault="00252A21" w:rsidP="00252A21">
      <w:pPr>
        <w:spacing w:line="360" w:lineRule="auto"/>
        <w:jc w:val="both"/>
        <w:rPr>
          <w:rFonts w:eastAsia="Calibri"/>
          <w:lang w:val="es-PE" w:eastAsia="en-US"/>
        </w:rPr>
      </w:pPr>
      <w:r w:rsidRPr="00252A21">
        <w:rPr>
          <w:rFonts w:eastAsia="Calibri"/>
          <w:lang w:val="es-PE" w:eastAsia="en-US"/>
        </w:rPr>
        <w:t>Debido a que el estudio es un análisis de base secundaria de acceso público y no muestra información identificable,</w:t>
      </w:r>
      <w:r w:rsidRPr="00252A21">
        <w:rPr>
          <w:rFonts w:eastAsia="Calibri"/>
          <w:vertAlign w:val="superscript"/>
          <w:lang w:val="es-PE" w:eastAsia="en-US"/>
        </w:rPr>
        <w:fldChar w:fldCharType="begin"/>
      </w:r>
      <w:r w:rsidRPr="00252A21">
        <w:rPr>
          <w:rFonts w:eastAsia="Calibri"/>
          <w:vertAlign w:val="superscript"/>
          <w:lang w:val="es-PE" w:eastAsia="en-US"/>
        </w:rPr>
        <w:instrText xml:space="preserve"> ADDIN ZOTERO_ITEM CSL_CITATION {"citationID":"5ZKnWnVo","properties":{"formattedCitation":"(15)","plainCitation":"(15)","noteIndex":0},"citationItems":[{"id":504,"uris":["http://zotero.org/users/local/EDRS0uWj/items/F6UNZHYF"],"uri":["http://zotero.org/users/local/EDRS0uWj/items/F6UNZHYF"],"itemData":{"id":504,"type":"webpage","title":"Microdatos: Base de datos","URL":"http://iinei.inei.gob.pe/microdatos/","author":[{"family":"Instituto Nacional de Estadística e Informática","given":""}],"accessed":{"date-parts":[["2022",2,6]]}}}],"schema":"https://github.com/citation-style-language/schema/raw/master/csl-citation.json"} </w:instrText>
      </w:r>
      <w:r w:rsidRPr="00252A21">
        <w:rPr>
          <w:rFonts w:eastAsia="Calibri"/>
          <w:vertAlign w:val="superscript"/>
          <w:lang w:val="es-PE" w:eastAsia="en-US"/>
        </w:rPr>
        <w:fldChar w:fldCharType="separate"/>
      </w:r>
      <w:r w:rsidRPr="00252A21">
        <w:rPr>
          <w:rFonts w:eastAsia="Calibri"/>
          <w:vertAlign w:val="superscript"/>
          <w:lang w:val="es-PE" w:eastAsia="en-US"/>
        </w:rPr>
        <w:t>(17)</w:t>
      </w:r>
      <w:r w:rsidRPr="00252A21">
        <w:rPr>
          <w:rFonts w:eastAsia="Calibri"/>
          <w:vertAlign w:val="superscript"/>
          <w:lang w:val="es-PE" w:eastAsia="en-US"/>
        </w:rPr>
        <w:fldChar w:fldCharType="end"/>
      </w:r>
      <w:r w:rsidRPr="00252A21">
        <w:rPr>
          <w:rFonts w:eastAsia="Calibri"/>
          <w:lang w:val="es-PE" w:eastAsia="en-US"/>
        </w:rPr>
        <w:t xml:space="preserve"> no requirió aprobación de un comité de ética. </w:t>
      </w:r>
    </w:p>
    <w:p w14:paraId="387FD8F4" w14:textId="77777777" w:rsidR="00252A21" w:rsidRPr="00252A21" w:rsidRDefault="00252A21" w:rsidP="00252A21">
      <w:pPr>
        <w:spacing w:line="360" w:lineRule="auto"/>
        <w:jc w:val="both"/>
        <w:rPr>
          <w:rFonts w:eastAsia="Calibri"/>
          <w:b/>
          <w:bCs/>
          <w:lang w:val="es-PE" w:eastAsia="en-US"/>
        </w:rPr>
      </w:pPr>
    </w:p>
    <w:p w14:paraId="1BB2E602" w14:textId="77777777" w:rsidR="00252A21" w:rsidRPr="00252A21" w:rsidRDefault="00252A21" w:rsidP="00252A21">
      <w:pPr>
        <w:spacing w:line="360" w:lineRule="auto"/>
        <w:jc w:val="both"/>
        <w:rPr>
          <w:rFonts w:eastAsia="Calibri"/>
          <w:b/>
          <w:bCs/>
          <w:lang w:val="es-PE" w:eastAsia="en-US"/>
        </w:rPr>
      </w:pPr>
    </w:p>
    <w:p w14:paraId="5892C3EA" w14:textId="77777777" w:rsidR="00BC3B55" w:rsidRDefault="00BC3B55">
      <w:pPr>
        <w:rPr>
          <w:rFonts w:eastAsia="Calibri"/>
          <w:b/>
          <w:bCs/>
          <w:sz w:val="32"/>
          <w:szCs w:val="32"/>
          <w:lang w:val="es-PE" w:eastAsia="en-US"/>
        </w:rPr>
      </w:pPr>
      <w:r>
        <w:rPr>
          <w:rFonts w:eastAsia="Calibri"/>
          <w:b/>
          <w:bCs/>
          <w:sz w:val="32"/>
          <w:szCs w:val="32"/>
          <w:lang w:val="es-PE" w:eastAsia="en-US"/>
        </w:rPr>
        <w:br w:type="page"/>
      </w:r>
    </w:p>
    <w:p w14:paraId="392E8B48" w14:textId="479C771F" w:rsidR="00252A21" w:rsidRPr="00252A21" w:rsidRDefault="00252A21" w:rsidP="00252A21">
      <w:pPr>
        <w:spacing w:line="360" w:lineRule="auto"/>
        <w:jc w:val="center"/>
        <w:rPr>
          <w:rFonts w:eastAsia="Calibri"/>
          <w:b/>
          <w:bCs/>
          <w:sz w:val="32"/>
          <w:szCs w:val="32"/>
          <w:lang w:val="es-PE" w:eastAsia="en-US"/>
        </w:rPr>
      </w:pPr>
      <w:r w:rsidRPr="00252A21">
        <w:rPr>
          <w:rFonts w:eastAsia="Calibri"/>
          <w:b/>
          <w:bCs/>
          <w:sz w:val="32"/>
          <w:szCs w:val="32"/>
          <w:lang w:val="es-PE" w:eastAsia="en-US"/>
        </w:rPr>
        <w:lastRenderedPageBreak/>
        <w:t>RESULTADOS</w:t>
      </w:r>
    </w:p>
    <w:p w14:paraId="49A2179B" w14:textId="77777777" w:rsidR="00252A21" w:rsidRPr="00252A21" w:rsidRDefault="00252A21" w:rsidP="00252A21">
      <w:pPr>
        <w:spacing w:line="360" w:lineRule="auto"/>
        <w:jc w:val="both"/>
        <w:rPr>
          <w:rFonts w:eastAsia="Calibri"/>
          <w:lang w:val="es-PE" w:eastAsia="en-US"/>
        </w:rPr>
      </w:pPr>
      <w:r w:rsidRPr="00252A21">
        <w:rPr>
          <w:rFonts w:eastAsia="Calibri"/>
          <w:lang w:val="es-PE" w:eastAsia="en-US"/>
        </w:rPr>
        <w:t>Se encontró que, de los 11 987 participantes con registro completo, 4333 (36,15 %) (IC95 %: 35,29</w:t>
      </w:r>
      <w:r w:rsidRPr="00252A21">
        <w:rPr>
          <w:rFonts w:eastAsia="Calibri"/>
          <w:lang w:val="es-PE" w:eastAsia="en-US"/>
        </w:rPr>
        <w:noBreakHyphen/>
        <w:t>37,01) no utilizaban métodos anticonceptivos de barrera (Fig. 1); sin embargo, la proporción es mayor en la costa peruana, donde se destacan Tacna (52,03 %; IC95 %: 43,88–60,17) y Callao (39,90 %; IC95 %: 35,98–43,82), mientras que es menor en Madre de Dios (16,67 %; IC95 %: 8,06–41,39), Huancavelica (20,83 %; IC95 %: 3,31–38,35) y San Martín (21,21 %; IC95 %: 14,15–28,28) (Fig. 2).</w:t>
      </w:r>
    </w:p>
    <w:p w14:paraId="6A7075F7" w14:textId="77777777" w:rsidR="00252A21" w:rsidRPr="00252A21" w:rsidRDefault="00252A21" w:rsidP="00252A21">
      <w:pPr>
        <w:spacing w:line="360" w:lineRule="auto"/>
        <w:jc w:val="both"/>
        <w:rPr>
          <w:rFonts w:eastAsia="Calibri"/>
          <w:lang w:val="es-PE" w:eastAsia="en-US"/>
        </w:rPr>
      </w:pPr>
    </w:p>
    <w:p w14:paraId="776A6AB4" w14:textId="3929E10E" w:rsidR="00252A21" w:rsidRPr="00252A21" w:rsidRDefault="00252A21" w:rsidP="00252A21">
      <w:pPr>
        <w:spacing w:line="360" w:lineRule="auto"/>
        <w:jc w:val="center"/>
        <w:rPr>
          <w:rFonts w:eastAsia="Calibri"/>
          <w:lang w:val="es-PE" w:eastAsia="en-US"/>
        </w:rPr>
      </w:pPr>
      <w:r w:rsidRPr="00252A21">
        <w:rPr>
          <w:rFonts w:eastAsia="Calibri"/>
          <w:noProof/>
          <w:lang w:val="es-PE" w:eastAsia="en-US"/>
        </w:rPr>
        <w:drawing>
          <wp:inline distT="0" distB="0" distL="0" distR="0" wp14:anchorId="25E5A682" wp14:editId="1B8ADC15">
            <wp:extent cx="3613785" cy="3555365"/>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3785" cy="3555365"/>
                    </a:xfrm>
                    <a:prstGeom prst="rect">
                      <a:avLst/>
                    </a:prstGeom>
                    <a:noFill/>
                    <a:ln>
                      <a:noFill/>
                    </a:ln>
                  </pic:spPr>
                </pic:pic>
              </a:graphicData>
            </a:graphic>
          </wp:inline>
        </w:drawing>
      </w:r>
    </w:p>
    <w:p w14:paraId="488C83C3" w14:textId="77777777" w:rsidR="00252A21" w:rsidRPr="00252A21" w:rsidRDefault="00252A21" w:rsidP="00252A21">
      <w:pPr>
        <w:spacing w:line="360" w:lineRule="auto"/>
        <w:jc w:val="center"/>
        <w:rPr>
          <w:rFonts w:eastAsia="Calibri"/>
          <w:b/>
          <w:bCs/>
          <w:sz w:val="20"/>
          <w:szCs w:val="20"/>
          <w:lang w:val="es-PE" w:eastAsia="en-US"/>
        </w:rPr>
      </w:pPr>
      <w:r w:rsidRPr="00252A21">
        <w:rPr>
          <w:rFonts w:eastAsia="Calibri"/>
          <w:sz w:val="20"/>
          <w:szCs w:val="20"/>
          <w:lang w:val="es-PE" w:eastAsia="en-US"/>
        </w:rPr>
        <w:t>IC95 %: intervalo de confianza al 95 %.</w:t>
      </w:r>
    </w:p>
    <w:p w14:paraId="51A799CB" w14:textId="77777777" w:rsidR="00252A21" w:rsidRPr="00252A21" w:rsidRDefault="00252A21" w:rsidP="00252A21">
      <w:pPr>
        <w:spacing w:line="360" w:lineRule="auto"/>
        <w:jc w:val="center"/>
        <w:rPr>
          <w:rFonts w:eastAsia="Calibri"/>
          <w:sz w:val="22"/>
          <w:szCs w:val="22"/>
          <w:lang w:val="es-PE" w:eastAsia="en-US"/>
        </w:rPr>
      </w:pPr>
      <w:r w:rsidRPr="00252A21">
        <w:rPr>
          <w:rFonts w:eastAsia="Calibri"/>
          <w:b/>
          <w:bCs/>
          <w:sz w:val="22"/>
          <w:szCs w:val="22"/>
          <w:lang w:val="es-PE" w:eastAsia="en-US"/>
        </w:rPr>
        <w:t>Fig. 1-</w:t>
      </w:r>
      <w:r w:rsidRPr="00252A21">
        <w:rPr>
          <w:rFonts w:eastAsia="Calibri"/>
          <w:sz w:val="22"/>
          <w:szCs w:val="22"/>
          <w:lang w:val="es-PE" w:eastAsia="en-US"/>
        </w:rPr>
        <w:t xml:space="preserve"> Flujograma de selección de participantes.</w:t>
      </w:r>
    </w:p>
    <w:p w14:paraId="25C3E54D" w14:textId="77777777" w:rsidR="00252A21" w:rsidRPr="00252A21" w:rsidRDefault="00252A21" w:rsidP="00252A21">
      <w:pPr>
        <w:spacing w:line="360" w:lineRule="auto"/>
        <w:jc w:val="center"/>
        <w:rPr>
          <w:rFonts w:eastAsia="Calibri"/>
          <w:sz w:val="22"/>
          <w:szCs w:val="22"/>
          <w:lang w:val="es-PE" w:eastAsia="en-US"/>
        </w:rPr>
      </w:pPr>
    </w:p>
    <w:p w14:paraId="67408BAB" w14:textId="616A5E0D" w:rsidR="00252A21" w:rsidRPr="00252A21" w:rsidRDefault="00252A21" w:rsidP="00252A21">
      <w:pPr>
        <w:spacing w:line="360" w:lineRule="auto"/>
        <w:jc w:val="center"/>
        <w:rPr>
          <w:rFonts w:eastAsia="Calibri"/>
          <w:lang w:val="es-PE" w:eastAsia="en-US"/>
        </w:rPr>
      </w:pPr>
      <w:r w:rsidRPr="00252A21">
        <w:rPr>
          <w:rFonts w:eastAsia="Calibri"/>
          <w:noProof/>
          <w:lang w:val="es-PE" w:eastAsia="en-US"/>
        </w:rPr>
        <w:lastRenderedPageBreak/>
        <w:drawing>
          <wp:inline distT="0" distB="0" distL="0" distR="0" wp14:anchorId="76A502F2" wp14:editId="7E86F1AB">
            <wp:extent cx="3503317" cy="4147115"/>
            <wp:effectExtent l="0" t="0" r="1905" b="635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9187" cy="4154064"/>
                    </a:xfrm>
                    <a:prstGeom prst="rect">
                      <a:avLst/>
                    </a:prstGeom>
                    <a:noFill/>
                    <a:ln>
                      <a:noFill/>
                    </a:ln>
                  </pic:spPr>
                </pic:pic>
              </a:graphicData>
            </a:graphic>
          </wp:inline>
        </w:drawing>
      </w:r>
    </w:p>
    <w:p w14:paraId="323B1103" w14:textId="77777777" w:rsidR="00252A21" w:rsidRPr="00252A21" w:rsidRDefault="00252A21" w:rsidP="00252A21">
      <w:pPr>
        <w:spacing w:line="360" w:lineRule="auto"/>
        <w:jc w:val="center"/>
        <w:rPr>
          <w:rFonts w:eastAsia="Calibri"/>
          <w:sz w:val="22"/>
          <w:szCs w:val="22"/>
          <w:lang w:val="es-PE" w:eastAsia="en-US"/>
        </w:rPr>
      </w:pPr>
      <w:r w:rsidRPr="00252A21">
        <w:rPr>
          <w:rFonts w:eastAsia="Calibri"/>
          <w:b/>
          <w:bCs/>
          <w:sz w:val="22"/>
          <w:szCs w:val="22"/>
          <w:lang w:val="es-PE" w:eastAsia="en-US"/>
        </w:rPr>
        <w:t>Fig. 2 -</w:t>
      </w:r>
      <w:r w:rsidRPr="00252A21">
        <w:rPr>
          <w:rFonts w:eastAsia="Calibri"/>
          <w:sz w:val="22"/>
          <w:szCs w:val="22"/>
          <w:lang w:val="es-PE" w:eastAsia="en-US"/>
        </w:rPr>
        <w:t xml:space="preserve"> Proporción de personas LGTBI que no utilizan métodos anticonceptivos en los departamentos del Perú, 2017.</w:t>
      </w:r>
    </w:p>
    <w:p w14:paraId="1F087D87" w14:textId="77777777" w:rsidR="00252A21" w:rsidRPr="00252A21" w:rsidRDefault="00252A21" w:rsidP="00252A21">
      <w:pPr>
        <w:spacing w:line="360" w:lineRule="auto"/>
        <w:jc w:val="both"/>
        <w:rPr>
          <w:rFonts w:eastAsia="Calibri"/>
          <w:lang w:val="es-PE" w:eastAsia="en-US"/>
        </w:rPr>
      </w:pPr>
    </w:p>
    <w:p w14:paraId="23C46AED" w14:textId="77777777" w:rsidR="00252A21" w:rsidRPr="00252A21" w:rsidRDefault="00252A21" w:rsidP="00252A21">
      <w:pPr>
        <w:spacing w:line="360" w:lineRule="auto"/>
        <w:jc w:val="both"/>
        <w:rPr>
          <w:rFonts w:eastAsia="Calibri"/>
          <w:lang w:val="es-PE" w:eastAsia="en-US"/>
        </w:rPr>
      </w:pPr>
      <w:r w:rsidRPr="00252A21">
        <w:rPr>
          <w:rFonts w:eastAsia="Calibri"/>
          <w:lang w:val="es-PE" w:eastAsia="en-US"/>
        </w:rPr>
        <w:t>En la tabla 1 se muestran las principales características de los participantes. De ellos el 10 382 (86,33 %) tuvo grado de instrucción superior y edad media de 28,53 años (desviación estándar -DS-: 13,45). En su mayoría residían en la capital del país 8225 (68,62 %), presentaban algún seguro de salud 5639 (70,36 %), habían recibido información sobre prevención de ITS o VIH 8549 (71,32 %), alguno de los miembros de su familia conocía que el participante era una persona LGBTI  8750 (73,00 %) y no tenían hijos 11 410 (95,19 %).</w:t>
      </w:r>
    </w:p>
    <w:p w14:paraId="4146D97E" w14:textId="77777777" w:rsidR="00252A21" w:rsidRPr="00252A21" w:rsidRDefault="00252A21" w:rsidP="00252A21">
      <w:pPr>
        <w:spacing w:line="360" w:lineRule="auto"/>
        <w:jc w:val="center"/>
        <w:rPr>
          <w:rFonts w:eastAsia="Calibri"/>
          <w:b/>
          <w:bCs/>
          <w:lang w:val="es-PE" w:eastAsia="en-US"/>
        </w:rPr>
      </w:pPr>
    </w:p>
    <w:p w14:paraId="777480EB" w14:textId="77777777" w:rsidR="000450EE" w:rsidRDefault="000450EE">
      <w:pPr>
        <w:rPr>
          <w:rFonts w:eastAsia="Calibri"/>
          <w:b/>
          <w:bCs/>
          <w:sz w:val="22"/>
          <w:szCs w:val="22"/>
          <w:lang w:val="es-PE" w:eastAsia="en-US"/>
        </w:rPr>
      </w:pPr>
      <w:r>
        <w:rPr>
          <w:rFonts w:eastAsia="Calibri"/>
          <w:b/>
          <w:bCs/>
          <w:sz w:val="22"/>
          <w:szCs w:val="22"/>
          <w:lang w:val="es-PE" w:eastAsia="en-US"/>
        </w:rPr>
        <w:br w:type="page"/>
      </w:r>
    </w:p>
    <w:p w14:paraId="561296FB" w14:textId="19F2174C" w:rsidR="00252A21" w:rsidRPr="00252A21" w:rsidRDefault="00252A21" w:rsidP="00252A21">
      <w:pPr>
        <w:spacing w:line="360" w:lineRule="auto"/>
        <w:jc w:val="center"/>
        <w:rPr>
          <w:rFonts w:eastAsia="Calibri"/>
          <w:b/>
          <w:bCs/>
          <w:sz w:val="22"/>
          <w:szCs w:val="22"/>
          <w:lang w:val="es-PE" w:eastAsia="en-US"/>
        </w:rPr>
      </w:pPr>
      <w:r w:rsidRPr="00252A21">
        <w:rPr>
          <w:rFonts w:eastAsia="Calibri"/>
          <w:b/>
          <w:bCs/>
          <w:sz w:val="22"/>
          <w:szCs w:val="22"/>
          <w:lang w:val="es-PE" w:eastAsia="en-US"/>
        </w:rPr>
        <w:lastRenderedPageBreak/>
        <w:t xml:space="preserve">Tabla </w:t>
      </w:r>
      <w:r w:rsidRPr="00252A21">
        <w:rPr>
          <w:rFonts w:eastAsia="Calibri"/>
          <w:b/>
          <w:bCs/>
          <w:sz w:val="22"/>
          <w:szCs w:val="22"/>
          <w:lang w:val="es-PE" w:eastAsia="en-US"/>
        </w:rPr>
        <w:tab/>
        <w:t xml:space="preserve">1 - </w:t>
      </w:r>
      <w:r w:rsidRPr="00252A21">
        <w:rPr>
          <w:rFonts w:eastAsia="Calibri"/>
          <w:sz w:val="22"/>
          <w:szCs w:val="22"/>
          <w:lang w:val="es-PE" w:eastAsia="en-US"/>
        </w:rPr>
        <w:t>Análisis crudo de los factores asociados al no uso de métodos anticonceptivos de barrera en la población LGBTI peruana, 2017</w:t>
      </w:r>
    </w:p>
    <w:p w14:paraId="6ABDBA81" w14:textId="0BA8D589" w:rsidR="00B10FBB" w:rsidRDefault="00B10FBB" w:rsidP="00252A21">
      <w:pPr>
        <w:spacing w:line="360" w:lineRule="auto"/>
        <w:jc w:val="center"/>
        <w:rPr>
          <w:rFonts w:eastAsia="Calibri"/>
          <w:sz w:val="16"/>
          <w:szCs w:val="16"/>
          <w:lang w:val="es-PE" w:eastAsia="en-US"/>
        </w:rPr>
      </w:pPr>
      <w:r w:rsidRPr="00C82491">
        <w:rPr>
          <w:noProof/>
          <w:lang w:val="es-ES" w:eastAsia="es-ES"/>
        </w:rPr>
        <w:drawing>
          <wp:inline distT="0" distB="0" distL="0" distR="0" wp14:anchorId="6714A71C" wp14:editId="3529E9A5">
            <wp:extent cx="3816934" cy="6190110"/>
            <wp:effectExtent l="0" t="0" r="0" b="1270"/>
            <wp:docPr id="1" name="Imagen 1" descr="G:\21.7.23\2665\t01_266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1.7.23\2665\t01_2665.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6270" cy="6205251"/>
                    </a:xfrm>
                    <a:prstGeom prst="rect">
                      <a:avLst/>
                    </a:prstGeom>
                    <a:noFill/>
                    <a:ln>
                      <a:noFill/>
                    </a:ln>
                  </pic:spPr>
                </pic:pic>
              </a:graphicData>
            </a:graphic>
          </wp:inline>
        </w:drawing>
      </w:r>
    </w:p>
    <w:p w14:paraId="14AF7432" w14:textId="320AFDF7" w:rsidR="00252A21" w:rsidRPr="00252A21" w:rsidRDefault="00252A21" w:rsidP="00252A21">
      <w:pPr>
        <w:spacing w:line="360" w:lineRule="auto"/>
        <w:jc w:val="center"/>
        <w:rPr>
          <w:rFonts w:eastAsia="Calibri"/>
          <w:sz w:val="16"/>
          <w:szCs w:val="16"/>
          <w:lang w:val="es-PE" w:eastAsia="en-US"/>
        </w:rPr>
      </w:pPr>
      <w:r w:rsidRPr="00252A21">
        <w:rPr>
          <w:rFonts w:eastAsia="Calibri"/>
          <w:sz w:val="16"/>
          <w:szCs w:val="16"/>
          <w:lang w:val="es-PE" w:eastAsia="en-US"/>
        </w:rPr>
        <w:t xml:space="preserve">DS: Desviación estándar; </w:t>
      </w:r>
      <w:r w:rsidRPr="00252A21">
        <w:rPr>
          <w:rFonts w:eastAsia="Calibri"/>
          <w:i/>
          <w:iCs/>
          <w:sz w:val="16"/>
          <w:szCs w:val="16"/>
          <w:lang w:val="es-PE" w:eastAsia="en-US"/>
        </w:rPr>
        <w:t>Ref.:</w:t>
      </w:r>
      <w:r w:rsidRPr="00252A21">
        <w:rPr>
          <w:rFonts w:eastAsia="Calibri"/>
          <w:sz w:val="16"/>
          <w:szCs w:val="16"/>
          <w:lang w:val="es-PE" w:eastAsia="en-US"/>
        </w:rPr>
        <w:t xml:space="preserve"> Categoría de referencia</w:t>
      </w:r>
      <w:r w:rsidRPr="00252A21">
        <w:rPr>
          <w:rFonts w:eastAsia="Calibri"/>
          <w:sz w:val="16"/>
          <w:szCs w:val="16"/>
          <w:lang w:val="es-PE" w:eastAsia="en-US"/>
        </w:rPr>
        <w:br/>
        <w:t>† Evaluado mediante la prueba ji cuadrado de Pearson</w:t>
      </w:r>
      <w:r w:rsidRPr="00252A21">
        <w:rPr>
          <w:rFonts w:eastAsia="Calibri"/>
          <w:sz w:val="16"/>
          <w:szCs w:val="16"/>
          <w:lang w:val="es-PE" w:eastAsia="en-US"/>
        </w:rPr>
        <w:br/>
        <w:t xml:space="preserve">†† Evaluado mediante la prueba Regresión de Poisson </w:t>
      </w:r>
      <w:r w:rsidRPr="00252A21">
        <w:rPr>
          <w:rFonts w:eastAsia="Calibri"/>
          <w:sz w:val="16"/>
          <w:szCs w:val="16"/>
          <w:lang w:val="es-PE" w:eastAsia="en-US"/>
        </w:rPr>
        <w:br/>
        <w:t>* Evaluado mediante la prueba T de Student</w:t>
      </w:r>
    </w:p>
    <w:p w14:paraId="2A097017" w14:textId="77777777" w:rsidR="00252A21" w:rsidRPr="00252A21" w:rsidRDefault="00252A21" w:rsidP="00252A21">
      <w:pPr>
        <w:spacing w:line="360" w:lineRule="auto"/>
        <w:jc w:val="center"/>
        <w:rPr>
          <w:rFonts w:eastAsia="Calibri"/>
          <w:lang w:val="es-PE" w:eastAsia="en-US"/>
        </w:rPr>
      </w:pPr>
    </w:p>
    <w:p w14:paraId="19EFD259" w14:textId="77777777" w:rsidR="00252A21" w:rsidRPr="00252A21" w:rsidRDefault="00252A21" w:rsidP="00252A21">
      <w:pPr>
        <w:spacing w:line="360" w:lineRule="auto"/>
        <w:jc w:val="both"/>
        <w:rPr>
          <w:rFonts w:eastAsia="Calibri"/>
          <w:lang w:val="es-PE" w:eastAsia="en-US"/>
        </w:rPr>
      </w:pPr>
      <w:r w:rsidRPr="00252A21">
        <w:rPr>
          <w:rFonts w:eastAsia="Calibri"/>
          <w:lang w:val="es-PE" w:eastAsia="en-US"/>
        </w:rPr>
        <w:t>Seguidamente, en la tabla 2 se observan los resultados del análisis crudo y ajustado que buscan determinar factores asociados. Los factores que incrementan la probabilidad de que los usuarios no utilicen un método anticonceptivo de barrera se encuentran los de mayor edad (p&lt; 0,001; RPa= 1,002), sexo al nacer, mujer (p&lt; 0,001; RPa= 6,66) y el no haber recibido información sobre prevención de ITS o VIH (p&lt; 0,001; RPa= 1,31). Así mismo, los factores protectores del evento fueron el presentar grado de instrucción secundaria (p= 0,042; RPa= 0,77) o superior (p= 0,013; RPa= 0,74), que un integrante del entorno familiar no conozca que la persona sea LGBTI (p&lt; 0,001; RPa= 0,78) y el no presentar pareja (p&lt; 0,001; RPa= 0,79).</w:t>
      </w:r>
    </w:p>
    <w:p w14:paraId="206560EC" w14:textId="77777777" w:rsidR="00252A21" w:rsidRPr="00252A21" w:rsidRDefault="00252A21" w:rsidP="00252A21">
      <w:pPr>
        <w:spacing w:line="360" w:lineRule="auto"/>
        <w:jc w:val="center"/>
        <w:rPr>
          <w:rFonts w:eastAsia="Calibri"/>
          <w:b/>
          <w:bCs/>
          <w:sz w:val="22"/>
          <w:szCs w:val="22"/>
          <w:lang w:val="es-PE" w:eastAsia="en-US"/>
        </w:rPr>
      </w:pPr>
    </w:p>
    <w:p w14:paraId="7EA69721" w14:textId="77777777" w:rsidR="0082696F" w:rsidRDefault="0082696F">
      <w:pPr>
        <w:rPr>
          <w:rFonts w:eastAsia="Calibri"/>
          <w:b/>
          <w:bCs/>
          <w:sz w:val="22"/>
          <w:szCs w:val="22"/>
          <w:lang w:val="es-PE" w:eastAsia="en-US"/>
        </w:rPr>
      </w:pPr>
      <w:r>
        <w:rPr>
          <w:rFonts w:eastAsia="Calibri"/>
          <w:b/>
          <w:bCs/>
          <w:sz w:val="22"/>
          <w:szCs w:val="22"/>
          <w:lang w:val="es-PE" w:eastAsia="en-US"/>
        </w:rPr>
        <w:br w:type="page"/>
      </w:r>
    </w:p>
    <w:p w14:paraId="6C44073D" w14:textId="0521D9A1" w:rsidR="00252A21" w:rsidRPr="00252A21" w:rsidRDefault="00252A21" w:rsidP="00252A21">
      <w:pPr>
        <w:spacing w:line="360" w:lineRule="auto"/>
        <w:jc w:val="center"/>
        <w:rPr>
          <w:rFonts w:eastAsia="Calibri"/>
          <w:b/>
          <w:bCs/>
          <w:sz w:val="22"/>
          <w:szCs w:val="22"/>
          <w:lang w:val="es-PE" w:eastAsia="en-US"/>
        </w:rPr>
      </w:pPr>
      <w:r w:rsidRPr="00252A21">
        <w:rPr>
          <w:rFonts w:eastAsia="Calibri"/>
          <w:b/>
          <w:bCs/>
          <w:sz w:val="22"/>
          <w:szCs w:val="22"/>
          <w:lang w:val="es-PE" w:eastAsia="en-US"/>
        </w:rPr>
        <w:lastRenderedPageBreak/>
        <w:t xml:space="preserve">Tabla 2 - </w:t>
      </w:r>
      <w:r w:rsidRPr="00252A21">
        <w:rPr>
          <w:rFonts w:eastAsia="Calibri"/>
          <w:sz w:val="22"/>
          <w:szCs w:val="22"/>
          <w:lang w:val="es-PE" w:eastAsia="en-US"/>
        </w:rPr>
        <w:t>Análisis ajustado de los factores asociados al no uso de métodos anticonceptivos de barrera en la población LGBTI peruana</w:t>
      </w:r>
    </w:p>
    <w:p w14:paraId="0BD13937" w14:textId="04995241" w:rsidR="00B10FBB" w:rsidRDefault="00B10FBB" w:rsidP="00252A21">
      <w:pPr>
        <w:spacing w:line="360" w:lineRule="auto"/>
        <w:jc w:val="center"/>
        <w:rPr>
          <w:rFonts w:eastAsia="Calibri"/>
          <w:sz w:val="16"/>
          <w:szCs w:val="16"/>
          <w:lang w:val="es-PE" w:eastAsia="en-US"/>
        </w:rPr>
      </w:pPr>
      <w:r w:rsidRPr="00C82491">
        <w:rPr>
          <w:b/>
          <w:noProof/>
          <w:sz w:val="32"/>
          <w:szCs w:val="32"/>
          <w:lang w:val="es-ES" w:eastAsia="es-ES"/>
        </w:rPr>
        <w:drawing>
          <wp:inline distT="0" distB="0" distL="0" distR="0" wp14:anchorId="08F538B2" wp14:editId="5C394F5C">
            <wp:extent cx="3320263" cy="6024032"/>
            <wp:effectExtent l="0" t="0" r="0" b="0"/>
            <wp:docPr id="2" name="Imagen 2" descr="G:\21.7.23\2665\t02_266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1.7.23\2665\t02_2665.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8651" cy="6039251"/>
                    </a:xfrm>
                    <a:prstGeom prst="rect">
                      <a:avLst/>
                    </a:prstGeom>
                    <a:noFill/>
                    <a:ln>
                      <a:noFill/>
                    </a:ln>
                  </pic:spPr>
                </pic:pic>
              </a:graphicData>
            </a:graphic>
          </wp:inline>
        </w:drawing>
      </w:r>
    </w:p>
    <w:p w14:paraId="3C33FCD0" w14:textId="4CE1C1B6" w:rsidR="00252A21" w:rsidRPr="00252A21" w:rsidRDefault="00252A21" w:rsidP="00252A21">
      <w:pPr>
        <w:spacing w:line="360" w:lineRule="auto"/>
        <w:jc w:val="center"/>
        <w:rPr>
          <w:rFonts w:eastAsia="Calibri"/>
          <w:sz w:val="16"/>
          <w:szCs w:val="16"/>
          <w:lang w:val="es-PE" w:eastAsia="en-US"/>
        </w:rPr>
      </w:pPr>
      <w:r w:rsidRPr="00252A21">
        <w:rPr>
          <w:rFonts w:eastAsia="Calibri"/>
          <w:sz w:val="16"/>
          <w:szCs w:val="16"/>
          <w:lang w:val="es-PE" w:eastAsia="en-US"/>
        </w:rPr>
        <w:t xml:space="preserve">DS: Desviación estándar; RP: Razón de prevalencia; IC95 %: Intervalo de confianza al 95 %; </w:t>
      </w:r>
      <w:r w:rsidRPr="00252A21">
        <w:rPr>
          <w:rFonts w:eastAsia="Calibri"/>
          <w:i/>
          <w:iCs/>
          <w:sz w:val="16"/>
          <w:szCs w:val="16"/>
          <w:lang w:val="es-PE" w:eastAsia="en-US"/>
        </w:rPr>
        <w:t>Ref.:</w:t>
      </w:r>
      <w:r w:rsidRPr="00252A21">
        <w:rPr>
          <w:rFonts w:eastAsia="Calibri"/>
          <w:sz w:val="16"/>
          <w:szCs w:val="16"/>
          <w:lang w:val="es-PE" w:eastAsia="en-US"/>
        </w:rPr>
        <w:t xml:space="preserve"> Categoría de referencia.</w:t>
      </w:r>
      <w:r w:rsidRPr="00252A21">
        <w:rPr>
          <w:rFonts w:eastAsia="Calibri"/>
          <w:sz w:val="16"/>
          <w:szCs w:val="16"/>
          <w:lang w:val="es-PE" w:eastAsia="en-US"/>
        </w:rPr>
        <w:br/>
        <w:t xml:space="preserve">† Evaluado mediante la prueba </w:t>
      </w:r>
      <w:r w:rsidRPr="00252A21">
        <w:rPr>
          <w:rFonts w:eastAsia="Calibri"/>
          <w:i/>
          <w:iCs/>
          <w:sz w:val="16"/>
          <w:szCs w:val="16"/>
          <w:lang w:val="es-PE" w:eastAsia="en-US"/>
        </w:rPr>
        <w:t>ji</w:t>
      </w:r>
      <w:r w:rsidRPr="00252A21">
        <w:rPr>
          <w:rFonts w:eastAsia="Calibri"/>
          <w:sz w:val="16"/>
          <w:szCs w:val="16"/>
          <w:lang w:val="es-PE" w:eastAsia="en-US"/>
        </w:rPr>
        <w:t xml:space="preserve"> cuadrado de Pearson. </w:t>
      </w:r>
      <w:r w:rsidRPr="00252A21">
        <w:rPr>
          <w:rFonts w:eastAsia="Calibri"/>
          <w:sz w:val="16"/>
          <w:szCs w:val="16"/>
          <w:lang w:val="es-PE" w:eastAsia="en-US"/>
        </w:rPr>
        <w:br/>
        <w:t xml:space="preserve">†† Evaluado mediante la prueba Regresión de Poisson. </w:t>
      </w:r>
      <w:r w:rsidRPr="00252A21">
        <w:rPr>
          <w:rFonts w:eastAsia="Calibri"/>
          <w:sz w:val="16"/>
          <w:szCs w:val="16"/>
          <w:lang w:val="es-PE" w:eastAsia="en-US"/>
        </w:rPr>
        <w:br/>
        <w:t>* Evaluado mediante la prueba T de Student.</w:t>
      </w:r>
    </w:p>
    <w:p w14:paraId="3176936D" w14:textId="77777777" w:rsidR="00252A21" w:rsidRPr="00252A21" w:rsidRDefault="00252A21" w:rsidP="00252A21">
      <w:pPr>
        <w:spacing w:line="360" w:lineRule="auto"/>
        <w:jc w:val="center"/>
        <w:rPr>
          <w:rFonts w:eastAsia="Calibri"/>
          <w:sz w:val="16"/>
          <w:szCs w:val="16"/>
          <w:lang w:val="es-PE" w:eastAsia="en-US"/>
        </w:rPr>
      </w:pPr>
    </w:p>
    <w:p w14:paraId="2D028A99" w14:textId="77777777" w:rsidR="00252A21" w:rsidRPr="00252A21" w:rsidRDefault="00252A21" w:rsidP="00252A21">
      <w:pPr>
        <w:spacing w:line="360" w:lineRule="auto"/>
        <w:jc w:val="center"/>
        <w:rPr>
          <w:rFonts w:eastAsia="Calibri"/>
          <w:sz w:val="16"/>
          <w:szCs w:val="16"/>
          <w:lang w:val="es-PE" w:eastAsia="en-US"/>
        </w:rPr>
      </w:pPr>
    </w:p>
    <w:p w14:paraId="793FD46D" w14:textId="77777777" w:rsidR="00252A21" w:rsidRPr="00252A21" w:rsidRDefault="00252A21" w:rsidP="00252A21">
      <w:pPr>
        <w:spacing w:line="360" w:lineRule="auto"/>
        <w:jc w:val="center"/>
        <w:rPr>
          <w:rFonts w:eastAsia="Calibri"/>
          <w:b/>
          <w:sz w:val="32"/>
          <w:szCs w:val="32"/>
          <w:lang w:val="es-PE" w:eastAsia="en-US"/>
        </w:rPr>
      </w:pPr>
      <w:r w:rsidRPr="00252A21">
        <w:rPr>
          <w:rFonts w:eastAsia="Calibri"/>
          <w:b/>
          <w:sz w:val="32"/>
          <w:szCs w:val="32"/>
          <w:lang w:val="es-PE" w:eastAsia="en-US"/>
        </w:rPr>
        <w:t>DISCUSIÓN</w:t>
      </w:r>
    </w:p>
    <w:p w14:paraId="20C56531" w14:textId="77777777" w:rsidR="00252A21" w:rsidRPr="00252A21" w:rsidRDefault="00252A21" w:rsidP="00252A21">
      <w:pPr>
        <w:spacing w:line="360" w:lineRule="auto"/>
        <w:jc w:val="both"/>
        <w:rPr>
          <w:rFonts w:eastAsia="Calibri"/>
          <w:lang w:val="es-PE" w:eastAsia="en-US"/>
        </w:rPr>
      </w:pPr>
      <w:r w:rsidRPr="00252A21">
        <w:rPr>
          <w:rFonts w:eastAsia="Calibri"/>
          <w:lang w:val="es-PE" w:eastAsia="en-US"/>
        </w:rPr>
        <w:t>Con el presente estudio se han identificado en el Perú, inequidades en el acceso a los servicios y atención integral de salud de una población vulnerable. Se muestran regiones con mayor proporción de no uso de métodos anticonceptivos de barrera. Este resultado permitiría focalizar estrategias para reducir las infecciones de transmisión sexual y VIH;</w:t>
      </w:r>
      <w:r w:rsidRPr="00252A21">
        <w:rPr>
          <w:rFonts w:eastAsia="Calibri"/>
          <w:vertAlign w:val="superscript"/>
          <w:lang w:val="es-PE" w:eastAsia="en-US"/>
        </w:rPr>
        <w:fldChar w:fldCharType="begin"/>
      </w:r>
      <w:r w:rsidRPr="00252A21">
        <w:rPr>
          <w:rFonts w:eastAsia="Calibri"/>
          <w:vertAlign w:val="superscript"/>
          <w:lang w:val="es-PE" w:eastAsia="en-US"/>
        </w:rPr>
        <w:instrText xml:space="preserve"> ADDIN ZOTERO_ITEM CSL_CITATION {"citationID":"cAevxlcU","properties":{"formattedCitation":"(16,17)","plainCitation":"(16,17)","noteIndex":0},"citationItems":[{"id":506,"uris":["http://zotero.org/users/local/EDRS0uWj/items/9GHLPLG3"],"uri":["http://zotero.org/users/local/EDRS0uWj/items/9GHLPLG3"],"itemData":{"id":506,"type":"article-journal","abstract":"Despite improved availability of simple, relatively inexpensive, and highly effective antiretroviral treatment for HIV/AIDS, the disease remains a major public health challenge for women in sub-Saharan Africa (SSA). Given the numerous barriers in access to care for women in this region, every health issue that brings them into contact with the health system should be optimized as an opportunity to integrate HIV/AIDS prevention. Because most non-condom forms of modern contraception require a clinical appointment for use, contraception appointments could provide a confidential opportunity for access to HIV counseling, testing, and referral to care. This study sought to investigate the relationship between contraceptive methods and HIV testing among women in SSA. Data from the Demographic and Health Survey from four African countries-Congo, Mozambique, Nigeria, and Uganda-was used to examine whether modern (e.g., pills, condom) or traditional (e.g., periodic abstinence, withdrawal) forms of contraception were associated with uptake of HIV testing. Data for the current analyses were restricted to 35,748 women with complete information on the variables of interest. Chi-square tests and logistic regression models were used to assess the relationship between uptake of HIV testing and respondents' baseline characteristics and contraceptive methods. In the total sample and in Mozambique, women who used modern forms of contraception were more likely to be tested for HIV compared to those who did not use contraception. This positive association was not demonstrated in Congo, Nigeria, or Uganda. That many women who access modern contraception are not tested for HIV in high HIV burden areas highlights a missed opportunity to deliver an important intervention to promote maternal and child health. Given the increasing popularity of hormonal contraception methods in low-income countries, there is an urgent need to integrate HIV counseling, testing, and treatment into family planning programs. Women on hormonal contraceptives should be encouraged to continue to use condoms for HIV-prevention.","container-title":"PloS One","DOI":"10.1371/journal.pone.0154213","ISSN":"1932-6203","issue":"4","journalAbbreviation":"PLoS One","language":"eng","note":"PMID: 27111915\nPMCID: PMC4844155","page":"e0154213","source":"PubMed","title":"Contraceptive Use and Uptake of HIV-Testing among Sub-Saharan African Women","volume":"11","author":[{"family":"Center","given":"Katherine E."},{"family":"Gunn","given":"Jayleen K. L."},{"family":"Asaolu","given":"Ibitola O."},{"family":"Gibson","given":"Steven J."},{"family":"Ehiri","given":"John E."}],"issued":{"date-parts":[["2016"]]}}},{"id":509,"uris":["http://zotero.org/users/local/EDRS0uWj/items/755HK6JH"],"uri":["http://zotero.org/users/local/EDRS0uWj/items/755HK6JH"],"itemData":{"id":509,"type":"article-journal","abstract":"Heterosexual transmission is the predominant mode of spread of the Human Immunodeficiency Virus (HIV) in most of the world. Whether the use of hormonal contraceptives, IUDs and spermicides is associated with an increased or decreased risk for HIV acquisition remains controversial. Several mechanisms whereby contraceptive methods may influence the transmission of HIV have been proposed. As contraceptive use increases among women of reproductive age, the group most vulnerable to HIV infection, any associations between contraceptive method and HIV risk become even more important. The available studies of these associations are predominantly cross-sectional and give conflicting results. We review the published evidence for associations between HIV and individual contraceptive methods. At this time no definitive conclusions regarding these associations can be drawn. Further research, especially prospective epidemiological studies and basic biological research on mechanisms of heterosexual transmission and the effect of contraceptives on these mechanisms, is urgently needed.","container-title":"Genitourinary Medicine","DOI":"10.1136/sti.70.2.110","ISSN":"0266-4348","issue":"2","journalAbbreviation":"Genitourin Med","language":"eng","note":"PMID: 8206468\nPMCID: PMC1195205","page":"110-117","source":"PubMed","title":"Contraceptive methods and the transmission of HIV: implications for family planning","title-short":"Contraceptive methods and the transmission of HIV","volume":"70","author":[{"family":"Daly","given":"C. C."},{"family":"Helling-Giese","given":"G. E."},{"family":"Mati","given":"J. K."},{"family":"Hunter","given":"D. J."}],"issued":{"date-parts":[["1994",4]]}}}],"schema":"https://github.com/citation-style-language/schema/raw/master/csl-citation.json"} </w:instrText>
      </w:r>
      <w:r w:rsidRPr="00252A21">
        <w:rPr>
          <w:rFonts w:eastAsia="Calibri"/>
          <w:vertAlign w:val="superscript"/>
          <w:lang w:val="es-PE" w:eastAsia="en-US"/>
        </w:rPr>
        <w:fldChar w:fldCharType="separate"/>
      </w:r>
      <w:r w:rsidRPr="00252A21">
        <w:rPr>
          <w:rFonts w:eastAsia="Calibri"/>
          <w:vertAlign w:val="superscript"/>
          <w:lang w:val="es-PE" w:eastAsia="en-US"/>
        </w:rPr>
        <w:t>(18,19)</w:t>
      </w:r>
      <w:r w:rsidRPr="00252A21">
        <w:rPr>
          <w:rFonts w:eastAsia="Calibri"/>
          <w:vertAlign w:val="superscript"/>
          <w:lang w:val="es-PE" w:eastAsia="en-US"/>
        </w:rPr>
        <w:fldChar w:fldCharType="end"/>
      </w:r>
      <w:r w:rsidRPr="00252A21">
        <w:rPr>
          <w:rFonts w:eastAsia="Calibri"/>
          <w:lang w:val="es-PE" w:eastAsia="en-US"/>
        </w:rPr>
        <w:t xml:space="preserve"> no solo restringir la fertilidad, sino promover una educación inclusiva en salud sexual y reproductiva e integrar los servicios de planificación familiar</w:t>
      </w:r>
      <w:r w:rsidRPr="00252A21">
        <w:rPr>
          <w:rFonts w:eastAsia="Calibri"/>
          <w:vertAlign w:val="superscript"/>
          <w:lang w:val="es-PE" w:eastAsia="en-US"/>
        </w:rPr>
        <w:fldChar w:fldCharType="begin"/>
      </w:r>
      <w:r w:rsidRPr="00252A21">
        <w:rPr>
          <w:rFonts w:eastAsia="Calibri"/>
          <w:vertAlign w:val="superscript"/>
          <w:lang w:val="es-PE" w:eastAsia="en-US"/>
        </w:rPr>
        <w:instrText xml:space="preserve"> ADDIN ZOTERO_ITEM CSL_CITATION {"citationID":"dqUhaGyp","properties":{"formattedCitation":"(18)","plainCitation":"(18)","noteIndex":0},"citationItems":[{"id":512,"uris":["http://zotero.org/users/local/EDRS0uWj/items/PMH9X8CT"],"uri":["http://zotero.org/users/local/EDRS0uWj/items/PMH9X8CT"],"itemData":{"id":512,"type":"article-journal","abstract":"OBJECTIVE: To understand contraceptive need and use among individuals with HIV/AIDS living in slums.\nMETHODS: A sequential mixed-methods study was conducted in two slums in Nairobi, Kenya, from November 6th, 2009 to April 18th, 2010. Data were obtained by quantitative survey (n=513), qualitative in-depth interviews (n=41), and key informant interviews (n=14).\nRESULTS: In all, 250 (55.5%) participants used contraceptives. Condoms were the most frequently reported modern method (n=142; 60.4%), followed by injectables (n=55; 23.4%) and dual methods (n=38; 15.3%). Unmet need was reported by 151 (33.6%) individuals. Factors associated with contraceptive use were education, marital status, number of living children, discussion of contraception with a provider, and social support. Personal, conceptual, and structural barriers to contraceptive use were identified.\nCONCLUSIONS: Individuals with HIV/AIDS wished to limit their fertility but experienced high unmet need for contraception. Multi-level interventions, including educational campaigns and integration of HIV and family planning services, are required to overcome barriers.","container-title":"International Journal of Gynaecology and Obstetrics: The Official Organ of the International Federation of Gynaecology and Obstetrics","DOI":"10.1016/j.ijgo.2015.05.001","ISSN":"1879-3479","journalAbbreviation":"Int J Gynaecol Obstet","language":"eng","note":"PMID: 26165907\nPMCID: PMC6485368","page":"E31-36","source":"PubMed","title":"Contraceptive need and use among individuals with HIV/AIDS living in the slums of Nairobi, Kenya","volume":"130 Suppl 3","author":[{"family":"Wekesa","given":"Eliud"},{"family":"Coast","given":"Ernestina"}],"issued":{"date-parts":[["2015",8]]}}}],"schema":"https://github.com/citation-style-language/schema/raw/master/csl-citation.json"} </w:instrText>
      </w:r>
      <w:r w:rsidRPr="00252A21">
        <w:rPr>
          <w:rFonts w:eastAsia="Calibri"/>
          <w:vertAlign w:val="superscript"/>
          <w:lang w:val="es-PE" w:eastAsia="en-US"/>
        </w:rPr>
        <w:fldChar w:fldCharType="separate"/>
      </w:r>
      <w:r w:rsidRPr="00252A21">
        <w:rPr>
          <w:rFonts w:eastAsia="Calibri"/>
          <w:vertAlign w:val="superscript"/>
          <w:lang w:val="es-PE" w:eastAsia="en-US"/>
        </w:rPr>
        <w:t>(20)</w:t>
      </w:r>
      <w:r w:rsidRPr="00252A21">
        <w:rPr>
          <w:rFonts w:eastAsia="Calibri"/>
          <w:vertAlign w:val="superscript"/>
          <w:lang w:val="es-PE" w:eastAsia="en-US"/>
        </w:rPr>
        <w:fldChar w:fldCharType="end"/>
      </w:r>
      <w:r w:rsidRPr="00252A21">
        <w:rPr>
          <w:rFonts w:eastAsia="Calibri"/>
          <w:lang w:val="es-PE" w:eastAsia="en-US"/>
        </w:rPr>
        <w:t xml:space="preserve"> brindado por personal calificado, incluyendo  la diversidad sexual.</w:t>
      </w:r>
      <w:r w:rsidRPr="00252A21">
        <w:rPr>
          <w:rFonts w:eastAsia="Calibri"/>
          <w:vertAlign w:val="superscript"/>
          <w:lang w:val="es-PE" w:eastAsia="en-US"/>
        </w:rPr>
        <w:t>(21)</w:t>
      </w:r>
      <w:r w:rsidRPr="00252A21">
        <w:rPr>
          <w:rFonts w:eastAsia="Calibri"/>
          <w:lang w:val="es-PE" w:eastAsia="en-US"/>
        </w:rPr>
        <w:t xml:space="preserve"> Además, tener en cuenta que esta situación no ha cambiado, ya que en el 2003 también se reportó un bajo nivel de uso de métodos de barrera.</w:t>
      </w:r>
      <w:r w:rsidRPr="00252A21">
        <w:rPr>
          <w:rFonts w:eastAsia="Calibri"/>
          <w:vertAlign w:val="superscript"/>
          <w:lang w:val="es-PE" w:eastAsia="en-US"/>
        </w:rPr>
        <w:t>(22)</w:t>
      </w:r>
    </w:p>
    <w:p w14:paraId="4FC7CB90" w14:textId="77777777" w:rsidR="00252A21" w:rsidRPr="00252A21" w:rsidRDefault="00252A21" w:rsidP="00252A21">
      <w:pPr>
        <w:spacing w:line="360" w:lineRule="auto"/>
        <w:jc w:val="both"/>
        <w:rPr>
          <w:rFonts w:eastAsia="Calibri"/>
          <w:lang w:val="es-PE" w:eastAsia="en-US"/>
        </w:rPr>
      </w:pPr>
      <w:r w:rsidRPr="00252A21">
        <w:rPr>
          <w:rFonts w:eastAsia="Calibri"/>
          <w:lang w:val="es-PE" w:eastAsia="en-US"/>
        </w:rPr>
        <w:t>El factor protector asociado al grado de instrucción secundaria y superior implica que las personas con alto nivel educativo asumen la responsabilidad de usar condón en sus relaciones sexuales. Esto concuerda con un estudio previo,</w:t>
      </w:r>
      <w:r w:rsidRPr="00252A21">
        <w:rPr>
          <w:rFonts w:eastAsia="Calibri"/>
          <w:vertAlign w:val="superscript"/>
          <w:lang w:val="es-PE" w:eastAsia="en-US"/>
        </w:rPr>
        <w:t>(13)</w:t>
      </w:r>
      <w:r w:rsidRPr="00252A21">
        <w:rPr>
          <w:rFonts w:eastAsia="Calibri"/>
          <w:lang w:val="es-PE" w:eastAsia="en-US"/>
        </w:rPr>
        <w:t xml:space="preserve"> el cual concluyó que los hombres que tienen sexo con hombres, con bajo nivel educativo, tuvieron menor autoeficiencia en el uso adecuado del condón en una relación de pareja. Es preciso referir que este fenómeno también se ha observado en la población general (externa a la LGBTI), el tener mayor número de grados académicos, puede influir en el uso de métodos anticonceptivos de barrera.</w:t>
      </w:r>
      <w:r w:rsidRPr="00252A21">
        <w:rPr>
          <w:rFonts w:eastAsia="Calibri"/>
          <w:vertAlign w:val="superscript"/>
          <w:lang w:val="es-PE" w:eastAsia="en-US"/>
        </w:rPr>
        <w:fldChar w:fldCharType="begin"/>
      </w:r>
      <w:r w:rsidRPr="00252A21">
        <w:rPr>
          <w:rFonts w:eastAsia="Calibri"/>
          <w:vertAlign w:val="superscript"/>
          <w:lang w:val="es-PE" w:eastAsia="en-US"/>
        </w:rPr>
        <w:instrText xml:space="preserve"> ADDIN ZOTERO_ITEM CSL_CITATION {"citationID":"DzvvRkbk","properties":{"formattedCitation":"(19)","plainCitation":"(19)","noteIndex":0},"citationItems":[{"id":515,"uris":["http://zotero.org/users/local/EDRS0uWj/items/4W5ZQIG3"],"uri":["http://zotero.org/users/local/EDRS0uWj/items/4W5ZQIG3"],"itemData":{"id":515,"type":"article-journal","abstract":"Consistent condom use tends to be limited in youth, which makes this group especially vulnerable for sexually transmitted infections (STIs) and unplanned pregnancies. It is known that sexual risk may vary as a function of behavioral intentions (e.g., condom use intention or having sex under the influence of alcohol), but no studies have yet characterized the sexual risk profiles considering behavioral intentions. This study utilizes latent class analysis (LCA) to explore the subtyping of behavioral intentions related to sexual risk in a community-based sample of adolescents aged 14 to 16 years from Spain. Multinomial logistic regression was used to assess the association between class membership and participants’ sociodemographic variables (sex, age, educational level, socioeconomic status, and family situation), and behavioral variables (sexual experience and percentage of condom use). Among the 1557 participants, four latent classes of risk were identified: “Condom + drugs”, “abstinent”, “condom + no drugs”, and “no condom + drugs”. Differences in adolescents’ sex, age, educational level, sexual experience, and condom use across latent classes were found. Findings highlight opportunities for psychologists, educators, and health-care providers to promote condom use in adolescents with differing sexual risk profiles. Increased understanding of behavioral intentions among adolescents may help to reduce sexual risk behaviors in this group.","container-title":"International Journal of Environmental Research and Public Health","DOI":"10.3390/ijerph18041855","ISSN":"1660-4601","issue":"4","language":"en","note":"number: 4\npublisher: Multidisciplinary Digital Publishing Institute","page":"1855","source":"www.mdpi.com","title":"“Who Are at Higher Sexual Risk?” Latent Class Analysis of Behavioral Intentions among Spanish Adolescents","title-short":"“Who Are at Higher Sexual Risk?","volume":"18","author":[{"family":"Morales","given":"Alexandra"},{"family":"Tomczyk","given":"Samuel"},{"family":"Orgilés","given":"Mireia"},{"family":"Espada","given":"José Pedro"}],"issued":{"date-parts":[["2021",1]]}}}],"schema":"https://github.com/citation-style-language/schema/raw/master/csl-citation.json"} </w:instrText>
      </w:r>
      <w:r w:rsidRPr="00252A21">
        <w:rPr>
          <w:rFonts w:eastAsia="Calibri"/>
          <w:vertAlign w:val="superscript"/>
          <w:lang w:val="es-PE" w:eastAsia="en-US"/>
        </w:rPr>
        <w:fldChar w:fldCharType="separate"/>
      </w:r>
      <w:r w:rsidRPr="00252A21">
        <w:rPr>
          <w:rFonts w:eastAsia="Calibri"/>
          <w:vertAlign w:val="superscript"/>
          <w:lang w:val="es-PE" w:eastAsia="en-US"/>
        </w:rPr>
        <w:t>(23)</w:t>
      </w:r>
      <w:r w:rsidRPr="00252A21">
        <w:rPr>
          <w:rFonts w:eastAsia="Calibri"/>
          <w:vertAlign w:val="superscript"/>
          <w:lang w:val="es-PE" w:eastAsia="en-US"/>
        </w:rPr>
        <w:fldChar w:fldCharType="end"/>
      </w:r>
    </w:p>
    <w:p w14:paraId="3ED92715" w14:textId="77777777" w:rsidR="00252A21" w:rsidRPr="00252A21" w:rsidRDefault="00252A21" w:rsidP="00252A21">
      <w:pPr>
        <w:spacing w:line="360" w:lineRule="auto"/>
        <w:jc w:val="both"/>
        <w:rPr>
          <w:rFonts w:eastAsia="Calibri"/>
          <w:lang w:val="es-PE" w:eastAsia="en-US"/>
        </w:rPr>
      </w:pPr>
      <w:r w:rsidRPr="00252A21">
        <w:rPr>
          <w:rFonts w:eastAsia="Calibri"/>
          <w:lang w:val="es-PE" w:eastAsia="en-US"/>
        </w:rPr>
        <w:t>Por otra parte, una mayor edad en este estudio es un factor de riesgo que implica que, por cada año que cumple una persona LGTBI,+ existe mayor probabilidad de no utilizar métodos de barrera y por ende, mayor riesgo para su salud. Este hallazgo se asemeja a estudios previos,</w:t>
      </w:r>
      <w:r w:rsidRPr="00252A21">
        <w:rPr>
          <w:rFonts w:eastAsia="Calibri"/>
          <w:vertAlign w:val="superscript"/>
          <w:lang w:val="es-PE" w:eastAsia="en-US"/>
        </w:rPr>
        <w:t>(24,25)</w:t>
      </w:r>
      <w:r w:rsidRPr="00252A21">
        <w:rPr>
          <w:rFonts w:eastAsia="Calibri"/>
          <w:lang w:val="es-PE" w:eastAsia="en-US"/>
        </w:rPr>
        <w:t xml:space="preserve"> los cuales muestran una tasa más elevada de VIH entre las edades de 25 a 34 años, en hombres que tienen sexo con hombres, y en mayores de 25 años en población transgénero; por lo cual, se estima que debe priorizarse a este grupo dentro de los programas de prevención.</w:t>
      </w:r>
    </w:p>
    <w:p w14:paraId="2BBD2D51" w14:textId="77777777" w:rsidR="00252A21" w:rsidRPr="00252A21" w:rsidRDefault="00252A21" w:rsidP="00252A21">
      <w:pPr>
        <w:spacing w:line="360" w:lineRule="auto"/>
        <w:jc w:val="both"/>
        <w:rPr>
          <w:rFonts w:eastAsia="Calibri"/>
          <w:lang w:val="es-PE" w:eastAsia="en-US"/>
        </w:rPr>
      </w:pPr>
      <w:r w:rsidRPr="00252A21">
        <w:rPr>
          <w:rFonts w:eastAsia="Calibri"/>
          <w:lang w:val="es-PE" w:eastAsia="en-US"/>
        </w:rPr>
        <w:t>Respecto a los factores sanitarios, se presentó como factor de riesgo no haber recibido información sobre prevención de ITS o VIH. Al respecto, un estudio realizado en Cuba</w:t>
      </w:r>
      <w:r w:rsidRPr="00252A21">
        <w:rPr>
          <w:rFonts w:eastAsia="Calibri"/>
          <w:vertAlign w:val="superscript"/>
          <w:lang w:val="es-PE" w:eastAsia="en-US"/>
        </w:rPr>
        <w:fldChar w:fldCharType="begin"/>
      </w:r>
      <w:r w:rsidRPr="00252A21">
        <w:rPr>
          <w:rFonts w:eastAsia="Calibri"/>
          <w:vertAlign w:val="superscript"/>
          <w:lang w:val="es-PE" w:eastAsia="en-US"/>
        </w:rPr>
        <w:instrText xml:space="preserve"> ADDIN ZOTERO_ITEM CSL_CITATION {"citationID":"dmld2Uj5","properties":{"formattedCitation":"(22)","plainCitation":"(22)","noteIndex":0},"citationItems":[{"id":518,"uris":["http://zotero.org/users/local/EDRS0uWj/items/GEXB36B8"],"uri":["http://zotero.org/users/local/EDRS0uWj/items/GEXB36B8"],"itemData":{"id":518,"type":"article-journal","abstract":"Las infecciones de transmisión sexual, se adquierenfundamentalmente a través de relacionessexuales desprotegidas y constituyen enla actualidad un problema de salud mundial,pues afecta a miles de personas y genera consecuenciaseconómicas, sociales y sanitarias degran repercusión en muchos países. El condónmasculino constituye el único producto, reconocidohasta el momento, efectivo para evitarinfectarse. Objetivo: Identificar conocimiento,actitudes y uso del condón masculino enhombres que tienen sexo con hombres; valorarcomportamiento de los HSH en relación con eluso del condón masculino y una conducta sexualresponsable; describir principales fuentesde información sobre las ITS-VIH en los jóvenesy HSH. Material y Métodos: Estudio observacional,descriptivo y transversal, en una poblaciónde hombres que tienen sexo con hombres;La Habana, se encuestaron 59, estudiándose variablesde conocimientos, actitudes y conducta,aplicando un cuestionario validado y utilizadoen investigaciones previas, solicitando el consentimientoa los seleccionados. La informaciónobtenida fue llevada a una base de datos mediantela aplicación Microsoft Office Excel paraWindows y procesada con el programa estadísticoSPSS versión 11.0. Se realizó un análisisestadístico descriptivo. Resultados: Se pone enevidencia la no correspondencia entre conocimientoy uso, baja percepción de riesgo, conductasexual irresponsable, particularmente enparejas estables. Recomendaciones: El presenteestudio sugiere que se requieren espacios de reflexiónmás amplios en torno a lo que implica lasexualidad entre hombres, que no excluya unamirada a temas como masculinidades, derechoshumanos y reducción de cualquier forma deviolencia o discriminación que se agencie encontra de hombres que dirigen su afectividad ysu libido hacia personas de su mismo sexo.Palabras claves: Relaciones sexuales; condónmasculino; hombres que tienen sexo con hombres(HSH).","container-title":"Archivos del Hospital Universitario \"General Calixto García\"","ISSN":"2707-9120","issue":"1","language":"es","note":"number: 1","source":"www.revcalixto.sld.cu","title":"Conocimiento, actitud y uso del condón en hombres que tienen sexo con hombres","URL":"http://www.revcalixto.sld.cu/index.php/ahcg/article/view/74","volume":"3","author":[{"family":"Verdecia","given":"Lic Ibrahim Brito"},{"family":"Acosta","given":"Lic Xiomara Casanova"},{"family":"Carrasco","given":"Artires Alexander Domínguez"}],"accessed":{"date-parts":[["2022",2,6]]},"issued":{"date-parts":[["2015",7,21]]}}}],"schema":"https://github.com/citation-style-language/schema/raw/master/csl-citation.json"} </w:instrText>
      </w:r>
      <w:r w:rsidRPr="00252A21">
        <w:rPr>
          <w:rFonts w:eastAsia="Calibri"/>
          <w:vertAlign w:val="superscript"/>
          <w:lang w:val="es-PE" w:eastAsia="en-US"/>
        </w:rPr>
        <w:fldChar w:fldCharType="separate"/>
      </w:r>
      <w:r w:rsidRPr="00252A21">
        <w:rPr>
          <w:rFonts w:eastAsia="Calibri"/>
          <w:vertAlign w:val="superscript"/>
          <w:lang w:val="es-PE" w:eastAsia="en-US"/>
        </w:rPr>
        <w:t>(26)</w:t>
      </w:r>
      <w:r w:rsidRPr="00252A21">
        <w:rPr>
          <w:rFonts w:eastAsia="Calibri"/>
          <w:vertAlign w:val="superscript"/>
          <w:lang w:val="es-PE" w:eastAsia="en-US"/>
        </w:rPr>
        <w:fldChar w:fldCharType="end"/>
      </w:r>
      <w:r w:rsidRPr="00252A21">
        <w:rPr>
          <w:rFonts w:eastAsia="Calibri"/>
          <w:lang w:val="es-PE" w:eastAsia="en-US"/>
        </w:rPr>
        <w:t xml:space="preserve"> revela que cerca de la mitad de hombres que tuvieron sexo con hombres, desconocía sobre las ITS y gran parte de ellos no identificaron de forma correcta las vías de transmisión del VIH. Esta problemática no solo debiera ser trabajada desde </w:t>
      </w:r>
      <w:r w:rsidRPr="00252A21">
        <w:rPr>
          <w:rFonts w:eastAsia="Calibri"/>
          <w:lang w:val="es-PE" w:eastAsia="en-US"/>
        </w:rPr>
        <w:lastRenderedPageBreak/>
        <w:t>la perspectiva de brindar educación a la población LGBTI, sino también, en mejorar la actitud de los proveedores de salud, al brindar asesoría sobre salud reproductiva a estos grupos vulnerables.</w:t>
      </w:r>
      <w:r w:rsidRPr="00252A21">
        <w:rPr>
          <w:rFonts w:eastAsia="Calibri"/>
          <w:vertAlign w:val="superscript"/>
          <w:lang w:val="es-PE" w:eastAsia="en-US"/>
        </w:rPr>
        <w:fldChar w:fldCharType="begin"/>
      </w:r>
      <w:r w:rsidRPr="00252A21">
        <w:rPr>
          <w:rFonts w:eastAsia="Calibri"/>
          <w:vertAlign w:val="superscript"/>
          <w:lang w:val="es-PE" w:eastAsia="en-US"/>
        </w:rPr>
        <w:instrText xml:space="preserve"> ADDIN ZOTERO_ITEM CSL_CITATION {"citationID":"vJnDUPco","properties":{"formattedCitation":"(23)","plainCitation":"(23)","noteIndex":0},"citationItems":[{"id":520,"uris":["http://zotero.org/users/local/EDRS0uWj/items/Y63UCUMM"],"uri":["http://zotero.org/users/local/EDRS0uWj/items/Y63UCUMM"],"itemData":{"id":520,"type":"article-journal","abstract":"BACKGROUND: There is limited understanding of health care providers' attitudes towards HIV-infected individuals' reproductive choices, as well as knowledge about safer conception. Our study objective was to explore provider-level factors that serve as barriers and/or facilitators to the provision of reproductive and safer conception services for men and women living with HIV.\nMETHODS: Twenty-five providers were interviewed in four focus group discussions about their attitudes regarding childbearing by HIV-infected clients, reproductive health and HIV knowledge, and views and knowledge of safer conception.\nRESULTS: Providers reported ambivalence about supporting childbearing among their clients with HIV. They raised concerns about HIV-infected individuals having children, and in certain cases expressed judgment that people with HIV should not have children because of these concerns. Providers lack specific knowledge about safer conception strategies and have low level of knowledge of reproductive health, the efficacy of PMTCT, and the risks of pregnancy for HIV-infected women.\nCONCLUSIONS: Providers in our setting have complex attitudes about HIV-infected clients having children and lack knowledge to appropriately counsel clients about reproductive health and safer conception. Our findings highlight need for further research in this area as well as the need for provider training in reproductive health and safer conception.","container-title":"Reproductive Health","DOI":"10.1186/s12978-015-0004-0","ISSN":"1742-4755","journalAbbreviation":"Reprod Health","language":"eng","note":"PMID: 25771719\nPMCID: PMC4355153","page":"17","source":"PubMed","title":"Provider attitudes about childbearing and knowledge of safer conception at two HIV clinics in Malawi","volume":"12","author":[{"family":"Kawale","given":"Paul"},{"family":"Mindry","given":"Deborah"},{"family":"Phoya","given":"Ann"},{"family":"Jansen","given":"Perry"},{"family":"Hoffman","given":"Risa M."}],"issued":{"date-parts":[["2015",3,7]]}}}],"schema":"https://github.com/citation-style-language/schema/raw/master/csl-citation.json"} </w:instrText>
      </w:r>
      <w:r w:rsidRPr="00252A21">
        <w:rPr>
          <w:rFonts w:eastAsia="Calibri"/>
          <w:vertAlign w:val="superscript"/>
          <w:lang w:val="es-PE" w:eastAsia="en-US"/>
        </w:rPr>
        <w:fldChar w:fldCharType="separate"/>
      </w:r>
      <w:r w:rsidRPr="00252A21">
        <w:rPr>
          <w:rFonts w:eastAsia="Calibri"/>
          <w:vertAlign w:val="superscript"/>
          <w:lang w:val="es-PE" w:eastAsia="en-US"/>
        </w:rPr>
        <w:t>(27)</w:t>
      </w:r>
      <w:r w:rsidRPr="00252A21">
        <w:rPr>
          <w:rFonts w:eastAsia="Calibri"/>
          <w:vertAlign w:val="superscript"/>
          <w:lang w:val="es-PE" w:eastAsia="en-US"/>
        </w:rPr>
        <w:fldChar w:fldCharType="end"/>
      </w:r>
    </w:p>
    <w:p w14:paraId="13804A5B" w14:textId="77777777" w:rsidR="00252A21" w:rsidRPr="00252A21" w:rsidRDefault="00252A21" w:rsidP="00252A21">
      <w:pPr>
        <w:spacing w:line="360" w:lineRule="auto"/>
        <w:jc w:val="both"/>
        <w:rPr>
          <w:rFonts w:eastAsia="Calibri"/>
          <w:lang w:val="es-PE" w:eastAsia="en-US"/>
        </w:rPr>
      </w:pPr>
      <w:r w:rsidRPr="00252A21">
        <w:rPr>
          <w:rFonts w:eastAsia="Calibri"/>
          <w:lang w:val="es-PE" w:eastAsia="en-US"/>
        </w:rPr>
        <w:t>También, tener sexo mujer al nacer, se presentó como factor de riesgo. Este resultado concuerda con los de un estudio en México,</w:t>
      </w:r>
      <w:r w:rsidRPr="00252A21">
        <w:rPr>
          <w:rFonts w:eastAsia="Calibri"/>
          <w:vertAlign w:val="superscript"/>
          <w:lang w:val="es-PE" w:eastAsia="en-US"/>
        </w:rPr>
        <w:t>(28)</w:t>
      </w:r>
      <w:r w:rsidRPr="00252A21">
        <w:rPr>
          <w:rFonts w:eastAsia="Calibri"/>
          <w:lang w:val="es-PE" w:eastAsia="en-US"/>
        </w:rPr>
        <w:t xml:space="preserve"> en el que se reporta que las mujeres lesbianas conforman el segundo grupo con mayor actividad sexual y menor uso de condón, comparado con hombres gay bisexuales. La evidencia que evalúa esta asociación es sumamente escasa, sin embargo, un estudio reciente</w:t>
      </w:r>
      <w:r w:rsidRPr="00252A21">
        <w:rPr>
          <w:rFonts w:eastAsia="Calibri"/>
          <w:vertAlign w:val="superscript"/>
          <w:lang w:val="es-PE" w:eastAsia="en-US"/>
        </w:rPr>
        <w:t>(29)</w:t>
      </w:r>
      <w:r w:rsidRPr="00252A21">
        <w:rPr>
          <w:rFonts w:eastAsia="Calibri"/>
          <w:lang w:val="es-PE" w:eastAsia="en-US"/>
        </w:rPr>
        <w:t xml:space="preserve"> muestra que los proveedores de salud requieren ser entrenados, para brindar consejería a grupos de género minoritario, con sexo biológico de mujer, lo cual reitera la necesidad de un adecuado entrenamiento por parte del profesional de la salud.</w:t>
      </w:r>
    </w:p>
    <w:p w14:paraId="3BB134F0" w14:textId="77777777" w:rsidR="00252A21" w:rsidRPr="00252A21" w:rsidRDefault="00252A21" w:rsidP="00252A21">
      <w:pPr>
        <w:spacing w:line="360" w:lineRule="auto"/>
        <w:jc w:val="both"/>
        <w:rPr>
          <w:rFonts w:eastAsia="Calibri"/>
          <w:lang w:val="es-PE" w:eastAsia="en-US"/>
        </w:rPr>
      </w:pPr>
      <w:r w:rsidRPr="00252A21">
        <w:rPr>
          <w:rFonts w:eastAsia="Calibri"/>
          <w:lang w:val="es-PE" w:eastAsia="en-US"/>
        </w:rPr>
        <w:t>Finalmente, el no presentar pareja sentimental (estable) se mostró como factor que incrementa la probabilidad del uso de métodos de barrera. Al respecto, un estudio previo</w:t>
      </w:r>
      <w:r w:rsidRPr="00252A21">
        <w:rPr>
          <w:rFonts w:eastAsia="Calibri"/>
          <w:vertAlign w:val="superscript"/>
          <w:lang w:val="es-PE" w:eastAsia="en-US"/>
        </w:rPr>
        <w:t>(30)</w:t>
      </w:r>
      <w:r w:rsidRPr="00252A21">
        <w:rPr>
          <w:rFonts w:eastAsia="Calibri"/>
          <w:lang w:val="es-PE" w:eastAsia="en-US"/>
        </w:rPr>
        <w:t xml:space="preserve"> refiere que puede ser común el no uso de métodos entre parejas estables, por la confianza y conocimiento del estado de infección de VIH de la pareja,</w:t>
      </w:r>
      <w:r w:rsidRPr="00252A21">
        <w:rPr>
          <w:rFonts w:eastAsia="Calibri"/>
          <w:vertAlign w:val="superscript"/>
          <w:lang w:val="es-PE" w:eastAsia="en-US"/>
        </w:rPr>
        <w:fldChar w:fldCharType="begin"/>
      </w:r>
      <w:r w:rsidRPr="00252A21">
        <w:rPr>
          <w:rFonts w:eastAsia="Calibri"/>
          <w:vertAlign w:val="superscript"/>
          <w:lang w:val="es-PE" w:eastAsia="en-US"/>
        </w:rPr>
        <w:instrText xml:space="preserve"> ADDIN ZOTERO_ITEM CSL_CITATION {"citationID":"kLCuaYJn","properties":{"formattedCitation":"(8,26)","plainCitation":"(8,26)","noteIndex":0},"citationItems":[{"id":465,"uris":["http://zotero.org/users/local/EDRS0uWj/items/QEY9DBD6"],"uri":["http://zotero.org/users/local/EDRS0uWj/items/QEY9DBD6"],"itemData":{"id":465,"type":"article-journal","abstract":"Background Unprotected sexual intercourse is a major risk factor for HIV transmission. Men who have sex with men (MSM) face challenges in accessing HIV prevention services, including condoms. However, there is limited in-depth assessment and documentation of the barriers to condom use among MSM in sub-Saharan Africa. In this paper, we examine the barriers to condom use among MSM in Uganda. Methods The data for this study were extracted from a larger qualitative study conducted among 85 self-identified adult (&gt;18 years) MSM in 11 districts in Uganda between July and December 2013. Data on sexual behaviours and access and barriers to condom use were collected using semi-structured interviews. All interviews were audio-recorded and transcribed verbatim. This paper presents an analysis of data for 33 MSM who did not use condoms at last sex, with a focus on barriers to condom use. Analysis was conducted using the content analysis approach. Results Six major barriers to condom use were identified: Difficulties with using condoms, access challenges, lack of knowledge and misinformation about condom use, partner and relationship related issues, financial incentives and socio-economic vulnerability, and alcohol consumption. Conclusion The findings suggest that several reasons account for lack of condom use among high-risk MSM. The findings are valuable to inform interventions needed to increase condom use among MSM.","container-title":"PLOS ONE","DOI":"10.1371/journal.pone.0132297","ISSN":"1932-6203","issue":"7","journalAbbreviation":"PLOS ONE","language":"en","note":"publisher: Public Library of Science","page":"e0132297","source":"PLoS Journals","title":"Barriers to Condom Use among High Risk Men Who Have Sex with Men in Uganda: A Qualitative Study","title-short":"Barriers to Condom Use among High Risk Men Who Have Sex with Men in Uganda","volume":"10","author":[{"family":"Musinguzi","given":"Geofrey"},{"family":"Bastiaens","given":"Hilde"},{"family":"Matovu","given":"Joseph K. B."},{"family":"Nuwaha","given":"Fred"},{"family":"Mujisha","given":"Geoffrey"},{"family":"Kiguli","given":"Juliet"},{"family":"Arinaitwe","given":"Jim"},{"family":"Geertruyden","given":"Jean-Pierre Van"},{"family":"Wanyenze","given":"Rhoda K."}],"issued":{"date-parts":[["2015",7,14]]}}},{"id":526,"uris":["http://zotero.org/users/local/EDRS0uWj/items/XF5MPZJX"],"uri":["http://zotero.org/users/local/EDRS0uWj/items/XF5MPZJX"],"itemData":{"id":526,"type":"article-journal","abstract":"Condomless anal intercourse among transgender women (TW) in Peru has been shown to vary by the type of partner involved (e.g. primary vs. casual vs. transactional sex partner), but no previous studies have explored variations in partner-level patterns of condom use according to type of anal intercourse. We evaluated the relationship between partnership characteristics and condom use during insertive (IAI) versus receptive anal intercourse (RAI) among TW with recent, non-female partners. Condomless IAI was more common with transactional and casual sex partners and by TW who self-reported HIV-uninfected serostatus (p &lt; 0.05), alcohol use disorders, or substance use before sex. Condomless RAI was more common with primary partners and by TW who described their HIV serostatus as unknown (p &lt; 0.05). Examining partner-level differences between condomless IAI and RAI reveals distinct patterns of HIV/STI risk among TW, suggesting a need for HIV prevention strategies tailored to the specific contexts of partners, practices, and networks.","container-title":"AIDS and Behavior","DOI":"10.1007/s10461-016-1503-x","ISSN":"1573-3254","issue":"8","journalAbbreviation":"AIDS Behav","language":"en","page":"2439-2451","source":"Springer Link","title":"Partner-Level Factors Associated with Insertive and Receptive Condomless Anal Intercourse Among Transgender Women in Lima, Peru","volume":"21","author":[{"family":"Satcher","given":"Milan F."},{"family":"Segura","given":"Eddy R."},{"family":"Silva-Santisteban","given":"Alfonso"},{"family":"Sanchez","given":"Jorge"},{"family":"Lama","given":"Javier R."},{"family":"Clark","given":"Jesse L."}],"issued":{"date-parts":[["2017",8,1]]}}}],"schema":"https://github.com/citation-style-language/schema/raw/master/csl-citation.json"} </w:instrText>
      </w:r>
      <w:r w:rsidRPr="00252A21">
        <w:rPr>
          <w:rFonts w:eastAsia="Calibri"/>
          <w:vertAlign w:val="superscript"/>
          <w:lang w:val="es-PE" w:eastAsia="en-US"/>
        </w:rPr>
        <w:fldChar w:fldCharType="separate"/>
      </w:r>
      <w:r w:rsidRPr="00252A21">
        <w:rPr>
          <w:rFonts w:eastAsia="Calibri"/>
          <w:vertAlign w:val="superscript"/>
          <w:lang w:val="es-PE" w:eastAsia="en-US"/>
        </w:rPr>
        <w:t>(8,31)</w:t>
      </w:r>
      <w:r w:rsidRPr="00252A21">
        <w:rPr>
          <w:rFonts w:eastAsia="Calibri"/>
          <w:vertAlign w:val="superscript"/>
          <w:lang w:val="es-PE" w:eastAsia="en-US"/>
        </w:rPr>
        <w:fldChar w:fldCharType="end"/>
      </w:r>
      <w:r w:rsidRPr="00252A21">
        <w:rPr>
          <w:rFonts w:eastAsia="Calibri"/>
          <w:lang w:val="es-PE" w:eastAsia="en-US"/>
        </w:rPr>
        <w:t xml:space="preserve"> justificación que incrementa el riesgo a su salud.</w:t>
      </w:r>
    </w:p>
    <w:p w14:paraId="1848B7A7" w14:textId="77777777" w:rsidR="00252A21" w:rsidRPr="00252A21" w:rsidRDefault="00252A21" w:rsidP="00252A21">
      <w:pPr>
        <w:spacing w:line="360" w:lineRule="auto"/>
        <w:jc w:val="both"/>
        <w:rPr>
          <w:rFonts w:eastAsia="Calibri"/>
          <w:lang w:val="es-PE" w:eastAsia="en-US"/>
        </w:rPr>
      </w:pPr>
      <w:r w:rsidRPr="00252A21">
        <w:rPr>
          <w:rFonts w:eastAsia="Calibri"/>
          <w:lang w:val="es-PE" w:eastAsia="en-US"/>
        </w:rPr>
        <w:t>En este estudio la principal limitación es que los resultados proceden de un muestreo no probabilístico. Por otro lado, el uso de una base secundaria, con preguntas predefinidas limita el análisis de múltiples variables de ajuste, que no fueron consideradas en el cuestionario.</w:t>
      </w:r>
      <w:r w:rsidRPr="00252A21">
        <w:rPr>
          <w:rFonts w:eastAsia="Calibri"/>
          <w:bCs/>
          <w:lang w:val="es-PE" w:eastAsia="en-US"/>
        </w:rPr>
        <w:t xml:space="preserve"> Asimismo, la evaluación de tópicos sensibles para una población vulnerable, puede generar un sesgo de deseabilidad social, fácil de encubrir durante una encuesta </w:t>
      </w:r>
      <w:r w:rsidRPr="00252A21">
        <w:rPr>
          <w:rFonts w:eastAsia="Calibri"/>
          <w:bCs/>
          <w:i/>
          <w:iCs/>
          <w:lang w:val="es-PE" w:eastAsia="en-US"/>
        </w:rPr>
        <w:t>online</w:t>
      </w:r>
      <w:r w:rsidRPr="00252A21">
        <w:rPr>
          <w:rFonts w:eastAsia="Calibri"/>
          <w:bCs/>
          <w:lang w:val="es-PE" w:eastAsia="en-US"/>
        </w:rPr>
        <w:t xml:space="preserve"> anónima</w:t>
      </w:r>
      <w:r w:rsidRPr="00252A21">
        <w:rPr>
          <w:rFonts w:eastAsia="Calibri"/>
          <w:lang w:val="es-PE" w:eastAsia="en-US"/>
        </w:rPr>
        <w:t>.</w:t>
      </w:r>
    </w:p>
    <w:p w14:paraId="38BA3AB0" w14:textId="77777777" w:rsidR="00252A21" w:rsidRPr="00252A21" w:rsidRDefault="00252A21" w:rsidP="00252A21">
      <w:pPr>
        <w:spacing w:line="360" w:lineRule="auto"/>
        <w:jc w:val="both"/>
        <w:rPr>
          <w:rFonts w:eastAsia="Calibri"/>
          <w:highlight w:val="yellow"/>
          <w:lang w:val="es-PE" w:eastAsia="en-US"/>
        </w:rPr>
      </w:pPr>
      <w:r w:rsidRPr="00252A21">
        <w:rPr>
          <w:rFonts w:eastAsia="Calibri"/>
          <w:lang w:val="es-PE" w:eastAsia="en-US"/>
        </w:rPr>
        <w:t>Se concluye que las características que se identifican como factores de riesgo son, el tener mayor edad, no haber recibido información sobre prevención de infecciones de transmisión sexual o virus de inmunodeficiencia humana y presentar sexo biológico de mujer, mientras que fueron fatores protectores el contar con grado de instrucción secundaria o superior, que su familia desconozca que es parte de la comunidad de LGBTI peruana y no presentar una pareja estable.</w:t>
      </w:r>
    </w:p>
    <w:p w14:paraId="5B6A548B" w14:textId="77777777" w:rsidR="00252A21" w:rsidRPr="00252A21" w:rsidRDefault="00252A21" w:rsidP="00252A21">
      <w:pPr>
        <w:spacing w:line="360" w:lineRule="auto"/>
        <w:jc w:val="both"/>
        <w:rPr>
          <w:rFonts w:eastAsia="Calibri"/>
          <w:highlight w:val="yellow"/>
          <w:lang w:val="es-PE" w:eastAsia="en-US"/>
        </w:rPr>
      </w:pPr>
    </w:p>
    <w:p w14:paraId="193A33D6" w14:textId="77777777" w:rsidR="00252A21" w:rsidRPr="00252A21" w:rsidRDefault="00252A21" w:rsidP="00252A21">
      <w:pPr>
        <w:spacing w:line="360" w:lineRule="auto"/>
        <w:jc w:val="center"/>
        <w:rPr>
          <w:rFonts w:eastAsia="Calibri"/>
          <w:b/>
          <w:bCs/>
          <w:sz w:val="32"/>
          <w:szCs w:val="32"/>
          <w:lang w:val="es-CU" w:eastAsia="en-US"/>
        </w:rPr>
      </w:pPr>
    </w:p>
    <w:p w14:paraId="5AA41E96" w14:textId="77777777" w:rsidR="006179EA" w:rsidRDefault="006179EA">
      <w:pPr>
        <w:rPr>
          <w:rFonts w:eastAsia="Calibri"/>
          <w:b/>
          <w:bCs/>
          <w:sz w:val="32"/>
          <w:szCs w:val="32"/>
          <w:lang w:val="es-CU" w:eastAsia="en-US"/>
        </w:rPr>
      </w:pPr>
      <w:r>
        <w:rPr>
          <w:rFonts w:eastAsia="Calibri"/>
          <w:b/>
          <w:bCs/>
          <w:sz w:val="32"/>
          <w:szCs w:val="32"/>
          <w:lang w:val="es-CU" w:eastAsia="en-US"/>
        </w:rPr>
        <w:br w:type="page"/>
      </w:r>
    </w:p>
    <w:p w14:paraId="68E35C53" w14:textId="563216DE" w:rsidR="00252A21" w:rsidRPr="00252A21" w:rsidRDefault="00252A21" w:rsidP="00252A21">
      <w:pPr>
        <w:spacing w:line="360" w:lineRule="auto"/>
        <w:jc w:val="center"/>
        <w:rPr>
          <w:rFonts w:eastAsia="Calibri"/>
          <w:b/>
          <w:bCs/>
          <w:sz w:val="32"/>
          <w:szCs w:val="32"/>
          <w:lang w:val="es-CU" w:eastAsia="en-US"/>
        </w:rPr>
      </w:pPr>
      <w:r w:rsidRPr="00252A21">
        <w:rPr>
          <w:rFonts w:eastAsia="Calibri"/>
          <w:b/>
          <w:bCs/>
          <w:sz w:val="32"/>
          <w:szCs w:val="32"/>
          <w:lang w:val="es-CU" w:eastAsia="en-US"/>
        </w:rPr>
        <w:lastRenderedPageBreak/>
        <w:t>REFERENCIAS BIBLIOGRÁFICAS</w:t>
      </w:r>
    </w:p>
    <w:p w14:paraId="7559D635" w14:textId="77777777" w:rsidR="00252A21" w:rsidRPr="00252A21" w:rsidRDefault="00252A21" w:rsidP="00252A21">
      <w:pPr>
        <w:spacing w:line="360" w:lineRule="auto"/>
        <w:rPr>
          <w:rFonts w:eastAsia="Calibri"/>
          <w:lang w:val="es-PE" w:eastAsia="en-US"/>
        </w:rPr>
      </w:pPr>
      <w:bookmarkStart w:id="4" w:name="_Toc64824967"/>
      <w:bookmarkStart w:id="5" w:name="_Toc67242008"/>
      <w:r w:rsidRPr="00252A21">
        <w:rPr>
          <w:rFonts w:eastAsia="Calibri"/>
          <w:lang w:val="es-PE" w:eastAsia="en-US"/>
        </w:rPr>
        <w:t xml:space="preserve">1. Wang Y, Zhishan Hu, Peng Ke, Rechdan J, Yang Y, Lijuan W, et al. </w:t>
      </w:r>
      <w:r w:rsidRPr="00252A21">
        <w:rPr>
          <w:rFonts w:eastAsia="Calibri"/>
          <w:lang w:val="en-US" w:eastAsia="en-US"/>
        </w:rPr>
        <w:t xml:space="preserve">Mapping out a spectrum of the Chinese public’s discrimination toward the LGBT community: results from a national survey. </w:t>
      </w:r>
      <w:r w:rsidRPr="00252A21">
        <w:rPr>
          <w:rFonts w:eastAsia="Calibri"/>
          <w:lang w:val="es-PE" w:eastAsia="en-US"/>
        </w:rPr>
        <w:t xml:space="preserve">BMC Public Health. 2020; 669(1):669. DOI: 10.1186/s12889-020-08834-y </w:t>
      </w:r>
    </w:p>
    <w:p w14:paraId="127BAB57" w14:textId="77777777" w:rsidR="00252A21" w:rsidRPr="00252A21" w:rsidRDefault="00252A21" w:rsidP="00252A21">
      <w:pPr>
        <w:spacing w:line="360" w:lineRule="auto"/>
        <w:rPr>
          <w:rFonts w:eastAsia="Calibri"/>
          <w:lang w:val="es-PE" w:eastAsia="en-US"/>
        </w:rPr>
      </w:pPr>
      <w:r w:rsidRPr="00252A21">
        <w:rPr>
          <w:rFonts w:eastAsia="Calibri"/>
          <w:lang w:val="es-PE" w:eastAsia="en-US"/>
        </w:rPr>
        <w:t xml:space="preserve">2. Mitchell C. Avances y desafíos de la situación de las personas LGBT a 15 años de que la homosexualidad dejó de ser considerada una enfermedad. Washington: OPS, Noticias. 2015 [acceso: 23/01/2022]. Disponible en: </w:t>
      </w:r>
      <w:hyperlink r:id="rId16" w:history="1">
        <w:r w:rsidRPr="00252A21">
          <w:rPr>
            <w:rFonts w:eastAsia="Calibri"/>
            <w:color w:val="0563C1"/>
            <w:lang w:val="es-PE" w:eastAsia="en-US"/>
          </w:rPr>
          <w:t>https://www.paho.org/es/noticias/15-5-2015-avances-desafios-situacion-personas-lgbt-15-anos-que-homosexualidad-dejo-ser</w:t>
        </w:r>
      </w:hyperlink>
      <w:r w:rsidRPr="00252A21">
        <w:rPr>
          <w:rFonts w:eastAsia="Calibri"/>
          <w:lang w:val="es-PE" w:eastAsia="en-US"/>
        </w:rPr>
        <w:t xml:space="preserve">   </w:t>
      </w:r>
    </w:p>
    <w:p w14:paraId="2D68D44A" w14:textId="77777777" w:rsidR="00252A21" w:rsidRPr="00252A21" w:rsidRDefault="00252A21" w:rsidP="00252A21">
      <w:pPr>
        <w:spacing w:line="360" w:lineRule="auto"/>
        <w:rPr>
          <w:rFonts w:eastAsia="Calibri"/>
          <w:lang w:val="es-PE" w:eastAsia="en-US"/>
        </w:rPr>
      </w:pPr>
      <w:r w:rsidRPr="00252A21">
        <w:rPr>
          <w:rFonts w:eastAsia="Calibri"/>
          <w:lang w:val="es-PE" w:eastAsia="en-US"/>
        </w:rPr>
        <w:t xml:space="preserve">3. Organización Panamericana de la Salud. La OPS/OMS advierte que el estigma y la discriminación afectan la salud de lesbianas, gays, bisexuales y trans. Washington: OPS, Noticias. 2013 [acceso: 23/01/2022]. Disponible en: </w:t>
      </w:r>
      <w:hyperlink r:id="rId17" w:history="1">
        <w:r w:rsidRPr="00252A21">
          <w:rPr>
            <w:rFonts w:eastAsia="Calibri"/>
            <w:color w:val="0563C1"/>
            <w:lang w:val="es-PE" w:eastAsia="en-US"/>
          </w:rPr>
          <w:t>https://www.paho.org/es/noticias/16-5-2013-opsoms-advierte-que-estigma-discriminacion-afectan-salud-lesbianas-gays</w:t>
        </w:r>
      </w:hyperlink>
      <w:r w:rsidRPr="00252A21">
        <w:rPr>
          <w:rFonts w:eastAsia="Calibri"/>
          <w:lang w:val="es-PE" w:eastAsia="en-US"/>
        </w:rPr>
        <w:t xml:space="preserve"> </w:t>
      </w:r>
    </w:p>
    <w:p w14:paraId="29A4F0C1" w14:textId="77777777" w:rsidR="00252A21" w:rsidRPr="00252A21" w:rsidRDefault="00252A21" w:rsidP="00252A21">
      <w:pPr>
        <w:spacing w:line="360" w:lineRule="auto"/>
        <w:rPr>
          <w:rFonts w:eastAsia="Calibri"/>
          <w:lang w:val="en-US" w:eastAsia="en-US"/>
        </w:rPr>
      </w:pPr>
      <w:r w:rsidRPr="00252A21">
        <w:rPr>
          <w:rFonts w:eastAsia="Calibri"/>
          <w:lang w:val="en-US" w:eastAsia="en-US"/>
        </w:rPr>
        <w:t>4. Limnaios S, Kostaki EG, Adamis G, Astriti M, Chini M, Mangafas N, et al. Dating the Origin and Estimating the Transmission Rates of the Major HIV-1 Clusters in Greece: Evidence about the Earliest Subtype A1 Epidemic in Europe. Viruses. 2022; 14(1):101. DOI: 10.3390/v14010101</w:t>
      </w:r>
    </w:p>
    <w:p w14:paraId="37B4D5BC" w14:textId="77777777" w:rsidR="00252A21" w:rsidRPr="00252A21" w:rsidRDefault="00252A21" w:rsidP="00252A21">
      <w:pPr>
        <w:spacing w:line="360" w:lineRule="auto"/>
        <w:rPr>
          <w:rFonts w:eastAsia="Calibri"/>
          <w:lang w:val="en-US" w:eastAsia="en-US"/>
        </w:rPr>
      </w:pPr>
      <w:r w:rsidRPr="00252A21">
        <w:rPr>
          <w:rFonts w:eastAsia="Calibri"/>
          <w:lang w:val="en-US" w:eastAsia="en-US"/>
        </w:rPr>
        <w:t>5. Van F, Phanuphak N, Manopaiboon C, Dunne EF, Colby DJ, Chaiphosri P, et al. HIV prevalence and incidence among men who have sex with men and transgender women in Bangkok, 2014-2018: Outcomes of a consensus development initiative. PloS One. 2022;17(1):e0262694. DOI: 10.1371/journal.pone.0262694</w:t>
      </w:r>
    </w:p>
    <w:p w14:paraId="2F785AED" w14:textId="77777777" w:rsidR="00252A21" w:rsidRPr="00252A21" w:rsidRDefault="00252A21" w:rsidP="00252A21">
      <w:pPr>
        <w:spacing w:line="360" w:lineRule="auto"/>
        <w:rPr>
          <w:rFonts w:eastAsia="Calibri"/>
          <w:lang w:val="es-PE" w:eastAsia="en-US"/>
        </w:rPr>
      </w:pPr>
      <w:r w:rsidRPr="00252A21">
        <w:rPr>
          <w:rFonts w:eastAsia="Calibri"/>
          <w:lang w:val="en-US" w:eastAsia="en-US"/>
        </w:rPr>
        <w:t xml:space="preserve">6. Donisi V, Amaddeo F, Zakrzewska K, Farinella F, Davis R, Gios L, et al. Training healthcare professionals in LGBTI cultural competencies: Exploratory findings from the Health4LGBTI pilot project. </w:t>
      </w:r>
      <w:r w:rsidRPr="00252A21">
        <w:rPr>
          <w:rFonts w:eastAsia="Calibri"/>
          <w:lang w:val="es-PE" w:eastAsia="en-US"/>
        </w:rPr>
        <w:t>Patient Educ Couns. 2020; 103(5):978-87. DOI: 10.1016/j.pec.2019.12.007</w:t>
      </w:r>
    </w:p>
    <w:p w14:paraId="3744F078" w14:textId="77777777" w:rsidR="00252A21" w:rsidRPr="00252A21" w:rsidRDefault="00252A21" w:rsidP="00252A21">
      <w:pPr>
        <w:spacing w:line="360" w:lineRule="auto"/>
        <w:rPr>
          <w:rFonts w:eastAsia="Calibri"/>
          <w:lang w:val="es-PE" w:eastAsia="en-US"/>
        </w:rPr>
      </w:pPr>
      <w:r w:rsidRPr="00252A21">
        <w:rPr>
          <w:rFonts w:eastAsia="Calibri"/>
          <w:lang w:val="es-PE" w:eastAsia="en-US"/>
        </w:rPr>
        <w:t xml:space="preserve">7. Organización Mundial de la Salud. Estrategia mundial de prevención y control de las infecciones de transmisión sexual: 2006-2015. Ginebra: OMS; 2006. [acceso: 23//01/2022]. Disponible en: </w:t>
      </w:r>
      <w:hyperlink r:id="rId18" w:history="1">
        <w:r w:rsidRPr="00252A21">
          <w:rPr>
            <w:rFonts w:eastAsia="Calibri"/>
            <w:color w:val="0563C1"/>
            <w:lang w:val="es-PE" w:eastAsia="en-US"/>
          </w:rPr>
          <w:t>https://apps.who.int/gb/ebwha/pdf_files/WHA59-REC1/s/Anexo2-sp.pdf</w:t>
        </w:r>
      </w:hyperlink>
      <w:r w:rsidRPr="00252A21">
        <w:rPr>
          <w:rFonts w:eastAsia="Calibri"/>
          <w:lang w:val="es-PE" w:eastAsia="en-US"/>
        </w:rPr>
        <w:t xml:space="preserve">  </w:t>
      </w:r>
    </w:p>
    <w:p w14:paraId="6AC9F22D" w14:textId="77777777" w:rsidR="00252A21" w:rsidRPr="00252A21" w:rsidRDefault="00252A21" w:rsidP="00252A21">
      <w:pPr>
        <w:spacing w:line="360" w:lineRule="auto"/>
        <w:rPr>
          <w:rFonts w:eastAsia="Calibri"/>
          <w:lang w:val="es-PE" w:eastAsia="en-US"/>
        </w:rPr>
      </w:pPr>
      <w:r w:rsidRPr="00252A21">
        <w:rPr>
          <w:rFonts w:eastAsia="Calibri"/>
          <w:lang w:val="en-US" w:eastAsia="en-US"/>
        </w:rPr>
        <w:t xml:space="preserve">8. Operario D, Gamaren K, Iwamoto M, Suzuki S, Suico S, Darbes L, Nemoto T. Couples-focused prevention program to reduce HIV risk among transgender women and their primary male partners: </w:t>
      </w:r>
      <w:r w:rsidRPr="00252A21">
        <w:rPr>
          <w:rFonts w:eastAsia="Calibri"/>
          <w:lang w:val="en-US" w:eastAsia="en-US"/>
        </w:rPr>
        <w:lastRenderedPageBreak/>
        <w:t xml:space="preserve">Feasibility and promise of the Couples HIV Intervention Program. </w:t>
      </w:r>
      <w:r w:rsidRPr="00252A21">
        <w:rPr>
          <w:rFonts w:eastAsia="Calibri"/>
          <w:lang w:val="es-PE" w:eastAsia="en-US"/>
        </w:rPr>
        <w:t xml:space="preserve">AIDS Behav. 2017; 21(8): 2452-63. DOI: 10.1007%2Fs10461-016-1462-2 </w:t>
      </w:r>
    </w:p>
    <w:p w14:paraId="605C863B" w14:textId="77777777" w:rsidR="00252A21" w:rsidRPr="00252A21" w:rsidRDefault="00252A21" w:rsidP="00252A21">
      <w:pPr>
        <w:spacing w:line="360" w:lineRule="auto"/>
        <w:rPr>
          <w:rFonts w:eastAsia="Calibri"/>
          <w:lang w:val="en-US" w:eastAsia="en-US"/>
        </w:rPr>
      </w:pPr>
      <w:r w:rsidRPr="00252A21">
        <w:rPr>
          <w:rFonts w:eastAsia="Calibri"/>
          <w:lang w:val="es-PE" w:eastAsia="en-US"/>
        </w:rPr>
        <w:t xml:space="preserve">9. Delgado JR, Segura ER, Lake JE, Sanchez J, Lama JR, Clark JL. </w:t>
      </w:r>
      <w:r w:rsidRPr="00252A21">
        <w:rPr>
          <w:rFonts w:eastAsia="Calibri"/>
          <w:lang w:val="en-US" w:eastAsia="en-US"/>
        </w:rPr>
        <w:t>Event-level analysis of alcohol consumption and condom use in partnership contexts among men who have sex with men and transgender women in Lima, Perú. Drug Alcohol Depend. 2017; 170:17-24. DOI: 10.1016/j.drugalcdep.2016.10.033</w:t>
      </w:r>
    </w:p>
    <w:p w14:paraId="58967633" w14:textId="77777777" w:rsidR="00252A21" w:rsidRPr="00252A21" w:rsidRDefault="00252A21" w:rsidP="00252A21">
      <w:pPr>
        <w:spacing w:line="360" w:lineRule="auto"/>
        <w:rPr>
          <w:rFonts w:eastAsia="Calibri"/>
          <w:lang w:val="en-US" w:eastAsia="en-US"/>
        </w:rPr>
      </w:pPr>
      <w:r w:rsidRPr="00252A21">
        <w:rPr>
          <w:rFonts w:eastAsia="Calibri"/>
          <w:lang w:val="en-US" w:eastAsia="en-US"/>
        </w:rPr>
        <w:t>10. Musinguzi G, Bastiaens H, Matovu JKB, Nuwaha F, Mujisha G, Kiguli J, et al. Barriers to Condom Use among High Risk Men Who Have Sex with Men in Uganda: A Qualitative Study. PLOS ONE.  2015; 10(7):e0132297. DOI: 10.1371/journal.pone.0132297</w:t>
      </w:r>
    </w:p>
    <w:p w14:paraId="1F416A88" w14:textId="77777777" w:rsidR="00252A21" w:rsidRPr="00252A21" w:rsidRDefault="00252A21" w:rsidP="00252A21">
      <w:pPr>
        <w:spacing w:line="360" w:lineRule="auto"/>
        <w:rPr>
          <w:rFonts w:eastAsia="Calibri"/>
          <w:lang w:val="es-PE" w:eastAsia="en-US"/>
        </w:rPr>
      </w:pPr>
      <w:r w:rsidRPr="00252A21">
        <w:rPr>
          <w:rFonts w:eastAsia="Calibri"/>
          <w:lang w:val="en-US" w:eastAsia="en-US"/>
        </w:rPr>
        <w:t xml:space="preserve">11. Silva JR da, França LD, Rosa A, Neves VR, Siqueira LD. Health care for LGBTI+ elders living in Nursing Homes. </w:t>
      </w:r>
      <w:r w:rsidRPr="00252A21">
        <w:rPr>
          <w:rFonts w:eastAsia="Calibri"/>
          <w:lang w:val="es-CU" w:eastAsia="en-US"/>
        </w:rPr>
        <w:t xml:space="preserve">Rev Bras Enferm. 2021 [acceso: 23/01/2022];74(Suppl 2):e20200403. </w:t>
      </w:r>
      <w:r w:rsidRPr="00252A21">
        <w:rPr>
          <w:rFonts w:eastAsia="Calibri"/>
          <w:lang w:val="es-PE" w:eastAsia="en-US"/>
        </w:rPr>
        <w:t xml:space="preserve">Disponible en: </w:t>
      </w:r>
      <w:hyperlink r:id="rId19" w:history="1">
        <w:r w:rsidRPr="00252A21">
          <w:rPr>
            <w:rFonts w:eastAsia="Calibri"/>
            <w:color w:val="0563C1"/>
            <w:lang w:val="es-PE" w:eastAsia="en-US"/>
          </w:rPr>
          <w:t>https://www.scielo.br/j/reben/a/DPXpVdDJJMKkRhwbSVTXSxL/?lang=en</w:t>
        </w:r>
      </w:hyperlink>
      <w:r w:rsidRPr="00252A21">
        <w:rPr>
          <w:rFonts w:eastAsia="Calibri"/>
          <w:lang w:val="es-PE" w:eastAsia="en-US"/>
        </w:rPr>
        <w:t xml:space="preserve"> </w:t>
      </w:r>
    </w:p>
    <w:p w14:paraId="2BA09B61" w14:textId="77777777" w:rsidR="00252A21" w:rsidRPr="00252A21" w:rsidRDefault="00252A21" w:rsidP="00252A21">
      <w:pPr>
        <w:spacing w:line="360" w:lineRule="auto"/>
        <w:rPr>
          <w:rFonts w:eastAsia="Calibri"/>
          <w:lang w:val="es-PE" w:eastAsia="en-US"/>
        </w:rPr>
      </w:pPr>
      <w:r w:rsidRPr="00252A21">
        <w:rPr>
          <w:rFonts w:eastAsia="Calibri"/>
          <w:lang w:val="en-US" w:eastAsia="en-US"/>
        </w:rPr>
        <w:t xml:space="preserve">12. O’Farrell M, Corcoran P, Davoren MP. Examining LGBTI+ inclusive sexual health education from the perspective of both youth and facilitators: a systematic review. </w:t>
      </w:r>
      <w:r w:rsidRPr="00252A21">
        <w:rPr>
          <w:rFonts w:eastAsia="Calibri"/>
          <w:lang w:val="es-PE" w:eastAsia="en-US"/>
        </w:rPr>
        <w:t>BMJ Open. 2021; 11(9):e047856. DOI: 10.1136/bmjopen-2020-047856</w:t>
      </w:r>
    </w:p>
    <w:p w14:paraId="4B75A603" w14:textId="77777777" w:rsidR="00252A21" w:rsidRPr="00252A21" w:rsidRDefault="00252A21" w:rsidP="00252A21">
      <w:pPr>
        <w:spacing w:line="360" w:lineRule="auto"/>
        <w:rPr>
          <w:rFonts w:eastAsia="Calibri"/>
          <w:lang w:val="es-PE" w:eastAsia="en-US"/>
        </w:rPr>
      </w:pPr>
      <w:r w:rsidRPr="00252A21">
        <w:rPr>
          <w:rFonts w:eastAsia="Calibri"/>
          <w:lang w:val="es-PE" w:eastAsia="en-US"/>
        </w:rPr>
        <w:t xml:space="preserve">13. Allory E, Duval E, Caroff M, Kendir C, Magnan R, Brau B, et al. </w:t>
      </w:r>
      <w:r w:rsidRPr="00252A21">
        <w:rPr>
          <w:rFonts w:eastAsia="Calibri"/>
          <w:lang w:val="en-US" w:eastAsia="en-US"/>
        </w:rPr>
        <w:t xml:space="preserve">The expectations of transgender people in the face of their health-care access difficulties and how they can be overcome. A qualitative study in France. Prim Health Care Res Dev. 2020; 21:e62. </w:t>
      </w:r>
      <w:r w:rsidRPr="00252A21">
        <w:rPr>
          <w:rFonts w:eastAsia="Calibri"/>
          <w:lang w:val="es-PE" w:eastAsia="en-US"/>
        </w:rPr>
        <w:t>DO: 10.1017/s1463423620000638</w:t>
      </w:r>
    </w:p>
    <w:p w14:paraId="7B6EAFC1" w14:textId="77777777" w:rsidR="00252A21" w:rsidRPr="00252A21" w:rsidRDefault="00252A21" w:rsidP="00252A21">
      <w:pPr>
        <w:spacing w:line="360" w:lineRule="auto"/>
        <w:rPr>
          <w:rFonts w:eastAsia="Calibri"/>
          <w:lang w:val="en-US" w:eastAsia="en-US"/>
        </w:rPr>
      </w:pPr>
      <w:r w:rsidRPr="00252A21">
        <w:rPr>
          <w:rFonts w:eastAsia="Calibri"/>
          <w:lang w:val="es-PE" w:eastAsia="en-US"/>
        </w:rPr>
        <w:t xml:space="preserve">14. da Fonte VRF da, Pinheiro CDP, Barcelos N de S, Costa CMA, Ribeiro FMT, Spindola T. Factores asociados con el uso del preservativo entre hombres jóvenes que tienen sexo con hombres. </w:t>
      </w:r>
      <w:r w:rsidRPr="00252A21">
        <w:rPr>
          <w:rFonts w:eastAsia="Calibri"/>
          <w:lang w:val="en-US" w:eastAsia="en-US"/>
        </w:rPr>
        <w:t>Enferm Glob. 2017; 16(46):50-93. DOI: 10.6018/eglobal.16.2.245451</w:t>
      </w:r>
    </w:p>
    <w:p w14:paraId="60598A2E" w14:textId="77777777" w:rsidR="00252A21" w:rsidRPr="00252A21" w:rsidRDefault="00252A21" w:rsidP="00252A21">
      <w:pPr>
        <w:spacing w:line="360" w:lineRule="auto"/>
        <w:rPr>
          <w:rFonts w:eastAsia="Calibri"/>
          <w:lang w:val="es-PE" w:eastAsia="en-US"/>
        </w:rPr>
      </w:pPr>
      <w:r w:rsidRPr="00252A21">
        <w:rPr>
          <w:rFonts w:eastAsia="Calibri"/>
          <w:lang w:val="en-US" w:eastAsia="en-US"/>
        </w:rPr>
        <w:t xml:space="preserve">15. Zeeman L, Sherriff N, Browne K, McGlynn N, Mirandola M, Gios L, et al. A review of lesbian, gay, bisexual, trans and intersex (LGBTI) health and healthcare inequalities. </w:t>
      </w:r>
      <w:r w:rsidRPr="00252A21">
        <w:rPr>
          <w:rFonts w:eastAsia="Calibri"/>
          <w:lang w:val="es-PE" w:eastAsia="en-US"/>
        </w:rPr>
        <w:t>Eur J Public Health. 2019; 29(5):974-80. DOI: 10.1093/eurpub/cky226</w:t>
      </w:r>
    </w:p>
    <w:p w14:paraId="6616E558" w14:textId="77777777" w:rsidR="00252A21" w:rsidRPr="00252A21" w:rsidRDefault="00252A21" w:rsidP="00252A21">
      <w:pPr>
        <w:spacing w:line="360" w:lineRule="auto"/>
        <w:rPr>
          <w:rFonts w:eastAsia="Calibri"/>
          <w:lang w:val="es-PE" w:eastAsia="en-US"/>
        </w:rPr>
      </w:pPr>
      <w:r w:rsidRPr="00252A21">
        <w:rPr>
          <w:rFonts w:eastAsia="Calibri"/>
          <w:lang w:val="es-PE" w:eastAsia="en-US"/>
        </w:rPr>
        <w:t>16. Instituto Nacional de Estadística e Informática. Primera encuesta virtual para personas LGTBI en el Perú, 2017: principales resultados. Lima: Instituto Nacional de Estadística e Informática2</w:t>
      </w:r>
    </w:p>
    <w:p w14:paraId="17694A9F" w14:textId="77777777" w:rsidR="00252A21" w:rsidRPr="00252A21" w:rsidRDefault="00252A21" w:rsidP="00252A21">
      <w:pPr>
        <w:spacing w:line="360" w:lineRule="auto"/>
        <w:rPr>
          <w:rFonts w:eastAsia="Calibri"/>
          <w:lang w:val="es-PE" w:eastAsia="en-US"/>
        </w:rPr>
      </w:pPr>
      <w:r w:rsidRPr="00252A21">
        <w:rPr>
          <w:rFonts w:eastAsia="Calibri"/>
          <w:lang w:val="es-PE" w:eastAsia="en-US"/>
        </w:rPr>
        <w:t xml:space="preserve">Instituto Nacional de Estadística e Informática; 2017. [acceso: 10/06/2020]. Disponible en: </w:t>
      </w:r>
      <w:hyperlink r:id="rId20" w:history="1">
        <w:r w:rsidRPr="00252A21">
          <w:rPr>
            <w:rFonts w:eastAsia="Calibri"/>
            <w:color w:val="0563C1"/>
            <w:lang w:val="es-PE" w:eastAsia="en-US"/>
          </w:rPr>
          <w:t>https://www.inei.gob.pe/media/MenuRecursivo/boletines/lgbti.pdf</w:t>
        </w:r>
      </w:hyperlink>
      <w:r w:rsidRPr="00252A21">
        <w:rPr>
          <w:rFonts w:eastAsia="Calibri"/>
          <w:lang w:val="es-PE" w:eastAsia="en-US"/>
        </w:rPr>
        <w:t xml:space="preserve"> </w:t>
      </w:r>
    </w:p>
    <w:p w14:paraId="3D606D95" w14:textId="77777777" w:rsidR="00252A21" w:rsidRPr="00252A21" w:rsidRDefault="00252A21" w:rsidP="00252A21">
      <w:pPr>
        <w:spacing w:line="360" w:lineRule="auto"/>
        <w:rPr>
          <w:rFonts w:eastAsia="Calibri"/>
          <w:lang w:val="es-PE" w:eastAsia="en-US"/>
        </w:rPr>
      </w:pPr>
      <w:r w:rsidRPr="00252A21">
        <w:rPr>
          <w:rFonts w:eastAsia="Calibri"/>
          <w:lang w:val="es-PE" w:eastAsia="en-US"/>
        </w:rPr>
        <w:lastRenderedPageBreak/>
        <w:t xml:space="preserve">17. Instituto Nacional de Estadística e Informática. Microdatos: Base de datos [Base de datos en internet]. Lima, Perú: INEI; 2018. [acceso: 06/02/2022]. Disponible en: </w:t>
      </w:r>
      <w:hyperlink r:id="rId21" w:history="1">
        <w:r w:rsidRPr="00252A21">
          <w:rPr>
            <w:rFonts w:eastAsia="Calibri"/>
            <w:color w:val="0563C1"/>
            <w:lang w:val="es-PE" w:eastAsia="en-US"/>
          </w:rPr>
          <w:t>http://iinei.inei.gob.pe/microdatos/</w:t>
        </w:r>
      </w:hyperlink>
      <w:r w:rsidRPr="00252A21">
        <w:rPr>
          <w:rFonts w:eastAsia="Calibri"/>
          <w:highlight w:val="yellow"/>
          <w:lang w:val="es-PE" w:eastAsia="en-US"/>
        </w:rPr>
        <w:t xml:space="preserve">       </w:t>
      </w:r>
    </w:p>
    <w:p w14:paraId="3758D355" w14:textId="77777777" w:rsidR="00252A21" w:rsidRPr="00252A21" w:rsidRDefault="00252A21" w:rsidP="00252A21">
      <w:pPr>
        <w:spacing w:line="360" w:lineRule="auto"/>
        <w:rPr>
          <w:rFonts w:eastAsia="Calibri"/>
          <w:lang w:val="en-US" w:eastAsia="en-US"/>
        </w:rPr>
      </w:pPr>
      <w:r w:rsidRPr="00252A21">
        <w:rPr>
          <w:rFonts w:eastAsia="Calibri"/>
          <w:lang w:val="es-PE" w:eastAsia="en-US"/>
        </w:rPr>
        <w:t xml:space="preserve">18. Center KE, Gunn JKL, Asaolu IO, Gibson SJ, Ehiri JE. </w:t>
      </w:r>
      <w:r w:rsidRPr="00252A21">
        <w:rPr>
          <w:rFonts w:eastAsia="Calibri"/>
          <w:lang w:val="en-US" w:eastAsia="en-US"/>
        </w:rPr>
        <w:t>Contraceptive Use and Uptake of HIV-Testing among Sub-Saharan African Women. PloS One. 2016; 11(4):e0154213. DOI: 10.1371/journal.pone.0154213</w:t>
      </w:r>
    </w:p>
    <w:p w14:paraId="65B0346D" w14:textId="77777777" w:rsidR="00252A21" w:rsidRPr="00252A21" w:rsidRDefault="00252A21" w:rsidP="00252A21">
      <w:pPr>
        <w:spacing w:line="360" w:lineRule="auto"/>
        <w:rPr>
          <w:rFonts w:eastAsia="Calibri"/>
          <w:lang w:val="en-US" w:eastAsia="en-US"/>
        </w:rPr>
      </w:pPr>
      <w:r w:rsidRPr="00252A21">
        <w:rPr>
          <w:rFonts w:eastAsia="Calibri"/>
          <w:lang w:val="en-US" w:eastAsia="en-US"/>
        </w:rPr>
        <w:t>19. Daly CC, Helling-Giese GE, Mati JK, Hunter DJ. Contraceptive methods and the transmission of HIV: implications for family planning. Genitourin Med. 1994; 70(2):110-7. DOI: 10.1136/sti.70.2.110</w:t>
      </w:r>
    </w:p>
    <w:p w14:paraId="33D81D8E" w14:textId="77777777" w:rsidR="00252A21" w:rsidRPr="00252A21" w:rsidRDefault="00252A21" w:rsidP="00252A21">
      <w:pPr>
        <w:spacing w:line="360" w:lineRule="auto"/>
        <w:rPr>
          <w:rFonts w:eastAsia="Calibri"/>
          <w:lang w:val="es-PE" w:eastAsia="en-US"/>
        </w:rPr>
      </w:pPr>
      <w:r w:rsidRPr="00252A21">
        <w:rPr>
          <w:rFonts w:eastAsia="Calibri"/>
          <w:lang w:val="en-US" w:eastAsia="en-US"/>
        </w:rPr>
        <w:t xml:space="preserve">20. Wekesa E, Coast E. Contraceptive need and use among individuals with HIV/AIDS living in the slums of Nairobi, Kenya. </w:t>
      </w:r>
      <w:r w:rsidRPr="00252A21">
        <w:rPr>
          <w:rFonts w:eastAsia="Calibri"/>
          <w:lang w:val="es-PE" w:eastAsia="en-US"/>
        </w:rPr>
        <w:t>Int J Gynaecol Obstet. 2015;130(Suppl 3):E31-36. DOI: 10.1016/j.ijgo.2015.05.001</w:t>
      </w:r>
    </w:p>
    <w:p w14:paraId="04F28FE7" w14:textId="77777777" w:rsidR="00252A21" w:rsidRPr="00252A21" w:rsidRDefault="00252A21" w:rsidP="00252A21">
      <w:pPr>
        <w:spacing w:line="360" w:lineRule="auto"/>
        <w:rPr>
          <w:rFonts w:eastAsia="Calibri"/>
          <w:lang w:val="es-PE" w:eastAsia="en-US"/>
        </w:rPr>
      </w:pPr>
      <w:r w:rsidRPr="00252A21">
        <w:rPr>
          <w:rFonts w:eastAsia="Calibri"/>
          <w:lang w:val="es-PE" w:eastAsia="en-US"/>
        </w:rPr>
        <w:t xml:space="preserve">21. Gobierno de la Provincia del Neuquén. Guía de atención integral de la salud de personal LGTBI. Argentina, Neuquén: Subsecretaría de Salud Pública; 2018. [acceso: 10/02/2022]. Disponible en: </w:t>
      </w:r>
      <w:hyperlink r:id="rId22" w:history="1">
        <w:r w:rsidRPr="00252A21">
          <w:rPr>
            <w:rFonts w:eastAsia="Calibri"/>
            <w:color w:val="0563C1"/>
            <w:lang w:val="es-PE" w:eastAsia="en-US"/>
          </w:rPr>
          <w:t>https://www.saludneuquen.gob.ar/wp-content/uploads/2018/11/Atencion-a-Personas-LGTBI.pdf</w:t>
        </w:r>
      </w:hyperlink>
      <w:r w:rsidRPr="00252A21">
        <w:rPr>
          <w:rFonts w:eastAsia="Calibri"/>
          <w:lang w:val="es-PE" w:eastAsia="en-US"/>
        </w:rPr>
        <w:t xml:space="preserve"> </w:t>
      </w:r>
    </w:p>
    <w:p w14:paraId="6887570C" w14:textId="77777777" w:rsidR="00252A21" w:rsidRPr="00252A21" w:rsidRDefault="00252A21" w:rsidP="00252A21">
      <w:pPr>
        <w:spacing w:line="360" w:lineRule="auto"/>
        <w:rPr>
          <w:rFonts w:eastAsia="Calibri"/>
          <w:lang w:val="es-PE" w:eastAsia="en-US"/>
        </w:rPr>
      </w:pPr>
      <w:r w:rsidRPr="00252A21">
        <w:rPr>
          <w:rFonts w:eastAsia="Calibri"/>
          <w:lang w:val="es-PE" w:eastAsia="en-US"/>
        </w:rPr>
        <w:t xml:space="preserve">22. Moreno-Gutiérrez NI. Situación de salud sexual y reproductiva, hombres y mujeres homosexuales: Hospital María Auxiliadora 2006 / Homosexual situation of sexual and reproductive health, homosexual men and women: Hospital María Auxiliadora, 2006. Rev Per Obst Enferm. 2007 [acceso: 10/01/2022]; 3(1):2-16. Disponible en: </w:t>
      </w:r>
      <w:hyperlink r:id="rId23" w:history="1">
        <w:r w:rsidRPr="00252A21">
          <w:rPr>
            <w:rFonts w:eastAsia="Calibri"/>
            <w:color w:val="0563C1"/>
            <w:lang w:val="es-PE" w:eastAsia="en-US"/>
          </w:rPr>
          <w:t>https://pesquisa.bvsalud.org/portal/resource/pt/lil-504398</w:t>
        </w:r>
      </w:hyperlink>
      <w:r w:rsidRPr="00252A21">
        <w:rPr>
          <w:rFonts w:eastAsia="Calibri"/>
          <w:lang w:val="es-PE" w:eastAsia="en-US"/>
        </w:rPr>
        <w:t xml:space="preserve">  </w:t>
      </w:r>
    </w:p>
    <w:p w14:paraId="2B23682A" w14:textId="77777777" w:rsidR="00252A21" w:rsidRPr="00252A21" w:rsidRDefault="00252A21" w:rsidP="00252A21">
      <w:pPr>
        <w:spacing w:line="360" w:lineRule="auto"/>
        <w:rPr>
          <w:rFonts w:eastAsia="Calibri"/>
          <w:lang w:val="es-PE" w:eastAsia="en-US"/>
        </w:rPr>
      </w:pPr>
      <w:r w:rsidRPr="00252A21">
        <w:rPr>
          <w:rFonts w:eastAsia="Calibri"/>
          <w:lang w:val="es-PE" w:eastAsia="en-US"/>
        </w:rPr>
        <w:t xml:space="preserve">23. Morales A, Tomczyk S, Orgilés M, Espada JP. </w:t>
      </w:r>
      <w:r w:rsidRPr="00252A21">
        <w:rPr>
          <w:rFonts w:eastAsia="Calibri"/>
          <w:lang w:val="en-US" w:eastAsia="en-US"/>
        </w:rPr>
        <w:t xml:space="preserve">“Who Are at Higher Sexual Risk?” Latent Class Analysis of Behavioral Intentions among Spanish Adolescents. Int J Environ Res Public Health. </w:t>
      </w:r>
      <w:r w:rsidRPr="00252A21">
        <w:rPr>
          <w:rFonts w:eastAsia="Calibri"/>
          <w:lang w:val="es-PE" w:eastAsia="en-US"/>
        </w:rPr>
        <w:t>2021;18(4):1855. DOI: 10.3390/ijerph18041855</w:t>
      </w:r>
    </w:p>
    <w:p w14:paraId="085FCFF4" w14:textId="77777777" w:rsidR="00252A21" w:rsidRPr="00252A21" w:rsidRDefault="00252A21" w:rsidP="00252A21">
      <w:pPr>
        <w:spacing w:line="360" w:lineRule="auto"/>
        <w:rPr>
          <w:rFonts w:eastAsia="Calibri"/>
          <w:lang w:val="es-PE" w:eastAsia="en-US"/>
        </w:rPr>
      </w:pPr>
      <w:r w:rsidRPr="00252A21">
        <w:rPr>
          <w:rFonts w:eastAsia="Calibri"/>
          <w:lang w:val="es-PE" w:eastAsia="en-US"/>
        </w:rPr>
        <w:t xml:space="preserve">24. Gobierno de España, editor. Vigilancia epidemiológica del VIH y SIDA en España 2019. Madrid: Ministerio de Ciencia e Innovación; 2020. [acceso: 14/01/2022]. Disponible en: </w:t>
      </w:r>
      <w:hyperlink r:id="rId24" w:history="1">
        <w:r w:rsidRPr="00252A21">
          <w:rPr>
            <w:rFonts w:eastAsia="Calibri"/>
            <w:color w:val="0563C1"/>
            <w:lang w:val="es-PE" w:eastAsia="en-US"/>
          </w:rPr>
          <w:t>https://www.isciii.es/QueHacemos/Servicios/VigilanciaSaludPublicaRENAVE/EnfermedadesTransmisibles/Documents/VIH/pdfs%20y%20protocolo/Informe%20VIH_SIDA_20201130.pdf</w:t>
        </w:r>
      </w:hyperlink>
      <w:r w:rsidRPr="00252A21">
        <w:rPr>
          <w:rFonts w:eastAsia="Calibri"/>
          <w:lang w:val="es-PE" w:eastAsia="en-US"/>
        </w:rPr>
        <w:t xml:space="preserve"> </w:t>
      </w:r>
    </w:p>
    <w:p w14:paraId="5EB97C0F" w14:textId="77777777" w:rsidR="00252A21" w:rsidRPr="00252A21" w:rsidRDefault="00252A21" w:rsidP="00252A21">
      <w:pPr>
        <w:spacing w:line="360" w:lineRule="auto"/>
        <w:rPr>
          <w:rFonts w:eastAsia="Calibri"/>
          <w:lang w:val="es-PE" w:eastAsia="en-US"/>
        </w:rPr>
      </w:pPr>
      <w:r w:rsidRPr="00252A21">
        <w:rPr>
          <w:rFonts w:eastAsia="Calibri"/>
          <w:lang w:val="en-US" w:eastAsia="en-US"/>
        </w:rPr>
        <w:t xml:space="preserve">25. Tordoff DM, Zangeneh S, Khosropour CM, Glick SN, McClelland RS, Dimitrov D, et al. Geographic variation in HIV testing among transgender and non-binary adults in the US. J Acquir Immune Defic Syndr 1999. </w:t>
      </w:r>
      <w:r w:rsidRPr="00252A21">
        <w:rPr>
          <w:rFonts w:eastAsia="Calibri"/>
          <w:lang w:val="es-PE" w:eastAsia="en-US"/>
        </w:rPr>
        <w:t>2022; 89(5):489-97. DOI: 10.1097/qai.0000000000002909</w:t>
      </w:r>
    </w:p>
    <w:p w14:paraId="0CD9430A" w14:textId="77777777" w:rsidR="00252A21" w:rsidRPr="00252A21" w:rsidRDefault="00252A21" w:rsidP="00252A21">
      <w:pPr>
        <w:spacing w:line="360" w:lineRule="auto"/>
        <w:rPr>
          <w:rFonts w:eastAsia="Calibri"/>
          <w:lang w:val="es-PE" w:eastAsia="en-US"/>
        </w:rPr>
      </w:pPr>
      <w:r w:rsidRPr="00252A21">
        <w:rPr>
          <w:rFonts w:eastAsia="Calibri"/>
          <w:lang w:val="es-PE" w:eastAsia="en-US"/>
        </w:rPr>
        <w:lastRenderedPageBreak/>
        <w:t xml:space="preserve">26. Verdecia LIB, Acosta LXC, Carrasco AAD. Conocimiento, actitud y uso del condón en hombres que tienen sexo con hombres. Arch Hosp Univ Gen Calixto García. 2015 [acceso: 06/02/2022];3(1):26-36. Disponible en: </w:t>
      </w:r>
      <w:hyperlink r:id="rId25" w:history="1">
        <w:r w:rsidRPr="00252A21">
          <w:rPr>
            <w:rFonts w:eastAsia="Calibri"/>
            <w:color w:val="0563C1"/>
            <w:lang w:val="es-PE" w:eastAsia="en-US"/>
          </w:rPr>
          <w:t>http://www.revcalixto.sld.cu/index.php/ahcg/article/view/74</w:t>
        </w:r>
      </w:hyperlink>
      <w:r w:rsidRPr="00252A21">
        <w:rPr>
          <w:rFonts w:eastAsia="Calibri"/>
          <w:lang w:val="es-PE" w:eastAsia="en-US"/>
        </w:rPr>
        <w:t xml:space="preserve"> </w:t>
      </w:r>
    </w:p>
    <w:p w14:paraId="05ED8637" w14:textId="77777777" w:rsidR="00252A21" w:rsidRPr="00252A21" w:rsidRDefault="00252A21" w:rsidP="00252A21">
      <w:pPr>
        <w:spacing w:line="360" w:lineRule="auto"/>
        <w:rPr>
          <w:rFonts w:eastAsia="Calibri"/>
          <w:lang w:val="es-PE" w:eastAsia="en-US"/>
        </w:rPr>
      </w:pPr>
      <w:r w:rsidRPr="00252A21">
        <w:rPr>
          <w:rFonts w:eastAsia="Calibri"/>
          <w:lang w:val="en-US" w:eastAsia="en-US"/>
        </w:rPr>
        <w:t xml:space="preserve">27. Kawale P, Mindry D, Phoya A, Jansen P, Hoffman RM. Provider attitudes about childbearing and knowledge of safer conception at two HIV clinics in Malawi. </w:t>
      </w:r>
      <w:r w:rsidRPr="00252A21">
        <w:rPr>
          <w:rFonts w:eastAsia="Calibri"/>
          <w:lang w:val="es-CU" w:eastAsia="en-US"/>
        </w:rPr>
        <w:t xml:space="preserve">Reprod Health. 2015; 12:17. </w:t>
      </w:r>
      <w:r w:rsidRPr="00252A21">
        <w:rPr>
          <w:rFonts w:eastAsia="Calibri"/>
          <w:lang w:val="es-PE" w:eastAsia="en-US"/>
        </w:rPr>
        <w:t>DOI: 10.1186/s12978-015-0004-0</w:t>
      </w:r>
    </w:p>
    <w:p w14:paraId="0442AC93" w14:textId="77777777" w:rsidR="00252A21" w:rsidRPr="00252A21" w:rsidRDefault="00252A21" w:rsidP="00252A21">
      <w:pPr>
        <w:spacing w:line="360" w:lineRule="auto"/>
        <w:rPr>
          <w:rFonts w:eastAsia="Calibri"/>
          <w:lang w:val="es-PE" w:eastAsia="en-US"/>
        </w:rPr>
      </w:pPr>
      <w:r w:rsidRPr="00252A21">
        <w:rPr>
          <w:rFonts w:eastAsia="Calibri"/>
          <w:lang w:val="es-PE" w:eastAsia="en-US"/>
        </w:rPr>
        <w:t xml:space="preserve">28. Mendoza J, Ortiz Hernández L, Román R, Rojas A. Principales resultados del diagnóstico situacional de personas LGBTIQ de México. Ciudad México: Casa Abierta al Tiempo, Universidad Autónoma Metropolitana, Compañeros, Inspira, RMX; 2015. [acceso: 24/02/2022]. Disponible en: </w:t>
      </w:r>
      <w:hyperlink r:id="rId26" w:history="1">
        <w:r w:rsidRPr="00252A21">
          <w:rPr>
            <w:rFonts w:eastAsia="Calibri"/>
            <w:color w:val="0563C1"/>
            <w:lang w:val="es-PE" w:eastAsia="en-US"/>
          </w:rPr>
          <w:t>https://www.academia.edu/18890248/Principales_Resultados_del_Diagn%C3%B3stico_situacional_de_personas_lesbianas_gays_bisexuales_transg%C3%A9nero_travestis_transexuales_intersexuales_y_queers_de_M%C3%A9xico_2015_Primera_parte</w:t>
        </w:r>
      </w:hyperlink>
      <w:r w:rsidRPr="00252A21">
        <w:rPr>
          <w:rFonts w:eastAsia="Calibri"/>
          <w:lang w:val="es-PE" w:eastAsia="en-US"/>
        </w:rPr>
        <w:t xml:space="preserve"> </w:t>
      </w:r>
    </w:p>
    <w:p w14:paraId="0CE3268C" w14:textId="77777777" w:rsidR="00252A21" w:rsidRPr="00252A21" w:rsidRDefault="00252A21" w:rsidP="00252A21">
      <w:pPr>
        <w:spacing w:line="360" w:lineRule="auto"/>
        <w:rPr>
          <w:rFonts w:eastAsia="Calibri"/>
          <w:lang w:val="en-US" w:eastAsia="en-US"/>
        </w:rPr>
      </w:pPr>
      <w:r w:rsidRPr="00252A21">
        <w:rPr>
          <w:rFonts w:eastAsia="Calibri"/>
          <w:lang w:val="en-US" w:eastAsia="en-US"/>
        </w:rPr>
        <w:t>29. Reynolds CA, Charlton BM. Sexual Behavior and Contraceptive Use Among Cisgender and Gender Minority College Students Who Were Assigned Female at Birth. J Pediatr Adolesc Gynecol. 2021; 34(4):477-83. DOI: 10.1016/j.jpag.2021.03.009</w:t>
      </w:r>
    </w:p>
    <w:p w14:paraId="014A839B" w14:textId="77777777" w:rsidR="00252A21" w:rsidRPr="00252A21" w:rsidRDefault="00252A21" w:rsidP="00252A21">
      <w:pPr>
        <w:spacing w:line="360" w:lineRule="auto"/>
        <w:rPr>
          <w:rFonts w:eastAsia="Calibri"/>
          <w:lang w:val="es-PE" w:eastAsia="en-US"/>
        </w:rPr>
      </w:pPr>
      <w:r w:rsidRPr="00252A21">
        <w:rPr>
          <w:rFonts w:eastAsia="Calibri"/>
          <w:lang w:val="en-US" w:eastAsia="en-US"/>
        </w:rPr>
        <w:t xml:space="preserve">30. Satcher MF, Segura ER, Silva-Santisteban A, Sanchez J, Lama JR, Clark JL. Partner-Level Factors Associated with Insertive and Receptive Condomless Anal Intercourse Among Transgender Women in Lima, Peru. AIDS Behav. </w:t>
      </w:r>
      <w:r w:rsidRPr="00252A21">
        <w:rPr>
          <w:rFonts w:eastAsia="Calibri"/>
          <w:lang w:val="es-PE" w:eastAsia="en-US"/>
        </w:rPr>
        <w:t>2017; 21(8):2439-51. DOI: 10.1007/s10461-016-1503-x</w:t>
      </w:r>
    </w:p>
    <w:p w14:paraId="22A7945F" w14:textId="77777777" w:rsidR="00252A21" w:rsidRPr="00252A21" w:rsidRDefault="00252A21" w:rsidP="00252A21">
      <w:pPr>
        <w:spacing w:line="360" w:lineRule="auto"/>
        <w:rPr>
          <w:rFonts w:eastAsia="Calibri"/>
          <w:lang w:val="es-PE" w:eastAsia="en-US"/>
        </w:rPr>
      </w:pPr>
      <w:r w:rsidRPr="00252A21">
        <w:rPr>
          <w:rFonts w:eastAsia="Calibri"/>
          <w:lang w:val="es-PE" w:eastAsia="en-US"/>
        </w:rPr>
        <w:t>31. Rodríguez L, Facal T. Mujeres que tienen sexo con mujeres (MSM): miradas cercanas y lejanas del contexto mexicano de Nuevo León. Alternativas: Cuadernos de trabajo social. 2021; 28(1):23-45. DOI: 10.14198/ALTERN2021.28.1.02</w:t>
      </w:r>
    </w:p>
    <w:p w14:paraId="11F3C9CC" w14:textId="77777777" w:rsidR="00252A21" w:rsidRPr="00252A21" w:rsidRDefault="00252A21" w:rsidP="00252A21">
      <w:pPr>
        <w:spacing w:line="360" w:lineRule="auto"/>
        <w:jc w:val="both"/>
        <w:rPr>
          <w:rFonts w:eastAsia="Calibri"/>
          <w:b/>
          <w:bCs/>
          <w:lang w:val="es-PE" w:eastAsia="en-US"/>
        </w:rPr>
      </w:pPr>
    </w:p>
    <w:p w14:paraId="50914873" w14:textId="77777777" w:rsidR="00252A21" w:rsidRPr="00252A21" w:rsidRDefault="00252A21" w:rsidP="00252A21">
      <w:pPr>
        <w:spacing w:line="360" w:lineRule="auto"/>
        <w:jc w:val="both"/>
        <w:rPr>
          <w:rFonts w:eastAsia="Calibri"/>
          <w:b/>
          <w:bCs/>
          <w:lang w:val="es-PE" w:eastAsia="en-US"/>
        </w:rPr>
      </w:pPr>
    </w:p>
    <w:p w14:paraId="709541D9" w14:textId="77777777" w:rsidR="00252A21" w:rsidRPr="00252A21" w:rsidRDefault="00252A21" w:rsidP="00252A21">
      <w:pPr>
        <w:spacing w:line="360" w:lineRule="auto"/>
        <w:jc w:val="center"/>
        <w:rPr>
          <w:rFonts w:eastAsia="Calibri"/>
          <w:b/>
          <w:bCs/>
          <w:lang w:val="es-PE" w:eastAsia="en-US"/>
        </w:rPr>
      </w:pPr>
      <w:r w:rsidRPr="00252A21">
        <w:rPr>
          <w:rFonts w:eastAsia="Calibri"/>
          <w:b/>
          <w:bCs/>
          <w:lang w:val="es-PE" w:eastAsia="en-US"/>
        </w:rPr>
        <w:t>Conflictos de interés</w:t>
      </w:r>
    </w:p>
    <w:p w14:paraId="290C10BA" w14:textId="77777777" w:rsidR="00252A21" w:rsidRPr="00252A21" w:rsidRDefault="00252A21" w:rsidP="00252A21">
      <w:pPr>
        <w:spacing w:line="360" w:lineRule="auto"/>
        <w:jc w:val="both"/>
        <w:rPr>
          <w:rFonts w:eastAsia="Calibri"/>
          <w:lang w:val="es-PE" w:eastAsia="en-US"/>
        </w:rPr>
      </w:pPr>
      <w:r w:rsidRPr="00252A21">
        <w:rPr>
          <w:rFonts w:eastAsia="Calibri"/>
          <w:lang w:val="es-PE" w:eastAsia="en-US"/>
        </w:rPr>
        <w:t>Los autores declaramos que no presentamos conflictos de interés</w:t>
      </w:r>
      <w:bookmarkEnd w:id="4"/>
      <w:bookmarkEnd w:id="5"/>
      <w:r w:rsidRPr="00252A21">
        <w:rPr>
          <w:rFonts w:eastAsia="Calibri"/>
          <w:lang w:val="es-PE" w:eastAsia="en-US"/>
        </w:rPr>
        <w:t>.</w:t>
      </w:r>
    </w:p>
    <w:p w14:paraId="4EEA82D1" w14:textId="77777777" w:rsidR="00252A21" w:rsidRPr="00252A21" w:rsidRDefault="00252A21" w:rsidP="00252A21">
      <w:pPr>
        <w:spacing w:line="360" w:lineRule="auto"/>
        <w:jc w:val="both"/>
        <w:rPr>
          <w:rFonts w:eastAsia="Calibri"/>
          <w:b/>
          <w:bCs/>
          <w:lang w:val="es-PE" w:eastAsia="en-US"/>
        </w:rPr>
      </w:pPr>
    </w:p>
    <w:p w14:paraId="15A95E33" w14:textId="77777777" w:rsidR="00252A21" w:rsidRPr="00252A21" w:rsidRDefault="00252A21" w:rsidP="00252A21">
      <w:pPr>
        <w:spacing w:line="360" w:lineRule="auto"/>
        <w:jc w:val="center"/>
        <w:rPr>
          <w:rFonts w:eastAsia="Calibri"/>
          <w:b/>
          <w:bCs/>
          <w:lang w:val="es-PE" w:eastAsia="en-US"/>
        </w:rPr>
      </w:pPr>
      <w:r w:rsidRPr="00252A21">
        <w:rPr>
          <w:rFonts w:eastAsia="Calibri"/>
          <w:b/>
          <w:bCs/>
          <w:lang w:val="es-PE" w:eastAsia="en-US"/>
        </w:rPr>
        <w:t>Contribuciones de los autores</w:t>
      </w:r>
    </w:p>
    <w:p w14:paraId="1D8F8EF0" w14:textId="77777777" w:rsidR="00252A21" w:rsidRPr="00252A21" w:rsidRDefault="00252A21" w:rsidP="00252A21">
      <w:pPr>
        <w:spacing w:line="360" w:lineRule="auto"/>
        <w:rPr>
          <w:lang w:val="es-PE" w:eastAsia="en-US"/>
        </w:rPr>
      </w:pPr>
      <w:r w:rsidRPr="00252A21">
        <w:rPr>
          <w:lang w:val="es-PE" w:eastAsia="en-US"/>
        </w:rPr>
        <w:t xml:space="preserve">Conceptualización: </w:t>
      </w:r>
      <w:r w:rsidRPr="00252A21">
        <w:rPr>
          <w:i/>
          <w:iCs/>
          <w:lang w:val="es-PE" w:eastAsia="en-US"/>
        </w:rPr>
        <w:t>Mary Carmen Guillén-Contreras</w:t>
      </w:r>
      <w:r w:rsidRPr="00252A21">
        <w:rPr>
          <w:i/>
          <w:lang w:val="es-PE" w:eastAsia="en-US"/>
        </w:rPr>
        <w:t xml:space="preserve">, </w:t>
      </w:r>
      <w:r w:rsidRPr="00252A21">
        <w:rPr>
          <w:rFonts w:eastAsia="Calibri"/>
          <w:i/>
          <w:iCs/>
          <w:lang w:val="es-CU" w:eastAsia="en-US"/>
        </w:rPr>
        <w:t>Victor Hugo Moquillaza-Alcantara</w:t>
      </w:r>
      <w:r w:rsidRPr="00252A21">
        <w:rPr>
          <w:i/>
          <w:lang w:val="es-PE" w:eastAsia="en-US"/>
        </w:rPr>
        <w:t>.</w:t>
      </w:r>
    </w:p>
    <w:p w14:paraId="276B60CF" w14:textId="77777777" w:rsidR="00252A21" w:rsidRPr="00252A21" w:rsidRDefault="00252A21" w:rsidP="00252A21">
      <w:pPr>
        <w:spacing w:line="360" w:lineRule="auto"/>
        <w:rPr>
          <w:i/>
          <w:lang w:val="es-PE" w:eastAsia="en-US"/>
        </w:rPr>
      </w:pPr>
      <w:r w:rsidRPr="00252A21">
        <w:rPr>
          <w:lang w:val="es-PE" w:eastAsia="en-US"/>
        </w:rPr>
        <w:lastRenderedPageBreak/>
        <w:t xml:space="preserve">Curación de datos: </w:t>
      </w:r>
      <w:r w:rsidRPr="00252A21">
        <w:rPr>
          <w:i/>
          <w:iCs/>
          <w:lang w:val="es-PE" w:eastAsia="en-US"/>
        </w:rPr>
        <w:t>Mary Carmen Guillén-Contreras</w:t>
      </w:r>
      <w:r w:rsidRPr="00252A21">
        <w:rPr>
          <w:i/>
          <w:lang w:val="es-PE" w:eastAsia="en-US"/>
        </w:rPr>
        <w:t>, Yuly Santos-Rosales.</w:t>
      </w:r>
    </w:p>
    <w:p w14:paraId="5D6DB3F3" w14:textId="77777777" w:rsidR="00252A21" w:rsidRPr="00252A21" w:rsidRDefault="00252A21" w:rsidP="00252A21">
      <w:pPr>
        <w:spacing w:line="360" w:lineRule="auto"/>
        <w:rPr>
          <w:i/>
          <w:lang w:val="es-PE" w:eastAsia="en-US"/>
        </w:rPr>
      </w:pPr>
      <w:r w:rsidRPr="00252A21">
        <w:rPr>
          <w:lang w:val="es-PE" w:eastAsia="en-US"/>
        </w:rPr>
        <w:t xml:space="preserve">Análisis formal: </w:t>
      </w:r>
      <w:r w:rsidRPr="00252A21">
        <w:rPr>
          <w:rFonts w:eastAsia="Calibri"/>
          <w:i/>
          <w:iCs/>
          <w:lang w:val="es-CU" w:eastAsia="en-US"/>
        </w:rPr>
        <w:t>Victor Hugo Moquillaza-Alcantara</w:t>
      </w:r>
      <w:r w:rsidRPr="00252A21">
        <w:rPr>
          <w:i/>
          <w:iCs/>
          <w:lang w:val="es-PE" w:eastAsia="en-US"/>
        </w:rPr>
        <w:t>.</w:t>
      </w:r>
    </w:p>
    <w:p w14:paraId="549D4772" w14:textId="77777777" w:rsidR="00252A21" w:rsidRPr="00252A21" w:rsidRDefault="00252A21" w:rsidP="00252A21">
      <w:pPr>
        <w:spacing w:line="360" w:lineRule="auto"/>
        <w:rPr>
          <w:i/>
          <w:lang w:val="es-PE" w:eastAsia="en-US"/>
        </w:rPr>
      </w:pPr>
      <w:r w:rsidRPr="00252A21">
        <w:rPr>
          <w:lang w:val="es-PE" w:eastAsia="en-US"/>
        </w:rPr>
        <w:t xml:space="preserve">Adquisición de fondos: </w:t>
      </w:r>
      <w:r w:rsidRPr="00252A21">
        <w:rPr>
          <w:rFonts w:eastAsia="Calibri"/>
          <w:i/>
          <w:iCs/>
          <w:lang w:val="es-CU" w:eastAsia="en-US"/>
        </w:rPr>
        <w:t>Mary Carmen Guillén-Contreras</w:t>
      </w:r>
      <w:r w:rsidRPr="00252A21">
        <w:rPr>
          <w:i/>
          <w:iCs/>
          <w:lang w:val="es-PE" w:eastAsia="en-US"/>
        </w:rPr>
        <w:t>.</w:t>
      </w:r>
    </w:p>
    <w:p w14:paraId="30CAB5E9" w14:textId="77777777" w:rsidR="00252A21" w:rsidRPr="00252A21" w:rsidRDefault="00252A21" w:rsidP="00252A21">
      <w:pPr>
        <w:spacing w:line="360" w:lineRule="auto"/>
        <w:rPr>
          <w:lang w:val="es-PE" w:eastAsia="en-US"/>
        </w:rPr>
      </w:pPr>
      <w:r w:rsidRPr="00252A21">
        <w:rPr>
          <w:lang w:val="es-PE" w:eastAsia="en-US"/>
        </w:rPr>
        <w:t xml:space="preserve">Investigación: </w:t>
      </w:r>
      <w:r w:rsidRPr="00252A21">
        <w:rPr>
          <w:i/>
          <w:iCs/>
          <w:lang w:val="es-PE" w:eastAsia="en-US"/>
        </w:rPr>
        <w:t>Mary Carmen Guillén-Contreras</w:t>
      </w:r>
      <w:r w:rsidRPr="00252A21">
        <w:rPr>
          <w:i/>
          <w:lang w:val="es-PE" w:eastAsia="en-US"/>
        </w:rPr>
        <w:t>,</w:t>
      </w:r>
      <w:r w:rsidRPr="00252A21">
        <w:rPr>
          <w:lang w:val="es-PE" w:eastAsia="en-US"/>
        </w:rPr>
        <w:t xml:space="preserve"> </w:t>
      </w:r>
      <w:r w:rsidRPr="00252A21">
        <w:rPr>
          <w:i/>
          <w:lang w:val="es-PE" w:eastAsia="en-US"/>
        </w:rPr>
        <w:t xml:space="preserve">Yuly Santos-Rosales, </w:t>
      </w:r>
      <w:r w:rsidRPr="00252A21">
        <w:rPr>
          <w:rFonts w:eastAsia="Calibri"/>
          <w:i/>
          <w:iCs/>
          <w:lang w:val="es-CU" w:eastAsia="en-US"/>
        </w:rPr>
        <w:t>Victor Hugo Moquillaza-Alcantara</w:t>
      </w:r>
      <w:r w:rsidRPr="00252A21">
        <w:rPr>
          <w:i/>
          <w:lang w:val="es-PE" w:eastAsia="en-US"/>
        </w:rPr>
        <w:t>.</w:t>
      </w:r>
    </w:p>
    <w:p w14:paraId="6BB168C9" w14:textId="77777777" w:rsidR="00252A21" w:rsidRPr="00252A21" w:rsidRDefault="00252A21" w:rsidP="00252A21">
      <w:pPr>
        <w:spacing w:line="360" w:lineRule="auto"/>
        <w:rPr>
          <w:lang w:val="es-PE" w:eastAsia="en-US"/>
        </w:rPr>
      </w:pPr>
      <w:r w:rsidRPr="00252A21">
        <w:rPr>
          <w:lang w:val="es-PE" w:eastAsia="en-US"/>
        </w:rPr>
        <w:t xml:space="preserve">Metodología: </w:t>
      </w:r>
      <w:r w:rsidRPr="00252A21">
        <w:rPr>
          <w:rFonts w:eastAsia="Calibri"/>
          <w:i/>
          <w:iCs/>
          <w:lang w:val="es-CU" w:eastAsia="en-US"/>
        </w:rPr>
        <w:t>Mary Carmen Guillén-Contreras</w:t>
      </w:r>
      <w:r w:rsidRPr="00252A21">
        <w:rPr>
          <w:i/>
          <w:lang w:val="es-PE" w:eastAsia="en-US"/>
        </w:rPr>
        <w:t xml:space="preserve">, Yuly Santos-Rosales, </w:t>
      </w:r>
      <w:r w:rsidRPr="00252A21">
        <w:rPr>
          <w:rFonts w:eastAsia="Calibri"/>
          <w:i/>
          <w:iCs/>
          <w:lang w:val="es-CU" w:eastAsia="en-US"/>
        </w:rPr>
        <w:t>Victor Hugo Moquillaza-Alcantara</w:t>
      </w:r>
      <w:r w:rsidRPr="00252A21">
        <w:rPr>
          <w:i/>
          <w:lang w:val="es-PE" w:eastAsia="en-US"/>
        </w:rPr>
        <w:t>.</w:t>
      </w:r>
    </w:p>
    <w:p w14:paraId="100DC941" w14:textId="77777777" w:rsidR="00252A21" w:rsidRPr="00252A21" w:rsidRDefault="00252A21" w:rsidP="00252A21">
      <w:pPr>
        <w:spacing w:line="360" w:lineRule="auto"/>
        <w:rPr>
          <w:i/>
          <w:lang w:val="es-PE" w:eastAsia="en-US"/>
        </w:rPr>
      </w:pPr>
      <w:r w:rsidRPr="00252A21">
        <w:rPr>
          <w:lang w:val="es-PE" w:eastAsia="en-US"/>
        </w:rPr>
        <w:t xml:space="preserve">Administración del proyecto: </w:t>
      </w:r>
      <w:r w:rsidRPr="00252A21">
        <w:rPr>
          <w:rFonts w:eastAsia="Calibri"/>
          <w:i/>
          <w:iCs/>
          <w:lang w:val="es-CU" w:eastAsia="en-US"/>
        </w:rPr>
        <w:t>Mary Carmen Guillén-Contreras</w:t>
      </w:r>
      <w:r w:rsidRPr="00252A21">
        <w:rPr>
          <w:i/>
          <w:lang w:val="es-PE" w:eastAsia="en-US"/>
        </w:rPr>
        <w:t>, Yuly Santos-Rosales.</w:t>
      </w:r>
    </w:p>
    <w:p w14:paraId="7BEE7B2E" w14:textId="77777777" w:rsidR="00252A21" w:rsidRPr="00252A21" w:rsidRDefault="00252A21" w:rsidP="00252A21">
      <w:pPr>
        <w:spacing w:line="360" w:lineRule="auto"/>
        <w:rPr>
          <w:i/>
          <w:lang w:val="es-PE" w:eastAsia="en-US"/>
        </w:rPr>
      </w:pPr>
      <w:r w:rsidRPr="00252A21">
        <w:rPr>
          <w:lang w:val="es-PE" w:eastAsia="en-US"/>
        </w:rPr>
        <w:t xml:space="preserve">Recursos materiales: </w:t>
      </w:r>
      <w:r w:rsidRPr="00252A21">
        <w:rPr>
          <w:rFonts w:eastAsia="Calibri"/>
          <w:i/>
          <w:iCs/>
          <w:lang w:val="es-CU" w:eastAsia="en-US"/>
        </w:rPr>
        <w:t>Mary Carmen Guillén-Contreras</w:t>
      </w:r>
      <w:r w:rsidRPr="00252A21">
        <w:rPr>
          <w:i/>
          <w:iCs/>
          <w:lang w:val="es-PE" w:eastAsia="en-US"/>
        </w:rPr>
        <w:t>.</w:t>
      </w:r>
    </w:p>
    <w:p w14:paraId="06F8993D" w14:textId="77777777" w:rsidR="00252A21" w:rsidRPr="00252A21" w:rsidRDefault="00252A21" w:rsidP="00252A21">
      <w:pPr>
        <w:spacing w:line="360" w:lineRule="auto"/>
        <w:rPr>
          <w:i/>
          <w:lang w:val="es-PE" w:eastAsia="en-US"/>
        </w:rPr>
      </w:pPr>
      <w:r w:rsidRPr="00252A21">
        <w:rPr>
          <w:lang w:val="es-PE" w:eastAsia="en-US"/>
        </w:rPr>
        <w:t xml:space="preserve">Software: </w:t>
      </w:r>
      <w:r w:rsidRPr="00252A21">
        <w:rPr>
          <w:rFonts w:eastAsia="Calibri"/>
          <w:i/>
          <w:iCs/>
          <w:lang w:val="es-CU" w:eastAsia="en-US"/>
        </w:rPr>
        <w:t>Victor Hugo Moquillaza-Alcantara</w:t>
      </w:r>
      <w:r w:rsidRPr="00252A21">
        <w:rPr>
          <w:i/>
          <w:lang w:val="es-PE" w:eastAsia="en-US"/>
        </w:rPr>
        <w:t>.</w:t>
      </w:r>
    </w:p>
    <w:p w14:paraId="0A1B60A7" w14:textId="77777777" w:rsidR="00252A21" w:rsidRPr="00252A21" w:rsidRDefault="00252A21" w:rsidP="00252A21">
      <w:pPr>
        <w:spacing w:line="360" w:lineRule="auto"/>
        <w:rPr>
          <w:i/>
          <w:lang w:val="es-PE" w:eastAsia="en-US"/>
        </w:rPr>
      </w:pPr>
      <w:r w:rsidRPr="00252A21">
        <w:rPr>
          <w:lang w:val="es-PE" w:eastAsia="en-US"/>
        </w:rPr>
        <w:t xml:space="preserve">Validación: </w:t>
      </w:r>
      <w:r w:rsidRPr="00252A21">
        <w:rPr>
          <w:rFonts w:eastAsia="Calibri"/>
          <w:i/>
          <w:iCs/>
          <w:lang w:val="es-CU" w:eastAsia="en-US"/>
        </w:rPr>
        <w:t>Mary Carmen Guillén-Contreras</w:t>
      </w:r>
      <w:r w:rsidRPr="00252A21">
        <w:rPr>
          <w:i/>
          <w:lang w:val="es-PE" w:eastAsia="en-US"/>
        </w:rPr>
        <w:t>, Yuly Santos-Rosales.</w:t>
      </w:r>
    </w:p>
    <w:p w14:paraId="57578F94" w14:textId="77777777" w:rsidR="00252A21" w:rsidRPr="00252A21" w:rsidRDefault="00252A21" w:rsidP="00252A21">
      <w:pPr>
        <w:spacing w:line="360" w:lineRule="auto"/>
        <w:rPr>
          <w:i/>
          <w:lang w:val="es-PE" w:eastAsia="en-US"/>
        </w:rPr>
      </w:pPr>
      <w:r w:rsidRPr="00252A21">
        <w:rPr>
          <w:lang w:val="es-PE" w:eastAsia="en-US"/>
        </w:rPr>
        <w:t xml:space="preserve">Visualización: </w:t>
      </w:r>
      <w:r w:rsidRPr="00252A21">
        <w:rPr>
          <w:rFonts w:eastAsia="Calibri"/>
          <w:i/>
          <w:iCs/>
          <w:lang w:val="es-CU" w:eastAsia="en-US"/>
        </w:rPr>
        <w:t>Victor Hugo Moquillaza-Alcantara</w:t>
      </w:r>
      <w:r w:rsidRPr="00252A21">
        <w:rPr>
          <w:i/>
          <w:lang w:val="es-PE" w:eastAsia="en-US"/>
        </w:rPr>
        <w:t>.</w:t>
      </w:r>
    </w:p>
    <w:p w14:paraId="552C0159" w14:textId="77777777" w:rsidR="00252A21" w:rsidRPr="00252A21" w:rsidRDefault="00252A21" w:rsidP="00252A21">
      <w:pPr>
        <w:spacing w:line="360" w:lineRule="auto"/>
        <w:rPr>
          <w:i/>
          <w:lang w:val="es-PE" w:eastAsia="en-US"/>
        </w:rPr>
      </w:pPr>
      <w:r w:rsidRPr="00252A21">
        <w:rPr>
          <w:lang w:val="es-PE" w:eastAsia="en-US"/>
        </w:rPr>
        <w:t xml:space="preserve">Redacción – borrador original: </w:t>
      </w:r>
      <w:r w:rsidRPr="00252A21">
        <w:rPr>
          <w:rFonts w:eastAsia="Calibri"/>
          <w:i/>
          <w:iCs/>
          <w:lang w:val="es-CU" w:eastAsia="en-US"/>
        </w:rPr>
        <w:t>Mary Carmen Guillén-Contreras</w:t>
      </w:r>
      <w:r w:rsidRPr="00252A21">
        <w:rPr>
          <w:i/>
          <w:lang w:val="es-PE" w:eastAsia="en-US"/>
        </w:rPr>
        <w:t xml:space="preserve">, Yuly Santos-Rosales, </w:t>
      </w:r>
      <w:r w:rsidRPr="00252A21">
        <w:rPr>
          <w:rFonts w:eastAsia="Calibri"/>
          <w:i/>
          <w:iCs/>
          <w:lang w:val="es-CU" w:eastAsia="en-US"/>
        </w:rPr>
        <w:t>Victor Hugo Moquillaza-Alcantara</w:t>
      </w:r>
      <w:r w:rsidRPr="00252A21">
        <w:rPr>
          <w:i/>
          <w:lang w:val="es-PE" w:eastAsia="en-US"/>
        </w:rPr>
        <w:t>.</w:t>
      </w:r>
    </w:p>
    <w:p w14:paraId="143C9258" w14:textId="77777777" w:rsidR="00252A21" w:rsidRPr="00252A21" w:rsidRDefault="00252A21" w:rsidP="00252A21">
      <w:pPr>
        <w:spacing w:line="360" w:lineRule="auto"/>
        <w:rPr>
          <w:i/>
          <w:lang w:val="es-PE" w:eastAsia="en-US"/>
        </w:rPr>
      </w:pPr>
      <w:r w:rsidRPr="00252A21">
        <w:rPr>
          <w:lang w:val="es-PE" w:eastAsia="en-US"/>
        </w:rPr>
        <w:t xml:space="preserve">Redacción – revisión y edición: </w:t>
      </w:r>
      <w:r w:rsidRPr="00252A21">
        <w:rPr>
          <w:rFonts w:eastAsia="Calibri"/>
          <w:i/>
          <w:iCs/>
          <w:lang w:val="es-CU" w:eastAsia="en-US"/>
        </w:rPr>
        <w:t>Mary Carmen Guillén-Contreras</w:t>
      </w:r>
      <w:r w:rsidRPr="00252A21">
        <w:rPr>
          <w:i/>
          <w:lang w:val="es-PE" w:eastAsia="en-US"/>
        </w:rPr>
        <w:t xml:space="preserve">, Yuly Santos, </w:t>
      </w:r>
      <w:r w:rsidRPr="00252A21">
        <w:rPr>
          <w:rFonts w:eastAsia="Calibri"/>
          <w:i/>
          <w:iCs/>
          <w:lang w:val="es-CU" w:eastAsia="en-US"/>
        </w:rPr>
        <w:t>Victor Hugo Moquillaza-Alcantara</w:t>
      </w:r>
      <w:r w:rsidRPr="00252A21">
        <w:rPr>
          <w:i/>
          <w:lang w:val="es-PE" w:eastAsia="en-US"/>
        </w:rPr>
        <w:t>.</w:t>
      </w:r>
    </w:p>
    <w:p w14:paraId="72C6F9BB" w14:textId="77777777" w:rsidR="00252A21" w:rsidRPr="00252A21" w:rsidRDefault="00252A21" w:rsidP="00252A21">
      <w:pPr>
        <w:spacing w:line="360" w:lineRule="auto"/>
        <w:jc w:val="both"/>
        <w:rPr>
          <w:rFonts w:eastAsia="Calibri"/>
          <w:b/>
          <w:bCs/>
          <w:lang w:val="es-PE" w:eastAsia="en-US"/>
        </w:rPr>
      </w:pPr>
    </w:p>
    <w:p w14:paraId="324192CD" w14:textId="77777777" w:rsidR="00675476" w:rsidRPr="00252A21" w:rsidRDefault="00675476" w:rsidP="00EA1FEF">
      <w:pPr>
        <w:pStyle w:val="PDFRevista"/>
        <w:rPr>
          <w:lang w:val="es-PE"/>
        </w:rPr>
      </w:pPr>
    </w:p>
    <w:sectPr w:rsidR="00675476" w:rsidRPr="00252A21" w:rsidSect="00FD3DF8">
      <w:headerReference w:type="default" r:id="rId27"/>
      <w:footerReference w:type="even" r:id="rId28"/>
      <w:footerReference w:type="default" r:id="rId2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45CC" w14:textId="77777777" w:rsidR="0055281E" w:rsidRDefault="0055281E">
      <w:r>
        <w:separator/>
      </w:r>
    </w:p>
  </w:endnote>
  <w:endnote w:type="continuationSeparator" w:id="0">
    <w:p w14:paraId="3A25F80F" w14:textId="77777777" w:rsidR="0055281E" w:rsidRDefault="0055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E108A4D0t00">
    <w:altName w:val="Times New Roman"/>
    <w:panose1 w:val="00000000000000000000"/>
    <w:charset w:val="00"/>
    <w:family w:val="roman"/>
    <w:notTrueType/>
    <w:pitch w:val="default"/>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B24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8721E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CFE3" w14:textId="7EF4DFFA" w:rsidR="000F3690" w:rsidRPr="00AE044C" w:rsidRDefault="00252A21"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F65AE10" wp14:editId="113D7D19">
              <wp:simplePos x="0" y="0"/>
              <wp:positionH relativeFrom="column">
                <wp:posOffset>3810</wp:posOffset>
              </wp:positionH>
              <wp:positionV relativeFrom="paragraph">
                <wp:posOffset>50165</wp:posOffset>
              </wp:positionV>
              <wp:extent cx="6286500" cy="19050"/>
              <wp:effectExtent l="19050" t="19050" r="0" b="0"/>
              <wp:wrapNone/>
              <wp:docPr id="1717266958"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B3B8FB"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19EEF702"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F86BC66"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6EF6897E" w14:textId="3EFA6B06"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252A21" w:rsidRPr="00252A21">
      <w:rPr>
        <w:rFonts w:ascii="Verdana" w:hAnsi="Verdana"/>
        <w:noProof/>
        <w:sz w:val="18"/>
        <w:szCs w:val="18"/>
        <w:lang w:val="en-US" w:eastAsia="en-US"/>
      </w:rPr>
      <w:drawing>
        <wp:inline distT="0" distB="0" distL="0" distR="0" wp14:anchorId="4AD34BC4" wp14:editId="097DED04">
          <wp:extent cx="643890" cy="146050"/>
          <wp:effectExtent l="0" t="0" r="0" b="0"/>
          <wp:docPr id="236080737"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FFCF9" w14:textId="77777777" w:rsidR="0055281E" w:rsidRDefault="0055281E">
      <w:r>
        <w:separator/>
      </w:r>
    </w:p>
  </w:footnote>
  <w:footnote w:type="continuationSeparator" w:id="0">
    <w:p w14:paraId="6B3880DC" w14:textId="77777777" w:rsidR="0055281E" w:rsidRDefault="00552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AC9D" w14:textId="042738BF" w:rsidR="00CC376A" w:rsidRPr="00AE044C" w:rsidRDefault="00252A21"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r>
      <w:rPr>
        <w:noProof/>
      </w:rPr>
      <w:drawing>
        <wp:anchor distT="0" distB="0" distL="114300" distR="114300" simplePos="0" relativeHeight="251663360" behindDoc="1" locked="0" layoutInCell="1" allowOverlap="1" wp14:anchorId="19C239B6" wp14:editId="7C70883B">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e02302665</w:t>
    </w:r>
  </w:p>
  <w:p w14:paraId="4348EAE3" w14:textId="7457F812" w:rsidR="00A477DE" w:rsidRDefault="00252A21">
    <w:r>
      <w:rPr>
        <w:noProof/>
      </w:rPr>
      <mc:AlternateContent>
        <mc:Choice Requires="wps">
          <w:drawing>
            <wp:anchor distT="0" distB="0" distL="114300" distR="114300" simplePos="0" relativeHeight="251654144" behindDoc="0" locked="0" layoutInCell="1" allowOverlap="1" wp14:anchorId="4B2CC3F0" wp14:editId="614A241B">
              <wp:simplePos x="0" y="0"/>
              <wp:positionH relativeFrom="column">
                <wp:posOffset>635</wp:posOffset>
              </wp:positionH>
              <wp:positionV relativeFrom="paragraph">
                <wp:posOffset>42545</wp:posOffset>
              </wp:positionV>
              <wp:extent cx="6307455" cy="28575"/>
              <wp:effectExtent l="19050" t="19050" r="17145" b="9525"/>
              <wp:wrapNone/>
              <wp:docPr id="1598554781"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918051"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8F8C76A"/>
    <w:lvl w:ilvl="0" w:tplc="6BA87824">
      <w:start w:val="1"/>
      <w:numFmt w:val="bullet"/>
      <w:lvlText w:val="­"/>
      <w:lvlJc w:val="left"/>
      <w:pPr>
        <w:ind w:left="360" w:hanging="360"/>
      </w:pPr>
      <w:rPr>
        <w:rFonts w:ascii="Courier New" w:hAnsi="Courier New" w:cs="Times New Roman"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 w15:restartNumberingAfterBreak="0">
    <w:nsid w:val="00000002"/>
    <w:multiLevelType w:val="hybridMultilevel"/>
    <w:tmpl w:val="5CA49D22"/>
    <w:lvl w:ilvl="0" w:tplc="A10E2868">
      <w:start w:val="1"/>
      <w:numFmt w:val="decimal"/>
      <w:lvlText w:val="%1."/>
      <w:lvlJc w:val="left"/>
      <w:pPr>
        <w:ind w:left="644" w:hanging="360"/>
      </w:pPr>
      <w:rPr>
        <w:b w:val="0"/>
        <w:bCs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00000003"/>
    <w:multiLevelType w:val="hybridMultilevel"/>
    <w:tmpl w:val="6C94063A"/>
    <w:lvl w:ilvl="0" w:tplc="220EDF72">
      <w:start w:val="1"/>
      <w:numFmt w:val="decimal"/>
      <w:lvlText w:val="%1."/>
      <w:lvlJc w:val="left"/>
      <w:pPr>
        <w:ind w:left="360" w:hanging="360"/>
      </w:pPr>
      <w:rPr>
        <w:b w:val="0"/>
        <w:bCs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00000004"/>
    <w:multiLevelType w:val="hybridMultilevel"/>
    <w:tmpl w:val="7938E23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0000005"/>
    <w:multiLevelType w:val="hybridMultilevel"/>
    <w:tmpl w:val="8632AB7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0000006"/>
    <w:multiLevelType w:val="hybridMultilevel"/>
    <w:tmpl w:val="2EAE4276"/>
    <w:lvl w:ilvl="0" w:tplc="D48EDFE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0000007"/>
    <w:multiLevelType w:val="hybridMultilevel"/>
    <w:tmpl w:val="8E4455C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36C1A26"/>
    <w:multiLevelType w:val="hybridMultilevel"/>
    <w:tmpl w:val="3BB63C0C"/>
    <w:lvl w:ilvl="0" w:tplc="10FAA0E6">
      <w:start w:val="7"/>
      <w:numFmt w:val="decimal"/>
      <w:lvlText w:val="%1."/>
      <w:lvlJc w:val="left"/>
      <w:pPr>
        <w:ind w:left="786" w:hanging="360"/>
      </w:pPr>
      <w:rPr>
        <w:rFonts w:hint="default"/>
      </w:rPr>
    </w:lvl>
    <w:lvl w:ilvl="1" w:tplc="00000019" w:tentative="1">
      <w:start w:val="1"/>
      <w:numFmt w:val="lowerLetter"/>
      <w:lvlText w:val="%2."/>
      <w:lvlJc w:val="left"/>
      <w:pPr>
        <w:ind w:left="1506" w:hanging="360"/>
      </w:pPr>
    </w:lvl>
    <w:lvl w:ilvl="2" w:tplc="0000001B" w:tentative="1">
      <w:start w:val="1"/>
      <w:numFmt w:val="lowerRoman"/>
      <w:lvlText w:val="%3."/>
      <w:lvlJc w:val="right"/>
      <w:pPr>
        <w:ind w:left="2226" w:hanging="180"/>
      </w:pPr>
    </w:lvl>
    <w:lvl w:ilvl="3" w:tplc="0000000F" w:tentative="1">
      <w:start w:val="1"/>
      <w:numFmt w:val="decimal"/>
      <w:lvlText w:val="%4."/>
      <w:lvlJc w:val="left"/>
      <w:pPr>
        <w:ind w:left="2946" w:hanging="360"/>
      </w:pPr>
    </w:lvl>
    <w:lvl w:ilvl="4" w:tplc="00000019" w:tentative="1">
      <w:start w:val="1"/>
      <w:numFmt w:val="lowerLetter"/>
      <w:lvlText w:val="%5."/>
      <w:lvlJc w:val="left"/>
      <w:pPr>
        <w:ind w:left="3666" w:hanging="360"/>
      </w:pPr>
    </w:lvl>
    <w:lvl w:ilvl="5" w:tplc="0000001B" w:tentative="1">
      <w:start w:val="1"/>
      <w:numFmt w:val="lowerRoman"/>
      <w:lvlText w:val="%6."/>
      <w:lvlJc w:val="right"/>
      <w:pPr>
        <w:ind w:left="4386" w:hanging="180"/>
      </w:pPr>
    </w:lvl>
    <w:lvl w:ilvl="6" w:tplc="0000000F" w:tentative="1">
      <w:start w:val="1"/>
      <w:numFmt w:val="decimal"/>
      <w:lvlText w:val="%7."/>
      <w:lvlJc w:val="left"/>
      <w:pPr>
        <w:ind w:left="5106" w:hanging="360"/>
      </w:pPr>
    </w:lvl>
    <w:lvl w:ilvl="7" w:tplc="00000019" w:tentative="1">
      <w:start w:val="1"/>
      <w:numFmt w:val="lowerLetter"/>
      <w:lvlText w:val="%8."/>
      <w:lvlJc w:val="left"/>
      <w:pPr>
        <w:ind w:left="5826" w:hanging="360"/>
      </w:pPr>
    </w:lvl>
    <w:lvl w:ilvl="8" w:tplc="0000001B" w:tentative="1">
      <w:start w:val="1"/>
      <w:numFmt w:val="lowerRoman"/>
      <w:lvlText w:val="%9."/>
      <w:lvlJc w:val="right"/>
      <w:pPr>
        <w:ind w:left="6546" w:hanging="180"/>
      </w:pPr>
    </w:lvl>
  </w:abstractNum>
  <w:abstractNum w:abstractNumId="8" w15:restartNumberingAfterBreak="0">
    <w:nsid w:val="32D562AE"/>
    <w:multiLevelType w:val="hybridMultilevel"/>
    <w:tmpl w:val="1D38374E"/>
    <w:lvl w:ilvl="0" w:tplc="9CE46968">
      <w:start w:val="4"/>
      <w:numFmt w:val="decimal"/>
      <w:lvlText w:val="%1."/>
      <w:lvlJc w:val="left"/>
      <w:pPr>
        <w:ind w:left="786" w:hanging="360"/>
      </w:pPr>
      <w:rPr>
        <w:rFonts w:hint="default"/>
      </w:rPr>
    </w:lvl>
    <w:lvl w:ilvl="1" w:tplc="00000019" w:tentative="1">
      <w:start w:val="1"/>
      <w:numFmt w:val="lowerLetter"/>
      <w:lvlText w:val="%2."/>
      <w:lvlJc w:val="left"/>
      <w:pPr>
        <w:ind w:left="1506" w:hanging="360"/>
      </w:pPr>
    </w:lvl>
    <w:lvl w:ilvl="2" w:tplc="0000001B" w:tentative="1">
      <w:start w:val="1"/>
      <w:numFmt w:val="lowerRoman"/>
      <w:lvlText w:val="%3."/>
      <w:lvlJc w:val="right"/>
      <w:pPr>
        <w:ind w:left="2226" w:hanging="180"/>
      </w:pPr>
    </w:lvl>
    <w:lvl w:ilvl="3" w:tplc="0000000F" w:tentative="1">
      <w:start w:val="1"/>
      <w:numFmt w:val="decimal"/>
      <w:lvlText w:val="%4."/>
      <w:lvlJc w:val="left"/>
      <w:pPr>
        <w:ind w:left="2946" w:hanging="360"/>
      </w:pPr>
    </w:lvl>
    <w:lvl w:ilvl="4" w:tplc="00000019" w:tentative="1">
      <w:start w:val="1"/>
      <w:numFmt w:val="lowerLetter"/>
      <w:lvlText w:val="%5."/>
      <w:lvlJc w:val="left"/>
      <w:pPr>
        <w:ind w:left="3666" w:hanging="360"/>
      </w:pPr>
    </w:lvl>
    <w:lvl w:ilvl="5" w:tplc="0000001B" w:tentative="1">
      <w:start w:val="1"/>
      <w:numFmt w:val="lowerRoman"/>
      <w:lvlText w:val="%6."/>
      <w:lvlJc w:val="right"/>
      <w:pPr>
        <w:ind w:left="4386" w:hanging="180"/>
      </w:pPr>
    </w:lvl>
    <w:lvl w:ilvl="6" w:tplc="0000000F" w:tentative="1">
      <w:start w:val="1"/>
      <w:numFmt w:val="decimal"/>
      <w:lvlText w:val="%7."/>
      <w:lvlJc w:val="left"/>
      <w:pPr>
        <w:ind w:left="5106" w:hanging="360"/>
      </w:pPr>
    </w:lvl>
    <w:lvl w:ilvl="7" w:tplc="00000019" w:tentative="1">
      <w:start w:val="1"/>
      <w:numFmt w:val="lowerLetter"/>
      <w:lvlText w:val="%8."/>
      <w:lvlJc w:val="left"/>
      <w:pPr>
        <w:ind w:left="5826" w:hanging="360"/>
      </w:pPr>
    </w:lvl>
    <w:lvl w:ilvl="8" w:tplc="0000001B" w:tentative="1">
      <w:start w:val="1"/>
      <w:numFmt w:val="lowerRoman"/>
      <w:lvlText w:val="%9."/>
      <w:lvlJc w:val="right"/>
      <w:pPr>
        <w:ind w:left="6546" w:hanging="180"/>
      </w:pPr>
    </w:lvl>
  </w:abstractNum>
  <w:abstractNum w:abstractNumId="9"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0" w15:restartNumberingAfterBreak="0">
    <w:nsid w:val="672F54F6"/>
    <w:multiLevelType w:val="hybridMultilevel"/>
    <w:tmpl w:val="EDB4AB1A"/>
    <w:lvl w:ilvl="0" w:tplc="85406D2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AC53BAC"/>
    <w:multiLevelType w:val="hybridMultilevel"/>
    <w:tmpl w:val="0B78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291865">
    <w:abstractNumId w:val="9"/>
  </w:num>
  <w:num w:numId="2" w16cid:durableId="581336340">
    <w:abstractNumId w:val="6"/>
  </w:num>
  <w:num w:numId="3" w16cid:durableId="1117992633">
    <w:abstractNumId w:val="1"/>
  </w:num>
  <w:num w:numId="4" w16cid:durableId="248008115">
    <w:abstractNumId w:val="3"/>
  </w:num>
  <w:num w:numId="5" w16cid:durableId="483278298">
    <w:abstractNumId w:val="2"/>
  </w:num>
  <w:num w:numId="6" w16cid:durableId="85805632">
    <w:abstractNumId w:val="0"/>
  </w:num>
  <w:num w:numId="7" w16cid:durableId="1216545822">
    <w:abstractNumId w:val="4"/>
  </w:num>
  <w:num w:numId="8" w16cid:durableId="503206862">
    <w:abstractNumId w:val="10"/>
  </w:num>
  <w:num w:numId="9" w16cid:durableId="1297376940">
    <w:abstractNumId w:val="5"/>
  </w:num>
  <w:num w:numId="10" w16cid:durableId="775901526">
    <w:abstractNumId w:val="8"/>
  </w:num>
  <w:num w:numId="11" w16cid:durableId="242223460">
    <w:abstractNumId w:val="7"/>
  </w:num>
  <w:num w:numId="12" w16cid:durableId="483113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21"/>
    <w:rsid w:val="000450EE"/>
    <w:rsid w:val="00057F45"/>
    <w:rsid w:val="000D3958"/>
    <w:rsid w:val="000F3690"/>
    <w:rsid w:val="001221D1"/>
    <w:rsid w:val="00165CB5"/>
    <w:rsid w:val="00180CE9"/>
    <w:rsid w:val="00230DD5"/>
    <w:rsid w:val="00250AE9"/>
    <w:rsid w:val="00252A21"/>
    <w:rsid w:val="00380D64"/>
    <w:rsid w:val="00391509"/>
    <w:rsid w:val="003E03D5"/>
    <w:rsid w:val="00486BFA"/>
    <w:rsid w:val="00493701"/>
    <w:rsid w:val="004E2065"/>
    <w:rsid w:val="005508A2"/>
    <w:rsid w:val="0055115D"/>
    <w:rsid w:val="0055281E"/>
    <w:rsid w:val="00566F71"/>
    <w:rsid w:val="005918BD"/>
    <w:rsid w:val="006173A6"/>
    <w:rsid w:val="006179EA"/>
    <w:rsid w:val="00675476"/>
    <w:rsid w:val="007C430F"/>
    <w:rsid w:val="007D2D0C"/>
    <w:rsid w:val="007D614D"/>
    <w:rsid w:val="0082696F"/>
    <w:rsid w:val="00915D3C"/>
    <w:rsid w:val="00960D6A"/>
    <w:rsid w:val="009A0560"/>
    <w:rsid w:val="009B0917"/>
    <w:rsid w:val="009F0F96"/>
    <w:rsid w:val="00A23C0C"/>
    <w:rsid w:val="00A477DE"/>
    <w:rsid w:val="00A66186"/>
    <w:rsid w:val="00A71E65"/>
    <w:rsid w:val="00AE044C"/>
    <w:rsid w:val="00B10FBB"/>
    <w:rsid w:val="00B31971"/>
    <w:rsid w:val="00B4380A"/>
    <w:rsid w:val="00B66ECB"/>
    <w:rsid w:val="00BC3B55"/>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FFF1D"/>
  <w15:docId w15:val="{9B93E258-850D-4BC1-B881-4D020183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252A21"/>
    <w:pPr>
      <w:keepNext/>
      <w:keepLines/>
      <w:spacing w:before="240" w:line="259" w:lineRule="auto"/>
      <w:outlineLvl w:val="0"/>
    </w:pPr>
    <w:rPr>
      <w:rFonts w:ascii="Calibri Light" w:eastAsia="SimSun" w:hAnsi="Calibri Light" w:cs="SimSun"/>
      <w:color w:val="2F5496"/>
      <w:sz w:val="32"/>
      <w:szCs w:val="32"/>
      <w:lang w:val="es-PE" w:eastAsia="en-US"/>
    </w:rPr>
  </w:style>
  <w:style w:type="paragraph" w:styleId="Ttulo2">
    <w:name w:val="heading 2"/>
    <w:basedOn w:val="Normal"/>
    <w:next w:val="Normal"/>
    <w:link w:val="Ttulo2Car"/>
    <w:uiPriority w:val="9"/>
    <w:semiHidden/>
    <w:unhideWhenUsed/>
    <w:qFormat/>
    <w:rsid w:val="00252A21"/>
    <w:pPr>
      <w:keepNext/>
      <w:spacing w:before="240" w:after="60"/>
      <w:outlineLvl w:val="1"/>
    </w:pPr>
    <w:rPr>
      <w:rFonts w:ascii="Cambria" w:hAnsi="Cambria"/>
      <w:color w:val="365F91"/>
      <w:sz w:val="26"/>
      <w:szCs w:val="26"/>
      <w:lang w:val="en-US" w:eastAsia="en-US"/>
    </w:rPr>
  </w:style>
  <w:style w:type="paragraph" w:styleId="Ttulo4">
    <w:name w:val="heading 4"/>
    <w:basedOn w:val="Normal"/>
    <w:next w:val="Normal"/>
    <w:link w:val="Ttulo4Car"/>
    <w:uiPriority w:val="9"/>
    <w:qFormat/>
    <w:rsid w:val="00252A21"/>
    <w:pPr>
      <w:keepNext/>
      <w:keepLines/>
      <w:spacing w:before="40" w:line="259" w:lineRule="auto"/>
      <w:outlineLvl w:val="3"/>
    </w:pPr>
    <w:rPr>
      <w:rFonts w:ascii="Calibri Light" w:eastAsia="SimSun" w:hAnsi="Calibri Light" w:cs="SimSun"/>
      <w:i/>
      <w:iCs/>
      <w:color w:val="2F5496"/>
      <w:sz w:val="22"/>
      <w:szCs w:val="2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character" w:customStyle="1" w:styleId="Ttulo1Car">
    <w:name w:val="Título 1 Car"/>
    <w:basedOn w:val="Fuentedeprrafopredeter"/>
    <w:link w:val="Ttulo1"/>
    <w:uiPriority w:val="9"/>
    <w:rsid w:val="00252A21"/>
    <w:rPr>
      <w:rFonts w:ascii="Calibri Light" w:eastAsia="SimSun" w:hAnsi="Calibri Light" w:cs="SimSun"/>
      <w:color w:val="2F5496"/>
      <w:sz w:val="32"/>
      <w:szCs w:val="32"/>
      <w:lang w:val="es-PE"/>
    </w:rPr>
  </w:style>
  <w:style w:type="paragraph" w:customStyle="1" w:styleId="Ttulo21">
    <w:name w:val="Título 21"/>
    <w:basedOn w:val="Normal"/>
    <w:next w:val="Normal"/>
    <w:uiPriority w:val="9"/>
    <w:semiHidden/>
    <w:unhideWhenUsed/>
    <w:qFormat/>
    <w:rsid w:val="00252A21"/>
    <w:pPr>
      <w:keepNext/>
      <w:keepLines/>
      <w:spacing w:before="40" w:line="259" w:lineRule="auto"/>
      <w:outlineLvl w:val="1"/>
    </w:pPr>
    <w:rPr>
      <w:rFonts w:ascii="Cambria" w:hAnsi="Cambria"/>
      <w:color w:val="365F91"/>
      <w:sz w:val="26"/>
      <w:szCs w:val="26"/>
      <w:lang w:val="es-PE" w:eastAsia="en-US"/>
    </w:rPr>
  </w:style>
  <w:style w:type="character" w:customStyle="1" w:styleId="Ttulo4Car">
    <w:name w:val="Título 4 Car"/>
    <w:basedOn w:val="Fuentedeprrafopredeter"/>
    <w:link w:val="Ttulo4"/>
    <w:uiPriority w:val="9"/>
    <w:rsid w:val="00252A21"/>
    <w:rPr>
      <w:rFonts w:ascii="Calibri Light" w:eastAsia="SimSun" w:hAnsi="Calibri Light" w:cs="SimSun"/>
      <w:i/>
      <w:iCs/>
      <w:color w:val="2F5496"/>
      <w:sz w:val="22"/>
      <w:szCs w:val="22"/>
      <w:lang w:val="es-PE"/>
    </w:rPr>
  </w:style>
  <w:style w:type="numbering" w:customStyle="1" w:styleId="Sinlista1">
    <w:name w:val="Sin lista1"/>
    <w:next w:val="Sinlista"/>
    <w:uiPriority w:val="99"/>
    <w:semiHidden/>
    <w:unhideWhenUsed/>
    <w:rsid w:val="00252A21"/>
  </w:style>
  <w:style w:type="paragraph" w:styleId="Prrafodelista">
    <w:name w:val="List Paragraph"/>
    <w:basedOn w:val="Normal"/>
    <w:uiPriority w:val="34"/>
    <w:qFormat/>
    <w:rsid w:val="00252A21"/>
    <w:pPr>
      <w:spacing w:after="160" w:line="259" w:lineRule="auto"/>
      <w:ind w:left="720"/>
      <w:contextualSpacing/>
    </w:pPr>
    <w:rPr>
      <w:rFonts w:ascii="Calibri" w:eastAsia="Calibri" w:hAnsi="Calibri" w:cs="SimSun"/>
      <w:sz w:val="22"/>
      <w:szCs w:val="22"/>
      <w:lang w:val="es-PE" w:eastAsia="en-US"/>
    </w:rPr>
  </w:style>
  <w:style w:type="character" w:customStyle="1" w:styleId="Mencinsinresolver1">
    <w:name w:val="Mención sin resolver1"/>
    <w:uiPriority w:val="99"/>
    <w:rsid w:val="00252A21"/>
    <w:rPr>
      <w:color w:val="605E5C"/>
      <w:shd w:val="clear" w:color="auto" w:fill="E1DFDD"/>
    </w:rPr>
  </w:style>
  <w:style w:type="character" w:styleId="Refdecomentario">
    <w:name w:val="annotation reference"/>
    <w:uiPriority w:val="99"/>
    <w:rsid w:val="00252A21"/>
    <w:rPr>
      <w:sz w:val="16"/>
      <w:szCs w:val="16"/>
    </w:rPr>
  </w:style>
  <w:style w:type="character" w:customStyle="1" w:styleId="orcid-id-https">
    <w:name w:val="orcid-id-https"/>
    <w:basedOn w:val="Fuentedeprrafopredeter"/>
    <w:rsid w:val="00252A21"/>
  </w:style>
  <w:style w:type="paragraph" w:styleId="Textocomentario">
    <w:name w:val="annotation text"/>
    <w:basedOn w:val="Normal"/>
    <w:link w:val="TextocomentarioCar"/>
    <w:uiPriority w:val="99"/>
    <w:rsid w:val="00252A21"/>
    <w:pPr>
      <w:spacing w:after="160"/>
    </w:pPr>
    <w:rPr>
      <w:rFonts w:ascii="Calibri" w:eastAsia="Calibri" w:hAnsi="Calibri" w:cs="SimSun"/>
      <w:sz w:val="20"/>
      <w:szCs w:val="20"/>
      <w:lang w:val="es-PE" w:eastAsia="en-US"/>
    </w:rPr>
  </w:style>
  <w:style w:type="character" w:customStyle="1" w:styleId="TextocomentarioCar">
    <w:name w:val="Texto comentario Car"/>
    <w:basedOn w:val="Fuentedeprrafopredeter"/>
    <w:link w:val="Textocomentario"/>
    <w:uiPriority w:val="99"/>
    <w:rsid w:val="00252A21"/>
    <w:rPr>
      <w:rFonts w:ascii="Calibri" w:eastAsia="Calibri" w:hAnsi="Calibri" w:cs="SimSun"/>
      <w:lang w:val="es-PE"/>
    </w:rPr>
  </w:style>
  <w:style w:type="table" w:customStyle="1" w:styleId="Tablaconcuadrcula1">
    <w:name w:val="Tabla con cuadrícula1"/>
    <w:basedOn w:val="Tablanormal"/>
    <w:next w:val="Tablaconcuadrcula"/>
    <w:uiPriority w:val="39"/>
    <w:rsid w:val="00252A21"/>
    <w:rPr>
      <w:rFonts w:ascii="Calibri" w:eastAsia="Calibri" w:hAnsi="Calibri" w:cs="SimSun"/>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52A21"/>
    <w:rPr>
      <w:rFonts w:ascii="Calibri" w:eastAsia="Calibri" w:hAnsi="Calibr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52A21"/>
    <w:rPr>
      <w:rFonts w:ascii="Calibri" w:eastAsia="Calibri" w:hAnsi="Calibr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252A21"/>
    <w:rPr>
      <w:rFonts w:ascii="Calibri" w:eastAsia="Calibri" w:hAnsi="Calibr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rsid w:val="00252A21"/>
    <w:pPr>
      <w:tabs>
        <w:tab w:val="left" w:pos="384"/>
      </w:tabs>
      <w:spacing w:after="240"/>
      <w:ind w:left="384" w:hanging="384"/>
    </w:pPr>
    <w:rPr>
      <w:rFonts w:ascii="Calibri" w:eastAsia="Calibri" w:hAnsi="Calibri" w:cs="SimSun"/>
      <w:sz w:val="22"/>
      <w:szCs w:val="22"/>
      <w:lang w:val="es-PE" w:eastAsia="en-US"/>
    </w:rPr>
  </w:style>
  <w:style w:type="paragraph" w:styleId="Revisin">
    <w:name w:val="Revision"/>
    <w:uiPriority w:val="99"/>
    <w:rsid w:val="00252A21"/>
    <w:rPr>
      <w:rFonts w:ascii="Calibri" w:eastAsia="Calibri" w:hAnsi="Calibri" w:cs="SimSun"/>
      <w:sz w:val="22"/>
      <w:szCs w:val="22"/>
      <w:lang w:val="es-PE"/>
    </w:rPr>
  </w:style>
  <w:style w:type="paragraph" w:styleId="Asuntodelcomentario">
    <w:name w:val="annotation subject"/>
    <w:basedOn w:val="Textocomentario"/>
    <w:next w:val="Textocomentario"/>
    <w:link w:val="AsuntodelcomentarioCar"/>
    <w:uiPriority w:val="99"/>
    <w:rsid w:val="00252A21"/>
    <w:rPr>
      <w:b/>
      <w:bCs/>
    </w:rPr>
  </w:style>
  <w:style w:type="character" w:customStyle="1" w:styleId="AsuntodelcomentarioCar">
    <w:name w:val="Asunto del comentario Car"/>
    <w:basedOn w:val="TextocomentarioCar"/>
    <w:link w:val="Asuntodelcomentario"/>
    <w:uiPriority w:val="99"/>
    <w:rsid w:val="00252A21"/>
    <w:rPr>
      <w:rFonts w:ascii="Calibri" w:eastAsia="Calibri" w:hAnsi="Calibri" w:cs="SimSun"/>
      <w:b/>
      <w:bCs/>
      <w:lang w:val="es-PE"/>
    </w:rPr>
  </w:style>
  <w:style w:type="character" w:styleId="Textoennegrita">
    <w:name w:val="Strong"/>
    <w:uiPriority w:val="22"/>
    <w:qFormat/>
    <w:rsid w:val="00252A21"/>
    <w:rPr>
      <w:b/>
      <w:bCs/>
    </w:rPr>
  </w:style>
  <w:style w:type="character" w:styleId="nfasis">
    <w:name w:val="Emphasis"/>
    <w:uiPriority w:val="20"/>
    <w:qFormat/>
    <w:rsid w:val="00252A21"/>
    <w:rPr>
      <w:i/>
      <w:iCs/>
    </w:rPr>
  </w:style>
  <w:style w:type="paragraph" w:styleId="Textoindependiente">
    <w:name w:val="Body Text"/>
    <w:basedOn w:val="Normal"/>
    <w:link w:val="TextoindependienteCar"/>
    <w:uiPriority w:val="99"/>
    <w:unhideWhenUsed/>
    <w:rsid w:val="00252A21"/>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252A21"/>
    <w:rPr>
      <w:rFonts w:ascii="Arial" w:hAnsi="Arial" w:cs="Arial"/>
      <w:sz w:val="12"/>
      <w:szCs w:val="12"/>
      <w:lang w:val="es-ES" w:eastAsia="es-ES"/>
    </w:rPr>
  </w:style>
  <w:style w:type="character" w:customStyle="1" w:styleId="Ttulo2Car">
    <w:name w:val="Título 2 Car"/>
    <w:link w:val="Ttulo2"/>
    <w:uiPriority w:val="9"/>
    <w:semiHidden/>
    <w:rsid w:val="00252A21"/>
    <w:rPr>
      <w:rFonts w:ascii="Cambria" w:eastAsia="Times New Roman" w:hAnsi="Cambria" w:cs="Times New Roman"/>
      <w:color w:val="365F91"/>
      <w:sz w:val="26"/>
      <w:szCs w:val="26"/>
    </w:rPr>
  </w:style>
  <w:style w:type="character" w:customStyle="1" w:styleId="fontstyle01">
    <w:name w:val="fontstyle01"/>
    <w:rsid w:val="00252A21"/>
    <w:rPr>
      <w:rFonts w:ascii="TTE108A4D0t00" w:hAnsi="TTE108A4D0t00" w:hint="default"/>
      <w:b w:val="0"/>
      <w:bCs w:val="0"/>
      <w:i w:val="0"/>
      <w:iCs w:val="0"/>
      <w:color w:val="000000"/>
      <w:sz w:val="24"/>
      <w:szCs w:val="24"/>
    </w:rPr>
  </w:style>
  <w:style w:type="character" w:customStyle="1" w:styleId="Mencinsinresolver2">
    <w:name w:val="Mención sin resolver2"/>
    <w:uiPriority w:val="99"/>
    <w:semiHidden/>
    <w:unhideWhenUsed/>
    <w:rsid w:val="00252A21"/>
    <w:rPr>
      <w:color w:val="605E5C"/>
      <w:shd w:val="clear" w:color="auto" w:fill="E1DFDD"/>
    </w:rPr>
  </w:style>
  <w:style w:type="character" w:customStyle="1" w:styleId="Mencinsinresolver3">
    <w:name w:val="Mención sin resolver3"/>
    <w:uiPriority w:val="99"/>
    <w:semiHidden/>
    <w:unhideWhenUsed/>
    <w:rsid w:val="00252A21"/>
    <w:rPr>
      <w:color w:val="605E5C"/>
      <w:shd w:val="clear" w:color="auto" w:fill="E1DFDD"/>
    </w:rPr>
  </w:style>
  <w:style w:type="character" w:customStyle="1" w:styleId="Mencinsinresolver4">
    <w:name w:val="Mención sin resolver4"/>
    <w:uiPriority w:val="99"/>
    <w:semiHidden/>
    <w:unhideWhenUsed/>
    <w:rsid w:val="00252A21"/>
    <w:rPr>
      <w:color w:val="605E5C"/>
      <w:shd w:val="clear" w:color="auto" w:fill="E1DFDD"/>
    </w:rPr>
  </w:style>
  <w:style w:type="character" w:customStyle="1" w:styleId="Ttulo2Car1">
    <w:name w:val="Título 2 Car1"/>
    <w:basedOn w:val="Fuentedeprrafopredeter"/>
    <w:link w:val="Ttulo2"/>
    <w:semiHidden/>
    <w:rsid w:val="00252A21"/>
    <w:rPr>
      <w:rFonts w:asciiTheme="majorHAnsi" w:eastAsiaTheme="majorEastAsia" w:hAnsiTheme="majorHAnsi" w:cstheme="majorBidi"/>
      <w:b/>
      <w:bCs/>
      <w:i/>
      <w:iCs/>
      <w:sz w:val="28"/>
      <w:szCs w:val="2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536-8293" TargetMode="External"/><Relationship Id="rId13" Type="http://schemas.openxmlformats.org/officeDocument/2006/relationships/image" Target="media/image2.jpeg"/><Relationship Id="rId18" Type="http://schemas.openxmlformats.org/officeDocument/2006/relationships/hyperlink" Target="https://apps.who.int/gb/ebwha/pdf_files/WHA59-REC1/s/Anexo2-sp.pdf" TargetMode="External"/><Relationship Id="rId26" Type="http://schemas.openxmlformats.org/officeDocument/2006/relationships/hyperlink" Target="https://www.academia.edu/18890248/Principales_Resultados_del_Diagn%C3%B3stico_situacional_de_personas_lesbianas_gays_bisexuales_transg%C3%A9nero_travestis_transexuales_intersexuales_y_queers_de_M%C3%A9xico_2015_Primera_parte" TargetMode="External"/><Relationship Id="rId3" Type="http://schemas.openxmlformats.org/officeDocument/2006/relationships/settings" Target="settings.xml"/><Relationship Id="rId21" Type="http://schemas.openxmlformats.org/officeDocument/2006/relationships/hyperlink" Target="http://iinei.inei.gob.pe/microdatos/" TargetMode="External"/><Relationship Id="rId7" Type="http://schemas.openxmlformats.org/officeDocument/2006/relationships/hyperlink" Target="https://orcid.org/0000-0002-2198-7217" TargetMode="External"/><Relationship Id="rId12" Type="http://schemas.openxmlformats.org/officeDocument/2006/relationships/image" Target="media/image1.jpeg"/><Relationship Id="rId17" Type="http://schemas.openxmlformats.org/officeDocument/2006/relationships/hyperlink" Target="https://www.paho.org/es/noticias/16-5-2013-opsoms-advierte-que-estigma-discriminacion-afectan-salud-lesbianas-gays" TargetMode="External"/><Relationship Id="rId25" Type="http://schemas.openxmlformats.org/officeDocument/2006/relationships/hyperlink" Target="http://www.revcalixto.sld.cu/index.php/ahcg/article/view/74" TargetMode="External"/><Relationship Id="rId2" Type="http://schemas.openxmlformats.org/officeDocument/2006/relationships/styles" Target="styles.xml"/><Relationship Id="rId16" Type="http://schemas.openxmlformats.org/officeDocument/2006/relationships/hyperlink" Target="https://www.paho.org/es/noticias/15-5-2015-avances-desafios-situacion-personas-lgbt-15-anos-que-homosexualidad-dejo-ser" TargetMode="External"/><Relationship Id="rId20" Type="http://schemas.openxmlformats.org/officeDocument/2006/relationships/hyperlink" Target="https://www.inei.gob.pe/media/MenuRecursivo/boletines/lgbti.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gis.org/es/site/" TargetMode="External"/><Relationship Id="rId24" Type="http://schemas.openxmlformats.org/officeDocument/2006/relationships/hyperlink" Target="https://www.isciii.es/QueHacemos/Servicios/VigilanciaSaludPublicaRENAVE/EnfermedadesTransmisibles/Documents/VIH/pdfs%20y%20protocolo/Informe%20VIH_SIDA_20201130.pdf"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pesquisa.bvsalud.org/portal/resource/pt/lil-504398" TargetMode="External"/><Relationship Id="rId28" Type="http://schemas.openxmlformats.org/officeDocument/2006/relationships/footer" Target="footer1.xml"/><Relationship Id="rId10" Type="http://schemas.openxmlformats.org/officeDocument/2006/relationships/hyperlink" Target="mailto:victor.moquillaza@uwiener.edu.pe" TargetMode="External"/><Relationship Id="rId19" Type="http://schemas.openxmlformats.org/officeDocument/2006/relationships/hyperlink" Target="https://www.scielo.br/j/reben/a/DPXpVdDJJMKkRhwbSVTXSxL/?lang=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2-0362-907X" TargetMode="External"/><Relationship Id="rId14" Type="http://schemas.openxmlformats.org/officeDocument/2006/relationships/image" Target="media/image3.png"/><Relationship Id="rId22" Type="http://schemas.openxmlformats.org/officeDocument/2006/relationships/hyperlink" Target="https://www.saludneuquen.gob.ar/wp-content/uploads/2018/11/Atencion-a-Personas-LGTBI.pdf"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7</TotalTime>
  <Pages>17</Pages>
  <Words>9272</Words>
  <Characters>52856</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62004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6</cp:revision>
  <cp:lastPrinted>2023-08-09T00:13:00Z</cp:lastPrinted>
  <dcterms:created xsi:type="dcterms:W3CDTF">2023-08-09T00:08:00Z</dcterms:created>
  <dcterms:modified xsi:type="dcterms:W3CDTF">2023-08-09T00:15:00Z</dcterms:modified>
</cp:coreProperties>
</file>