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0720E" w14:textId="77777777" w:rsidR="00252A21" w:rsidRPr="00252A21" w:rsidRDefault="00252A21" w:rsidP="00252A21">
      <w:pPr>
        <w:tabs>
          <w:tab w:val="center" w:pos="4419"/>
          <w:tab w:val="right" w:pos="8838"/>
        </w:tabs>
        <w:spacing w:line="360" w:lineRule="auto"/>
        <w:jc w:val="right"/>
        <w:rPr>
          <w:rFonts w:eastAsia="Calibri"/>
          <w:sz w:val="20"/>
          <w:szCs w:val="20"/>
          <w:lang w:val="es-PE" w:eastAsia="en-US"/>
        </w:rPr>
      </w:pPr>
      <w:r w:rsidRPr="00252A21">
        <w:rPr>
          <w:rFonts w:eastAsia="Calibri"/>
          <w:sz w:val="20"/>
          <w:szCs w:val="20"/>
          <w:lang w:val="es-PE" w:eastAsia="en-US"/>
        </w:rPr>
        <w:t>Artículo de investigación</w:t>
      </w:r>
    </w:p>
    <w:p w14:paraId="2E843930" w14:textId="77777777" w:rsidR="00252A21" w:rsidRPr="00252A21" w:rsidRDefault="00252A21" w:rsidP="00252A21">
      <w:pPr>
        <w:keepNext/>
        <w:keepLines/>
        <w:spacing w:line="360" w:lineRule="auto"/>
        <w:jc w:val="both"/>
        <w:outlineLvl w:val="0"/>
        <w:rPr>
          <w:rFonts w:eastAsia="SimSun"/>
          <w:b/>
          <w:bCs/>
          <w:lang w:val="es-PE" w:eastAsia="en-US"/>
        </w:rPr>
      </w:pPr>
    </w:p>
    <w:p w14:paraId="21929F76" w14:textId="77777777" w:rsidR="00252A21" w:rsidRPr="00252A21" w:rsidRDefault="00252A21" w:rsidP="00252A21">
      <w:pPr>
        <w:keepNext/>
        <w:keepLines/>
        <w:spacing w:line="360" w:lineRule="auto"/>
        <w:jc w:val="center"/>
        <w:outlineLvl w:val="0"/>
        <w:rPr>
          <w:rFonts w:eastAsia="SimSun"/>
          <w:b/>
          <w:bCs/>
          <w:sz w:val="28"/>
          <w:szCs w:val="28"/>
          <w:lang w:val="es-PE" w:eastAsia="en-US"/>
        </w:rPr>
      </w:pPr>
      <w:r w:rsidRPr="00252A21">
        <w:rPr>
          <w:rFonts w:eastAsia="SimSun"/>
          <w:b/>
          <w:bCs/>
          <w:sz w:val="28"/>
          <w:szCs w:val="28"/>
          <w:lang w:val="es-PE" w:eastAsia="en-US"/>
        </w:rPr>
        <w:t>Factores asociados al no uso de métodos anticonceptivos de barrera en la población LGBTI</w:t>
      </w:r>
    </w:p>
    <w:p w14:paraId="10FC2E1D" w14:textId="77777777" w:rsidR="00252A21" w:rsidRPr="00252A21" w:rsidRDefault="00252A21" w:rsidP="00252A21">
      <w:pPr>
        <w:keepNext/>
        <w:keepLines/>
        <w:spacing w:line="360" w:lineRule="auto"/>
        <w:jc w:val="center"/>
        <w:outlineLvl w:val="0"/>
        <w:rPr>
          <w:rFonts w:eastAsia="SimSun"/>
          <w:sz w:val="28"/>
          <w:szCs w:val="28"/>
          <w:lang w:val="en-US" w:eastAsia="en-US"/>
        </w:rPr>
      </w:pPr>
      <w:r w:rsidRPr="00252A21">
        <w:rPr>
          <w:rFonts w:eastAsia="SimSun"/>
          <w:sz w:val="28"/>
          <w:szCs w:val="28"/>
          <w:lang w:val="en-US" w:eastAsia="en-US"/>
        </w:rPr>
        <w:t>Factors associated with the non-use of barrier contraceptive methods in the LGBTI population</w:t>
      </w:r>
    </w:p>
    <w:p w14:paraId="3581C383" w14:textId="77777777" w:rsidR="00252A21" w:rsidRPr="00252A21" w:rsidRDefault="00252A21" w:rsidP="00252A21">
      <w:pPr>
        <w:keepNext/>
        <w:keepLines/>
        <w:spacing w:line="360" w:lineRule="auto"/>
        <w:jc w:val="both"/>
        <w:outlineLvl w:val="0"/>
        <w:rPr>
          <w:rFonts w:eastAsia="SimSun"/>
          <w:lang w:val="en-US" w:eastAsia="en-US"/>
        </w:rPr>
      </w:pPr>
    </w:p>
    <w:p w14:paraId="4E363C2D" w14:textId="77777777" w:rsidR="00252A21" w:rsidRPr="00252A21" w:rsidRDefault="00252A21" w:rsidP="00252A21">
      <w:pPr>
        <w:keepNext/>
        <w:keepLines/>
        <w:spacing w:line="360" w:lineRule="auto"/>
        <w:jc w:val="both"/>
        <w:outlineLvl w:val="0"/>
        <w:rPr>
          <w:rFonts w:eastAsia="SimSun"/>
          <w:lang w:val="es-CU" w:eastAsia="en-US"/>
        </w:rPr>
      </w:pPr>
      <w:r w:rsidRPr="00252A21">
        <w:rPr>
          <w:rFonts w:eastAsia="SimSun"/>
          <w:lang w:val="es-CU" w:eastAsia="en-US"/>
        </w:rPr>
        <w:t>Mary Carmen Guillén-Contreras</w:t>
      </w:r>
      <w:r w:rsidRPr="00252A21">
        <w:rPr>
          <w:rFonts w:eastAsia="SimSun"/>
          <w:vertAlign w:val="superscript"/>
          <w:lang w:val="es-CU" w:eastAsia="en-US"/>
        </w:rPr>
        <w:t>1</w:t>
      </w:r>
      <w:r w:rsidRPr="00252A21">
        <w:rPr>
          <w:rFonts w:eastAsia="SimSun"/>
          <w:lang w:val="es-CU" w:eastAsia="en-US"/>
        </w:rPr>
        <w:t xml:space="preserve"> </w:t>
      </w:r>
      <w:hyperlink r:id="rId7" w:history="1">
        <w:r w:rsidRPr="00252A21">
          <w:rPr>
            <w:rFonts w:eastAsia="SimSun"/>
            <w:color w:val="0563C1"/>
            <w:lang w:val="es-CU" w:eastAsia="en-US"/>
          </w:rPr>
          <w:t>https://orcid.org/0000-0002-2198-7217</w:t>
        </w:r>
      </w:hyperlink>
      <w:r w:rsidRPr="00252A21">
        <w:rPr>
          <w:rFonts w:eastAsia="SimSun"/>
          <w:lang w:val="es-CU" w:eastAsia="en-US"/>
        </w:rPr>
        <w:t xml:space="preserve"> </w:t>
      </w:r>
    </w:p>
    <w:p w14:paraId="11AF5E0C" w14:textId="77777777" w:rsidR="00252A21" w:rsidRPr="00252A21" w:rsidRDefault="00252A21" w:rsidP="00252A21">
      <w:pPr>
        <w:keepNext/>
        <w:keepLines/>
        <w:spacing w:line="360" w:lineRule="auto"/>
        <w:jc w:val="both"/>
        <w:outlineLvl w:val="0"/>
        <w:rPr>
          <w:rFonts w:eastAsia="SimSun"/>
          <w:lang w:val="es-CU" w:eastAsia="en-US"/>
        </w:rPr>
      </w:pPr>
      <w:r w:rsidRPr="00252A21">
        <w:rPr>
          <w:rFonts w:eastAsia="SimSun"/>
          <w:lang w:val="es-CU" w:eastAsia="en-US"/>
        </w:rPr>
        <w:t>Yuly Santos-Rosales</w:t>
      </w:r>
      <w:r w:rsidRPr="00252A21">
        <w:rPr>
          <w:rFonts w:eastAsia="SimSun"/>
          <w:vertAlign w:val="superscript"/>
          <w:lang w:val="es-CU" w:eastAsia="en-US"/>
        </w:rPr>
        <w:t>2</w:t>
      </w:r>
      <w:r w:rsidRPr="00252A21">
        <w:rPr>
          <w:rFonts w:eastAsia="SimSun"/>
          <w:lang w:val="es-CU" w:eastAsia="en-US"/>
        </w:rPr>
        <w:t xml:space="preserve"> </w:t>
      </w:r>
      <w:hyperlink r:id="rId8" w:history="1">
        <w:r w:rsidRPr="00252A21">
          <w:rPr>
            <w:rFonts w:eastAsia="SimSun"/>
            <w:color w:val="0563C1"/>
            <w:lang w:val="es-CU" w:eastAsia="en-US"/>
          </w:rPr>
          <w:t>https://orcid.org/0000-0002-4536-8293</w:t>
        </w:r>
      </w:hyperlink>
      <w:r w:rsidRPr="00252A21">
        <w:rPr>
          <w:rFonts w:eastAsia="SimSun"/>
          <w:lang w:val="es-CU" w:eastAsia="en-US"/>
        </w:rPr>
        <w:t xml:space="preserve"> </w:t>
      </w:r>
    </w:p>
    <w:p w14:paraId="0FB7A1B8" w14:textId="77777777" w:rsidR="00252A21" w:rsidRPr="00252A21" w:rsidRDefault="00252A21" w:rsidP="00252A21">
      <w:pPr>
        <w:keepNext/>
        <w:keepLines/>
        <w:spacing w:line="360" w:lineRule="auto"/>
        <w:jc w:val="both"/>
        <w:outlineLvl w:val="0"/>
        <w:rPr>
          <w:rFonts w:eastAsia="SimSun"/>
          <w:lang w:val="es-CU" w:eastAsia="en-US"/>
        </w:rPr>
      </w:pPr>
      <w:r w:rsidRPr="00252A21">
        <w:rPr>
          <w:rFonts w:eastAsia="SimSun"/>
          <w:lang w:val="es-CU" w:eastAsia="en-US"/>
        </w:rPr>
        <w:t>Victor Hugo Moquillaza-Alcantara</w:t>
      </w:r>
      <w:r w:rsidRPr="00252A21">
        <w:rPr>
          <w:rFonts w:eastAsia="SimSun"/>
          <w:vertAlign w:val="superscript"/>
          <w:lang w:val="es-CU" w:eastAsia="en-US"/>
        </w:rPr>
        <w:t>3</w:t>
      </w:r>
      <w:r w:rsidRPr="00252A21">
        <w:rPr>
          <w:rFonts w:eastAsia="SimSun"/>
          <w:lang w:val="es-CU" w:eastAsia="en-US"/>
        </w:rPr>
        <w:t xml:space="preserve">* </w:t>
      </w:r>
      <w:hyperlink r:id="rId9" w:history="1">
        <w:r w:rsidRPr="00252A21">
          <w:rPr>
            <w:rFonts w:eastAsia="SimSun"/>
            <w:color w:val="0563C1"/>
            <w:lang w:val="es-CU" w:eastAsia="en-US"/>
          </w:rPr>
          <w:t>https://orcid.org/0000-0002-0362-907X</w:t>
        </w:r>
      </w:hyperlink>
      <w:r w:rsidRPr="00252A21">
        <w:rPr>
          <w:rFonts w:eastAsia="SimSun"/>
          <w:lang w:val="es-CU" w:eastAsia="en-US"/>
        </w:rPr>
        <w:t xml:space="preserve"> </w:t>
      </w:r>
    </w:p>
    <w:p w14:paraId="12C3BB88" w14:textId="77777777" w:rsidR="00252A21" w:rsidRPr="00252A21" w:rsidRDefault="00252A21" w:rsidP="00252A21">
      <w:pPr>
        <w:spacing w:line="360" w:lineRule="auto"/>
        <w:rPr>
          <w:rFonts w:eastAsia="Calibri"/>
          <w:sz w:val="22"/>
          <w:szCs w:val="22"/>
          <w:lang w:val="es-CU" w:eastAsia="en-US"/>
        </w:rPr>
      </w:pPr>
    </w:p>
    <w:p w14:paraId="79FDFFE8" w14:textId="77777777" w:rsidR="00252A21" w:rsidRPr="00252A21" w:rsidRDefault="00252A21" w:rsidP="00252A21">
      <w:pPr>
        <w:spacing w:line="360" w:lineRule="auto"/>
        <w:rPr>
          <w:rFonts w:eastAsia="Calibri"/>
          <w:lang w:val="es-CU" w:eastAsia="en-US"/>
        </w:rPr>
      </w:pPr>
      <w:r w:rsidRPr="00252A21">
        <w:rPr>
          <w:rFonts w:eastAsia="Calibri"/>
          <w:vertAlign w:val="superscript"/>
          <w:lang w:val="es-CU" w:eastAsia="en-US"/>
        </w:rPr>
        <w:t>1</w:t>
      </w:r>
      <w:r w:rsidRPr="00252A21">
        <w:rPr>
          <w:rFonts w:eastAsia="Calibri"/>
          <w:lang w:val="es-CU" w:eastAsia="en-US"/>
        </w:rPr>
        <w:t>Universidad Nacional Mayor de San Marcos. Escuela Profesional de Obstetricia. Lima, Perú.</w:t>
      </w:r>
    </w:p>
    <w:p w14:paraId="204F6DA1" w14:textId="77777777" w:rsidR="00252A21" w:rsidRPr="00252A21" w:rsidRDefault="00252A21" w:rsidP="00252A21">
      <w:pPr>
        <w:spacing w:line="360" w:lineRule="auto"/>
        <w:rPr>
          <w:rFonts w:eastAsia="Calibri"/>
          <w:lang w:val="es-CU" w:eastAsia="en-US"/>
        </w:rPr>
      </w:pPr>
      <w:r w:rsidRPr="00252A21">
        <w:rPr>
          <w:rFonts w:eastAsia="Calibri"/>
          <w:vertAlign w:val="superscript"/>
          <w:lang w:val="es-CU" w:eastAsia="en-US"/>
        </w:rPr>
        <w:t>2</w:t>
      </w:r>
      <w:r w:rsidRPr="00252A21">
        <w:rPr>
          <w:rFonts w:eastAsia="Calibri"/>
          <w:lang w:val="es-CU" w:eastAsia="en-US"/>
        </w:rPr>
        <w:t>Universidad Nacional Mayor de San Marcos. Departamento Académico de Obstetricia. Lima, Perú.</w:t>
      </w:r>
    </w:p>
    <w:p w14:paraId="222D8731" w14:textId="77777777" w:rsidR="00252A21" w:rsidRPr="00252A21" w:rsidRDefault="00252A21" w:rsidP="00252A21">
      <w:pPr>
        <w:spacing w:line="360" w:lineRule="auto"/>
        <w:rPr>
          <w:rFonts w:eastAsia="Calibri"/>
          <w:lang w:val="es-CU" w:eastAsia="en-US"/>
        </w:rPr>
      </w:pPr>
      <w:r w:rsidRPr="00252A21">
        <w:rPr>
          <w:rFonts w:eastAsia="Calibri"/>
          <w:vertAlign w:val="superscript"/>
          <w:lang w:val="es-CU" w:eastAsia="en-US"/>
        </w:rPr>
        <w:t>3</w:t>
      </w:r>
      <w:r w:rsidRPr="00252A21">
        <w:rPr>
          <w:rFonts w:eastAsia="Calibri"/>
          <w:lang w:val="es-CU" w:eastAsia="en-US"/>
        </w:rPr>
        <w:t>Universidad Privada Norbert Wiener. Escuela de Posgrado. Lima, Perú.</w:t>
      </w:r>
    </w:p>
    <w:p w14:paraId="47A82423" w14:textId="77777777" w:rsidR="00252A21" w:rsidRPr="00252A21" w:rsidRDefault="00252A21" w:rsidP="00252A21">
      <w:pPr>
        <w:spacing w:line="360" w:lineRule="auto"/>
        <w:rPr>
          <w:rFonts w:eastAsia="Calibri"/>
          <w:lang w:val="es-CU" w:eastAsia="en-US"/>
        </w:rPr>
      </w:pPr>
    </w:p>
    <w:p w14:paraId="187F3B8B" w14:textId="77777777" w:rsidR="00252A21" w:rsidRPr="00252A21" w:rsidRDefault="00252A21" w:rsidP="00252A21">
      <w:pPr>
        <w:spacing w:line="360" w:lineRule="auto"/>
        <w:rPr>
          <w:rFonts w:eastAsia="Calibri"/>
          <w:lang w:val="es-CU" w:eastAsia="en-US"/>
        </w:rPr>
      </w:pPr>
      <w:r w:rsidRPr="00252A21">
        <w:rPr>
          <w:rFonts w:eastAsia="Calibri"/>
          <w:lang w:val="es-CU" w:eastAsia="en-US"/>
        </w:rPr>
        <w:t xml:space="preserve">*Autor para la correspondencia. Correo electrónico: </w:t>
      </w:r>
      <w:hyperlink r:id="rId10" w:history="1">
        <w:r w:rsidRPr="00252A21">
          <w:rPr>
            <w:rFonts w:eastAsia="Calibri"/>
            <w:color w:val="0563C1"/>
            <w:lang w:val="es-CU" w:eastAsia="en-US"/>
          </w:rPr>
          <w:t>victor.moquillaza@uwiener.edu.pe</w:t>
        </w:r>
      </w:hyperlink>
      <w:r w:rsidRPr="00252A21">
        <w:rPr>
          <w:rFonts w:eastAsia="Calibri"/>
          <w:lang w:val="es-CU" w:eastAsia="en-US"/>
        </w:rPr>
        <w:t xml:space="preserve"> </w:t>
      </w:r>
    </w:p>
    <w:p w14:paraId="641BFB64" w14:textId="77777777" w:rsidR="00252A21" w:rsidRPr="00252A21" w:rsidRDefault="00252A21" w:rsidP="00252A21">
      <w:pPr>
        <w:spacing w:line="360" w:lineRule="auto"/>
        <w:rPr>
          <w:rFonts w:eastAsia="Calibri"/>
          <w:sz w:val="22"/>
          <w:szCs w:val="22"/>
          <w:lang w:val="es-CU" w:eastAsia="en-US"/>
        </w:rPr>
      </w:pPr>
    </w:p>
    <w:p w14:paraId="20881880" w14:textId="77777777" w:rsidR="00252A21" w:rsidRPr="00252A21" w:rsidRDefault="00252A21" w:rsidP="00252A21">
      <w:pPr>
        <w:spacing w:line="360" w:lineRule="auto"/>
        <w:jc w:val="both"/>
        <w:rPr>
          <w:rFonts w:eastAsia="Calibri"/>
          <w:b/>
          <w:bCs/>
          <w:lang w:val="es-PE" w:eastAsia="en-US"/>
        </w:rPr>
      </w:pPr>
      <w:r w:rsidRPr="00252A21">
        <w:rPr>
          <w:rFonts w:eastAsia="Calibri"/>
          <w:b/>
          <w:bCs/>
          <w:lang w:val="es-PE" w:eastAsia="en-US"/>
        </w:rPr>
        <w:t>RESUMEN</w:t>
      </w:r>
    </w:p>
    <w:p w14:paraId="2020B2EE" w14:textId="77777777" w:rsidR="00252A21" w:rsidRPr="00252A21" w:rsidRDefault="00252A21" w:rsidP="00252A21">
      <w:pPr>
        <w:spacing w:line="360" w:lineRule="auto"/>
        <w:jc w:val="both"/>
        <w:rPr>
          <w:rFonts w:eastAsia="Calibri"/>
          <w:lang w:val="es-PE" w:eastAsia="en-US"/>
        </w:rPr>
      </w:pPr>
      <w:r w:rsidRPr="00252A21">
        <w:rPr>
          <w:rFonts w:eastAsia="Calibri"/>
          <w:b/>
          <w:bCs/>
          <w:lang w:val="es-PE" w:eastAsia="en-US"/>
        </w:rPr>
        <w:t xml:space="preserve">Introducción: </w:t>
      </w:r>
      <w:r w:rsidRPr="00252A21">
        <w:rPr>
          <w:rFonts w:eastAsia="Calibri"/>
          <w:lang w:val="es-PE" w:eastAsia="en-US"/>
        </w:rPr>
        <w:t xml:space="preserve">El no uso de métodos anticonceptivos de barrera en la comunidad </w:t>
      </w:r>
      <w:bookmarkStart w:id="0" w:name="_Hlk139878667"/>
      <w:r w:rsidRPr="00252A21">
        <w:rPr>
          <w:rFonts w:eastAsia="Calibri"/>
          <w:lang w:val="es-PE" w:eastAsia="en-US"/>
        </w:rPr>
        <w:t>de lesbianas, gais, transexuales, bisexuales e intersexuales</w:t>
      </w:r>
      <w:bookmarkEnd w:id="0"/>
      <w:r w:rsidRPr="00252A21">
        <w:rPr>
          <w:rFonts w:eastAsia="Calibri"/>
          <w:lang w:val="es-PE" w:eastAsia="en-US"/>
        </w:rPr>
        <w:t xml:space="preserve"> (LGBTI), favorece el contagio de infecciones de transmisión sexual; pero no se han evaluado qué características predisponen al no uso.</w:t>
      </w:r>
    </w:p>
    <w:p w14:paraId="217D126E" w14:textId="77777777" w:rsidR="00252A21" w:rsidRPr="00252A21" w:rsidRDefault="00252A21" w:rsidP="00252A21">
      <w:pPr>
        <w:spacing w:line="360" w:lineRule="auto"/>
        <w:jc w:val="both"/>
        <w:rPr>
          <w:rFonts w:eastAsia="Calibri"/>
          <w:lang w:val="es-PE" w:eastAsia="en-US"/>
        </w:rPr>
      </w:pPr>
      <w:r w:rsidRPr="00252A21">
        <w:rPr>
          <w:rFonts w:eastAsia="Calibri"/>
          <w:b/>
          <w:bCs/>
          <w:lang w:val="es-PE" w:eastAsia="en-US"/>
        </w:rPr>
        <w:t xml:space="preserve">Objetivo: </w:t>
      </w:r>
      <w:r w:rsidRPr="00252A21">
        <w:rPr>
          <w:rFonts w:eastAsia="Calibri"/>
          <w:lang w:val="es-PE" w:eastAsia="en-US"/>
        </w:rPr>
        <w:t xml:space="preserve">Identificar la proporción y factores asociados al no uso de métodos anticonceptivos de barrera en la población LGBTI peruana. </w:t>
      </w:r>
    </w:p>
    <w:p w14:paraId="5638C1C1" w14:textId="77777777" w:rsidR="00252A21" w:rsidRPr="00252A21" w:rsidRDefault="00252A21" w:rsidP="00252A21">
      <w:pPr>
        <w:spacing w:line="360" w:lineRule="auto"/>
        <w:jc w:val="both"/>
        <w:rPr>
          <w:rFonts w:eastAsia="Calibri"/>
          <w:lang w:val="es-PE" w:eastAsia="en-US"/>
        </w:rPr>
      </w:pPr>
      <w:r w:rsidRPr="00252A21">
        <w:rPr>
          <w:rFonts w:eastAsia="Calibri"/>
          <w:b/>
          <w:bCs/>
          <w:lang w:val="es-PE" w:eastAsia="en-US"/>
        </w:rPr>
        <w:t xml:space="preserve">Métodos: </w:t>
      </w:r>
      <w:r w:rsidRPr="00252A21">
        <w:rPr>
          <w:rFonts w:eastAsia="Calibri"/>
          <w:lang w:val="es-PE" w:eastAsia="en-US"/>
        </w:rPr>
        <w:t xml:space="preserve">Estudio observacional, analítico transversal en 11 987 peruanos de la comunidad de LGBTI, que completaron una encuesta virtual poblacional. El análisis bivariado se realizó mediante las pruebas </w:t>
      </w:r>
      <w:r w:rsidRPr="00252A21">
        <w:rPr>
          <w:rFonts w:eastAsia="Calibri"/>
          <w:i/>
          <w:iCs/>
          <w:lang w:val="es-PE" w:eastAsia="en-US"/>
        </w:rPr>
        <w:t>ji</w:t>
      </w:r>
      <w:r w:rsidRPr="00252A21">
        <w:rPr>
          <w:rFonts w:eastAsia="Calibri"/>
          <w:lang w:val="es-PE" w:eastAsia="en-US"/>
        </w:rPr>
        <w:t xml:space="preserve"> cuadrado de Pearson y t de Student, mientras que el análisis multivariado fue con regresión de Poisson. </w:t>
      </w:r>
    </w:p>
    <w:p w14:paraId="5A6DE101" w14:textId="77777777" w:rsidR="00252A21" w:rsidRPr="00252A21" w:rsidRDefault="00252A21" w:rsidP="00252A21">
      <w:pPr>
        <w:spacing w:line="360" w:lineRule="auto"/>
        <w:jc w:val="both"/>
        <w:rPr>
          <w:rFonts w:eastAsia="Calibri"/>
          <w:lang w:val="es-PE" w:eastAsia="en-US"/>
        </w:rPr>
      </w:pPr>
      <w:r w:rsidRPr="00252A21">
        <w:rPr>
          <w:rFonts w:eastAsia="Calibri"/>
          <w:b/>
          <w:bCs/>
          <w:lang w:val="es-PE" w:eastAsia="en-US"/>
        </w:rPr>
        <w:t>Resultados:</w:t>
      </w:r>
      <w:r w:rsidRPr="00252A21">
        <w:rPr>
          <w:rFonts w:eastAsia="Calibri"/>
          <w:lang w:val="es-PE" w:eastAsia="en-US"/>
        </w:rPr>
        <w:t xml:space="preserve"> El 36,15 % no usa anticoncepción de barrera. Son factores protectores: tener grado de instrucción secundaria (p= 0,042) y superior (p= 0,013), el desconocimiento familiar de ser persona </w:t>
      </w:r>
      <w:r w:rsidRPr="00252A21">
        <w:rPr>
          <w:rFonts w:eastAsia="Calibri"/>
          <w:lang w:val="es-PE" w:eastAsia="en-US"/>
        </w:rPr>
        <w:lastRenderedPageBreak/>
        <w:t xml:space="preserve">LGBTI (p&lt; 0,001; RPa= 0,78) y no presentar pareja sentimental (p&lt; 0,001), mientras que son factores de riesgo: la mayor edad (p= 0,001), no haber recibido información sobre prevención de infecciones de transmisión sexual o virus de inmunodeficiencia humana (p&lt; 0,001) y ser de sexo femenino (p&lt; 0,001). </w:t>
      </w:r>
    </w:p>
    <w:p w14:paraId="445DBFAD" w14:textId="77777777" w:rsidR="00252A21" w:rsidRPr="00252A21" w:rsidRDefault="00252A21" w:rsidP="00252A21">
      <w:pPr>
        <w:spacing w:line="360" w:lineRule="auto"/>
        <w:jc w:val="both"/>
        <w:rPr>
          <w:rFonts w:eastAsia="Calibri"/>
          <w:lang w:val="es-PE" w:eastAsia="en-US"/>
        </w:rPr>
      </w:pPr>
      <w:r w:rsidRPr="00252A21">
        <w:rPr>
          <w:rFonts w:eastAsia="Calibri"/>
          <w:b/>
          <w:bCs/>
          <w:lang w:val="es-PE" w:eastAsia="en-US"/>
        </w:rPr>
        <w:t>Conclusiones:</w:t>
      </w:r>
      <w:r w:rsidRPr="00252A21">
        <w:rPr>
          <w:rFonts w:eastAsia="Calibri"/>
          <w:lang w:val="es-PE" w:eastAsia="en-US"/>
        </w:rPr>
        <w:t xml:space="preserve"> Se identifican como factores de riesgo el tener mayor edad, no haber recibido información sobre prevención de infecciones de transmisión sexual o virus de inmunodeficiencia humana y presentar sexo biológico de mujer, mientras que fueron fatores protectores el contar con grado de instrucción secundaria o superior, que su familia desconozca que es parte de la comunidad de LGBTI peruana y no presentar una pareja estable.</w:t>
      </w:r>
    </w:p>
    <w:p w14:paraId="5B8F214B" w14:textId="77777777" w:rsidR="00252A21" w:rsidRPr="00252A21" w:rsidRDefault="00252A21" w:rsidP="00252A21">
      <w:pPr>
        <w:spacing w:line="360" w:lineRule="auto"/>
        <w:jc w:val="both"/>
        <w:rPr>
          <w:rFonts w:eastAsia="Calibri"/>
          <w:lang w:val="es-PE" w:eastAsia="en-US"/>
        </w:rPr>
      </w:pPr>
      <w:bookmarkStart w:id="1" w:name="_Hlk119175677"/>
      <w:r w:rsidRPr="00252A21">
        <w:rPr>
          <w:rFonts w:eastAsia="Calibri"/>
          <w:b/>
          <w:bCs/>
          <w:lang w:val="es-PE" w:eastAsia="en-US"/>
        </w:rPr>
        <w:t xml:space="preserve">Palabras clave: </w:t>
      </w:r>
      <w:r w:rsidRPr="00252A21">
        <w:rPr>
          <w:rFonts w:eastAsia="Calibri"/>
          <w:lang w:val="es-PE" w:eastAsia="en-US"/>
        </w:rPr>
        <w:t>anticonceptivos; identidad de género; minorías sexuales y de género</w:t>
      </w:r>
      <w:bookmarkEnd w:id="1"/>
      <w:r w:rsidRPr="00252A21">
        <w:rPr>
          <w:rFonts w:eastAsia="Calibri"/>
          <w:lang w:val="es-PE" w:eastAsia="en-US"/>
        </w:rPr>
        <w:t>.</w:t>
      </w:r>
    </w:p>
    <w:p w14:paraId="1CFD2519" w14:textId="77777777" w:rsidR="00252A21" w:rsidRPr="00252A21" w:rsidRDefault="00252A21" w:rsidP="00252A21">
      <w:pPr>
        <w:spacing w:line="360" w:lineRule="auto"/>
        <w:jc w:val="both"/>
        <w:rPr>
          <w:rFonts w:eastAsia="Calibri"/>
          <w:lang w:val="es-PE" w:eastAsia="en-US"/>
        </w:rPr>
      </w:pPr>
    </w:p>
    <w:p w14:paraId="3684E44F" w14:textId="77777777" w:rsidR="00252A21" w:rsidRPr="00252A21" w:rsidRDefault="00252A21" w:rsidP="00252A21">
      <w:pPr>
        <w:spacing w:line="360" w:lineRule="auto"/>
        <w:jc w:val="both"/>
        <w:rPr>
          <w:rFonts w:eastAsia="Calibri"/>
          <w:b/>
          <w:bCs/>
          <w:lang w:val="en-US" w:eastAsia="en-US"/>
        </w:rPr>
      </w:pPr>
      <w:r w:rsidRPr="00252A21">
        <w:rPr>
          <w:rFonts w:eastAsia="Calibri"/>
          <w:b/>
          <w:bCs/>
          <w:lang w:val="en-US" w:eastAsia="en-US"/>
        </w:rPr>
        <w:t>ABSTRACT</w:t>
      </w:r>
    </w:p>
    <w:p w14:paraId="23377554" w14:textId="77777777" w:rsidR="00252A21" w:rsidRPr="00252A21" w:rsidRDefault="00252A21" w:rsidP="00252A21">
      <w:pPr>
        <w:spacing w:line="360" w:lineRule="auto"/>
        <w:jc w:val="both"/>
        <w:rPr>
          <w:rFonts w:eastAsia="Calibri"/>
          <w:lang w:val="en-US" w:eastAsia="en-US"/>
        </w:rPr>
      </w:pPr>
      <w:r w:rsidRPr="00252A21">
        <w:rPr>
          <w:rFonts w:eastAsia="Calibri"/>
          <w:b/>
          <w:bCs/>
          <w:lang w:val="en-US" w:eastAsia="en-US"/>
        </w:rPr>
        <w:t xml:space="preserve">Introduction: </w:t>
      </w:r>
      <w:r w:rsidRPr="00252A21">
        <w:rPr>
          <w:rFonts w:eastAsia="Calibri"/>
          <w:lang w:val="en-US" w:eastAsia="en-US"/>
        </w:rPr>
        <w:t>The non-use of barrier contraceptive methods in the lesbian, gay, transsexual, bisexual and intersex community (LGBTI), can favor the appearance of sexually transmitted infections, however, what characteristics can predispose to avoid using them has not been evaluated.</w:t>
      </w:r>
    </w:p>
    <w:p w14:paraId="219CEE0F" w14:textId="77777777" w:rsidR="00252A21" w:rsidRPr="00252A21" w:rsidRDefault="00252A21" w:rsidP="00252A21">
      <w:pPr>
        <w:spacing w:line="360" w:lineRule="auto"/>
        <w:jc w:val="both"/>
        <w:rPr>
          <w:rFonts w:eastAsia="Calibri"/>
          <w:lang w:val="en-US" w:eastAsia="en-US"/>
        </w:rPr>
      </w:pPr>
      <w:r w:rsidRPr="00252A21">
        <w:rPr>
          <w:rFonts w:eastAsia="Calibri"/>
          <w:b/>
          <w:bCs/>
          <w:lang w:val="en-US" w:eastAsia="en-US"/>
        </w:rPr>
        <w:t>Objective:</w:t>
      </w:r>
      <w:r w:rsidRPr="00252A21">
        <w:rPr>
          <w:rFonts w:eastAsia="Calibri"/>
          <w:lang w:val="en-US" w:eastAsia="en-US"/>
        </w:rPr>
        <w:t xml:space="preserve"> To identify the proportion and factors associated with the non-use of barrier contraceptive methods in the Peruvian LGBTI population. </w:t>
      </w:r>
    </w:p>
    <w:p w14:paraId="1C65876C" w14:textId="77777777" w:rsidR="00252A21" w:rsidRPr="00252A21" w:rsidRDefault="00252A21" w:rsidP="00252A21">
      <w:pPr>
        <w:spacing w:line="360" w:lineRule="auto"/>
        <w:jc w:val="both"/>
        <w:rPr>
          <w:rFonts w:eastAsia="Calibri"/>
          <w:lang w:val="en-US" w:eastAsia="en-US"/>
        </w:rPr>
      </w:pPr>
      <w:r w:rsidRPr="00252A21">
        <w:rPr>
          <w:rFonts w:eastAsia="Calibri"/>
          <w:b/>
          <w:bCs/>
          <w:lang w:val="en-US" w:eastAsia="en-US"/>
        </w:rPr>
        <w:t>Methods:</w:t>
      </w:r>
      <w:r w:rsidRPr="00252A21">
        <w:rPr>
          <w:rFonts w:eastAsia="Calibri"/>
          <w:lang w:val="en-US" w:eastAsia="en-US"/>
        </w:rPr>
        <w:t xml:space="preserve"> Cross-sectional analytical design study with 11,987 participants, identified as part of the Peruvian LGBTI, who completed a virtual population survey. Bivariate analysis was performed using Pearson's Chi-square and Student's T tests, while multivariate analysis was performed using Poisson Regression. </w:t>
      </w:r>
    </w:p>
    <w:p w14:paraId="7E090921" w14:textId="77777777" w:rsidR="00252A21" w:rsidRPr="00252A21" w:rsidRDefault="00252A21" w:rsidP="00252A21">
      <w:pPr>
        <w:spacing w:line="360" w:lineRule="auto"/>
        <w:jc w:val="both"/>
        <w:rPr>
          <w:rFonts w:eastAsia="Calibri"/>
          <w:lang w:val="en-US" w:eastAsia="en-US"/>
        </w:rPr>
      </w:pPr>
      <w:r w:rsidRPr="00252A21">
        <w:rPr>
          <w:rFonts w:eastAsia="Calibri"/>
          <w:b/>
          <w:bCs/>
          <w:lang w:val="en-US" w:eastAsia="en-US"/>
        </w:rPr>
        <w:t>Results:</w:t>
      </w:r>
      <w:r w:rsidRPr="00252A21">
        <w:rPr>
          <w:rFonts w:eastAsia="Calibri"/>
          <w:lang w:val="en-US" w:eastAsia="en-US"/>
        </w:rPr>
        <w:t xml:space="preserve"> 36.15% do not use barrier contraception. The protective factors are: having a secondary education level (p= 0.042) and higher (p= 0.013), family ignorance of being a LGBTI person (p&lt; 0.001; RPa= 0.78) and not presenting a sentimental partner (p&lt; 0.001), while the following are risk factors: older age (p= 0.001), not having received information on the prevention of sexually transmitted infections or human immunodeficiency virus (p&lt; 0.001) and being female (p&lt; 0.001). </w:t>
      </w:r>
    </w:p>
    <w:p w14:paraId="3BB04175" w14:textId="77777777" w:rsidR="00252A21" w:rsidRPr="00252A21" w:rsidRDefault="00252A21" w:rsidP="00252A21">
      <w:pPr>
        <w:spacing w:line="360" w:lineRule="auto"/>
        <w:jc w:val="both"/>
        <w:rPr>
          <w:rFonts w:eastAsia="Calibri"/>
          <w:lang w:val="en-US" w:eastAsia="en-US"/>
        </w:rPr>
      </w:pPr>
      <w:r w:rsidRPr="00252A21">
        <w:rPr>
          <w:rFonts w:eastAsia="Calibri"/>
          <w:b/>
          <w:bCs/>
          <w:lang w:val="en-US" w:eastAsia="en-US"/>
        </w:rPr>
        <w:t>Conclusions:</w:t>
      </w:r>
      <w:r w:rsidRPr="00252A21">
        <w:rPr>
          <w:rFonts w:eastAsia="Calibri"/>
          <w:lang w:val="en-US" w:eastAsia="en-US"/>
        </w:rPr>
        <w:t xml:space="preserve"> Being older, not having received information on sexually transmitted infections or human immunodeficiency virus prevention, and having the biological sex of a woman were identified as risk </w:t>
      </w:r>
      <w:r w:rsidRPr="00252A21">
        <w:rPr>
          <w:rFonts w:eastAsia="Calibri"/>
          <w:lang w:val="en-US" w:eastAsia="en-US"/>
        </w:rPr>
        <w:lastRenderedPageBreak/>
        <w:t>factors, while having a secondary or higher level of education, that his family does not know that he is part of it, were protective factors from the LGBTI community and not presenting a stable partner.</w:t>
      </w:r>
    </w:p>
    <w:p w14:paraId="73CBF2C1" w14:textId="77777777" w:rsidR="00252A21" w:rsidRPr="00252A21" w:rsidRDefault="00252A21" w:rsidP="00252A21">
      <w:pPr>
        <w:spacing w:line="360" w:lineRule="auto"/>
        <w:jc w:val="both"/>
        <w:rPr>
          <w:rFonts w:eastAsia="Calibri"/>
          <w:lang w:val="en-US" w:eastAsia="en-US"/>
        </w:rPr>
      </w:pPr>
      <w:r w:rsidRPr="00252A21">
        <w:rPr>
          <w:rFonts w:eastAsia="Calibri"/>
          <w:b/>
          <w:bCs/>
          <w:lang w:val="en-US" w:eastAsia="en-US"/>
        </w:rPr>
        <w:t xml:space="preserve">Keywords: </w:t>
      </w:r>
      <w:r w:rsidRPr="00252A21">
        <w:rPr>
          <w:rFonts w:eastAsia="Calibri"/>
          <w:lang w:val="en-US" w:eastAsia="en-US"/>
        </w:rPr>
        <w:t>contraceptives; gender identity; sexual and gender minorities.</w:t>
      </w:r>
    </w:p>
    <w:p w14:paraId="722CBA5D" w14:textId="77777777" w:rsidR="00252A21" w:rsidRPr="00252A21" w:rsidRDefault="00252A21" w:rsidP="00252A21">
      <w:pPr>
        <w:spacing w:line="360" w:lineRule="auto"/>
        <w:jc w:val="both"/>
        <w:rPr>
          <w:rFonts w:eastAsia="Calibri"/>
          <w:lang w:val="en-US" w:eastAsia="en-US"/>
        </w:rPr>
      </w:pPr>
    </w:p>
    <w:p w14:paraId="38F6837D" w14:textId="77777777" w:rsidR="00252A21" w:rsidRPr="00252A21" w:rsidRDefault="00252A21" w:rsidP="00252A21">
      <w:pPr>
        <w:spacing w:line="360" w:lineRule="auto"/>
        <w:jc w:val="both"/>
        <w:rPr>
          <w:rFonts w:eastAsia="Calibri"/>
          <w:lang w:val="en-US" w:eastAsia="en-US"/>
        </w:rPr>
      </w:pPr>
    </w:p>
    <w:p w14:paraId="641F1612"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Recibido: 17/12/2022</w:t>
      </w:r>
    </w:p>
    <w:p w14:paraId="179E8B35"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Aprobado: 22/07/2023</w:t>
      </w:r>
    </w:p>
    <w:p w14:paraId="384F1B7D" w14:textId="77777777" w:rsidR="00252A21" w:rsidRPr="00252A21" w:rsidRDefault="00252A21" w:rsidP="00252A21">
      <w:pPr>
        <w:spacing w:line="360" w:lineRule="auto"/>
        <w:jc w:val="both"/>
        <w:rPr>
          <w:rFonts w:eastAsia="Calibri"/>
          <w:lang w:val="es-PE" w:eastAsia="en-US"/>
        </w:rPr>
      </w:pPr>
    </w:p>
    <w:p w14:paraId="4DDE5CD5" w14:textId="77777777" w:rsidR="00252A21" w:rsidRPr="00252A21" w:rsidRDefault="00252A21" w:rsidP="00252A21">
      <w:pPr>
        <w:spacing w:line="360" w:lineRule="auto"/>
        <w:jc w:val="both"/>
        <w:rPr>
          <w:rFonts w:eastAsia="Calibri"/>
          <w:lang w:val="es-PE" w:eastAsia="en-US"/>
        </w:rPr>
      </w:pPr>
    </w:p>
    <w:p w14:paraId="669C29B9" w14:textId="77777777" w:rsidR="00252A21" w:rsidRPr="00252A21" w:rsidRDefault="00252A21" w:rsidP="00252A21">
      <w:pPr>
        <w:spacing w:line="360" w:lineRule="auto"/>
        <w:jc w:val="center"/>
        <w:rPr>
          <w:rFonts w:eastAsia="Calibri"/>
          <w:b/>
          <w:bCs/>
          <w:sz w:val="32"/>
          <w:szCs w:val="32"/>
          <w:lang w:val="es-PE" w:eastAsia="en-US"/>
        </w:rPr>
      </w:pPr>
      <w:r w:rsidRPr="00252A21">
        <w:rPr>
          <w:rFonts w:eastAsia="Calibri"/>
          <w:b/>
          <w:bCs/>
          <w:sz w:val="32"/>
          <w:szCs w:val="32"/>
          <w:lang w:val="es-PE" w:eastAsia="en-US"/>
        </w:rPr>
        <w:t>INTRODUCCIÓN</w:t>
      </w:r>
    </w:p>
    <w:p w14:paraId="0FF98FF4" w14:textId="77777777" w:rsidR="00252A21" w:rsidRPr="00252A21" w:rsidRDefault="00252A21" w:rsidP="00252A21">
      <w:pPr>
        <w:spacing w:line="360" w:lineRule="auto"/>
        <w:jc w:val="both"/>
        <w:rPr>
          <w:rFonts w:eastAsia="Calibri"/>
          <w:lang w:val="es-PE" w:eastAsia="en-US"/>
        </w:rPr>
      </w:pPr>
      <w:bookmarkStart w:id="2" w:name="_Hlk133678440"/>
      <w:r w:rsidRPr="00252A21">
        <w:rPr>
          <w:rFonts w:eastAsia="Calibri"/>
          <w:lang w:val="es-PE" w:eastAsia="en-US"/>
        </w:rPr>
        <w:t>La población de lesbianas, gais, bisexuales, trans e intersexuales (LGBTI) presenta diversas necesidades no satisfechas que, vinculadas a la discriminación de la cual son víctimas,</w:t>
      </w:r>
      <w:r w:rsidRPr="00252A21">
        <w:rPr>
          <w:rFonts w:eastAsia="Calibri"/>
          <w:vertAlign w:val="superscript"/>
          <w:lang w:val="es-PE" w:eastAsia="en-US"/>
        </w:rPr>
        <w:t>(1)</w:t>
      </w:r>
      <w:r w:rsidRPr="00252A21">
        <w:rPr>
          <w:rFonts w:eastAsia="Calibri"/>
          <w:lang w:val="es-PE" w:eastAsia="en-US"/>
        </w:rPr>
        <w:t xml:space="preserve"> ha favorecido que presenten mayor tasa de infección por el virus de inmunodeficiencia humana (VIH).</w:t>
      </w:r>
      <w:r w:rsidRPr="00252A21">
        <w:rPr>
          <w:rFonts w:eastAsia="Calibri"/>
          <w:vertAlign w:val="superscript"/>
          <w:lang w:val="es-PE" w:eastAsia="en-US"/>
        </w:rPr>
        <w:t>(2)</w:t>
      </w:r>
      <w:r w:rsidRPr="00252A21">
        <w:rPr>
          <w:rFonts w:eastAsia="Calibri"/>
          <w:lang w:val="es-PE" w:eastAsia="en-US"/>
        </w:rPr>
        <w:t xml:space="preserve"> La prevalencia de infección por VIH en hombres que tienen sexo con hombres y mujeres transexuales es 15 y 20 veces mayor respectivamente, que la población general y se incrementa en muchos países.</w:t>
      </w:r>
      <w:r w:rsidRPr="00252A21">
        <w:rPr>
          <w:rFonts w:eastAsia="Calibri"/>
          <w:vertAlign w:val="superscript"/>
          <w:lang w:val="es-PE" w:eastAsia="en-US"/>
        </w:rPr>
        <w:t>(3,4,5)</w:t>
      </w:r>
      <w:r w:rsidRPr="00252A21">
        <w:rPr>
          <w:rFonts w:eastAsia="Calibri"/>
          <w:lang w:val="es-PE" w:eastAsia="en-US"/>
        </w:rPr>
        <w:t xml:space="preserve"> En gran medida esta problemática obedece a la falta de competencias del sistema de salud para abordar las disparidades en esta población vulnerable.</w:t>
      </w:r>
      <w:r w:rsidRPr="00252A21">
        <w:rPr>
          <w:rFonts w:eastAsia="Calibri"/>
          <w:vertAlign w:val="superscript"/>
          <w:lang w:val="es-PE" w:eastAsia="en-US"/>
        </w:rPr>
        <w:t>(6)</w:t>
      </w:r>
    </w:p>
    <w:p w14:paraId="74142CC6"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La principal vía de transmisión del VIH en esta población son las relaciones sexuales sin uso de métodos anticonceptivos de barrera, pese a que sigue siendo la mejor herramienta de prevención.</w:t>
      </w:r>
      <w:r w:rsidRPr="00252A21">
        <w:rPr>
          <w:rFonts w:eastAsia="Calibri"/>
          <w:vertAlign w:val="superscript"/>
          <w:lang w:val="es-PE" w:eastAsia="en-US"/>
        </w:rPr>
        <w:t>(7,8)</w:t>
      </w:r>
      <w:r w:rsidRPr="00252A21">
        <w:rPr>
          <w:rFonts w:eastAsia="Calibri"/>
          <w:lang w:val="es-PE" w:eastAsia="en-US"/>
        </w:rPr>
        <w:t xml:space="preserve"> Entre los determinantes asociados al no uso del método anticonceptivo se reporta el consumo de alcohol previo al coito,</w:t>
      </w:r>
      <w:r w:rsidRPr="00252A21">
        <w:rPr>
          <w:rFonts w:eastAsia="Calibri"/>
          <w:vertAlign w:val="superscript"/>
          <w:lang w:val="es-PE" w:eastAsia="en-US"/>
        </w:rPr>
        <w:t>(9)</w:t>
      </w:r>
      <w:r w:rsidRPr="00252A21">
        <w:rPr>
          <w:rFonts w:eastAsia="Calibri"/>
          <w:lang w:val="es-PE" w:eastAsia="en-US"/>
        </w:rPr>
        <w:t xml:space="preserve"> la molestia al utilizar preservativos,</w:t>
      </w:r>
      <w:r w:rsidRPr="00252A21">
        <w:rPr>
          <w:rFonts w:eastAsia="Calibri"/>
          <w:vertAlign w:val="superscript"/>
          <w:lang w:val="es-PE" w:eastAsia="en-US"/>
        </w:rPr>
        <w:t>(10)</w:t>
      </w:r>
      <w:r w:rsidRPr="00252A21">
        <w:rPr>
          <w:rFonts w:eastAsia="Calibri"/>
          <w:lang w:val="es-PE" w:eastAsia="en-US"/>
        </w:rPr>
        <w:t xml:space="preserve"> la ausencia de profesionales con formación y sensibilización en la temática LGTBI,</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mG8ZkKn8","properties":{"formattedCitation":"(9)","plainCitation":"(9)","noteIndex":0},"citationItems":[{"id":494,"uris":["http://zotero.org/users/local/EDRS0uWj/items/F9E27ZT8"],"uri":["http://zotero.org/users/local/EDRS0uWj/items/F9E27ZT8"],"itemData":{"id":494,"type":"article-journal","abstract":"OBJECTIVE: to describe and analyze the scientific production on health care for Lesbians, Gays, Bisexuals, Transvestites, Transsexuals, Transgenders, Intersex (LGBTI+) and other variations of gender or sexual orientation living in Nursing Homes (NHs).\nMETHODS: a scoping review, in which PubMed, Web of Science, Scopus and Virtual Health Library databases were analyzed and studies from other sources were added. After assessment by two independent reviewers, 19 publications were selected to compose the sample.\nRESULTS: the studies were grouped into two categories.\nFINAL CONSIDERATIONS: NHs are configured as spaces that are not very inclusive, where LGBTI+ elders' demands are not considered due to the cis-heteronormativity in force in these places. Training and awareness of health professionals on the LGBTI+ theme is a tool that can make such spaces more inclusive for this population.","container-title":"Revista Brasileira De Enfermagem","DOI":"10.1590/0034-7167-2020-0403","ISSN":"1984-0446","issue":"Suppl 2","journalAbbreviation":"Rev Bras Enferm","language":"eng, por","note":"PMID: 33759943","page":"e20200403","source":"PubMed","title":"Health care for LGBTI+ elders living in Nursing Homes","volume":"74Suppl 2","author":[{"family":"Silva Junior","given":"Jumar Reis","dropping-particle":"da"},{"family":"França","given":"Letícia Diniz"},{"family":"Rosa","given":"Anderson"},{"family":"Neves","given":"Vanessa Ribeiro"},{"family":"Siqueira","given":"Lucíola D'Emery"}],"issued":{"date-parts":[["2021"]]}}}],"schema":"https://github.com/citation-style-language/schema/raw/master/csl-citation.json"}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(11)</w:t>
      </w:r>
      <w:r w:rsidRPr="00252A21">
        <w:rPr>
          <w:rFonts w:eastAsia="Calibri"/>
          <w:vertAlign w:val="superscript"/>
          <w:lang w:val="es-PE" w:eastAsia="en-US"/>
        </w:rPr>
        <w:fldChar w:fldCharType="end"/>
      </w:r>
      <w:r w:rsidRPr="00252A21">
        <w:rPr>
          <w:rFonts w:eastAsia="Calibri"/>
          <w:lang w:val="es-PE" w:eastAsia="en-US"/>
        </w:rPr>
        <w:t xml:space="preserve"> la ausencia de una educación sexual integral e inclusiva</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xYgv5jKl","properties":{"formattedCitation":"(10)","plainCitation":"(10)","noteIndex":0},"citationItems":[{"id":492,"uris":["http://zotero.org/users/local/EDRS0uWj/items/QD6IL6D9"],"uri":["http://zotero.org/users/local/EDRS0uWj/items/QD6IL6D9"],"itemData":{"id":492,"type":"article-journal","abstract":"OBJECTIVES: To critically appraise and synthesise the evidence in relation to both the receipt and delivery of LGBTI+ (Lesbian, Gay, Bisexual, Transgender, Intersex) inclusive sexual health education.\nDESIGN: A systematic review and narrative synthesis.\nDATA SOURCES: A systematic search of three online databases (EMBASE, PsychINFO and SocINDEX) from January 1990 to May 2021 was conducted.\nELIGIBILITY CRITERIA: Studies included were (1) peer-reviewed; (2) English; (3) quantitative, qualitative and mixed methods; that evaluated (4) inclusive sexual health in an educational or online setting and (5) focused on training or educating. Studies were excluded if (1) the population was not LGBTI+ inclusive; (2) the studies did not focus on original data or (3) the study was not available in full text.\nDATA EXTRACTION AND SYNTHESIS: The studies that met the inclusion criteria were assessed using the Critical Appraisal Skills Programme tool. A narrative synthesis was then completed employing content analysis focusing on the results section of each article.\nRESULTS: Of the 5656 records retrieved, 24 studies met the inclusion criteria. The majority of studies noted that both LGBTI+ youth and those who facilitate sexual health education are turning to online sources of information. Current sexual health education programmes operate mainly from a heterosexual perspective, creating a sense of exclusion for LGBTI+ youth. This is compounded by a lack of training, or provision of an inclusive curricula, resulting in facilitators feeling ill equipped or inhibited by their personal biases.\nCONCLUSIONS: LGBTI+ youth are not experiencing inclusive and comprehensive sexual health education. In parallel, educators report poor access to information, training and resources remain the primary reasons. There is a need to standardise sexual health curricula, making them LGBTI+ inclusive and incorporate holistic aspects of health such as pleasure and healthy relationships. Online approaches should be considered in the future, as they represent equality of access for both sexual health education professionals and LGBTI+ youth alike.","container-title":"BMJ open","DOI":"10.1136/bmjopen-2020-047856","ISSN":"2044-6055","issue":"9","journalAbbreviation":"BMJ Open","language":"eng","note":"PMID: 34475162\nPMCID: PMC8413959","page":"e047856","source":"PubMed","title":"Examining LGBTI+ inclusive sexual health education from the perspective of both youth and facilitators: a systematic review","title-short":"Examining LGBTI+ inclusive sexual health education from the perspective of both youth and facilitators","volume":"11","author":[{"family":"O'Farrell","given":"Muire"},{"family":"Corcoran","given":"Phil"},{"family":"Davoren","given":"Martin P."}],"issued":{"date-parts":[["2021",9,2]]}}}],"schema":"https://github.com/citation-style-language/schema/raw/master/csl-citation.json"}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(12)</w:t>
      </w:r>
      <w:r w:rsidRPr="00252A21">
        <w:rPr>
          <w:rFonts w:eastAsia="Calibri"/>
          <w:vertAlign w:val="superscript"/>
          <w:lang w:val="es-PE" w:eastAsia="en-US"/>
        </w:rPr>
        <w:fldChar w:fldCharType="end"/>
      </w:r>
      <w:r w:rsidRPr="00252A21">
        <w:rPr>
          <w:rFonts w:eastAsia="Calibri"/>
          <w:lang w:val="es-PE" w:eastAsia="en-US"/>
        </w:rPr>
        <w:t xml:space="preserve"> y las limitaciones para acceder al sistema de salud.</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nXUtJ53H","properties":{"formattedCitation":"(11)","plainCitation":"(11)","noteIndex":0},"citationItems":[{"id":497,"uris":["http://zotero.org/users/local/EDRS0uWj/items/4UFZ4YCQ"],"uri":["http://zotero.org/users/local/EDRS0uWj/items/4UFZ4YCQ"],"itemData":{"id":497,"type":"article-journal","abstract":"AIM: Our objective was to explore the difficulties experienced by transgender people in accessing primary health-care services and their expectations towards primary care providers to improve their health-care access.\nBACKGROUND: Because transgender people are exposed to many discriminations, their health-care access is particularly poor. Guidelines recommend greater involvement of primary care providers in the processes because of the accessibility feature of primary care services.\nMETHODS: A qualitative study using semi-directed interviews was conducted among 27 transgender people (February 2018 - August 2018). These voluntary participants were recruited through different means: local trans or LGBTI (lesbian, gay, bisexual, trans, and/or intersex) associations, primary care providers, and social networks. The data analysis was based on reflexive thematic analysis in an inductive approach.\nFINDINGS: Difficulties in accessing health-care occurred at all the levels of the primary health-care system: primary care providers - transgender people interaction, access to the primary care team facility (starting with the secretariat), access to secondary care specialists, and continuity of care. Transgender people report ill-adapted health-care services as a result of gender-based identification in health-care settings. Their main expectation was depsychiatrization and self-determination. They supported mixed health network comprising primary care providers and transgender people with a coordinating role for the general practitioner. These expectations should be priorities to consider in our primary health-care system to improve access to health-care for transgender people.","container-title":"Primary Health Care Research &amp; Development","DOI":"10.1017/S1463423620000638","ISSN":"1477-1128","journalAbbreviation":"Prim Health Care Res Dev","language":"eng","note":"PMID: 33323162\nPMCID: PMC7801925","page":"e62","source":"PubMed","title":"The expectations of transgender people in the face of their health-care access difficulties and how they can be overcome. A qualitative study in France","volume":"21","author":[{"family":"Allory","given":"Emmanuel"},{"family":"Duval","given":"Ellie"},{"family":"Caroff","given":"Marion"},{"family":"Kendir","given":"Candan"},{"family":"Magnan","given":"Raphaël"},{"family":"Brau","given":"Bernard"},{"family":"Lapadu-Hargue","given":"Elinore"},{"family":"Chhor","given":"Sidonie"}],"issued":{"date-parts":[["2020",12,16]]}}}],"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(13)</w:t>
      </w:r>
      <w:r w:rsidRPr="00252A21">
        <w:rPr>
          <w:rFonts w:eastAsia="Calibri"/>
          <w:vertAlign w:val="superscript"/>
          <w:lang w:val="es-PE" w:eastAsia="en-US"/>
        </w:rPr>
        <w:fldChar w:fldCharType="end"/>
      </w:r>
      <w:r w:rsidRPr="00252A21">
        <w:rPr>
          <w:rFonts w:eastAsia="Calibri"/>
          <w:lang w:val="es-PE" w:eastAsia="en-US"/>
        </w:rPr>
        <w:t xml:space="preserve"> A pesar de la evidencia disponible, el conocimiento de los determinantes aún es escaso y no permiten enfocar adecuadamente los programas de lucha contra el VIH y las infecciones de transmisión sexual (ITS).</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he58fikq","properties":{"formattedCitation":"(12,13)","plainCitation":"(12,13)","noteIndex":0},"citationItems":[{"id":476,"uris":["http://zotero.org/users/local/EDRS0uWj/items/8P4UADFC"],"uri":["http://zotero.org/users/local/EDRS0uWj/items/8P4UADFC"],"itemData":{"id":476,"type":"article-journal","container-title":"Enfermería Global","DOI":"10.6018/eglobal.16.2.245451","ISSN":"1695-6141","issue":"46","page":"50-93","source":"SciELO","title":"Factores asociados con el uso del preservativo entre hombres jóvenes que tienen sexo con hombres","volume":"16","author":[{"family":"Fonte","given":"Vinícius Rodrigues Fernandes","non-dropping-particle":"da","dropping-particle":"da"},{"family":"Pinheiro","given":"Carina D’Onofrio Prince"},{"family":"Barcelos","given":"Nathália de Souza"},{"family":"Costa","given":"Cristiane Maria Amorim"},{"family":"Ribeiro","given":"Francisco Marcio Tadeu"},{"family":"Spindola","given":"Thelma"}],"issued":{"date-parts":[["2017"]]}}},{"id":500,"uris":["http://zotero.org/users/local/EDRS0uWj/items/QDYKHJSV"],"uri":["http://zotero.org/users/local/EDRS0uWj/items/QDYKHJSV"],"itemData":{"id":500,"type":"article-journal","abstract":"BACKGROUND: Lesbian, gay, bisexual, trans and intersex (LGBTI) people experience significant health inequalities. Located within a European Commission funded pilot project, this paper presents a review of the health inequalities faced by LGBTI people and the barriers health professionals encounter when providing care.\nMETHODS: A narrative synthesis of 57 papers including systematic reviews, narrative reviews, meta-analyses and primary research. Literature was searched in Cochrane, Campbell Collaboration, Web of Science, CINAHL, PsychINFO and Medline. The review was undertaken to promote understanding of the causes and range of inequalities, as well as how to reduce inequalities.\nRESULTS: LGBTI people are more likely to experience health inequalities due to heteronormativity or heterosexism, minority stress, experiences of victimization and discrimination, compounded by stigma. Inequalities pertaining to LGBTI health(care) vary depending on gender, age, income and disability as well as between LGBTI groupings. Gaps in the literature remain around how these factors intersect to influence health, with further large-scale research needed particularly regarding trans and intersex people.\nCONCLUSION: Health inequalities can be addressed via changes in policy, research and in practice through health services that accommodate the needs of LGBTI people. With improved training to address gaps in their knowledge of LGBTI health and healthcare, health professionals should work in collaboration with LGBTI people to address a range of barriers that prevent access to care. Through structural change combined with increased knowledge and understanding, services can potentially become more inclusive and equally accessible to all.","container-title":"European Journal of Public Health","DOI":"10.1093/eurpub/cky226","ISSN":"1464-360X","issue":"5","journalAbbreviation":"Eur J Public Health","language":"eng","note":"PMID: 30380045\nPMCID: PMC6761838","page":"974-980","source":"PubMed","title":"A review of lesbian, gay, bisexual, trans and intersex (LGBTI) health and healthcare inequalities","volume":"29","author":[{"family":"Zeeman","given":"Laetitia"},{"family":"Sherriff","given":"Nigel"},{"family":"Browne","given":"Kath"},{"family":"McGlynn","given":"Nick"},{"family":"Mirandola","given":"Massimo"},{"family":"Gios","given":"Lorenzo"},{"family":"Davis","given":"Ruth"},{"family":"Sanchez-Lambert","given":"Juliette"},{"family":"Aujean","given":"Sophie"},{"family":"Pinto","given":"Nuno"},{"family":"Farinella","given":"Francesco"},{"family":"Donisi","given":"Valeria"},{"family":"Niedźwiedzka-Stadnik","given":"Marta"},{"family":"Rosińska","given":"Magdalena"},{"family":"Pierson","given":"Anne"},{"family":"Amaddeo","given":"Francesco"},{"literal":"Health4LGBTI Network"}],"issued":{"date-parts":[["2019",10,1]]}}}],"schema":"https://github.com/citation-style-language/schema/raw/master/csl-citation.json"}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(14,15)</w:t>
      </w:r>
      <w:r w:rsidRPr="00252A21">
        <w:rPr>
          <w:rFonts w:eastAsia="Calibri"/>
          <w:vertAlign w:val="superscript"/>
          <w:lang w:val="es-PE" w:eastAsia="en-US"/>
        </w:rPr>
        <w:fldChar w:fldCharType="end"/>
      </w:r>
    </w:p>
    <w:p w14:paraId="45069D6B"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 xml:space="preserve">El presente manuscrito se propone identificar explícitamente los patrones de las características de quienes no utilizan los métodos de barrera, quienes representan a subgrupos con alto riesgo de una infección por VIH. Por otro lado, se espera que esta evidencia permita el desarrollo de planes de mejora focalizados, </w:t>
      </w:r>
      <w:r w:rsidRPr="00252A21">
        <w:rPr>
          <w:rFonts w:eastAsia="Calibri"/>
          <w:lang w:val="es-PE" w:eastAsia="en-US"/>
        </w:rPr>
        <w:lastRenderedPageBreak/>
        <w:t>encaminadas a los objetivos de desarrollo sostenible, de reducir las desigualdades, inclusión social y otros, independientes de la condición LGBTI; en base a tratar los cambios en la política nacional y su práctica desde los servicios de salud.</w:t>
      </w:r>
      <w:r w:rsidRPr="00252A21">
        <w:rPr>
          <w:rFonts w:eastAsia="Calibri"/>
          <w:vertAlign w:val="superscript"/>
          <w:lang w:val="es-PE" w:eastAsia="en-US"/>
        </w:rPr>
        <w:t>(15)</w:t>
      </w:r>
    </w:p>
    <w:p w14:paraId="29D1E485"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El objetivo del presente estudio es identificar la proporción y factores asociados al no uso métodos anticonceptivos de barrera en la población LGBTI peruana.</w:t>
      </w:r>
    </w:p>
    <w:bookmarkEnd w:id="2"/>
    <w:p w14:paraId="74388334" w14:textId="77777777" w:rsidR="00252A21" w:rsidRPr="00252A21" w:rsidRDefault="00252A21" w:rsidP="00252A21">
      <w:pPr>
        <w:spacing w:line="360" w:lineRule="auto"/>
        <w:jc w:val="both"/>
        <w:rPr>
          <w:rFonts w:eastAsia="Calibri"/>
          <w:lang w:val="es-PE" w:eastAsia="en-US"/>
        </w:rPr>
      </w:pPr>
    </w:p>
    <w:p w14:paraId="370E4745" w14:textId="77777777" w:rsidR="00252A21" w:rsidRPr="00252A21" w:rsidRDefault="00252A21" w:rsidP="00252A21">
      <w:pPr>
        <w:spacing w:line="360" w:lineRule="auto"/>
        <w:jc w:val="both"/>
        <w:rPr>
          <w:rFonts w:eastAsia="Calibri"/>
          <w:lang w:val="es-PE" w:eastAsia="en-US"/>
        </w:rPr>
      </w:pPr>
    </w:p>
    <w:p w14:paraId="39D0F2C4" w14:textId="77777777" w:rsidR="00252A21" w:rsidRPr="00252A21" w:rsidRDefault="00252A21" w:rsidP="00252A21">
      <w:pPr>
        <w:spacing w:line="360" w:lineRule="auto"/>
        <w:jc w:val="center"/>
        <w:rPr>
          <w:rFonts w:eastAsia="Calibri"/>
          <w:b/>
          <w:bCs/>
          <w:sz w:val="32"/>
          <w:szCs w:val="32"/>
          <w:lang w:val="es-PE" w:eastAsia="en-US"/>
        </w:rPr>
      </w:pPr>
      <w:r w:rsidRPr="00252A21">
        <w:rPr>
          <w:rFonts w:eastAsia="Calibri"/>
          <w:b/>
          <w:bCs/>
          <w:sz w:val="32"/>
          <w:szCs w:val="32"/>
          <w:lang w:val="es-PE" w:eastAsia="en-US"/>
        </w:rPr>
        <w:t>MÉTODOS</w:t>
      </w:r>
    </w:p>
    <w:p w14:paraId="1FFE14BC" w14:textId="77777777" w:rsidR="00252A21" w:rsidRPr="00252A21" w:rsidRDefault="00252A21" w:rsidP="00252A21">
      <w:pPr>
        <w:spacing w:line="360" w:lineRule="auto"/>
        <w:jc w:val="center"/>
        <w:rPr>
          <w:rFonts w:eastAsia="Calibri"/>
          <w:b/>
          <w:bCs/>
          <w:sz w:val="28"/>
          <w:szCs w:val="28"/>
          <w:lang w:val="es-PE" w:eastAsia="en-US"/>
        </w:rPr>
      </w:pPr>
      <w:r w:rsidRPr="00252A21">
        <w:rPr>
          <w:rFonts w:eastAsia="Calibri"/>
          <w:b/>
          <w:bCs/>
          <w:sz w:val="28"/>
          <w:szCs w:val="28"/>
          <w:lang w:val="es-PE" w:eastAsia="en-US"/>
        </w:rPr>
        <w:t>Diseño</w:t>
      </w:r>
    </w:p>
    <w:p w14:paraId="716E275E"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Estudio de diseño observacional, trasversal, de base secundaria: “Primera encuesta virtual para personas LGBTI en el Perú, 2017”</w:t>
      </w:r>
      <w:bookmarkStart w:id="3" w:name="_Hlk86946976"/>
      <w:r w:rsidRPr="00252A21">
        <w:rPr>
          <w:rFonts w:eastAsia="Calibri"/>
          <w:lang w:val="es-PE" w:eastAsia="en-US"/>
        </w:rPr>
        <w:t>, ejecutado por el Instituto Nacional de Estadística e Informática</w:t>
      </w:r>
      <w:bookmarkEnd w:id="3"/>
      <w:r w:rsidRPr="00252A21">
        <w:rPr>
          <w:rFonts w:eastAsia="Calibri"/>
          <w:lang w:val="es-PE" w:eastAsia="en-US"/>
        </w:rPr>
        <w:t xml:space="preserve"> del Perú (INEI). Esta base de datos cuenta con un solo módulo (código 1287); tiene como población a las personas adultas (</w:t>
      </w:r>
      <w:r w:rsidRPr="00252A21">
        <w:rPr>
          <w:rFonts w:eastAsia="Calibri"/>
          <w:u w:val="single"/>
          <w:lang w:val="es-PE" w:eastAsia="en-US"/>
        </w:rPr>
        <w:t>&gt; </w:t>
      </w:r>
      <w:r w:rsidRPr="00252A21">
        <w:rPr>
          <w:rFonts w:eastAsia="Calibri"/>
          <w:lang w:val="es-PE" w:eastAsia="en-US"/>
        </w:rPr>
        <w:t>18 años) residentes en el Perú, que se identifican como parte de la comunidad LGTBI o que, sin identificarse con dichas categorías, tienen una identidad de género no adscrita a las definiciones binarias.</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ndHg4HIA","properties":{"formattedCitation":"(14)","plainCitation":"(14)","noteIndex":0},"citationItems":[{"id":503,"uris":["http://zotero.org/users/local/EDRS0uWj/items/7CY5YPPH"],"uri":["http://zotero.org/users/local/EDRS0uWj/items/7CY5YPPH"],"itemData":{"id":503,"type":"article","publisher":"Dirección Técnica de Demografía e Indicadores Sociales","title":"Ficha técnica: Primera encuesta virtual para personas LGTBI en el Perú, 2017","URL":"http://iinei.inei.gob.pe/iinei/srienaho/Descarga/FichaTecnica/602-Ficha.pdf","author":[{"family":"Instituto Nacional de Estadística e Informática","given":""}],"issued":{"date-parts":[["2017",5]]}}}],"schema":"https://github.com/citation-style-language/schema/raw/master/csl-citation.json"}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(16)</w:t>
      </w:r>
      <w:r w:rsidRPr="00252A21">
        <w:rPr>
          <w:rFonts w:eastAsia="Calibri"/>
          <w:vertAlign w:val="superscript"/>
          <w:lang w:val="es-PE" w:eastAsia="en-US"/>
        </w:rPr>
        <w:fldChar w:fldCharType="end"/>
      </w:r>
    </w:p>
    <w:p w14:paraId="29E92E65" w14:textId="77777777" w:rsidR="00252A21" w:rsidRPr="00252A21" w:rsidRDefault="00252A21" w:rsidP="00252A21">
      <w:pPr>
        <w:spacing w:line="360" w:lineRule="auto"/>
        <w:jc w:val="center"/>
        <w:rPr>
          <w:rFonts w:eastAsia="Calibri"/>
          <w:b/>
          <w:bCs/>
          <w:sz w:val="28"/>
          <w:szCs w:val="28"/>
          <w:lang w:val="es-PE" w:eastAsia="en-US"/>
        </w:rPr>
      </w:pPr>
      <w:r w:rsidRPr="00252A21">
        <w:rPr>
          <w:rFonts w:eastAsia="Calibri"/>
          <w:b/>
          <w:bCs/>
          <w:sz w:val="28"/>
          <w:szCs w:val="28"/>
          <w:lang w:val="es-PE" w:eastAsia="en-US"/>
        </w:rPr>
        <w:t>Sujetos</w:t>
      </w:r>
    </w:p>
    <w:p w14:paraId="71A5AC3C"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En la encuesta participaron 12 026 personas de los 24 departamentos del Perú y la provincia constitucional del Callao, durante mayo a agosto del 2017. Se excluyeron a quienes no especificaron si utilizaban o no métodos anticonceptivos, y por lo tanto, no se presentaba la información completa; se alcanzó un total de 11 987 registros completos (Fig. 1). Se optó por analizar la totalidad de la base de datos, a fin de no reducir el poder estadístico. La encuesta muestra un carácter exploratorio, no probabilístico, debido a que no se dispone de información previa sobre el tamaño de la población.</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MYFQyyrw","properties":{"formattedCitation":"(14)","plainCitation":"(14)","noteIndex":0},"citationItems":[{"id":503,"uris":["http://zotero.org/users/local/EDRS0uWj/items/7CY5YPPH"],"uri":["http://zotero.org/users/local/EDRS0uWj/items/7CY5YPPH"],"itemData":{"id":503,"type":"article","publisher":"Dirección Técnica de Demografía e Indicadores Sociales","title":"Ficha técnica: Primera encuesta virtual para personas LGTBI en el Perú, 2017","URL":"http://iinei.inei.gob.pe/iinei/srienaho/Descarga/FichaTecnica/602-Ficha.pdf","author":[{"family":"Instituto Nacional de Estadística e Informática","given":""}],"issued":{"date-parts":[["2017",5]]}}}],"schema":"https://github.com/citation-style-language/schema/raw/master/csl-citation.json"}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(16)</w:t>
      </w:r>
      <w:r w:rsidRPr="00252A21">
        <w:rPr>
          <w:rFonts w:eastAsia="Calibri"/>
          <w:vertAlign w:val="superscript"/>
          <w:lang w:val="es-PE" w:eastAsia="en-US"/>
        </w:rPr>
        <w:fldChar w:fldCharType="end"/>
      </w:r>
    </w:p>
    <w:p w14:paraId="7BCD67F0" w14:textId="77777777" w:rsidR="00252A21" w:rsidRPr="00252A21" w:rsidRDefault="00252A21" w:rsidP="00252A21">
      <w:pPr>
        <w:spacing w:line="360" w:lineRule="auto"/>
        <w:jc w:val="center"/>
        <w:rPr>
          <w:rFonts w:eastAsia="Calibri"/>
          <w:b/>
          <w:bCs/>
          <w:sz w:val="28"/>
          <w:szCs w:val="28"/>
          <w:lang w:val="es-PE" w:eastAsia="en-US"/>
        </w:rPr>
      </w:pPr>
      <w:r w:rsidRPr="00252A21">
        <w:rPr>
          <w:rFonts w:eastAsia="Calibri"/>
          <w:b/>
          <w:bCs/>
          <w:sz w:val="28"/>
          <w:szCs w:val="28"/>
          <w:lang w:val="es-PE" w:eastAsia="en-US"/>
        </w:rPr>
        <w:t>Variables</w:t>
      </w:r>
    </w:p>
    <w:p w14:paraId="121962FE"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 xml:space="preserve">La variable “factores” estuvo conformada por las siguientes subvariables: </w:t>
      </w:r>
    </w:p>
    <w:p w14:paraId="72F7670A" w14:textId="77777777" w:rsidR="00252A21" w:rsidRPr="00252A21" w:rsidRDefault="00252A21" w:rsidP="00BC3B55">
      <w:pPr>
        <w:spacing w:line="360" w:lineRule="auto"/>
        <w:jc w:val="both"/>
        <w:rPr>
          <w:rFonts w:eastAsia="Calibri"/>
          <w:lang w:val="es-PE" w:eastAsia="en-US"/>
        </w:rPr>
      </w:pPr>
    </w:p>
    <w:p w14:paraId="1838D063" w14:textId="77777777" w:rsidR="00252A21" w:rsidRPr="00252A21" w:rsidRDefault="00252A21" w:rsidP="00BC3B55">
      <w:pPr>
        <w:numPr>
          <w:ilvl w:val="0"/>
          <w:numId w:val="12"/>
        </w:numPr>
        <w:spacing w:line="360" w:lineRule="auto"/>
        <w:ind w:left="284" w:hanging="284"/>
        <w:contextualSpacing/>
        <w:jc w:val="both"/>
        <w:rPr>
          <w:rFonts w:eastAsia="Calibri"/>
          <w:lang w:val="es-PE" w:eastAsia="en-US"/>
        </w:rPr>
      </w:pPr>
      <w:r w:rsidRPr="00252A21">
        <w:rPr>
          <w:rFonts w:eastAsia="Calibri"/>
          <w:lang w:val="es-PE" w:eastAsia="en-US"/>
        </w:rPr>
        <w:t>Máximo grado de instrucción alcanzado (ningún grado de instrucción, inicial o primaria, secundaria y superior).</w:t>
      </w:r>
    </w:p>
    <w:p w14:paraId="569F3337" w14:textId="77777777" w:rsidR="00252A21" w:rsidRPr="00252A21" w:rsidRDefault="00252A21" w:rsidP="00BC3B55">
      <w:pPr>
        <w:numPr>
          <w:ilvl w:val="0"/>
          <w:numId w:val="12"/>
        </w:numPr>
        <w:spacing w:line="360" w:lineRule="auto"/>
        <w:ind w:left="284" w:hanging="284"/>
        <w:contextualSpacing/>
        <w:jc w:val="both"/>
        <w:rPr>
          <w:rFonts w:eastAsia="Calibri"/>
          <w:lang w:val="es-PE" w:eastAsia="en-US"/>
        </w:rPr>
      </w:pPr>
      <w:r w:rsidRPr="00252A21">
        <w:rPr>
          <w:rFonts w:eastAsia="Calibri"/>
          <w:lang w:val="es-PE" w:eastAsia="en-US"/>
        </w:rPr>
        <w:lastRenderedPageBreak/>
        <w:t>Edad (en años cumplidos).</w:t>
      </w:r>
    </w:p>
    <w:p w14:paraId="347CA93C" w14:textId="77777777" w:rsidR="00252A21" w:rsidRPr="00252A21" w:rsidRDefault="00252A21" w:rsidP="00BC3B55">
      <w:pPr>
        <w:numPr>
          <w:ilvl w:val="0"/>
          <w:numId w:val="12"/>
        </w:numPr>
        <w:spacing w:line="360" w:lineRule="auto"/>
        <w:ind w:left="284" w:hanging="284"/>
        <w:contextualSpacing/>
        <w:jc w:val="both"/>
        <w:rPr>
          <w:rFonts w:eastAsia="Calibri"/>
          <w:lang w:val="es-PE" w:eastAsia="en-US"/>
        </w:rPr>
      </w:pPr>
      <w:r w:rsidRPr="00252A21">
        <w:rPr>
          <w:rFonts w:eastAsia="Calibri"/>
          <w:lang w:val="es-PE" w:eastAsia="en-US"/>
        </w:rPr>
        <w:t>Afiliación a algún seguro de salud (tiene o no tiene).</w:t>
      </w:r>
    </w:p>
    <w:p w14:paraId="2D753DFC" w14:textId="77777777" w:rsidR="00252A21" w:rsidRPr="00252A21" w:rsidRDefault="00252A21" w:rsidP="00BC3B55">
      <w:pPr>
        <w:numPr>
          <w:ilvl w:val="0"/>
          <w:numId w:val="12"/>
        </w:numPr>
        <w:spacing w:line="360" w:lineRule="auto"/>
        <w:ind w:left="284" w:hanging="284"/>
        <w:contextualSpacing/>
        <w:jc w:val="both"/>
        <w:rPr>
          <w:rFonts w:eastAsia="Calibri"/>
          <w:lang w:val="es-PE" w:eastAsia="en-US"/>
        </w:rPr>
      </w:pPr>
      <w:r w:rsidRPr="00252A21">
        <w:rPr>
          <w:rFonts w:eastAsia="Calibri"/>
          <w:lang w:val="es-PE" w:eastAsia="en-US"/>
        </w:rPr>
        <w:t>Recibió información sobre ITS o VIH (recibió o no recibió).</w:t>
      </w:r>
    </w:p>
    <w:p w14:paraId="05D7C890" w14:textId="77777777" w:rsidR="00252A21" w:rsidRPr="00252A21" w:rsidRDefault="00252A21" w:rsidP="00BC3B55">
      <w:pPr>
        <w:numPr>
          <w:ilvl w:val="0"/>
          <w:numId w:val="12"/>
        </w:numPr>
        <w:spacing w:line="360" w:lineRule="auto"/>
        <w:ind w:left="284" w:hanging="284"/>
        <w:contextualSpacing/>
        <w:jc w:val="both"/>
        <w:rPr>
          <w:rFonts w:eastAsia="Calibri"/>
          <w:lang w:val="es-PE" w:eastAsia="en-US"/>
        </w:rPr>
      </w:pPr>
      <w:r w:rsidRPr="00252A21">
        <w:rPr>
          <w:rFonts w:eastAsia="Calibri"/>
          <w:lang w:val="es-PE" w:eastAsia="en-US"/>
        </w:rPr>
        <w:t>Sexo al nacer (hombre o mujer).</w:t>
      </w:r>
    </w:p>
    <w:p w14:paraId="4235F1E3" w14:textId="77777777" w:rsidR="00252A21" w:rsidRPr="00252A21" w:rsidRDefault="00252A21" w:rsidP="00BC3B55">
      <w:pPr>
        <w:numPr>
          <w:ilvl w:val="0"/>
          <w:numId w:val="12"/>
        </w:numPr>
        <w:spacing w:line="360" w:lineRule="auto"/>
        <w:ind w:left="284" w:hanging="284"/>
        <w:contextualSpacing/>
        <w:jc w:val="both"/>
        <w:rPr>
          <w:rFonts w:eastAsia="Calibri"/>
          <w:lang w:val="es-PE" w:eastAsia="en-US"/>
        </w:rPr>
      </w:pPr>
      <w:r w:rsidRPr="00252A21">
        <w:rPr>
          <w:rFonts w:eastAsia="Calibri"/>
          <w:lang w:val="es-PE" w:eastAsia="en-US"/>
        </w:rPr>
        <w:t>Algún miembro de la familia conoce que es LGTBI (sí o no).</w:t>
      </w:r>
    </w:p>
    <w:p w14:paraId="2A8D666F" w14:textId="77777777" w:rsidR="00252A21" w:rsidRPr="00252A21" w:rsidRDefault="00252A21" w:rsidP="00BC3B55">
      <w:pPr>
        <w:numPr>
          <w:ilvl w:val="0"/>
          <w:numId w:val="12"/>
        </w:numPr>
        <w:spacing w:line="360" w:lineRule="auto"/>
        <w:ind w:left="284" w:hanging="284"/>
        <w:contextualSpacing/>
        <w:jc w:val="both"/>
        <w:rPr>
          <w:rFonts w:eastAsia="Calibri"/>
          <w:lang w:val="es-PE" w:eastAsia="en-US"/>
        </w:rPr>
      </w:pPr>
      <w:r w:rsidRPr="00252A21">
        <w:rPr>
          <w:rFonts w:eastAsia="Calibri"/>
          <w:lang w:val="es-PE" w:eastAsia="en-US"/>
        </w:rPr>
        <w:t>Presencia de pareja estable (sí o no).</w:t>
      </w:r>
    </w:p>
    <w:p w14:paraId="0D9F896B" w14:textId="77777777" w:rsidR="00252A21" w:rsidRPr="00252A21" w:rsidRDefault="00252A21" w:rsidP="00BC3B55">
      <w:pPr>
        <w:numPr>
          <w:ilvl w:val="0"/>
          <w:numId w:val="12"/>
        </w:numPr>
        <w:spacing w:line="360" w:lineRule="auto"/>
        <w:ind w:left="284" w:hanging="284"/>
        <w:contextualSpacing/>
        <w:jc w:val="both"/>
        <w:rPr>
          <w:rFonts w:eastAsia="Calibri"/>
          <w:lang w:val="es-PE" w:eastAsia="en-US"/>
        </w:rPr>
      </w:pPr>
      <w:r w:rsidRPr="00252A21">
        <w:rPr>
          <w:rFonts w:eastAsia="Calibri"/>
          <w:lang w:val="es-PE" w:eastAsia="en-US"/>
        </w:rPr>
        <w:t xml:space="preserve">Presencia de hijos (sí o no). </w:t>
      </w:r>
    </w:p>
    <w:p w14:paraId="3C678039" w14:textId="77777777" w:rsidR="00252A21" w:rsidRPr="00252A21" w:rsidRDefault="00252A21" w:rsidP="00252A21">
      <w:pPr>
        <w:spacing w:line="360" w:lineRule="auto"/>
        <w:jc w:val="both"/>
        <w:rPr>
          <w:rFonts w:eastAsia="Calibri"/>
          <w:lang w:val="es-PE" w:eastAsia="en-US"/>
        </w:rPr>
      </w:pPr>
    </w:p>
    <w:p w14:paraId="69AEE6F1"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La segunda variable fue el no uso de métodos anticonceptivos de barrera, considerada como la ausencia de uso del condón masculino y femenino durante el acto sexual.</w:t>
      </w:r>
    </w:p>
    <w:p w14:paraId="75DE9C64" w14:textId="77777777" w:rsidR="00252A21" w:rsidRPr="00252A21" w:rsidRDefault="00252A21" w:rsidP="00252A21">
      <w:pPr>
        <w:spacing w:line="360" w:lineRule="auto"/>
        <w:jc w:val="center"/>
        <w:rPr>
          <w:rFonts w:eastAsia="Calibri"/>
          <w:b/>
          <w:bCs/>
          <w:sz w:val="28"/>
          <w:szCs w:val="28"/>
          <w:lang w:val="es-PE" w:eastAsia="en-US"/>
        </w:rPr>
      </w:pPr>
      <w:r w:rsidRPr="00252A21">
        <w:rPr>
          <w:rFonts w:eastAsia="Calibri"/>
          <w:b/>
          <w:bCs/>
          <w:sz w:val="28"/>
          <w:szCs w:val="28"/>
          <w:lang w:val="es-PE" w:eastAsia="en-US"/>
        </w:rPr>
        <w:t>Procesamiento de los datos</w:t>
      </w:r>
    </w:p>
    <w:p w14:paraId="7822974B"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 xml:space="preserve">Los datos obtenidos del portal del INEI se analizaron en el software STATA versión 14; primero se realizó un control de la calidad de la base de datos. Para el análisis descriptivo se incluyeron intervalos de confianza (IC) al 95 % y la normalidad de la variable numérica (edad) fue evaluada mediante la prueba Shapiro-Wilk. </w:t>
      </w:r>
    </w:p>
    <w:p w14:paraId="621318E5"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 xml:space="preserve">La asociación entre cada uno de los factores y el uso de métodos anticonceptivos de barrera fue evaluada a través de la prueba </w:t>
      </w:r>
      <w:r w:rsidRPr="00252A21">
        <w:rPr>
          <w:rFonts w:eastAsia="Calibri"/>
          <w:i/>
          <w:iCs/>
          <w:lang w:val="es-PE" w:eastAsia="en-US"/>
        </w:rPr>
        <w:t>ji</w:t>
      </w:r>
      <w:r w:rsidRPr="00252A21">
        <w:rPr>
          <w:rFonts w:eastAsia="Calibri"/>
          <w:lang w:val="es-PE" w:eastAsia="en-US"/>
        </w:rPr>
        <w:t xml:space="preserve"> cuadrado de Pearson (para categóricas) y T de Student (si al menos una es numérica). El análisis multivariado (ajustado) se realizó mediante la prueba de regresión de Poisson. Se reportaron razones de prevalencias crudas (RPc) y ajustadas (RPa), con sus respectivos IC. Se consideró como estadísticamente significativo a todo valor de p</w:t>
      </w:r>
      <w:r w:rsidRPr="00252A21">
        <w:rPr>
          <w:rFonts w:ascii="MS Reference Sans Serif" w:eastAsia="Calibri" w:hAnsi="MS Reference Sans Serif"/>
          <w:lang w:val="es-PE" w:eastAsia="en-US"/>
        </w:rPr>
        <w:t>&lt;</w:t>
      </w:r>
      <w:r w:rsidRPr="00252A21">
        <w:rPr>
          <w:rFonts w:eastAsia="Calibri"/>
          <w:lang w:val="es-PE" w:eastAsia="en-US"/>
        </w:rPr>
        <w:t xml:space="preserve"> 0,05. La distribución geográfica fue reportada mediante mapas; generados con el software </w:t>
      </w:r>
      <w:hyperlink r:id="rId11" w:history="1">
        <w:r w:rsidRPr="00252A21">
          <w:rPr>
            <w:rFonts w:eastAsia="Calibri"/>
            <w:color w:val="0563C1"/>
            <w:u w:val="single"/>
            <w:lang w:val="es-PE" w:eastAsia="en-US"/>
          </w:rPr>
          <w:t>QGIS</w:t>
        </w:r>
      </w:hyperlink>
      <w:r w:rsidRPr="00252A21">
        <w:rPr>
          <w:rFonts w:eastAsia="Calibri"/>
          <w:lang w:val="es-PE" w:eastAsia="en-US"/>
        </w:rPr>
        <w:t>.</w:t>
      </w:r>
    </w:p>
    <w:p w14:paraId="11AF04C0" w14:textId="77777777" w:rsidR="00252A21" w:rsidRPr="00252A21" w:rsidRDefault="00252A21" w:rsidP="00252A21">
      <w:pPr>
        <w:spacing w:line="360" w:lineRule="auto"/>
        <w:jc w:val="center"/>
        <w:rPr>
          <w:rFonts w:eastAsia="Calibri"/>
          <w:b/>
          <w:bCs/>
          <w:sz w:val="28"/>
          <w:szCs w:val="28"/>
          <w:lang w:val="es-PE" w:eastAsia="en-US"/>
        </w:rPr>
      </w:pPr>
      <w:r w:rsidRPr="00252A21">
        <w:rPr>
          <w:rFonts w:eastAsia="Calibri"/>
          <w:b/>
          <w:bCs/>
          <w:sz w:val="28"/>
          <w:szCs w:val="28"/>
          <w:lang w:val="es-PE" w:eastAsia="en-US"/>
        </w:rPr>
        <w:t>Aspectos bioéticos</w:t>
      </w:r>
    </w:p>
    <w:p w14:paraId="02560163"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Debido a que el estudio es un análisis de base secundaria de acceso público y no muestra información identificable,</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5ZKnWnVo","properties":{"formattedCitation":"(15)","plainCitation":"(15)","noteIndex":0},"citationItems":[{"id":504,"uris":["http://zotero.org/users/local/EDRS0uWj/items/F6UNZHYF"],"uri":["http://zotero.org/users/local/EDRS0uWj/items/F6UNZHYF"],"itemData":{"id":504,"type":"webpage","title":"Microdatos: Base de datos","URL":"http://iinei.inei.gob.pe/microdatos/","author":[{"family":"Instituto Nacional de Estadística e Informática","given":""}],"accessed":{"date-parts":[["2022",2,6]]}}}],"schema":"https://github.com/citation-style-language/schema/raw/master/csl-citation.json"}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(17)</w:t>
      </w:r>
      <w:r w:rsidRPr="00252A21">
        <w:rPr>
          <w:rFonts w:eastAsia="Calibri"/>
          <w:vertAlign w:val="superscript"/>
          <w:lang w:val="es-PE" w:eastAsia="en-US"/>
        </w:rPr>
        <w:fldChar w:fldCharType="end"/>
      </w:r>
      <w:r w:rsidRPr="00252A21">
        <w:rPr>
          <w:rFonts w:eastAsia="Calibri"/>
          <w:lang w:val="es-PE" w:eastAsia="en-US"/>
        </w:rPr>
        <w:t xml:space="preserve"> no requirió aprobación de un comité de ética. </w:t>
      </w:r>
    </w:p>
    <w:p w14:paraId="387FD8F4" w14:textId="77777777" w:rsidR="00252A21" w:rsidRPr="00252A21" w:rsidRDefault="00252A21" w:rsidP="00252A21">
      <w:pPr>
        <w:spacing w:line="360" w:lineRule="auto"/>
        <w:jc w:val="both"/>
        <w:rPr>
          <w:rFonts w:eastAsia="Calibri"/>
          <w:b/>
          <w:bCs/>
          <w:lang w:val="es-PE" w:eastAsia="en-US"/>
        </w:rPr>
      </w:pPr>
    </w:p>
    <w:p w14:paraId="1BB2E602" w14:textId="77777777" w:rsidR="00252A21" w:rsidRPr="00252A21" w:rsidRDefault="00252A21" w:rsidP="00252A21">
      <w:pPr>
        <w:spacing w:line="360" w:lineRule="auto"/>
        <w:jc w:val="both"/>
        <w:rPr>
          <w:rFonts w:eastAsia="Calibri"/>
          <w:b/>
          <w:bCs/>
          <w:lang w:val="es-PE" w:eastAsia="en-US"/>
        </w:rPr>
      </w:pPr>
    </w:p>
    <w:p w14:paraId="5892C3EA" w14:textId="77777777" w:rsidR="00BC3B55" w:rsidRDefault="00BC3B55">
      <w:pPr>
        <w:rPr>
          <w:rFonts w:eastAsia="Calibri"/>
          <w:b/>
          <w:bCs/>
          <w:sz w:val="32"/>
          <w:szCs w:val="32"/>
          <w:lang w:val="es-PE" w:eastAsia="en-US"/>
        </w:rPr>
      </w:pPr>
      <w:r>
        <w:rPr>
          <w:rFonts w:eastAsia="Calibri"/>
          <w:b/>
          <w:bCs/>
          <w:sz w:val="32"/>
          <w:szCs w:val="32"/>
          <w:lang w:val="es-PE" w:eastAsia="en-US"/>
        </w:rPr>
        <w:br w:type="page"/>
      </w:r>
    </w:p>
    <w:p w14:paraId="392E8B48" w14:textId="479C771F" w:rsidR="00252A21" w:rsidRPr="00252A21" w:rsidRDefault="00252A21" w:rsidP="00252A21">
      <w:pPr>
        <w:spacing w:line="360" w:lineRule="auto"/>
        <w:jc w:val="center"/>
        <w:rPr>
          <w:rFonts w:eastAsia="Calibri"/>
          <w:b/>
          <w:bCs/>
          <w:sz w:val="32"/>
          <w:szCs w:val="32"/>
          <w:lang w:val="es-PE" w:eastAsia="en-US"/>
        </w:rPr>
      </w:pPr>
      <w:r w:rsidRPr="00252A21">
        <w:rPr>
          <w:rFonts w:eastAsia="Calibri"/>
          <w:b/>
          <w:bCs/>
          <w:sz w:val="32"/>
          <w:szCs w:val="32"/>
          <w:lang w:val="es-PE" w:eastAsia="en-US"/>
        </w:rPr>
        <w:lastRenderedPageBreak/>
        <w:t>RESULTADOS</w:t>
      </w:r>
    </w:p>
    <w:p w14:paraId="49A2179B"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Se encontró que, de los 11 987 participantes con registro completo, 4333 (36,15 %) (IC95 %: 35,29</w:t>
      </w:r>
      <w:r w:rsidRPr="00252A21">
        <w:rPr>
          <w:rFonts w:eastAsia="Calibri"/>
          <w:lang w:val="es-PE" w:eastAsia="en-US"/>
        </w:rPr>
        <w:noBreakHyphen/>
        <w:t>37,01) no utilizaban métodos anticonceptivos de barrera (Fig. 1); sin embargo, la proporción es mayor en la costa peruana, donde se destacan Tacna (52,03 %; IC95 %: 43,88–60,17) y Callao (39,90 %; IC95 %: 35,98–43,82), mientras que es menor en Madre de Dios (16,67 %; IC95 %: 8,06–41,39), Huancavelica (20,83 %; IC95 %: 3,31–38,35) y San Martín (21,21 %; IC95 %: 14,15–28,28) (Fig. 2).</w:t>
      </w:r>
    </w:p>
    <w:p w14:paraId="6A7075F7" w14:textId="77777777" w:rsidR="00252A21" w:rsidRPr="00252A21" w:rsidRDefault="00252A21" w:rsidP="00252A21">
      <w:pPr>
        <w:spacing w:line="360" w:lineRule="auto"/>
        <w:jc w:val="both"/>
        <w:rPr>
          <w:rFonts w:eastAsia="Calibri"/>
          <w:lang w:val="es-PE" w:eastAsia="en-US"/>
        </w:rPr>
      </w:pPr>
    </w:p>
    <w:p w14:paraId="776A6AB4" w14:textId="3929E10E" w:rsidR="00252A21" w:rsidRPr="00252A21" w:rsidRDefault="00252A21" w:rsidP="00252A21">
      <w:pPr>
        <w:spacing w:line="360" w:lineRule="auto"/>
        <w:jc w:val="center"/>
        <w:rPr>
          <w:rFonts w:eastAsia="Calibri"/>
          <w:lang w:val="es-PE" w:eastAsia="en-US"/>
        </w:rPr>
      </w:pPr>
      <w:r w:rsidRPr="00252A21">
        <w:rPr>
          <w:rFonts w:eastAsia="Calibri"/>
          <w:noProof/>
          <w:lang w:val="es-PE" w:eastAsia="en-US"/>
        </w:rPr>
        <w:drawing>
          <wp:inline distT="0" distB="0" distL="0" distR="0" wp14:anchorId="25E5A682" wp14:editId="1B8ADC15">
            <wp:extent cx="3613785" cy="3555365"/>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3785" cy="3555365"/>
                    </a:xfrm>
                    <a:prstGeom prst="rect">
                      <a:avLst/>
                    </a:prstGeom>
                    <a:noFill/>
                    <a:ln>
                      <a:noFill/>
                    </a:ln>
                  </pic:spPr>
                </pic:pic>
              </a:graphicData>
            </a:graphic>
          </wp:inline>
        </w:drawing>
      </w:r>
    </w:p>
    <w:p w14:paraId="488C83C3" w14:textId="77777777" w:rsidR="00252A21" w:rsidRPr="00252A21" w:rsidRDefault="00252A21" w:rsidP="00252A21">
      <w:pPr>
        <w:spacing w:line="360" w:lineRule="auto"/>
        <w:jc w:val="center"/>
        <w:rPr>
          <w:rFonts w:eastAsia="Calibri"/>
          <w:b/>
          <w:bCs/>
          <w:sz w:val="20"/>
          <w:szCs w:val="20"/>
          <w:lang w:val="es-PE" w:eastAsia="en-US"/>
        </w:rPr>
      </w:pPr>
      <w:r w:rsidRPr="00252A21">
        <w:rPr>
          <w:rFonts w:eastAsia="Calibri"/>
          <w:sz w:val="20"/>
          <w:szCs w:val="20"/>
          <w:lang w:val="es-PE" w:eastAsia="en-US"/>
        </w:rPr>
        <w:t>IC95 %: intervalo de confianza al 95 %.</w:t>
      </w:r>
    </w:p>
    <w:p w14:paraId="51A799CB" w14:textId="77777777" w:rsidR="00252A21" w:rsidRPr="00252A21" w:rsidRDefault="00252A21" w:rsidP="00252A21">
      <w:pPr>
        <w:spacing w:line="360" w:lineRule="auto"/>
        <w:jc w:val="center"/>
        <w:rPr>
          <w:rFonts w:eastAsia="Calibri"/>
          <w:sz w:val="22"/>
          <w:szCs w:val="22"/>
          <w:lang w:val="es-PE" w:eastAsia="en-US"/>
        </w:rPr>
      </w:pPr>
      <w:r w:rsidRPr="00252A21">
        <w:rPr>
          <w:rFonts w:eastAsia="Calibri"/>
          <w:b/>
          <w:bCs/>
          <w:sz w:val="22"/>
          <w:szCs w:val="22"/>
          <w:lang w:val="es-PE" w:eastAsia="en-US"/>
        </w:rPr>
        <w:t>Fig. 1-</w:t>
      </w:r>
      <w:r w:rsidRPr="00252A21">
        <w:rPr>
          <w:rFonts w:eastAsia="Calibri"/>
          <w:sz w:val="22"/>
          <w:szCs w:val="22"/>
          <w:lang w:val="es-PE" w:eastAsia="en-US"/>
        </w:rPr>
        <w:t xml:space="preserve"> Flujograma de selección de participantes.</w:t>
      </w:r>
    </w:p>
    <w:p w14:paraId="25C3E54D" w14:textId="77777777" w:rsidR="00252A21" w:rsidRPr="00252A21" w:rsidRDefault="00252A21" w:rsidP="00252A21">
      <w:pPr>
        <w:spacing w:line="360" w:lineRule="auto"/>
        <w:jc w:val="center"/>
        <w:rPr>
          <w:rFonts w:eastAsia="Calibri"/>
          <w:sz w:val="22"/>
          <w:szCs w:val="22"/>
          <w:lang w:val="es-PE" w:eastAsia="en-US"/>
        </w:rPr>
      </w:pPr>
    </w:p>
    <w:p w14:paraId="67408BAB" w14:textId="616A5E0D" w:rsidR="00252A21" w:rsidRPr="00252A21" w:rsidRDefault="00252A21" w:rsidP="00252A21">
      <w:pPr>
        <w:spacing w:line="360" w:lineRule="auto"/>
        <w:jc w:val="center"/>
        <w:rPr>
          <w:rFonts w:eastAsia="Calibri"/>
          <w:lang w:val="es-PE" w:eastAsia="en-US"/>
        </w:rPr>
      </w:pPr>
      <w:r w:rsidRPr="00252A21">
        <w:rPr>
          <w:rFonts w:eastAsia="Calibri"/>
          <w:noProof/>
          <w:lang w:val="es-PE" w:eastAsia="en-US"/>
        </w:rPr>
        <w:lastRenderedPageBreak/>
        <w:drawing>
          <wp:inline distT="0" distB="0" distL="0" distR="0" wp14:anchorId="76A502F2" wp14:editId="7E86F1AB">
            <wp:extent cx="3503317" cy="4147115"/>
            <wp:effectExtent l="0" t="0" r="1905" b="635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9187" cy="4154064"/>
                    </a:xfrm>
                    <a:prstGeom prst="rect">
                      <a:avLst/>
                    </a:prstGeom>
                    <a:noFill/>
                    <a:ln>
                      <a:noFill/>
                    </a:ln>
                  </pic:spPr>
                </pic:pic>
              </a:graphicData>
            </a:graphic>
          </wp:inline>
        </w:drawing>
      </w:r>
    </w:p>
    <w:p w14:paraId="323B1103" w14:textId="77777777" w:rsidR="00252A21" w:rsidRPr="00252A21" w:rsidRDefault="00252A21" w:rsidP="00252A21">
      <w:pPr>
        <w:spacing w:line="360" w:lineRule="auto"/>
        <w:jc w:val="center"/>
        <w:rPr>
          <w:rFonts w:eastAsia="Calibri"/>
          <w:sz w:val="22"/>
          <w:szCs w:val="22"/>
          <w:lang w:val="es-PE" w:eastAsia="en-US"/>
        </w:rPr>
      </w:pPr>
      <w:r w:rsidRPr="00252A21">
        <w:rPr>
          <w:rFonts w:eastAsia="Calibri"/>
          <w:b/>
          <w:bCs/>
          <w:sz w:val="22"/>
          <w:szCs w:val="22"/>
          <w:lang w:val="es-PE" w:eastAsia="en-US"/>
        </w:rPr>
        <w:t>Fig. 2 -</w:t>
      </w:r>
      <w:r w:rsidRPr="00252A21">
        <w:rPr>
          <w:rFonts w:eastAsia="Calibri"/>
          <w:sz w:val="22"/>
          <w:szCs w:val="22"/>
          <w:lang w:val="es-PE" w:eastAsia="en-US"/>
        </w:rPr>
        <w:t xml:space="preserve"> Proporción de personas LGTBI que no utilizan métodos anticonceptivos en los departamentos del Perú, 2017.</w:t>
      </w:r>
    </w:p>
    <w:p w14:paraId="1F087D87" w14:textId="77777777" w:rsidR="00252A21" w:rsidRPr="00252A21" w:rsidRDefault="00252A21" w:rsidP="00252A21">
      <w:pPr>
        <w:spacing w:line="360" w:lineRule="auto"/>
        <w:jc w:val="both"/>
        <w:rPr>
          <w:rFonts w:eastAsia="Calibri"/>
          <w:lang w:val="es-PE" w:eastAsia="en-US"/>
        </w:rPr>
      </w:pPr>
    </w:p>
    <w:p w14:paraId="23C46AED"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En la tabla 1 se muestran las principales características de los participantes. De ellos el 10 382 (86,33 %) tuvo grado de instrucción superior y edad media de 28,53 años (desviación estándar -DS-: 13,45). En su mayoría residían en la capital del país 8225 (68,62 %), presentaban algún seguro de salud 5639 (70,36 %), habían recibido información sobre prevención de ITS o VIH 8549 (71,32 %), alguno de los miembros de su familia conocía que el participante era una persona LGBTI  8750 (73,00 %) y no tenían hijos 11 410 (95,19 %).</w:t>
      </w:r>
    </w:p>
    <w:p w14:paraId="4146D97E" w14:textId="77777777" w:rsidR="00252A21" w:rsidRPr="00252A21" w:rsidRDefault="00252A21" w:rsidP="00252A21">
      <w:pPr>
        <w:spacing w:line="360" w:lineRule="auto"/>
        <w:jc w:val="center"/>
        <w:rPr>
          <w:rFonts w:eastAsia="Calibri"/>
          <w:b/>
          <w:bCs/>
          <w:lang w:val="es-PE" w:eastAsia="en-US"/>
        </w:rPr>
      </w:pPr>
    </w:p>
    <w:p w14:paraId="777480EB" w14:textId="77777777" w:rsidR="000450EE" w:rsidRDefault="000450EE">
      <w:pPr>
        <w:rPr>
          <w:rFonts w:eastAsia="Calibri"/>
          <w:b/>
          <w:bCs/>
          <w:sz w:val="22"/>
          <w:szCs w:val="22"/>
          <w:lang w:val="es-PE" w:eastAsia="en-US"/>
        </w:rPr>
      </w:pPr>
      <w:r>
        <w:rPr>
          <w:rFonts w:eastAsia="Calibri"/>
          <w:b/>
          <w:bCs/>
          <w:sz w:val="22"/>
          <w:szCs w:val="22"/>
          <w:lang w:val="es-PE" w:eastAsia="en-US"/>
        </w:rPr>
        <w:br w:type="page"/>
      </w:r>
    </w:p>
    <w:p w14:paraId="561296FB" w14:textId="19F2174C" w:rsidR="00252A21" w:rsidRPr="00252A21" w:rsidRDefault="00252A21" w:rsidP="00252A21">
      <w:pPr>
        <w:spacing w:line="360" w:lineRule="auto"/>
        <w:jc w:val="center"/>
        <w:rPr>
          <w:rFonts w:eastAsia="Calibri"/>
          <w:b/>
          <w:bCs/>
          <w:sz w:val="22"/>
          <w:szCs w:val="22"/>
          <w:lang w:val="es-PE" w:eastAsia="en-US"/>
        </w:rPr>
      </w:pPr>
      <w:r w:rsidRPr="00252A21">
        <w:rPr>
          <w:rFonts w:eastAsia="Calibri"/>
          <w:b/>
          <w:bCs/>
          <w:sz w:val="22"/>
          <w:szCs w:val="22"/>
          <w:lang w:val="es-PE" w:eastAsia="en-US"/>
        </w:rPr>
        <w:lastRenderedPageBreak/>
        <w:t xml:space="preserve">Tabla </w:t>
      </w:r>
      <w:r w:rsidRPr="00252A21">
        <w:rPr>
          <w:rFonts w:eastAsia="Calibri"/>
          <w:b/>
          <w:bCs/>
          <w:sz w:val="22"/>
          <w:szCs w:val="22"/>
          <w:lang w:val="es-PE" w:eastAsia="en-US"/>
        </w:rPr>
        <w:tab/>
        <w:t xml:space="preserve">1 - </w:t>
      </w:r>
      <w:r w:rsidRPr="00252A21">
        <w:rPr>
          <w:rFonts w:eastAsia="Calibri"/>
          <w:sz w:val="22"/>
          <w:szCs w:val="22"/>
          <w:lang w:val="es-PE" w:eastAsia="en-US"/>
        </w:rPr>
        <w:t>Análisis crudo de los factores asociados al no uso de métodos anticonceptivos de barrera en la población LGBTI peruana, 2017</w:t>
      </w:r>
    </w:p>
    <w:p w14:paraId="6ABDBA81" w14:textId="0BA8D589" w:rsidR="00B10FBB" w:rsidRDefault="00B10FBB" w:rsidP="00252A21">
      <w:pPr>
        <w:spacing w:line="360" w:lineRule="auto"/>
        <w:jc w:val="center"/>
        <w:rPr>
          <w:rFonts w:eastAsia="Calibri"/>
          <w:sz w:val="16"/>
          <w:szCs w:val="16"/>
          <w:lang w:val="es-PE" w:eastAsia="en-US"/>
        </w:rPr>
      </w:pPr>
      <w:r w:rsidRPr="00C82491">
        <w:rPr>
          <w:noProof/>
          <w:lang w:val="es-ES" w:eastAsia="es-ES"/>
        </w:rPr>
        <w:drawing>
          <wp:inline distT="0" distB="0" distL="0" distR="0" wp14:anchorId="6714A71C" wp14:editId="3529E9A5">
            <wp:extent cx="3816934" cy="6190110"/>
            <wp:effectExtent l="0" t="0" r="0" b="1270"/>
            <wp:docPr id="1" name="Imagen 1" descr="G:\21.7.23\2665\t01_266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1.7.23\2665\t01_2665.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6270" cy="6205251"/>
                    </a:xfrm>
                    <a:prstGeom prst="rect">
                      <a:avLst/>
                    </a:prstGeom>
                    <a:noFill/>
                    <a:ln>
                      <a:noFill/>
                    </a:ln>
                  </pic:spPr>
                </pic:pic>
              </a:graphicData>
            </a:graphic>
          </wp:inline>
        </w:drawing>
      </w:r>
    </w:p>
    <w:p w14:paraId="14AF7432" w14:textId="320AFDF7" w:rsidR="00252A21" w:rsidRPr="00252A21" w:rsidRDefault="00252A21" w:rsidP="00252A21">
      <w:pPr>
        <w:spacing w:line="360" w:lineRule="auto"/>
        <w:jc w:val="center"/>
        <w:rPr>
          <w:rFonts w:eastAsia="Calibri"/>
          <w:sz w:val="16"/>
          <w:szCs w:val="16"/>
          <w:lang w:val="es-PE" w:eastAsia="en-US"/>
        </w:rPr>
      </w:pPr>
      <w:r w:rsidRPr="00252A21">
        <w:rPr>
          <w:rFonts w:eastAsia="Calibri"/>
          <w:sz w:val="16"/>
          <w:szCs w:val="16"/>
          <w:lang w:val="es-PE" w:eastAsia="en-US"/>
        </w:rPr>
        <w:t xml:space="preserve">DS: Desviación estándar; </w:t>
      </w:r>
      <w:r w:rsidRPr="00252A21">
        <w:rPr>
          <w:rFonts w:eastAsia="Calibri"/>
          <w:i/>
          <w:iCs/>
          <w:sz w:val="16"/>
          <w:szCs w:val="16"/>
          <w:lang w:val="es-PE" w:eastAsia="en-US"/>
        </w:rPr>
        <w:t>Ref.:</w:t>
      </w:r>
      <w:r w:rsidRPr="00252A21">
        <w:rPr>
          <w:rFonts w:eastAsia="Calibri"/>
          <w:sz w:val="16"/>
          <w:szCs w:val="16"/>
          <w:lang w:val="es-PE" w:eastAsia="en-US"/>
        </w:rPr>
        <w:t xml:space="preserve"> Categoría de referencia</w:t>
      </w:r>
      <w:r w:rsidRPr="00252A21">
        <w:rPr>
          <w:rFonts w:eastAsia="Calibri"/>
          <w:sz w:val="16"/>
          <w:szCs w:val="16"/>
          <w:lang w:val="es-PE" w:eastAsia="en-US"/>
        </w:rPr>
        <w:br/>
        <w:t>† Evaluado mediante la prueba ji cuadrado de Pearson</w:t>
      </w:r>
      <w:r w:rsidRPr="00252A21">
        <w:rPr>
          <w:rFonts w:eastAsia="Calibri"/>
          <w:sz w:val="16"/>
          <w:szCs w:val="16"/>
          <w:lang w:val="es-PE" w:eastAsia="en-US"/>
        </w:rPr>
        <w:br/>
        <w:t xml:space="preserve">†† Evaluado mediante la prueba Regresión de Poisson </w:t>
      </w:r>
      <w:r w:rsidRPr="00252A21">
        <w:rPr>
          <w:rFonts w:eastAsia="Calibri"/>
          <w:sz w:val="16"/>
          <w:szCs w:val="16"/>
          <w:lang w:val="es-PE" w:eastAsia="en-US"/>
        </w:rPr>
        <w:br/>
        <w:t>* Evaluado mediante la prueba T de Student</w:t>
      </w:r>
    </w:p>
    <w:p w14:paraId="2A097017" w14:textId="77777777" w:rsidR="00252A21" w:rsidRPr="00252A21" w:rsidRDefault="00252A21" w:rsidP="00252A21">
      <w:pPr>
        <w:spacing w:line="360" w:lineRule="auto"/>
        <w:jc w:val="center"/>
        <w:rPr>
          <w:rFonts w:eastAsia="Calibri"/>
          <w:lang w:val="es-PE" w:eastAsia="en-US"/>
        </w:rPr>
      </w:pPr>
    </w:p>
    <w:p w14:paraId="19EFD259"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Seguidamente, en la tabla 2 se observan los resultados del análisis crudo y ajustado que buscan determinar factores asociados. Los factores que incrementan la probabilidad de que los usuarios no utilicen un método anticonceptivo de barrera se encuentran los de mayor edad (p&lt; 0,001; RPa= 1,002), sexo al nacer, mujer (p&lt; 0,001; RPa= 6,66) y el no haber recibido información sobre prevención de ITS o VIH (p&lt; 0,001; RPa= 1,31). Así mismo, los factores protectores del evento fueron el presentar grado de instrucción secundaria (p= 0,042; RPa= 0,77) o superior (p= 0,013; RPa= 0,74), que un integrante del entorno familiar no conozca que la persona sea LGBTI (p&lt; 0,001; RPa= 0,78) y el no presentar pareja (p&lt; 0,001; RPa= 0,79).</w:t>
      </w:r>
    </w:p>
    <w:p w14:paraId="206560EC" w14:textId="77777777" w:rsidR="00252A21" w:rsidRPr="00252A21" w:rsidRDefault="00252A21" w:rsidP="00252A21">
      <w:pPr>
        <w:spacing w:line="360" w:lineRule="auto"/>
        <w:jc w:val="center"/>
        <w:rPr>
          <w:rFonts w:eastAsia="Calibri"/>
          <w:b/>
          <w:bCs/>
          <w:sz w:val="22"/>
          <w:szCs w:val="22"/>
          <w:lang w:val="es-PE" w:eastAsia="en-US"/>
        </w:rPr>
      </w:pPr>
    </w:p>
    <w:p w14:paraId="7EA69721" w14:textId="77777777" w:rsidR="0082696F" w:rsidRDefault="0082696F">
      <w:pPr>
        <w:rPr>
          <w:rFonts w:eastAsia="Calibri"/>
          <w:b/>
          <w:bCs/>
          <w:sz w:val="22"/>
          <w:szCs w:val="22"/>
          <w:lang w:val="es-PE" w:eastAsia="en-US"/>
        </w:rPr>
      </w:pPr>
      <w:r>
        <w:rPr>
          <w:rFonts w:eastAsia="Calibri"/>
          <w:b/>
          <w:bCs/>
          <w:sz w:val="22"/>
          <w:szCs w:val="22"/>
          <w:lang w:val="es-PE" w:eastAsia="en-US"/>
        </w:rPr>
        <w:br w:type="page"/>
      </w:r>
    </w:p>
    <w:p w14:paraId="6C44073D" w14:textId="0521D9A1" w:rsidR="00252A21" w:rsidRPr="00252A21" w:rsidRDefault="00252A21" w:rsidP="00252A21">
      <w:pPr>
        <w:spacing w:line="360" w:lineRule="auto"/>
        <w:jc w:val="center"/>
        <w:rPr>
          <w:rFonts w:eastAsia="Calibri"/>
          <w:b/>
          <w:bCs/>
          <w:sz w:val="22"/>
          <w:szCs w:val="22"/>
          <w:lang w:val="es-PE" w:eastAsia="en-US"/>
        </w:rPr>
      </w:pPr>
      <w:r w:rsidRPr="00252A21">
        <w:rPr>
          <w:rFonts w:eastAsia="Calibri"/>
          <w:b/>
          <w:bCs/>
          <w:sz w:val="22"/>
          <w:szCs w:val="22"/>
          <w:lang w:val="es-PE" w:eastAsia="en-US"/>
        </w:rPr>
        <w:lastRenderedPageBreak/>
        <w:t xml:space="preserve">Tabla 2 - </w:t>
      </w:r>
      <w:r w:rsidRPr="00252A21">
        <w:rPr>
          <w:rFonts w:eastAsia="Calibri"/>
          <w:sz w:val="22"/>
          <w:szCs w:val="22"/>
          <w:lang w:val="es-PE" w:eastAsia="en-US"/>
        </w:rPr>
        <w:t>Análisis ajustado de los factores asociados al no uso de métodos anticonceptivos de barrera en la población LGBTI peruana</w:t>
      </w:r>
    </w:p>
    <w:p w14:paraId="0BD13937" w14:textId="04995241" w:rsidR="00B10FBB" w:rsidRDefault="00B10FBB" w:rsidP="00252A21">
      <w:pPr>
        <w:spacing w:line="360" w:lineRule="auto"/>
        <w:jc w:val="center"/>
        <w:rPr>
          <w:rFonts w:eastAsia="Calibri"/>
          <w:sz w:val="16"/>
          <w:szCs w:val="16"/>
          <w:lang w:val="es-PE" w:eastAsia="en-US"/>
        </w:rPr>
      </w:pPr>
      <w:r w:rsidRPr="00C82491">
        <w:rPr>
          <w:b/>
          <w:noProof/>
          <w:sz w:val="32"/>
          <w:szCs w:val="32"/>
          <w:lang w:val="es-ES" w:eastAsia="es-ES"/>
        </w:rPr>
        <w:drawing>
          <wp:inline distT="0" distB="0" distL="0" distR="0" wp14:anchorId="08F538B2" wp14:editId="5C394F5C">
            <wp:extent cx="3320263" cy="6024032"/>
            <wp:effectExtent l="0" t="0" r="0" b="0"/>
            <wp:docPr id="2" name="Imagen 2" descr="G:\21.7.23\2665\t02_266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1.7.23\2665\t02_2665.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8651" cy="6039251"/>
                    </a:xfrm>
                    <a:prstGeom prst="rect">
                      <a:avLst/>
                    </a:prstGeom>
                    <a:noFill/>
                    <a:ln>
                      <a:noFill/>
                    </a:ln>
                  </pic:spPr>
                </pic:pic>
              </a:graphicData>
            </a:graphic>
          </wp:inline>
        </w:drawing>
      </w:r>
    </w:p>
    <w:p w14:paraId="3C33FCD0" w14:textId="4CE1C1B6" w:rsidR="00252A21" w:rsidRPr="00252A21" w:rsidRDefault="00252A21" w:rsidP="00252A21">
      <w:pPr>
        <w:spacing w:line="360" w:lineRule="auto"/>
        <w:jc w:val="center"/>
        <w:rPr>
          <w:rFonts w:eastAsia="Calibri"/>
          <w:sz w:val="16"/>
          <w:szCs w:val="16"/>
          <w:lang w:val="es-PE" w:eastAsia="en-US"/>
        </w:rPr>
      </w:pPr>
      <w:r w:rsidRPr="00252A21">
        <w:rPr>
          <w:rFonts w:eastAsia="Calibri"/>
          <w:sz w:val="16"/>
          <w:szCs w:val="16"/>
          <w:lang w:val="es-PE" w:eastAsia="en-US"/>
        </w:rPr>
        <w:t xml:space="preserve">DS: Desviación estándar; RP: Razón de prevalencia; IC95 %: Intervalo de confianza al 95 %; </w:t>
      </w:r>
      <w:r w:rsidRPr="00252A21">
        <w:rPr>
          <w:rFonts w:eastAsia="Calibri"/>
          <w:i/>
          <w:iCs/>
          <w:sz w:val="16"/>
          <w:szCs w:val="16"/>
          <w:lang w:val="es-PE" w:eastAsia="en-US"/>
        </w:rPr>
        <w:t>Ref.:</w:t>
      </w:r>
      <w:r w:rsidRPr="00252A21">
        <w:rPr>
          <w:rFonts w:eastAsia="Calibri"/>
          <w:sz w:val="16"/>
          <w:szCs w:val="16"/>
          <w:lang w:val="es-PE" w:eastAsia="en-US"/>
        </w:rPr>
        <w:t xml:space="preserve"> Categoría de referencia.</w:t>
      </w:r>
      <w:r w:rsidRPr="00252A21">
        <w:rPr>
          <w:rFonts w:eastAsia="Calibri"/>
          <w:sz w:val="16"/>
          <w:szCs w:val="16"/>
          <w:lang w:val="es-PE" w:eastAsia="en-US"/>
        </w:rPr>
        <w:br/>
        <w:t xml:space="preserve">† Evaluado mediante la prueba </w:t>
      </w:r>
      <w:r w:rsidRPr="00252A21">
        <w:rPr>
          <w:rFonts w:eastAsia="Calibri"/>
          <w:i/>
          <w:iCs/>
          <w:sz w:val="16"/>
          <w:szCs w:val="16"/>
          <w:lang w:val="es-PE" w:eastAsia="en-US"/>
        </w:rPr>
        <w:t>ji</w:t>
      </w:r>
      <w:r w:rsidRPr="00252A21">
        <w:rPr>
          <w:rFonts w:eastAsia="Calibri"/>
          <w:sz w:val="16"/>
          <w:szCs w:val="16"/>
          <w:lang w:val="es-PE" w:eastAsia="en-US"/>
        </w:rPr>
        <w:t xml:space="preserve"> cuadrado de Pearson. </w:t>
      </w:r>
      <w:r w:rsidRPr="00252A21">
        <w:rPr>
          <w:rFonts w:eastAsia="Calibri"/>
          <w:sz w:val="16"/>
          <w:szCs w:val="16"/>
          <w:lang w:val="es-PE" w:eastAsia="en-US"/>
        </w:rPr>
        <w:br/>
        <w:t xml:space="preserve">†† Evaluado mediante la prueba Regresión de Poisson. </w:t>
      </w:r>
      <w:r w:rsidRPr="00252A21">
        <w:rPr>
          <w:rFonts w:eastAsia="Calibri"/>
          <w:sz w:val="16"/>
          <w:szCs w:val="16"/>
          <w:lang w:val="es-PE" w:eastAsia="en-US"/>
        </w:rPr>
        <w:br/>
        <w:t>* Evaluado mediante la prueba T de Student.</w:t>
      </w:r>
    </w:p>
    <w:p w14:paraId="3176936D" w14:textId="77777777" w:rsidR="00252A21" w:rsidRPr="00252A21" w:rsidRDefault="00252A21" w:rsidP="00252A21">
      <w:pPr>
        <w:spacing w:line="360" w:lineRule="auto"/>
        <w:jc w:val="center"/>
        <w:rPr>
          <w:rFonts w:eastAsia="Calibri"/>
          <w:sz w:val="16"/>
          <w:szCs w:val="16"/>
          <w:lang w:val="es-PE" w:eastAsia="en-US"/>
        </w:rPr>
      </w:pPr>
    </w:p>
    <w:p w14:paraId="2D028A99" w14:textId="77777777" w:rsidR="00252A21" w:rsidRPr="00252A21" w:rsidRDefault="00252A21" w:rsidP="00252A21">
      <w:pPr>
        <w:spacing w:line="360" w:lineRule="auto"/>
        <w:jc w:val="center"/>
        <w:rPr>
          <w:rFonts w:eastAsia="Calibri"/>
          <w:sz w:val="16"/>
          <w:szCs w:val="16"/>
          <w:lang w:val="es-PE" w:eastAsia="en-US"/>
        </w:rPr>
      </w:pPr>
    </w:p>
    <w:p w14:paraId="793FD46D" w14:textId="77777777" w:rsidR="00252A21" w:rsidRPr="00252A21" w:rsidRDefault="00252A21" w:rsidP="00252A21">
      <w:pPr>
        <w:spacing w:line="360" w:lineRule="auto"/>
        <w:jc w:val="center"/>
        <w:rPr>
          <w:rFonts w:eastAsia="Calibri"/>
          <w:b/>
          <w:sz w:val="32"/>
          <w:szCs w:val="32"/>
          <w:lang w:val="es-PE" w:eastAsia="en-US"/>
        </w:rPr>
      </w:pPr>
      <w:r w:rsidRPr="00252A21">
        <w:rPr>
          <w:rFonts w:eastAsia="Calibri"/>
          <w:b/>
          <w:sz w:val="32"/>
          <w:szCs w:val="32"/>
          <w:lang w:val="es-PE" w:eastAsia="en-US"/>
        </w:rPr>
        <w:t>DISCUSIÓN</w:t>
      </w:r>
    </w:p>
    <w:p w14:paraId="20C56531"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Con el presente estudio se han identificado en el Perú, inequidades en el acceso a los servicios y atención integral de salud de una población vulnerable. Se muestran regiones con mayor proporción de no uso de métodos anticonceptivos de barrera. Este resultado permitiría focalizar estrategias para reducir las infecciones de transmisión sexual y VIH;</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cAevxlcU","properties":{"formattedCitation":"(16,17)","plainCitation":"(16,17)","noteIndex":0},"citationItems":[{"id":506,"uris":["http://zotero.org/users/local/EDRS0uWj/items/9GHLPLG3"],"uri":["http://zotero.org/users/local/EDRS0uWj/items/9GHLPLG3"],"itemData":{"id":506,"type":"article-journal","abstract":"Despite improved availability of simple, relatively inexpensive, and highly effective antiretroviral treatment for HIV/AIDS, the disease remains a major public health challenge for women in sub-Saharan Africa (SSA). Given the numerous barriers in access to care for women in this region, every health issue that brings them into contact with the health system should be optimized as an opportunity to integrate HIV/AIDS prevention. Because most non-condom forms of modern contraception require a clinical appointment for use, contraception appointments could provide a confidential opportunity for access to HIV counseling, testing, and referral to care. This study sought to investigate the relationship between contraceptive methods and HIV testing among women in SSA. Data from the Demographic and Health Survey from four African countries-Congo, Mozambique, Nigeria, and Uganda-was used to examine whether modern (e.g., pills, condom) or traditional (e.g., periodic abstinence, withdrawal) forms of contraception were associated with uptake of HIV testing. Data for the current analyses were restricted to 35,748 women with complete information on the variables of interest. Chi-square tests and logistic regression models were used to assess the relationship between uptake of HIV testing and respondents' baseline characteristics and contraceptive methods. In the total sample and in Mozambique, women who used modern forms of contraception were more likely to be tested for HIV compared to those who did not use contraception. This positive association was not demonstrated in Congo, Nigeria, or Uganda. That many women who access modern contraception are not tested for HIV in high HIV burden areas highlights a missed opportunity to deliver an important intervention to promote maternal and child health. Given the increasing popularity of hormonal contraception methods in low-income countries, there is an urgent need to integrate HIV counseling, testing, and treatment into family planning programs. Women on hormonal contraceptives should be encouraged to continue to use condoms for HIV-prevention.","container-title":"PloS One","DOI":"10.1371/journal.pone.0154213","ISSN":"1932-6203","issue":"4","journalAbbreviation":"PLoS One","language":"eng","note":"PMID: 27111915\nPMCID: PMC4844155","page":"e0154213","source":"PubMed","title":"Contraceptive Use and Uptake of HIV-Testing among Sub-Saharan African Women","volume":"11","author":[{"family":"Center","given":"Katherine E."},{"family":"Gunn","given":"Jayleen K. L."},{"family":"Asaolu","given":"Ibitola O."},{"family":"Gibson","given":"Steven J."},{"family":"Ehiri","given":"John E."}],"issued":{"date-parts":[["2016"]]}}},{"id":509,"uris":["http://zotero.org/users/local/EDRS0uWj/items/755HK6JH"],"uri":["http://zotero.org/users/local/EDRS0uWj/items/755HK6JH"],"itemData":{"id":509,"type":"article-journal","abstract":"Heterosexual transmission is the predominant mode of spread of the Human Immunodeficiency Virus (HIV) in most of the world. Whether the use of hormonal contraceptives, IUDs and spermicides is associated with an increased or decreased risk for HIV acquisition remains controversial. Several mechanisms whereby contraceptive methods may influence the transmission of HIV have been proposed. As contraceptive use increases among women of reproductive age, the group most vulnerable to HIV infection, any associations between contraceptive method and HIV risk become even more important. The available studies of these associations are predominantly cross-sectional and give conflicting results. We review the published evidence for associations between HIV and individual contraceptive methods. At this time no definitive conclusions regarding these associations can be drawn. Further research, especially prospective epidemiological studies and basic biological research on mechanisms of heterosexual transmission and the effect of contraceptives on these mechanisms, is urgently needed.","container-title":"Genitourinary Medicine","DOI":"10.1136/sti.70.2.110","ISSN":"0266-4348","issue":"2","journalAbbreviation":"Genitourin Med","language":"eng","note":"PMID: 8206468\nPMCID: PMC1195205","page":"110-117","source":"PubMed","title":"Contraceptive methods and the transmission of HIV: implications for family planning","title-short":"Contraceptive methods and the transmission of HIV","volume":"70","author":[{"family":"Daly","given":"C. C."},{"family":"Helling-Giese","given":"G. E."},{"family":"Mati","given":"J. K."},{"family":"Hunter","given":"D. J."}],"issued":{"date-parts":[["1994",4]]}}}],"schema":"https://github.com/citation-style-language/schema/raw/master/csl-citation.json"}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(18,19)</w:t>
      </w:r>
      <w:r w:rsidRPr="00252A21">
        <w:rPr>
          <w:rFonts w:eastAsia="Calibri"/>
          <w:vertAlign w:val="superscript"/>
          <w:lang w:val="es-PE" w:eastAsia="en-US"/>
        </w:rPr>
        <w:fldChar w:fldCharType="end"/>
      </w:r>
      <w:r w:rsidRPr="00252A21">
        <w:rPr>
          <w:rFonts w:eastAsia="Calibri"/>
          <w:lang w:val="es-PE" w:eastAsia="en-US"/>
        </w:rPr>
        <w:t xml:space="preserve"> no solo restringir la fertilidad, sino promover una educación inclusiva en salud sexual y reproductiva e integrar los servicios de planificación familiar</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dqUhaGyp","properties":{"formattedCitation":"(18)","plainCitation":"(18)","noteIndex":0},"citationItems":[{"id":512,"uris":["http://zotero.org/users/local/EDRS0uWj/items/PMH9X8CT"],"uri":["http://zotero.org/users/local/EDRS0uWj/items/PMH9X8CT"],"itemData":{"id":512,"type":"article-journal","abstract":"OBJECTIVE: To understand contraceptive need and use among individuals with HIV/AIDS living in slums.\nMETHODS: A sequential mixed-methods study was conducted in two slums in Nairobi, Kenya, from November 6th, 2009 to April 18th, 2010. Data were obtained by quantitative survey (n=513), qualitative in-depth interviews (n=41), and key informant interviews (n=14).\nRESULTS: In all, 250 (55.5%) participants used contraceptives. Condoms were the most frequently reported modern method (n=142; 60.4%), followed by injectables (n=55; 23.4%) and dual methods (n=38; 15.3%). Unmet need was reported by 151 (33.6%) individuals. Factors associated with contraceptive use were education, marital status, number of living children, discussion of contraception with a provider, and social support. Personal, conceptual, and structural barriers to contraceptive use were identified.\nCONCLUSIONS: Individuals with HIV/AIDS wished to limit their fertility but experienced high unmet need for contraception. Multi-level interventions, including educational campaigns and integration of HIV and family planning services, are required to overcome barriers.","container-title":"International Journal of Gynaecology and Obstetrics: The Official Organ of the International Federation of Gynaecology and Obstetrics","DOI":"10.1016/j.ijgo.2015.05.001","ISSN":"1879-3479","journalAbbreviation":"Int J Gynaecol Obstet","language":"eng","note":"PMID: 26165907\nPMCID: PMC6485368","page":"E31-36","source":"PubMed","title":"Contraceptive need and use among individuals with HIV/AIDS living in the slums of Nairobi, Kenya","volume":"130 Suppl 3","author":[{"family":"Wekesa","given":"Eliud"},{"family":"Coast","given":"Ernestina"}],"issued":{"date-parts":[["2015",8]]}}}],"schema":"https://github.com/citation-style-language/schema/raw/master/csl-citation.json"}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(20)</w:t>
      </w:r>
      <w:r w:rsidRPr="00252A21">
        <w:rPr>
          <w:rFonts w:eastAsia="Calibri"/>
          <w:vertAlign w:val="superscript"/>
          <w:lang w:val="es-PE" w:eastAsia="en-US"/>
        </w:rPr>
        <w:fldChar w:fldCharType="end"/>
      </w:r>
      <w:r w:rsidRPr="00252A21">
        <w:rPr>
          <w:rFonts w:eastAsia="Calibri"/>
          <w:lang w:val="es-PE" w:eastAsia="en-US"/>
        </w:rPr>
        <w:t xml:space="preserve"> brindado por personal calificado, incluyendo  la diversidad sexual.</w:t>
      </w:r>
      <w:r w:rsidRPr="00252A21">
        <w:rPr>
          <w:rFonts w:eastAsia="Calibri"/>
          <w:vertAlign w:val="superscript"/>
          <w:lang w:val="es-PE" w:eastAsia="en-US"/>
        </w:rPr>
        <w:t>(21)</w:t>
      </w:r>
      <w:r w:rsidRPr="00252A21">
        <w:rPr>
          <w:rFonts w:eastAsia="Calibri"/>
          <w:lang w:val="es-PE" w:eastAsia="en-US"/>
        </w:rPr>
        <w:t xml:space="preserve"> Además, tener en cuenta que esta situación no ha cambiado, ya que en el 2003 también se reportó un bajo nivel de uso de métodos de barrera.</w:t>
      </w:r>
      <w:r w:rsidRPr="00252A21">
        <w:rPr>
          <w:rFonts w:eastAsia="Calibri"/>
          <w:vertAlign w:val="superscript"/>
          <w:lang w:val="es-PE" w:eastAsia="en-US"/>
        </w:rPr>
        <w:t>(22)</w:t>
      </w:r>
    </w:p>
    <w:p w14:paraId="4FC7CB90"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El factor protector asociado al grado de instrucción secundaria y superior implica que las personas con alto nivel educativo asumen la responsabilidad de usar condón en sus relaciones sexuales. Esto concuerda con un estudio previo,</w:t>
      </w:r>
      <w:r w:rsidRPr="00252A21">
        <w:rPr>
          <w:rFonts w:eastAsia="Calibri"/>
          <w:vertAlign w:val="superscript"/>
          <w:lang w:val="es-PE" w:eastAsia="en-US"/>
        </w:rPr>
        <w:t>(13)</w:t>
      </w:r>
      <w:r w:rsidRPr="00252A21">
        <w:rPr>
          <w:rFonts w:eastAsia="Calibri"/>
          <w:lang w:val="es-PE" w:eastAsia="en-US"/>
        </w:rPr>
        <w:t xml:space="preserve"> el cual concluyó que los hombres que tienen sexo con hombres, con bajo nivel educativo, tuvieron menor autoeficiencia en el uso adecuado del condón en una relación de pareja. Es preciso referir que este fenómeno también se ha observado en la población general (externa a la LGBTI), el tener mayor número de grados académicos, puede influir en el uso de métodos anticonceptivos de barrera.</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DzvvRkbk","properties":{"formattedCitation":"(19)","plainCitation":"(19)","noteIndex":0},"citationItems":[{"id":515,"uris":["http://zotero.org/users/local/EDRS0uWj/items/4W5ZQIG3"],"uri":["http://zotero.org/users/local/EDRS0uWj/items/4W5ZQIG3"],"itemData":{"id":515,"type":"article-journal","abstract":"Consistent condom use tends to be limited in youth, which makes this group especially vulnerable for sexually transmitted infections (STIs) and unplanned pregnancies. It is known that sexual risk may vary as a function of behavioral intentions (e.g., condom use intention or having sex under the influence of alcohol), but no studies have yet characterized the sexual risk profiles considering behavioral intentions. This study utilizes latent class analysis (LCA) to explore the subtyping of behavioral intentions related to sexual risk in a community-based sample of adolescents aged 14 to 16 years from Spain. Multinomial logistic regression was used to assess the association between class membership and participants’ sociodemographic variables (sex, age, educational level, socioeconomic status, and family situation), and behavioral variables (sexual experience and percentage of condom use). Among the 1557 participants, four latent classes of risk were identified: “Condom + drugs”, “abstinent”, “condom + no drugs”, and “no condom + drugs”. Differences in adolescents’ sex, age, educational level, sexual experience, and condom use across latent classes were found. Findings highlight opportunities for psychologists, educators, and health-care providers to promote condom use in adolescents with differing sexual risk profiles. Increased understanding of behavioral intentions among adolescents may help to reduce sexual risk behaviors in this group.","container-title":"International Journal of Environmental Research and Public Health","DOI":"10.3390/ijerph18041855","ISSN":"1660-4601","issue":"4","language":"en","note":"number: 4\npublisher: Multidisciplinary Digital Publishing Institute","page":"1855","source":"www.mdpi.com","title":"“Who Are at Higher Sexual Risk?” Latent Class Analysis of Behavioral Intentions among Spanish Adolescents","title-short":"“Who Are at Higher Sexual Risk?","volume":"18","author":[{"family":"Morales","given":"Alexandra"},{"family":"Tomczyk","given":"Samuel"},{"family":"Orgilés","given":"Mireia"},{"family":"Espada","given":"José Pedro"}],"issued":{"date-parts":[["2021",1]]}}}],"schema":"https://github.com/citation-style-language/schema/raw/master/csl-citation.json"}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(23)</w:t>
      </w:r>
      <w:r w:rsidRPr="00252A21">
        <w:rPr>
          <w:rFonts w:eastAsia="Calibri"/>
          <w:vertAlign w:val="superscript"/>
          <w:lang w:val="es-PE" w:eastAsia="en-US"/>
        </w:rPr>
        <w:fldChar w:fldCharType="end"/>
      </w:r>
    </w:p>
    <w:p w14:paraId="3ED92715"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Por otra parte, una mayor edad en este estudio es un factor de riesgo que implica que, por cada año que cumple una persona LGTBI,+ existe mayor probabilidad de no utilizar métodos de barrera y por ende, mayor riesgo para su salud. Este hallazgo se asemeja a estudios previos,</w:t>
      </w:r>
      <w:r w:rsidRPr="00252A21">
        <w:rPr>
          <w:rFonts w:eastAsia="Calibri"/>
          <w:vertAlign w:val="superscript"/>
          <w:lang w:val="es-PE" w:eastAsia="en-US"/>
        </w:rPr>
        <w:t>(24,25)</w:t>
      </w:r>
      <w:r w:rsidRPr="00252A21">
        <w:rPr>
          <w:rFonts w:eastAsia="Calibri"/>
          <w:lang w:val="es-PE" w:eastAsia="en-US"/>
        </w:rPr>
        <w:t xml:space="preserve"> los cuales muestran una tasa más elevada de VIH entre las edades de 25 a 34 años, en hombres que tienen sexo con hombres, y en mayores de 25 años en población transgénero; por lo cual, se estima que debe priorizarse a este grupo dentro de los programas de prevención.</w:t>
      </w:r>
    </w:p>
    <w:p w14:paraId="2BBD2D51"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Respecto a los factores sanitarios, se presentó como factor de riesgo no haber recibido información sobre prevención de ITS o VIH. Al respecto, un estudio realizado en Cuba</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dmld2Uj5","properties":{"formattedCitation":"(22)","plainCitation":"(22)","noteIndex":0},"citationItems":[{"id":518,"uris":["http://zotero.org/users/local/EDRS0uWj/items/GEXB36B8"],"uri":["http://zotero.org/users/local/EDRS0uWj/items/GEXB36B8"],"itemData":{"id":518,"type":"article-journal","abstract":"Las infecciones de transmisión sexual, se adquierenfundamentalmente a través de relacionessexuales desprotegidas y constituyen enla actualidad un problema de salud mundial,pues afecta a miles de personas y genera consecuenciaseconómicas, sociales y sanitarias degran repercusión en muchos países. El condónmasculino constituye el único producto, reconocidohasta el momento, efectivo para evitarinfectarse. Objetivo: Identificar conocimiento,actitudes y uso del condón masculino enhombres que tienen sexo con hombres; valorarcomportamiento de los HSH en relación con eluso del condón masculino y una conducta sexualresponsable; describir principales fuentesde información sobre las ITS-VIH en los jóvenesy HSH. Material y Métodos: Estudio observacional,descriptivo y transversal, en una poblaciónde hombres que tienen sexo con hombres;La Habana, se encuestaron 59, estudiándose variablesde conocimientos, actitudes y conducta,aplicando un cuestionario validado y utilizadoen investigaciones previas, solicitando el consentimientoa los seleccionados. La informaciónobtenida fue llevada a una base de datos mediantela aplicación Microsoft Office Excel paraWindows y procesada con el programa estadísticoSPSS versión 11.0. Se realizó un análisisestadístico descriptivo. Resultados: Se pone enevidencia la no correspondencia entre conocimientoy uso, baja percepción de riesgo, conductasexual irresponsable, particularmente enparejas estables. Recomendaciones: El presenteestudio sugiere que se requieren espacios de reflexiónmás amplios en torno a lo que implica lasexualidad entre hombres, que no excluya unamirada a temas como masculinidades, derechoshumanos y reducción de cualquier forma deviolencia o discriminación que se agencie encontra de hombres que dirigen su afectividad ysu libido hacia personas de su mismo sexo.Palabras claves: Relaciones sexuales; condónmasculino; hombres que tienen sexo con hombres(HSH).","container-title":"Archivos del Hospital Universitario \"General Calixto García\"","ISSN":"2707-9120","issue":"1","language":"es","note":"number: 1","source":"www.revcalixto.sld.cu","title":"Conocimiento, actitud y uso del condón en hombres que tienen sexo con hombres","URL":"http://www.revcalixto.sld.cu/index.php/ahcg/article/view/74","volume":"3","author":[{"family":"Verdecia","given":"Lic Ibrahim Brito"},{"family":"Acosta","given":"Lic Xiomara Casanova"},{"family":"Carrasco","given":"Artires Alexander Domínguez"}],"accessed":{"date-parts":[["2022",2,6]]},"issued":{"date-parts":[["2015",7,21]]}}}],"schema":"https://github.com/citation-style-language/schema/raw/master/csl-citation.json"}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(26)</w:t>
      </w:r>
      <w:r w:rsidRPr="00252A21">
        <w:rPr>
          <w:rFonts w:eastAsia="Calibri"/>
          <w:vertAlign w:val="superscript"/>
          <w:lang w:val="es-PE" w:eastAsia="en-US"/>
        </w:rPr>
        <w:fldChar w:fldCharType="end"/>
      </w:r>
      <w:r w:rsidRPr="00252A21">
        <w:rPr>
          <w:rFonts w:eastAsia="Calibri"/>
          <w:lang w:val="es-PE" w:eastAsia="en-US"/>
        </w:rPr>
        <w:t xml:space="preserve"> revela que cerca de la mitad de hombres que tuvieron sexo con hombres, desconocía sobre las ITS y gran parte de ellos no identificaron de forma correcta las vías de transmisión del VIH. Esta problemática no solo debiera ser trabajada desde </w:t>
      </w:r>
      <w:r w:rsidRPr="00252A21">
        <w:rPr>
          <w:rFonts w:eastAsia="Calibri"/>
          <w:lang w:val="es-PE" w:eastAsia="en-US"/>
        </w:rPr>
        <w:lastRenderedPageBreak/>
        <w:t>la perspectiva de brindar educación a la población LGBTI, sino también, en mejorar la actitud de los proveedores de salud, al brindar asesoría sobre salud reproductiva a estos grupos vulnerables.</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vJnDUPco","properties":{"formattedCitation":"(23)","plainCitation":"(23)","noteIndex":0},"citationItems":[{"id":520,"uris":["http://zotero.org/users/local/EDRS0uWj/items/Y63UCUMM"],"uri":["http://zotero.org/users/local/EDRS0uWj/items/Y63UCUMM"],"itemData":{"id":520,"type":"article-journal","abstract":"BACKGROUND: There is limited understanding of health care providers' attitudes towards HIV-infected individuals' reproductive choices, as well as knowledge about safer conception. Our study objective was to explore provider-level factors that serve as barriers and/or facilitators to the provision of reproductive and safer conception services for men and women living with HIV.\nMETHODS: Twenty-five providers were interviewed in four focus group discussions about their attitudes regarding childbearing by HIV-infected clients, reproductive health and HIV knowledge, and views and knowledge of safer conception.\nRESULTS: Providers reported ambivalence about supporting childbearing among their clients with HIV. They raised concerns about HIV-infected individuals having children, and in certain cases expressed judgment that people with HIV should not have children because of these concerns. Providers lack specific knowledge about safer conception strategies and have low level of knowledge of reproductive health, the efficacy of PMTCT, and the risks of pregnancy for HIV-infected women.\nCONCLUSIONS: Providers in our setting have complex attitudes about HIV-infected clients having children and lack knowledge to appropriately counsel clients about reproductive health and safer conception. Our findings highlight need for further research in this area as well as the need for provider training in reproductive health and safer conception.","container-title":"Reproductive Health","DOI":"10.1186/s12978-015-0004-0","ISSN":"1742-4755","journalAbbreviation":"Reprod Health","language":"eng","note":"PMID: 25771719\nPMCID: PMC4355153","page":"17","source":"PubMed","title":"Provider attitudes about childbearing and knowledge of safer conception at two HIV clinics in Malawi","volume":"12","author":[{"family":"Kawale","given":"Paul"},{"family":"Mindry","given":"Deborah"},{"family":"Phoya","given":"Ann"},{"family":"Jansen","given":"Perry"},{"family":"Hoffman","given":"Risa M."}],"issued":{"date-parts":[["2015",3,7]]}}}],"schema":"https://github.com/citation-style-language/schema/raw/master/csl-citation.json"}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(27)</w:t>
      </w:r>
      <w:r w:rsidRPr="00252A21">
        <w:rPr>
          <w:rFonts w:eastAsia="Calibri"/>
          <w:vertAlign w:val="superscript"/>
          <w:lang w:val="es-PE" w:eastAsia="en-US"/>
        </w:rPr>
        <w:fldChar w:fldCharType="end"/>
      </w:r>
    </w:p>
    <w:p w14:paraId="13804A5B"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También, tener sexo mujer al nacer, se presentó como factor de riesgo. Este resultado concuerda con los de un estudio en México,</w:t>
      </w:r>
      <w:r w:rsidRPr="00252A21">
        <w:rPr>
          <w:rFonts w:eastAsia="Calibri"/>
          <w:vertAlign w:val="superscript"/>
          <w:lang w:val="es-PE" w:eastAsia="en-US"/>
        </w:rPr>
        <w:t>(28)</w:t>
      </w:r>
      <w:r w:rsidRPr="00252A21">
        <w:rPr>
          <w:rFonts w:eastAsia="Calibri"/>
          <w:lang w:val="es-PE" w:eastAsia="en-US"/>
        </w:rPr>
        <w:t xml:space="preserve"> en el que se reporta que las mujeres lesbianas conforman el segundo grupo con mayor actividad sexual y menor uso de condón, comparado con hombres gay bisexuales. La evidencia que evalúa esta asociación es sumamente escasa, sin embargo, un estudio reciente</w:t>
      </w:r>
      <w:r w:rsidRPr="00252A21">
        <w:rPr>
          <w:rFonts w:eastAsia="Calibri"/>
          <w:vertAlign w:val="superscript"/>
          <w:lang w:val="es-PE" w:eastAsia="en-US"/>
        </w:rPr>
        <w:t>(29)</w:t>
      </w:r>
      <w:r w:rsidRPr="00252A21">
        <w:rPr>
          <w:rFonts w:eastAsia="Calibri"/>
          <w:lang w:val="es-PE" w:eastAsia="en-US"/>
        </w:rPr>
        <w:t xml:space="preserve"> muestra que los proveedores de salud requieren ser entrenados, para brindar consejería a grupos de género minoritario, con sexo biológico de mujer, lo cual reitera la necesidad de un adecuado entrenamiento por parte del profesional de la salud.</w:t>
      </w:r>
    </w:p>
    <w:p w14:paraId="3BB134F0"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Finalmente, el no presentar pareja sentimental (estable) se mostró como factor que incrementa la probabilidad del uso de métodos de barrera. Al respecto, un estudio previo</w:t>
      </w:r>
      <w:r w:rsidRPr="00252A21">
        <w:rPr>
          <w:rFonts w:eastAsia="Calibri"/>
          <w:vertAlign w:val="superscript"/>
          <w:lang w:val="es-PE" w:eastAsia="en-US"/>
        </w:rPr>
        <w:t>(30)</w:t>
      </w:r>
      <w:r w:rsidRPr="00252A21">
        <w:rPr>
          <w:rFonts w:eastAsia="Calibri"/>
          <w:lang w:val="es-PE" w:eastAsia="en-US"/>
        </w:rPr>
        <w:t xml:space="preserve"> refiere que puede ser común el no uso de métodos entre parejas estables, por la confianza y conocimiento del estado de infección de VIH de la pareja,</w:t>
      </w:r>
      <w:r w:rsidRPr="00252A21">
        <w:rPr>
          <w:rFonts w:eastAsia="Calibri"/>
          <w:vertAlign w:val="superscript"/>
          <w:lang w:val="es-PE" w:eastAsia="en-US"/>
        </w:rPr>
        <w:fldChar w:fldCharType="begin"/>
      </w:r>
      <w:r w:rsidRPr="00252A21">
        <w:rPr>
          <w:rFonts w:eastAsia="Calibri"/>
          <w:vertAlign w:val="superscript"/>
          <w:lang w:val="es-PE" w:eastAsia="en-US"/>
        </w:rPr>
        <w:instrText xml:space="preserve"> ADDIN ZOTERO_ITEM CSL_CITATION {"citationID":"kLCuaYJn","properties":{"formattedCitation":"(8,26)","plainCitation":"(8,26)","noteIndex":0},"citationItems":[{"id":465,"uris":["http://zotero.org/users/local/EDRS0uWj/items/QEY9DBD6"],"uri":["http://zotero.org/users/local/EDRS0uWj/items/QEY9DBD6"],"itemData":{"id":465,"type":"article-journal","abstract":"Background Unprotected sexual intercourse is a major risk factor for HIV transmission. Men who have sex with men (MSM) face challenges in accessing HIV prevention services, including condoms. However, there is limited in-depth assessment and documentation of the barriers to condom use among MSM in sub-Saharan Africa. In this paper, we examine the barriers to condom use among MSM in Uganda. Methods The data for this study were extracted from a larger qualitative study conducted among 85 self-identified adult (&gt;18 years) MSM in 11 districts in Uganda between July and December 2013. Data on sexual behaviours and access and barriers to condom use were collected using semi-structured interviews. All interviews were audio-recorded and transcribed verbatim. This paper presents an analysis of data for 33 MSM who did not use condoms at last sex, with a focus on barriers to condom use. Analysis was conducted using the content analysis approach. Results Six major barriers to condom use were identified: Difficulties with using condoms, access challenges, lack of knowledge and misinformation about condom use, partner and relationship related issues, financial incentives and socio-economic vulnerability, and alcohol consumption. Conclusion The findings suggest that several reasons account for lack of condom use among high-risk MSM. The findings are valuable to inform interventions needed to increase condom use among MSM.","container-title":"PLOS ONE","DOI":"10.1371/journal.pone.0132297","ISSN":"1932-6203","issue":"7","journalAbbreviation":"PLOS ONE","language":"en","note":"publisher: Public Library of Science","page":"e0132297","source":"PLoS Journals","title":"Barriers to Condom Use among High Risk Men Who Have Sex with Men in Uganda: A Qualitative Study","title-short":"Barriers to Condom Use among High Risk Men Who Have Sex with Men in Uganda","volume":"10","author":[{"family":"Musinguzi","given":"Geofrey"},{"family":"Bastiaens","given":"Hilde"},{"family":"Matovu","given":"Joseph K. B."},{"family":"Nuwaha","given":"Fred"},{"family":"Mujisha","given":"Geoffrey"},{"family":"Kiguli","given":"Juliet"},{"family":"Arinaitwe","given":"Jim"},{"family":"Geertruyden","given":"Jean-Pierre Van"},{"family":"Wanyenze","given":"Rhoda K."}],"issued":{"date-parts":[["2015",7,14]]}}},{"id":526,"uris":["http://zotero.org/users/local/EDRS0uWj/items/XF5MPZJX"],"uri":["http://zotero.org/users/local/EDRS0uWj/items/XF5MPZJX"],"itemData":{"id":526,"type":"article-journal","abstract":"Condomless anal intercourse among transgender women (TW) in Peru has been shown to vary by the type of partner involved (e.g. primary vs. casual vs. transactional sex partner), but no previous studies have explored variations in partner-level patterns of condom use according to type of anal intercourse. We evaluated the relationship between partnership characteristics and condom use during insertive (IAI) versus receptive anal intercourse (RAI) among TW with recent, non-female partners. Condomless IAI was more common with transactional and casual sex partners and by TW who self-reported HIV-uninfected serostatus (p &lt; 0.05), alcohol use disorders, or substance use before sex. Condomless RAI was more common with primary partners and by TW who described their HIV serostatus as unknown (p &lt; 0.05). Examining partner-level differences between condomless IAI and RAI reveals distinct patterns of HIV/STI risk among TW, suggesting a need for HIV prevention strategies tailored to the specific contexts of partners, practices, and networks.","container-title":"AIDS and Behavior","DOI":"10.1007/s10461-016-1503-x","ISSN":"1573-3254","issue":"8","journalAbbreviation":"AIDS Behav","language":"en","page":"2439-2451","source":"Springer Link","title":"Partner-Level Factors Associated with Insertive and Receptive Condomless Anal Intercourse Among Transgender Women in Lima, Peru","volume":"21","author":[{"family":"Satcher","given":"Milan F."},{"family":"Segura","given":"Eddy R."},{"family":"Silva-Santisteban","given":"Alfonso"},{"family":"Sanchez","given":"Jorge"},{"family":"Lama","given":"Javier R."},{"family":"Clark","given":"Jesse L."}],"issued":{"date-parts":[["2017",8,1]]}}}],"schema":"https://github.com/citation-style-language/schema/raw/master/csl-citation.json"} </w:instrText>
      </w:r>
      <w:r w:rsidRPr="00252A21">
        <w:rPr>
          <w:rFonts w:eastAsia="Calibri"/>
          <w:vertAlign w:val="superscript"/>
          <w:lang w:val="es-PE" w:eastAsia="en-US"/>
        </w:rPr>
        <w:fldChar w:fldCharType="separate"/>
      </w:r>
      <w:r w:rsidRPr="00252A21">
        <w:rPr>
          <w:rFonts w:eastAsia="Calibri"/>
          <w:vertAlign w:val="superscript"/>
          <w:lang w:val="es-PE" w:eastAsia="en-US"/>
        </w:rPr>
        <w:t>(8,31)</w:t>
      </w:r>
      <w:r w:rsidRPr="00252A21">
        <w:rPr>
          <w:rFonts w:eastAsia="Calibri"/>
          <w:vertAlign w:val="superscript"/>
          <w:lang w:val="es-PE" w:eastAsia="en-US"/>
        </w:rPr>
        <w:fldChar w:fldCharType="end"/>
      </w:r>
      <w:r w:rsidRPr="00252A21">
        <w:rPr>
          <w:rFonts w:eastAsia="Calibri"/>
          <w:lang w:val="es-PE" w:eastAsia="en-US"/>
        </w:rPr>
        <w:t xml:space="preserve"> justificación que incrementa el riesgo a su salud.</w:t>
      </w:r>
    </w:p>
    <w:p w14:paraId="1848B7A7"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En este estudio la principal limitación es que los resultados proceden de un muestreo no probabilístico. Por otro lado, el uso de una base secundaria, con preguntas predefinidas limita el análisis de múltiples variables de ajuste, que no fueron consideradas en el cuestionario.</w:t>
      </w:r>
      <w:r w:rsidRPr="00252A21">
        <w:rPr>
          <w:rFonts w:eastAsia="Calibri"/>
          <w:bCs/>
          <w:lang w:val="es-PE" w:eastAsia="en-US"/>
        </w:rPr>
        <w:t xml:space="preserve"> Asimismo, la evaluación de tópicos sensibles para una población vulnerable, puede generar un sesgo de deseabilidad social, fácil de encubrir durante una encuesta </w:t>
      </w:r>
      <w:r w:rsidRPr="00252A21">
        <w:rPr>
          <w:rFonts w:eastAsia="Calibri"/>
          <w:bCs/>
          <w:i/>
          <w:iCs/>
          <w:lang w:val="es-PE" w:eastAsia="en-US"/>
        </w:rPr>
        <w:t>online</w:t>
      </w:r>
      <w:r w:rsidRPr="00252A21">
        <w:rPr>
          <w:rFonts w:eastAsia="Calibri"/>
          <w:bCs/>
          <w:lang w:val="es-PE" w:eastAsia="en-US"/>
        </w:rPr>
        <w:t xml:space="preserve"> anónima</w:t>
      </w:r>
      <w:r w:rsidRPr="00252A21">
        <w:rPr>
          <w:rFonts w:eastAsia="Calibri"/>
          <w:lang w:val="es-PE" w:eastAsia="en-US"/>
        </w:rPr>
        <w:t>.</w:t>
      </w:r>
    </w:p>
    <w:p w14:paraId="38BA3AB0" w14:textId="77777777" w:rsidR="00252A21" w:rsidRPr="00252A21" w:rsidRDefault="00252A21" w:rsidP="00252A21">
      <w:pPr>
        <w:spacing w:line="360" w:lineRule="auto"/>
        <w:jc w:val="both"/>
        <w:rPr>
          <w:rFonts w:eastAsia="Calibri"/>
          <w:highlight w:val="yellow"/>
          <w:lang w:val="es-PE" w:eastAsia="en-US"/>
        </w:rPr>
      </w:pPr>
      <w:r w:rsidRPr="00252A21">
        <w:rPr>
          <w:rFonts w:eastAsia="Calibri"/>
          <w:lang w:val="es-PE" w:eastAsia="en-US"/>
        </w:rPr>
        <w:t>Se concluye que las características que se identifican como factores de riesgo son, el tener mayor edad, no haber recibido información sobre prevención de infecciones de transmisión sexual o virus de inmunodeficiencia humana y presentar sexo biológico de mujer, mientras que fueron fatores protectores el contar con grado de instrucción secundaria o superior, que su familia desconozca que es parte de la comunidad de LGBTI peruana y no presentar una pareja estable.</w:t>
      </w:r>
    </w:p>
    <w:p w14:paraId="5B6A548B" w14:textId="77777777" w:rsidR="00252A21" w:rsidRPr="00252A21" w:rsidRDefault="00252A21" w:rsidP="00252A21">
      <w:pPr>
        <w:spacing w:line="360" w:lineRule="auto"/>
        <w:jc w:val="both"/>
        <w:rPr>
          <w:rFonts w:eastAsia="Calibri"/>
          <w:highlight w:val="yellow"/>
          <w:lang w:val="es-PE" w:eastAsia="en-US"/>
        </w:rPr>
      </w:pPr>
    </w:p>
    <w:p w14:paraId="193A33D6" w14:textId="77777777" w:rsidR="00252A21" w:rsidRPr="00252A21" w:rsidRDefault="00252A21" w:rsidP="00252A21">
      <w:pPr>
        <w:spacing w:line="360" w:lineRule="auto"/>
        <w:jc w:val="center"/>
        <w:rPr>
          <w:rFonts w:eastAsia="Calibri"/>
          <w:b/>
          <w:bCs/>
          <w:sz w:val="32"/>
          <w:szCs w:val="32"/>
          <w:lang w:val="es-CU" w:eastAsia="en-US"/>
        </w:rPr>
      </w:pPr>
    </w:p>
    <w:p w14:paraId="5AA41E96" w14:textId="77777777" w:rsidR="006179EA" w:rsidRDefault="006179EA">
      <w:pPr>
        <w:rPr>
          <w:rFonts w:eastAsia="Calibri"/>
          <w:b/>
          <w:bCs/>
          <w:sz w:val="32"/>
          <w:szCs w:val="32"/>
          <w:lang w:val="es-CU" w:eastAsia="en-US"/>
        </w:rPr>
      </w:pPr>
      <w:r>
        <w:rPr>
          <w:rFonts w:eastAsia="Calibri"/>
          <w:b/>
          <w:bCs/>
          <w:sz w:val="32"/>
          <w:szCs w:val="32"/>
          <w:lang w:val="es-CU" w:eastAsia="en-US"/>
        </w:rPr>
        <w:br w:type="page"/>
      </w:r>
    </w:p>
    <w:p w14:paraId="68E35C53" w14:textId="563216DE" w:rsidR="00252A21" w:rsidRPr="00252A21" w:rsidRDefault="00252A21" w:rsidP="00252A21">
      <w:pPr>
        <w:spacing w:line="360" w:lineRule="auto"/>
        <w:jc w:val="center"/>
        <w:rPr>
          <w:rFonts w:eastAsia="Calibri"/>
          <w:b/>
          <w:bCs/>
          <w:sz w:val="32"/>
          <w:szCs w:val="32"/>
          <w:lang w:val="es-CU" w:eastAsia="en-US"/>
        </w:rPr>
      </w:pPr>
      <w:r w:rsidRPr="00252A21">
        <w:rPr>
          <w:rFonts w:eastAsia="Calibri"/>
          <w:b/>
          <w:bCs/>
          <w:sz w:val="32"/>
          <w:szCs w:val="32"/>
          <w:lang w:val="es-CU" w:eastAsia="en-US"/>
        </w:rPr>
        <w:lastRenderedPageBreak/>
        <w:t>REFERENCIAS BIBLIOGRÁFICAS</w:t>
      </w:r>
    </w:p>
    <w:p w14:paraId="7559D635" w14:textId="77777777" w:rsidR="00252A21" w:rsidRPr="00252A21" w:rsidRDefault="00252A21" w:rsidP="00252A21">
      <w:pPr>
        <w:spacing w:line="360" w:lineRule="auto"/>
        <w:rPr>
          <w:rFonts w:eastAsia="Calibri"/>
          <w:lang w:val="es-PE" w:eastAsia="en-US"/>
        </w:rPr>
      </w:pPr>
      <w:bookmarkStart w:id="4" w:name="_Toc64824967"/>
      <w:bookmarkStart w:id="5" w:name="_Toc67242008"/>
      <w:r w:rsidRPr="00252A21">
        <w:rPr>
          <w:rFonts w:eastAsia="Calibri"/>
          <w:lang w:val="es-PE" w:eastAsia="en-US"/>
        </w:rPr>
        <w:t xml:space="preserve">1. Wang Y, Zhishan Hu, Peng Ke, Rechdan J, Yang Y, Lijuan W, et al. </w:t>
      </w:r>
      <w:r w:rsidRPr="00252A21">
        <w:rPr>
          <w:rFonts w:eastAsia="Calibri"/>
          <w:lang w:val="en-US" w:eastAsia="en-US"/>
        </w:rPr>
        <w:t xml:space="preserve">Mapping out a spectrum of the Chinese public’s discrimination toward the LGBT community: results from a national survey. </w:t>
      </w:r>
      <w:r w:rsidRPr="00252A21">
        <w:rPr>
          <w:rFonts w:eastAsia="Calibri"/>
          <w:lang w:val="es-PE" w:eastAsia="en-US"/>
        </w:rPr>
        <w:t xml:space="preserve">BMC Public Health. 2020; 669(1):669. DOI: 10.1186/s12889-020-08834-y </w:t>
      </w:r>
    </w:p>
    <w:p w14:paraId="127BAB57"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 xml:space="preserve">2. Mitchell C. Avances y desafíos de la situación de las personas LGBT a 15 años de que la homosexualidad dejó de ser considerada una enfermedad. Washington: OPS, Noticias. 2015 [acceso: 23/01/2022]. Disponible en: </w:t>
      </w:r>
      <w:hyperlink r:id="rId16" w:history="1">
        <w:r w:rsidRPr="00252A21">
          <w:rPr>
            <w:rFonts w:eastAsia="Calibri"/>
            <w:color w:val="0563C1"/>
            <w:lang w:val="es-PE" w:eastAsia="en-US"/>
          </w:rPr>
          <w:t>https://www.paho.org/es/noticias/15-5-2015-avances-desafios-situacion-personas-lgbt-15-anos-que-homosexualidad-dejo-ser</w:t>
        </w:r>
      </w:hyperlink>
      <w:r w:rsidRPr="00252A21">
        <w:rPr>
          <w:rFonts w:eastAsia="Calibri"/>
          <w:lang w:val="es-PE" w:eastAsia="en-US"/>
        </w:rPr>
        <w:t xml:space="preserve">   </w:t>
      </w:r>
    </w:p>
    <w:p w14:paraId="2D68D44A"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 xml:space="preserve">3. Organización Panamericana de la Salud. La OPS/OMS advierte que el estigma y la discriminación afectan la salud de lesbianas, gays, bisexuales y trans. Washington: OPS, Noticias. 2013 [acceso: 23/01/2022]. Disponible en: </w:t>
      </w:r>
      <w:hyperlink r:id="rId17" w:history="1">
        <w:r w:rsidRPr="00252A21">
          <w:rPr>
            <w:rFonts w:eastAsia="Calibri"/>
            <w:color w:val="0563C1"/>
            <w:lang w:val="es-PE" w:eastAsia="en-US"/>
          </w:rPr>
          <w:t>https://www.paho.org/es/noticias/16-5-2013-opsoms-advierte-que-estigma-discriminacion-afectan-salud-lesbianas-gays</w:t>
        </w:r>
      </w:hyperlink>
      <w:r w:rsidRPr="00252A21">
        <w:rPr>
          <w:rFonts w:eastAsia="Calibri"/>
          <w:lang w:val="es-PE" w:eastAsia="en-US"/>
        </w:rPr>
        <w:t xml:space="preserve"> </w:t>
      </w:r>
    </w:p>
    <w:p w14:paraId="29A4F0C1" w14:textId="77777777" w:rsidR="00252A21" w:rsidRPr="00252A21" w:rsidRDefault="00252A21" w:rsidP="00252A21">
      <w:pPr>
        <w:spacing w:line="360" w:lineRule="auto"/>
        <w:rPr>
          <w:rFonts w:eastAsia="Calibri"/>
          <w:lang w:val="en-US" w:eastAsia="en-US"/>
        </w:rPr>
      </w:pPr>
      <w:r w:rsidRPr="00252A21">
        <w:rPr>
          <w:rFonts w:eastAsia="Calibri"/>
          <w:lang w:val="en-US" w:eastAsia="en-US"/>
        </w:rPr>
        <w:t>4. Limnaios S, Kostaki EG, Adamis G, Astriti M, Chini M, Mangafas N, et al. Dating the Origin and Estimating the Transmission Rates of the Major HIV-1 Clusters in Greece: Evidence about the Earliest Subtype A1 Epidemic in Europe. Viruses. 2022; 14(1):101. DOI: 10.3390/v14010101</w:t>
      </w:r>
    </w:p>
    <w:p w14:paraId="37B4D5BC" w14:textId="77777777" w:rsidR="00252A21" w:rsidRPr="00252A21" w:rsidRDefault="00252A21" w:rsidP="00252A21">
      <w:pPr>
        <w:spacing w:line="360" w:lineRule="auto"/>
        <w:rPr>
          <w:rFonts w:eastAsia="Calibri"/>
          <w:lang w:val="en-US" w:eastAsia="en-US"/>
        </w:rPr>
      </w:pPr>
      <w:r w:rsidRPr="00252A21">
        <w:rPr>
          <w:rFonts w:eastAsia="Calibri"/>
          <w:lang w:val="en-US" w:eastAsia="en-US"/>
        </w:rPr>
        <w:t>5. Van F, Phanuphak N, Manopaiboon C, Dunne EF, Colby DJ, Chaiphosri P, et al. HIV prevalence and incidence among men who have sex with men and transgender women in Bangkok, 2014-2018: Outcomes of a consensus development initiative. PloS One. 2022;17(1):e0262694. DOI: 10.1371/journal.pone.0262694</w:t>
      </w:r>
    </w:p>
    <w:p w14:paraId="2F785AED" w14:textId="77777777" w:rsidR="00252A21" w:rsidRPr="00252A21" w:rsidRDefault="00252A21" w:rsidP="00252A21">
      <w:pPr>
        <w:spacing w:line="360" w:lineRule="auto"/>
        <w:rPr>
          <w:rFonts w:eastAsia="Calibri"/>
          <w:lang w:val="es-PE" w:eastAsia="en-US"/>
        </w:rPr>
      </w:pPr>
      <w:r w:rsidRPr="00252A21">
        <w:rPr>
          <w:rFonts w:eastAsia="Calibri"/>
          <w:lang w:val="en-US" w:eastAsia="en-US"/>
        </w:rPr>
        <w:t xml:space="preserve">6. Donisi V, Amaddeo F, Zakrzewska K, Farinella F, Davis R, Gios L, et al. Training healthcare professionals in LGBTI cultural competencies: Exploratory findings from the Health4LGBTI pilot project. </w:t>
      </w:r>
      <w:r w:rsidRPr="00252A21">
        <w:rPr>
          <w:rFonts w:eastAsia="Calibri"/>
          <w:lang w:val="es-PE" w:eastAsia="en-US"/>
        </w:rPr>
        <w:t>Patient Educ Couns. 2020; 103(5):978-87. DOI: 10.1016/j.pec.2019.12.007</w:t>
      </w:r>
    </w:p>
    <w:p w14:paraId="3744F078"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 xml:space="preserve">7. Organización Mundial de la Salud. Estrategia mundial de prevención y control de las infecciones de transmisión sexual: 2006-2015. Ginebra: OMS; 2006. [acceso: 23//01/2022]. Disponible en: </w:t>
      </w:r>
      <w:hyperlink r:id="rId18" w:history="1">
        <w:r w:rsidRPr="00252A21">
          <w:rPr>
            <w:rFonts w:eastAsia="Calibri"/>
            <w:color w:val="0563C1"/>
            <w:lang w:val="es-PE" w:eastAsia="en-US"/>
          </w:rPr>
          <w:t>https://apps.who.int/gb/ebwha/pdf_files/WHA59-REC1/s/Anexo2-sp.pdf</w:t>
        </w:r>
      </w:hyperlink>
      <w:r w:rsidRPr="00252A21">
        <w:rPr>
          <w:rFonts w:eastAsia="Calibri"/>
          <w:lang w:val="es-PE" w:eastAsia="en-US"/>
        </w:rPr>
        <w:t xml:space="preserve">  </w:t>
      </w:r>
    </w:p>
    <w:p w14:paraId="6AC9F22D" w14:textId="77777777" w:rsidR="00252A21" w:rsidRPr="00252A21" w:rsidRDefault="00252A21" w:rsidP="00252A21">
      <w:pPr>
        <w:spacing w:line="360" w:lineRule="auto"/>
        <w:rPr>
          <w:rFonts w:eastAsia="Calibri"/>
          <w:lang w:val="es-PE" w:eastAsia="en-US"/>
        </w:rPr>
      </w:pPr>
      <w:r w:rsidRPr="00252A21">
        <w:rPr>
          <w:rFonts w:eastAsia="Calibri"/>
          <w:lang w:val="en-US" w:eastAsia="en-US"/>
        </w:rPr>
        <w:t xml:space="preserve">8. Operario D, Gamaren K, Iwamoto M, Suzuki S, Suico S, Darbes L, Nemoto T. Couples-focused prevention program to reduce HIV risk among transgender women and their primary male partners: </w:t>
      </w:r>
      <w:r w:rsidRPr="00252A21">
        <w:rPr>
          <w:rFonts w:eastAsia="Calibri"/>
          <w:lang w:val="en-US" w:eastAsia="en-US"/>
        </w:rPr>
        <w:lastRenderedPageBreak/>
        <w:t xml:space="preserve">Feasibility and promise of the Couples HIV Intervention Program. </w:t>
      </w:r>
      <w:r w:rsidRPr="00252A21">
        <w:rPr>
          <w:rFonts w:eastAsia="Calibri"/>
          <w:lang w:val="es-PE" w:eastAsia="en-US"/>
        </w:rPr>
        <w:t xml:space="preserve">AIDS Behav. 2017; 21(8): 2452-63. DOI: 10.1007%2Fs10461-016-1462-2 </w:t>
      </w:r>
    </w:p>
    <w:p w14:paraId="605C863B" w14:textId="77777777" w:rsidR="00252A21" w:rsidRPr="00252A21" w:rsidRDefault="00252A21" w:rsidP="00252A21">
      <w:pPr>
        <w:spacing w:line="360" w:lineRule="auto"/>
        <w:rPr>
          <w:rFonts w:eastAsia="Calibri"/>
          <w:lang w:val="en-US" w:eastAsia="en-US"/>
        </w:rPr>
      </w:pPr>
      <w:r w:rsidRPr="00252A21">
        <w:rPr>
          <w:rFonts w:eastAsia="Calibri"/>
          <w:lang w:val="es-PE" w:eastAsia="en-US"/>
        </w:rPr>
        <w:t xml:space="preserve">9. Delgado JR, Segura ER, Lake JE, Sanchez J, Lama JR, Clark JL. </w:t>
      </w:r>
      <w:r w:rsidRPr="00252A21">
        <w:rPr>
          <w:rFonts w:eastAsia="Calibri"/>
          <w:lang w:val="en-US" w:eastAsia="en-US"/>
        </w:rPr>
        <w:t>Event-level analysis of alcohol consumption and condom use in partnership contexts among men who have sex with men and transgender women in Lima, Perú. Drug Alcohol Depend. 2017; 170:17-24. DOI: 10.1016/j.drugalcdep.2016.10.033</w:t>
      </w:r>
    </w:p>
    <w:p w14:paraId="58967633" w14:textId="77777777" w:rsidR="00252A21" w:rsidRPr="00252A21" w:rsidRDefault="00252A21" w:rsidP="00252A21">
      <w:pPr>
        <w:spacing w:line="360" w:lineRule="auto"/>
        <w:rPr>
          <w:rFonts w:eastAsia="Calibri"/>
          <w:lang w:val="en-US" w:eastAsia="en-US"/>
        </w:rPr>
      </w:pPr>
      <w:r w:rsidRPr="00252A21">
        <w:rPr>
          <w:rFonts w:eastAsia="Calibri"/>
          <w:lang w:val="en-US" w:eastAsia="en-US"/>
        </w:rPr>
        <w:t>10. Musinguzi G, Bastiaens H, Matovu JKB, Nuwaha F, Mujisha G, Kiguli J, et al. Barriers to Condom Use among High Risk Men Who Have Sex with Men in Uganda: A Qualitative Study. PLOS ONE.  2015; 10(7):e0132297. DOI: 10.1371/journal.pone.0132297</w:t>
      </w:r>
    </w:p>
    <w:p w14:paraId="1F416A88" w14:textId="77777777" w:rsidR="00252A21" w:rsidRPr="00252A21" w:rsidRDefault="00252A21" w:rsidP="00252A21">
      <w:pPr>
        <w:spacing w:line="360" w:lineRule="auto"/>
        <w:rPr>
          <w:rFonts w:eastAsia="Calibri"/>
          <w:lang w:val="es-PE" w:eastAsia="en-US"/>
        </w:rPr>
      </w:pPr>
      <w:r w:rsidRPr="00252A21">
        <w:rPr>
          <w:rFonts w:eastAsia="Calibri"/>
          <w:lang w:val="en-US" w:eastAsia="en-US"/>
        </w:rPr>
        <w:t xml:space="preserve">11. Silva JR da, França LD, Rosa A, Neves VR, Siqueira LD. Health care for LGBTI+ elders living in Nursing Homes. </w:t>
      </w:r>
      <w:r w:rsidRPr="00252A21">
        <w:rPr>
          <w:rFonts w:eastAsia="Calibri"/>
          <w:lang w:val="es-CU" w:eastAsia="en-US"/>
        </w:rPr>
        <w:t xml:space="preserve">Rev Bras Enferm. 2021 [acceso: 23/01/2022];74(Suppl 2):e20200403. </w:t>
      </w:r>
      <w:r w:rsidRPr="00252A21">
        <w:rPr>
          <w:rFonts w:eastAsia="Calibri"/>
          <w:lang w:val="es-PE" w:eastAsia="en-US"/>
        </w:rPr>
        <w:t xml:space="preserve">Disponible en: </w:t>
      </w:r>
      <w:hyperlink r:id="rId19" w:history="1">
        <w:r w:rsidRPr="00252A21">
          <w:rPr>
            <w:rFonts w:eastAsia="Calibri"/>
            <w:color w:val="0563C1"/>
            <w:lang w:val="es-PE" w:eastAsia="en-US"/>
          </w:rPr>
          <w:t>https://www.scielo.br/j/reben/a/DPXpVdDJJMKkRhwbSVTXSxL/?lang=en</w:t>
        </w:r>
      </w:hyperlink>
      <w:r w:rsidRPr="00252A21">
        <w:rPr>
          <w:rFonts w:eastAsia="Calibri"/>
          <w:lang w:val="es-PE" w:eastAsia="en-US"/>
        </w:rPr>
        <w:t xml:space="preserve"> </w:t>
      </w:r>
    </w:p>
    <w:p w14:paraId="2BA09B61" w14:textId="77777777" w:rsidR="00252A21" w:rsidRPr="00252A21" w:rsidRDefault="00252A21" w:rsidP="00252A21">
      <w:pPr>
        <w:spacing w:line="360" w:lineRule="auto"/>
        <w:rPr>
          <w:rFonts w:eastAsia="Calibri"/>
          <w:lang w:val="es-PE" w:eastAsia="en-US"/>
        </w:rPr>
      </w:pPr>
      <w:r w:rsidRPr="00252A21">
        <w:rPr>
          <w:rFonts w:eastAsia="Calibri"/>
          <w:lang w:val="en-US" w:eastAsia="en-US"/>
        </w:rPr>
        <w:t xml:space="preserve">12. O’Farrell M, Corcoran P, Davoren MP. Examining LGBTI+ inclusive sexual health education from the perspective of both youth and facilitators: a systematic review. </w:t>
      </w:r>
      <w:r w:rsidRPr="00252A21">
        <w:rPr>
          <w:rFonts w:eastAsia="Calibri"/>
          <w:lang w:val="es-PE" w:eastAsia="en-US"/>
        </w:rPr>
        <w:t>BMJ Open. 2021; 11(9):e047856. DOI: 10.1136/bmjopen-2020-047856</w:t>
      </w:r>
    </w:p>
    <w:p w14:paraId="4B75A603"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 xml:space="preserve">13. Allory E, Duval E, Caroff M, Kendir C, Magnan R, Brau B, et al. </w:t>
      </w:r>
      <w:r w:rsidRPr="00252A21">
        <w:rPr>
          <w:rFonts w:eastAsia="Calibri"/>
          <w:lang w:val="en-US" w:eastAsia="en-US"/>
        </w:rPr>
        <w:t xml:space="preserve">The expectations of transgender people in the face of their health-care access difficulties and how they can be overcome. A qualitative study in France. Prim Health Care Res Dev. 2020; 21:e62. </w:t>
      </w:r>
      <w:r w:rsidRPr="00252A21">
        <w:rPr>
          <w:rFonts w:eastAsia="Calibri"/>
          <w:lang w:val="es-PE" w:eastAsia="en-US"/>
        </w:rPr>
        <w:t>DO: 10.1017/s1463423620000638</w:t>
      </w:r>
    </w:p>
    <w:p w14:paraId="7B6EAFC1" w14:textId="77777777" w:rsidR="00252A21" w:rsidRPr="00252A21" w:rsidRDefault="00252A21" w:rsidP="00252A21">
      <w:pPr>
        <w:spacing w:line="360" w:lineRule="auto"/>
        <w:rPr>
          <w:rFonts w:eastAsia="Calibri"/>
          <w:lang w:val="en-US" w:eastAsia="en-US"/>
        </w:rPr>
      </w:pPr>
      <w:r w:rsidRPr="00252A21">
        <w:rPr>
          <w:rFonts w:eastAsia="Calibri"/>
          <w:lang w:val="es-PE" w:eastAsia="en-US"/>
        </w:rPr>
        <w:t xml:space="preserve">14. da Fonte VRF da, Pinheiro CDP, Barcelos N de S, Costa CMA, Ribeiro FMT, Spindola T. Factores asociados con el uso del preservativo entre hombres jóvenes que tienen sexo con hombres. </w:t>
      </w:r>
      <w:r w:rsidRPr="00252A21">
        <w:rPr>
          <w:rFonts w:eastAsia="Calibri"/>
          <w:lang w:val="en-US" w:eastAsia="en-US"/>
        </w:rPr>
        <w:t>Enferm Glob. 2017; 16(46):50-93. DOI: 10.6018/eglobal.16.2.245451</w:t>
      </w:r>
    </w:p>
    <w:p w14:paraId="60598A2E" w14:textId="77777777" w:rsidR="00252A21" w:rsidRPr="00252A21" w:rsidRDefault="00252A21" w:rsidP="00252A21">
      <w:pPr>
        <w:spacing w:line="360" w:lineRule="auto"/>
        <w:rPr>
          <w:rFonts w:eastAsia="Calibri"/>
          <w:lang w:val="es-PE" w:eastAsia="en-US"/>
        </w:rPr>
      </w:pPr>
      <w:r w:rsidRPr="00252A21">
        <w:rPr>
          <w:rFonts w:eastAsia="Calibri"/>
          <w:lang w:val="en-US" w:eastAsia="en-US"/>
        </w:rPr>
        <w:t xml:space="preserve">15. Zeeman L, Sherriff N, Browne K, McGlynn N, Mirandola M, Gios L, et al. A review of lesbian, gay, bisexual, trans and intersex (LGBTI) health and healthcare inequalities. </w:t>
      </w:r>
      <w:r w:rsidRPr="00252A21">
        <w:rPr>
          <w:rFonts w:eastAsia="Calibri"/>
          <w:lang w:val="es-PE" w:eastAsia="en-US"/>
        </w:rPr>
        <w:t>Eur J Public Health. 2019; 29(5):974-80. DOI: 10.1093/eurpub/cky226</w:t>
      </w:r>
    </w:p>
    <w:p w14:paraId="6616E558"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16. Instituto Nacional de Estadística e Informática. Primera encuesta virtual para personas LGTBI en el Perú, 2017: principales resultados. Lima: Instituto Nacional de Estadística e Informática2</w:t>
      </w:r>
    </w:p>
    <w:p w14:paraId="17694A9F"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 xml:space="preserve">Instituto Nacional de Estadística e Informática; 2017. [acceso: 10/06/2020]. Disponible en: </w:t>
      </w:r>
      <w:hyperlink r:id="rId20" w:history="1">
        <w:r w:rsidRPr="00252A21">
          <w:rPr>
            <w:rFonts w:eastAsia="Calibri"/>
            <w:color w:val="0563C1"/>
            <w:lang w:val="es-PE" w:eastAsia="en-US"/>
          </w:rPr>
          <w:t>https://www.inei.gob.pe/media/MenuRecursivo/boletines/lgbti.pdf</w:t>
        </w:r>
      </w:hyperlink>
      <w:r w:rsidRPr="00252A21">
        <w:rPr>
          <w:rFonts w:eastAsia="Calibri"/>
          <w:lang w:val="es-PE" w:eastAsia="en-US"/>
        </w:rPr>
        <w:t xml:space="preserve"> </w:t>
      </w:r>
    </w:p>
    <w:p w14:paraId="3D606D95" w14:textId="77777777" w:rsidR="00252A21" w:rsidRPr="00252A21" w:rsidRDefault="00252A21" w:rsidP="00252A21">
      <w:pPr>
        <w:spacing w:line="360" w:lineRule="auto"/>
        <w:rPr>
          <w:rFonts w:eastAsia="Calibri"/>
          <w:lang w:val="es-PE" w:eastAsia="en-US"/>
        </w:rPr>
      </w:pPr>
      <w:r w:rsidRPr="00252A21">
        <w:rPr>
          <w:rFonts w:eastAsia="Calibri"/>
          <w:lang w:val="es-PE" w:eastAsia="en-US"/>
        </w:rPr>
        <w:lastRenderedPageBreak/>
        <w:t xml:space="preserve">17. Instituto Nacional de Estadística e Informática. Microdatos: Base de datos [Base de datos en internet]. Lima, Perú: INEI; 2018. [acceso: 06/02/2022]. Disponible en: </w:t>
      </w:r>
      <w:hyperlink r:id="rId21" w:history="1">
        <w:r w:rsidRPr="00252A21">
          <w:rPr>
            <w:rFonts w:eastAsia="Calibri"/>
            <w:color w:val="0563C1"/>
            <w:lang w:val="es-PE" w:eastAsia="en-US"/>
          </w:rPr>
          <w:t>http://iinei.inei.gob.pe/microdatos/</w:t>
        </w:r>
      </w:hyperlink>
      <w:r w:rsidRPr="00252A21">
        <w:rPr>
          <w:rFonts w:eastAsia="Calibri"/>
          <w:highlight w:val="yellow"/>
          <w:lang w:val="es-PE" w:eastAsia="en-US"/>
        </w:rPr>
        <w:t xml:space="preserve">       </w:t>
      </w:r>
    </w:p>
    <w:p w14:paraId="3758D355" w14:textId="77777777" w:rsidR="00252A21" w:rsidRPr="00252A21" w:rsidRDefault="00252A21" w:rsidP="00252A21">
      <w:pPr>
        <w:spacing w:line="360" w:lineRule="auto"/>
        <w:rPr>
          <w:rFonts w:eastAsia="Calibri"/>
          <w:lang w:val="en-US" w:eastAsia="en-US"/>
        </w:rPr>
      </w:pPr>
      <w:r w:rsidRPr="00252A21">
        <w:rPr>
          <w:rFonts w:eastAsia="Calibri"/>
          <w:lang w:val="es-PE" w:eastAsia="en-US"/>
        </w:rPr>
        <w:t xml:space="preserve">18. Center KE, Gunn JKL, Asaolu IO, Gibson SJ, Ehiri JE. </w:t>
      </w:r>
      <w:r w:rsidRPr="00252A21">
        <w:rPr>
          <w:rFonts w:eastAsia="Calibri"/>
          <w:lang w:val="en-US" w:eastAsia="en-US"/>
        </w:rPr>
        <w:t>Contraceptive Use and Uptake of HIV-Testing among Sub-Saharan African Women. PloS One. 2016; 11(4):e0154213. DOI: 10.1371/journal.pone.0154213</w:t>
      </w:r>
    </w:p>
    <w:p w14:paraId="65B0346D" w14:textId="77777777" w:rsidR="00252A21" w:rsidRPr="00252A21" w:rsidRDefault="00252A21" w:rsidP="00252A21">
      <w:pPr>
        <w:spacing w:line="360" w:lineRule="auto"/>
        <w:rPr>
          <w:rFonts w:eastAsia="Calibri"/>
          <w:lang w:val="en-US" w:eastAsia="en-US"/>
        </w:rPr>
      </w:pPr>
      <w:r w:rsidRPr="00252A21">
        <w:rPr>
          <w:rFonts w:eastAsia="Calibri"/>
          <w:lang w:val="en-US" w:eastAsia="en-US"/>
        </w:rPr>
        <w:t>19. Daly CC, Helling-Giese GE, Mati JK, Hunter DJ. Contraceptive methods and the transmission of HIV: implications for family planning. Genitourin Med. 1994; 70(2):110-7. DOI: 10.1136/sti.70.2.110</w:t>
      </w:r>
    </w:p>
    <w:p w14:paraId="33D81D8E" w14:textId="77777777" w:rsidR="00252A21" w:rsidRPr="00252A21" w:rsidRDefault="00252A21" w:rsidP="00252A21">
      <w:pPr>
        <w:spacing w:line="360" w:lineRule="auto"/>
        <w:rPr>
          <w:rFonts w:eastAsia="Calibri"/>
          <w:lang w:val="es-PE" w:eastAsia="en-US"/>
        </w:rPr>
      </w:pPr>
      <w:r w:rsidRPr="00252A21">
        <w:rPr>
          <w:rFonts w:eastAsia="Calibri"/>
          <w:lang w:val="en-US" w:eastAsia="en-US"/>
        </w:rPr>
        <w:t xml:space="preserve">20. Wekesa E, Coast E. Contraceptive need and use among individuals with HIV/AIDS living in the slums of Nairobi, Kenya. </w:t>
      </w:r>
      <w:r w:rsidRPr="00252A21">
        <w:rPr>
          <w:rFonts w:eastAsia="Calibri"/>
          <w:lang w:val="es-PE" w:eastAsia="en-US"/>
        </w:rPr>
        <w:t>Int J Gynaecol Obstet. 2015;130(Suppl 3):E31-36. DOI: 10.1016/j.ijgo.2015.05.001</w:t>
      </w:r>
    </w:p>
    <w:p w14:paraId="04F28FE7"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 xml:space="preserve">21. Gobierno de la Provincia del Neuquén. Guía de atención integral de la salud de personal LGTBI. Argentina, Neuquén: Subsecretaría de Salud Pública; 2018. [acceso: 10/02/2022]. Disponible en: </w:t>
      </w:r>
      <w:hyperlink r:id="rId22" w:history="1">
        <w:r w:rsidRPr="00252A21">
          <w:rPr>
            <w:rFonts w:eastAsia="Calibri"/>
            <w:color w:val="0563C1"/>
            <w:lang w:val="es-PE" w:eastAsia="en-US"/>
          </w:rPr>
          <w:t>https://www.saludneuquen.gob.ar/wp-content/uploads/2018/11/Atencion-a-Personas-LGTBI.pdf</w:t>
        </w:r>
      </w:hyperlink>
      <w:r w:rsidRPr="00252A21">
        <w:rPr>
          <w:rFonts w:eastAsia="Calibri"/>
          <w:lang w:val="es-PE" w:eastAsia="en-US"/>
        </w:rPr>
        <w:t xml:space="preserve"> </w:t>
      </w:r>
    </w:p>
    <w:p w14:paraId="6887570C"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 xml:space="preserve">22. Moreno-Gutiérrez NI. Situación de salud sexual y reproductiva, hombres y mujeres homosexuales: Hospital María Auxiliadora 2006 / Homosexual situation of sexual and reproductive health, homosexual men and women: Hospital María Auxiliadora, 2006. Rev Per Obst Enferm. 2007 [acceso: 10/01/2022]; 3(1):2-16. Disponible en: </w:t>
      </w:r>
      <w:hyperlink r:id="rId23" w:history="1">
        <w:r w:rsidRPr="00252A21">
          <w:rPr>
            <w:rFonts w:eastAsia="Calibri"/>
            <w:color w:val="0563C1"/>
            <w:lang w:val="es-PE" w:eastAsia="en-US"/>
          </w:rPr>
          <w:t>https://pesquisa.bvsalud.org/portal/resource/pt/lil-504398</w:t>
        </w:r>
      </w:hyperlink>
      <w:r w:rsidRPr="00252A21">
        <w:rPr>
          <w:rFonts w:eastAsia="Calibri"/>
          <w:lang w:val="es-PE" w:eastAsia="en-US"/>
        </w:rPr>
        <w:t xml:space="preserve">  </w:t>
      </w:r>
    </w:p>
    <w:p w14:paraId="2B23682A"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 xml:space="preserve">23. Morales A, Tomczyk S, Orgilés M, Espada JP. </w:t>
      </w:r>
      <w:r w:rsidRPr="00252A21">
        <w:rPr>
          <w:rFonts w:eastAsia="Calibri"/>
          <w:lang w:val="en-US" w:eastAsia="en-US"/>
        </w:rPr>
        <w:t xml:space="preserve">“Who Are at Higher Sexual Risk?” Latent Class Analysis of Behavioral Intentions among Spanish Adolescents. Int J Environ Res Public Health. </w:t>
      </w:r>
      <w:r w:rsidRPr="00252A21">
        <w:rPr>
          <w:rFonts w:eastAsia="Calibri"/>
          <w:lang w:val="es-PE" w:eastAsia="en-US"/>
        </w:rPr>
        <w:t>2021;18(4):1855. DOI: 10.3390/ijerph18041855</w:t>
      </w:r>
    </w:p>
    <w:p w14:paraId="085FCFF4"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 xml:space="preserve">24. Gobierno de España, editor. Vigilancia epidemiológica del VIH y SIDA en España 2019. Madrid: Ministerio de Ciencia e Innovación; 2020. [acceso: 14/01/2022]. Disponible en: </w:t>
      </w:r>
      <w:hyperlink r:id="rId24" w:history="1">
        <w:r w:rsidRPr="00252A21">
          <w:rPr>
            <w:rFonts w:eastAsia="Calibri"/>
            <w:color w:val="0563C1"/>
            <w:lang w:val="es-PE" w:eastAsia="en-US"/>
          </w:rPr>
          <w:t>https://www.isciii.es/QueHacemos/Servicios/VigilanciaSaludPublicaRENAVE/EnfermedadesTransmisibles/Documents/VIH/pdfs%20y%20protocolo/Informe%20VIH_SIDA_20201130.pdf</w:t>
        </w:r>
      </w:hyperlink>
      <w:r w:rsidRPr="00252A21">
        <w:rPr>
          <w:rFonts w:eastAsia="Calibri"/>
          <w:lang w:val="es-PE" w:eastAsia="en-US"/>
        </w:rPr>
        <w:t xml:space="preserve"> </w:t>
      </w:r>
    </w:p>
    <w:p w14:paraId="5EB97C0F" w14:textId="77777777" w:rsidR="00252A21" w:rsidRPr="00252A21" w:rsidRDefault="00252A21" w:rsidP="00252A21">
      <w:pPr>
        <w:spacing w:line="360" w:lineRule="auto"/>
        <w:rPr>
          <w:rFonts w:eastAsia="Calibri"/>
          <w:lang w:val="es-PE" w:eastAsia="en-US"/>
        </w:rPr>
      </w:pPr>
      <w:r w:rsidRPr="00252A21">
        <w:rPr>
          <w:rFonts w:eastAsia="Calibri"/>
          <w:lang w:val="en-US" w:eastAsia="en-US"/>
        </w:rPr>
        <w:t xml:space="preserve">25. Tordoff DM, Zangeneh S, Khosropour CM, Glick SN, McClelland RS, Dimitrov D, et al. Geographic variation in HIV testing among transgender and non-binary adults in the US. J Acquir Immune Defic Syndr 1999. </w:t>
      </w:r>
      <w:r w:rsidRPr="00252A21">
        <w:rPr>
          <w:rFonts w:eastAsia="Calibri"/>
          <w:lang w:val="es-PE" w:eastAsia="en-US"/>
        </w:rPr>
        <w:t>2022; 89(5):489-97. DOI: 10.1097/qai.0000000000002909</w:t>
      </w:r>
    </w:p>
    <w:p w14:paraId="0CD9430A" w14:textId="77777777" w:rsidR="00252A21" w:rsidRPr="00252A21" w:rsidRDefault="00252A21" w:rsidP="00252A21">
      <w:pPr>
        <w:spacing w:line="360" w:lineRule="auto"/>
        <w:rPr>
          <w:rFonts w:eastAsia="Calibri"/>
          <w:lang w:val="es-PE" w:eastAsia="en-US"/>
        </w:rPr>
      </w:pPr>
      <w:r w:rsidRPr="00252A21">
        <w:rPr>
          <w:rFonts w:eastAsia="Calibri"/>
          <w:lang w:val="es-PE" w:eastAsia="en-US"/>
        </w:rPr>
        <w:lastRenderedPageBreak/>
        <w:t xml:space="preserve">26. Verdecia LIB, Acosta LXC, Carrasco AAD. Conocimiento, actitud y uso del condón en hombres que tienen sexo con hombres. Arch Hosp Univ Gen Calixto García. 2015 [acceso: 06/02/2022];3(1):26-36. Disponible en: </w:t>
      </w:r>
      <w:hyperlink r:id="rId25" w:history="1">
        <w:r w:rsidRPr="00252A21">
          <w:rPr>
            <w:rFonts w:eastAsia="Calibri"/>
            <w:color w:val="0563C1"/>
            <w:lang w:val="es-PE" w:eastAsia="en-US"/>
          </w:rPr>
          <w:t>http://www.revcalixto.sld.cu/index.php/ahcg/article/view/74</w:t>
        </w:r>
      </w:hyperlink>
      <w:r w:rsidRPr="00252A21">
        <w:rPr>
          <w:rFonts w:eastAsia="Calibri"/>
          <w:lang w:val="es-PE" w:eastAsia="en-US"/>
        </w:rPr>
        <w:t xml:space="preserve"> </w:t>
      </w:r>
    </w:p>
    <w:p w14:paraId="05ED8637" w14:textId="77777777" w:rsidR="00252A21" w:rsidRPr="00252A21" w:rsidRDefault="00252A21" w:rsidP="00252A21">
      <w:pPr>
        <w:spacing w:line="360" w:lineRule="auto"/>
        <w:rPr>
          <w:rFonts w:eastAsia="Calibri"/>
          <w:lang w:val="es-PE" w:eastAsia="en-US"/>
        </w:rPr>
      </w:pPr>
      <w:r w:rsidRPr="00252A21">
        <w:rPr>
          <w:rFonts w:eastAsia="Calibri"/>
          <w:lang w:val="en-US" w:eastAsia="en-US"/>
        </w:rPr>
        <w:t xml:space="preserve">27. Kawale P, Mindry D, Phoya A, Jansen P, Hoffman RM. Provider attitudes about childbearing and knowledge of safer conception at two HIV clinics in Malawi. </w:t>
      </w:r>
      <w:r w:rsidRPr="00252A21">
        <w:rPr>
          <w:rFonts w:eastAsia="Calibri"/>
          <w:lang w:val="es-CU" w:eastAsia="en-US"/>
        </w:rPr>
        <w:t xml:space="preserve">Reprod Health. 2015; 12:17. </w:t>
      </w:r>
      <w:r w:rsidRPr="00252A21">
        <w:rPr>
          <w:rFonts w:eastAsia="Calibri"/>
          <w:lang w:val="es-PE" w:eastAsia="en-US"/>
        </w:rPr>
        <w:t>DOI: 10.1186/s12978-015-0004-0</w:t>
      </w:r>
    </w:p>
    <w:p w14:paraId="0442AC93"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 xml:space="preserve">28. Mendoza J, Ortiz Hernández L, Román R, Rojas A. Principales resultados del diagnóstico situacional de personas LGBTIQ de México. Ciudad México: Casa Abierta al Tiempo, Universidad Autónoma Metropolitana, Compañeros, Inspira, RMX; 2015. [acceso: 24/02/2022]. Disponible en: </w:t>
      </w:r>
      <w:hyperlink r:id="rId26" w:history="1">
        <w:r w:rsidRPr="00252A21">
          <w:rPr>
            <w:rFonts w:eastAsia="Calibri"/>
            <w:color w:val="0563C1"/>
            <w:lang w:val="es-PE" w:eastAsia="en-US"/>
          </w:rPr>
          <w:t>https://www.academia.edu/18890248/Principales_Resultados_del_Diagn%C3%B3stico_situacional_de_personas_lesbianas_gays_bisexuales_transg%C3%A9nero_travestis_transexuales_intersexuales_y_queers_de_M%C3%A9xico_2015_Primera_parte</w:t>
        </w:r>
      </w:hyperlink>
      <w:r w:rsidRPr="00252A21">
        <w:rPr>
          <w:rFonts w:eastAsia="Calibri"/>
          <w:lang w:val="es-PE" w:eastAsia="en-US"/>
        </w:rPr>
        <w:t xml:space="preserve"> </w:t>
      </w:r>
    </w:p>
    <w:p w14:paraId="0CE3268C" w14:textId="77777777" w:rsidR="00252A21" w:rsidRPr="00252A21" w:rsidRDefault="00252A21" w:rsidP="00252A21">
      <w:pPr>
        <w:spacing w:line="360" w:lineRule="auto"/>
        <w:rPr>
          <w:rFonts w:eastAsia="Calibri"/>
          <w:lang w:val="en-US" w:eastAsia="en-US"/>
        </w:rPr>
      </w:pPr>
      <w:r w:rsidRPr="00252A21">
        <w:rPr>
          <w:rFonts w:eastAsia="Calibri"/>
          <w:lang w:val="en-US" w:eastAsia="en-US"/>
        </w:rPr>
        <w:t>29. Reynolds CA, Charlton BM. Sexual Behavior and Contraceptive Use Among Cisgender and Gender Minority College Students Who Were Assigned Female at Birth. J Pediatr Adolesc Gynecol. 2021; 34(4):477-83. DOI: 10.1016/j.jpag.2021.03.009</w:t>
      </w:r>
    </w:p>
    <w:p w14:paraId="014A839B" w14:textId="77777777" w:rsidR="00252A21" w:rsidRPr="00252A21" w:rsidRDefault="00252A21" w:rsidP="00252A21">
      <w:pPr>
        <w:spacing w:line="360" w:lineRule="auto"/>
        <w:rPr>
          <w:rFonts w:eastAsia="Calibri"/>
          <w:lang w:val="es-PE" w:eastAsia="en-US"/>
        </w:rPr>
      </w:pPr>
      <w:r w:rsidRPr="00252A21">
        <w:rPr>
          <w:rFonts w:eastAsia="Calibri"/>
          <w:lang w:val="en-US" w:eastAsia="en-US"/>
        </w:rPr>
        <w:t xml:space="preserve">30. Satcher MF, Segura ER, Silva-Santisteban A, Sanchez J, Lama JR, Clark JL. Partner-Level Factors Associated with Insertive and Receptive Condomless Anal Intercourse Among Transgender Women in Lima, Peru. AIDS Behav. </w:t>
      </w:r>
      <w:r w:rsidRPr="00252A21">
        <w:rPr>
          <w:rFonts w:eastAsia="Calibri"/>
          <w:lang w:val="es-PE" w:eastAsia="en-US"/>
        </w:rPr>
        <w:t>2017; 21(8):2439-51. DOI: 10.1007/s10461-016-1503-x</w:t>
      </w:r>
    </w:p>
    <w:p w14:paraId="22A7945F" w14:textId="77777777" w:rsidR="00252A21" w:rsidRPr="00252A21" w:rsidRDefault="00252A21" w:rsidP="00252A21">
      <w:pPr>
        <w:spacing w:line="360" w:lineRule="auto"/>
        <w:rPr>
          <w:rFonts w:eastAsia="Calibri"/>
          <w:lang w:val="es-PE" w:eastAsia="en-US"/>
        </w:rPr>
      </w:pPr>
      <w:r w:rsidRPr="00252A21">
        <w:rPr>
          <w:rFonts w:eastAsia="Calibri"/>
          <w:lang w:val="es-PE" w:eastAsia="en-US"/>
        </w:rPr>
        <w:t>31. Rodríguez L, Facal T. Mujeres que tienen sexo con mujeres (MSM): miradas cercanas y lejanas del contexto mexicano de Nuevo León. Alternativas: Cuadernos de trabajo social. 2021; 28(1):23-45. DOI: 10.14198/ALTERN2021.28.1.02</w:t>
      </w:r>
    </w:p>
    <w:p w14:paraId="11F3C9CC" w14:textId="77777777" w:rsidR="00252A21" w:rsidRPr="00252A21" w:rsidRDefault="00252A21" w:rsidP="00252A21">
      <w:pPr>
        <w:spacing w:line="360" w:lineRule="auto"/>
        <w:jc w:val="both"/>
        <w:rPr>
          <w:rFonts w:eastAsia="Calibri"/>
          <w:b/>
          <w:bCs/>
          <w:lang w:val="es-PE" w:eastAsia="en-US"/>
        </w:rPr>
      </w:pPr>
    </w:p>
    <w:p w14:paraId="50914873" w14:textId="77777777" w:rsidR="00252A21" w:rsidRPr="00252A21" w:rsidRDefault="00252A21" w:rsidP="00252A21">
      <w:pPr>
        <w:spacing w:line="360" w:lineRule="auto"/>
        <w:jc w:val="both"/>
        <w:rPr>
          <w:rFonts w:eastAsia="Calibri"/>
          <w:b/>
          <w:bCs/>
          <w:lang w:val="es-PE" w:eastAsia="en-US"/>
        </w:rPr>
      </w:pPr>
    </w:p>
    <w:p w14:paraId="709541D9" w14:textId="77777777" w:rsidR="00252A21" w:rsidRPr="00252A21" w:rsidRDefault="00252A21" w:rsidP="00252A21">
      <w:pPr>
        <w:spacing w:line="360" w:lineRule="auto"/>
        <w:jc w:val="center"/>
        <w:rPr>
          <w:rFonts w:eastAsia="Calibri"/>
          <w:b/>
          <w:bCs/>
          <w:lang w:val="es-PE" w:eastAsia="en-US"/>
        </w:rPr>
      </w:pPr>
      <w:r w:rsidRPr="00252A21">
        <w:rPr>
          <w:rFonts w:eastAsia="Calibri"/>
          <w:b/>
          <w:bCs/>
          <w:lang w:val="es-PE" w:eastAsia="en-US"/>
        </w:rPr>
        <w:t>Conflictos de interés</w:t>
      </w:r>
    </w:p>
    <w:p w14:paraId="290C10BA" w14:textId="77777777" w:rsidR="00252A21" w:rsidRPr="00252A21" w:rsidRDefault="00252A21" w:rsidP="00252A21">
      <w:pPr>
        <w:spacing w:line="360" w:lineRule="auto"/>
        <w:jc w:val="both"/>
        <w:rPr>
          <w:rFonts w:eastAsia="Calibri"/>
          <w:lang w:val="es-PE" w:eastAsia="en-US"/>
        </w:rPr>
      </w:pPr>
      <w:r w:rsidRPr="00252A21">
        <w:rPr>
          <w:rFonts w:eastAsia="Calibri"/>
          <w:lang w:val="es-PE" w:eastAsia="en-US"/>
        </w:rPr>
        <w:t>Los autores declaramos que no presentamos conflictos de interés</w:t>
      </w:r>
      <w:bookmarkEnd w:id="4"/>
      <w:bookmarkEnd w:id="5"/>
      <w:r w:rsidRPr="00252A21">
        <w:rPr>
          <w:rFonts w:eastAsia="Calibri"/>
          <w:lang w:val="es-PE" w:eastAsia="en-US"/>
        </w:rPr>
        <w:t>.</w:t>
      </w:r>
    </w:p>
    <w:p w14:paraId="4EEA82D1" w14:textId="77777777" w:rsidR="00252A21" w:rsidRPr="00252A21" w:rsidRDefault="00252A21" w:rsidP="00252A21">
      <w:pPr>
        <w:spacing w:line="360" w:lineRule="auto"/>
        <w:jc w:val="both"/>
        <w:rPr>
          <w:rFonts w:eastAsia="Calibri"/>
          <w:b/>
          <w:bCs/>
          <w:lang w:val="es-PE" w:eastAsia="en-US"/>
        </w:rPr>
      </w:pPr>
    </w:p>
    <w:p w14:paraId="15A95E33" w14:textId="77777777" w:rsidR="00252A21" w:rsidRPr="00252A21" w:rsidRDefault="00252A21" w:rsidP="00252A21">
      <w:pPr>
        <w:spacing w:line="360" w:lineRule="auto"/>
        <w:jc w:val="center"/>
        <w:rPr>
          <w:rFonts w:eastAsia="Calibri"/>
          <w:b/>
          <w:bCs/>
          <w:lang w:val="es-PE" w:eastAsia="en-US"/>
        </w:rPr>
      </w:pPr>
      <w:r w:rsidRPr="00252A21">
        <w:rPr>
          <w:rFonts w:eastAsia="Calibri"/>
          <w:b/>
          <w:bCs/>
          <w:lang w:val="es-PE" w:eastAsia="en-US"/>
        </w:rPr>
        <w:t>Contribuciones de los autores</w:t>
      </w:r>
    </w:p>
    <w:p w14:paraId="1D8F8EF0" w14:textId="77777777" w:rsidR="00252A21" w:rsidRPr="00252A21" w:rsidRDefault="00252A21" w:rsidP="00252A21">
      <w:pPr>
        <w:spacing w:line="360" w:lineRule="auto"/>
        <w:rPr>
          <w:lang w:val="es-PE" w:eastAsia="en-US"/>
        </w:rPr>
      </w:pPr>
      <w:r w:rsidRPr="00252A21">
        <w:rPr>
          <w:lang w:val="es-PE" w:eastAsia="en-US"/>
        </w:rPr>
        <w:t xml:space="preserve">Conceptualización: </w:t>
      </w:r>
      <w:r w:rsidRPr="00252A21">
        <w:rPr>
          <w:i/>
          <w:iCs/>
          <w:lang w:val="es-PE" w:eastAsia="en-US"/>
        </w:rPr>
        <w:t>Mary Carmen Guillén-Contreras</w:t>
      </w:r>
      <w:r w:rsidRPr="00252A21">
        <w:rPr>
          <w:i/>
          <w:lang w:val="es-PE" w:eastAsia="en-US"/>
        </w:rPr>
        <w:t xml:space="preserve">, </w:t>
      </w:r>
      <w:r w:rsidRPr="00252A21">
        <w:rPr>
          <w:rFonts w:eastAsia="Calibri"/>
          <w:i/>
          <w:iCs/>
          <w:lang w:val="es-CU" w:eastAsia="en-US"/>
        </w:rPr>
        <w:t>Victor Hugo Moquillaza-Alcantara</w:t>
      </w:r>
      <w:r w:rsidRPr="00252A21">
        <w:rPr>
          <w:i/>
          <w:lang w:val="es-PE" w:eastAsia="en-US"/>
        </w:rPr>
        <w:t>.</w:t>
      </w:r>
    </w:p>
    <w:p w14:paraId="276B60CF" w14:textId="77777777" w:rsidR="00252A21" w:rsidRPr="00252A21" w:rsidRDefault="00252A21" w:rsidP="00252A21">
      <w:pPr>
        <w:spacing w:line="360" w:lineRule="auto"/>
        <w:rPr>
          <w:i/>
          <w:lang w:val="es-PE" w:eastAsia="en-US"/>
        </w:rPr>
      </w:pPr>
      <w:r w:rsidRPr="00252A21">
        <w:rPr>
          <w:lang w:val="es-PE" w:eastAsia="en-US"/>
        </w:rPr>
        <w:lastRenderedPageBreak/>
        <w:t xml:space="preserve">Curación de datos: </w:t>
      </w:r>
      <w:r w:rsidRPr="00252A21">
        <w:rPr>
          <w:i/>
          <w:iCs/>
          <w:lang w:val="es-PE" w:eastAsia="en-US"/>
        </w:rPr>
        <w:t>Mary Carmen Guillén-Contreras</w:t>
      </w:r>
      <w:r w:rsidRPr="00252A21">
        <w:rPr>
          <w:i/>
          <w:lang w:val="es-PE" w:eastAsia="en-US"/>
        </w:rPr>
        <w:t>, Yuly Santos-Rosales.</w:t>
      </w:r>
    </w:p>
    <w:p w14:paraId="5D6DB3F3" w14:textId="77777777" w:rsidR="00252A21" w:rsidRPr="00252A21" w:rsidRDefault="00252A21" w:rsidP="00252A21">
      <w:pPr>
        <w:spacing w:line="360" w:lineRule="auto"/>
        <w:rPr>
          <w:i/>
          <w:lang w:val="es-PE" w:eastAsia="en-US"/>
        </w:rPr>
      </w:pPr>
      <w:r w:rsidRPr="00252A21">
        <w:rPr>
          <w:lang w:val="es-PE" w:eastAsia="en-US"/>
        </w:rPr>
        <w:t xml:space="preserve">Análisis formal: </w:t>
      </w:r>
      <w:r w:rsidRPr="00252A21">
        <w:rPr>
          <w:rFonts w:eastAsia="Calibri"/>
          <w:i/>
          <w:iCs/>
          <w:lang w:val="es-CU" w:eastAsia="en-US"/>
        </w:rPr>
        <w:t>Victor Hugo Moquillaza-Alcantara</w:t>
      </w:r>
      <w:r w:rsidRPr="00252A21">
        <w:rPr>
          <w:i/>
          <w:iCs/>
          <w:lang w:val="es-PE" w:eastAsia="en-US"/>
        </w:rPr>
        <w:t>.</w:t>
      </w:r>
    </w:p>
    <w:p w14:paraId="549D4772" w14:textId="77777777" w:rsidR="00252A21" w:rsidRPr="00252A21" w:rsidRDefault="00252A21" w:rsidP="00252A21">
      <w:pPr>
        <w:spacing w:line="360" w:lineRule="auto"/>
        <w:rPr>
          <w:i/>
          <w:lang w:val="es-PE" w:eastAsia="en-US"/>
        </w:rPr>
      </w:pPr>
      <w:r w:rsidRPr="00252A21">
        <w:rPr>
          <w:lang w:val="es-PE" w:eastAsia="en-US"/>
        </w:rPr>
        <w:t xml:space="preserve">Adquisición de fondos: </w:t>
      </w:r>
      <w:r w:rsidRPr="00252A21">
        <w:rPr>
          <w:rFonts w:eastAsia="Calibri"/>
          <w:i/>
          <w:iCs/>
          <w:lang w:val="es-CU" w:eastAsia="en-US"/>
        </w:rPr>
        <w:t>Mary Carmen Guillén-Contreras</w:t>
      </w:r>
      <w:r w:rsidRPr="00252A21">
        <w:rPr>
          <w:i/>
          <w:iCs/>
          <w:lang w:val="es-PE" w:eastAsia="en-US"/>
        </w:rPr>
        <w:t>.</w:t>
      </w:r>
    </w:p>
    <w:p w14:paraId="30CAB5E9" w14:textId="77777777" w:rsidR="00252A21" w:rsidRPr="00252A21" w:rsidRDefault="00252A21" w:rsidP="00252A21">
      <w:pPr>
        <w:spacing w:line="360" w:lineRule="auto"/>
        <w:rPr>
          <w:lang w:val="es-PE" w:eastAsia="en-US"/>
        </w:rPr>
      </w:pPr>
      <w:r w:rsidRPr="00252A21">
        <w:rPr>
          <w:lang w:val="es-PE" w:eastAsia="en-US"/>
        </w:rPr>
        <w:t xml:space="preserve">Investigación: </w:t>
      </w:r>
      <w:r w:rsidRPr="00252A21">
        <w:rPr>
          <w:i/>
          <w:iCs/>
          <w:lang w:val="es-PE" w:eastAsia="en-US"/>
        </w:rPr>
        <w:t>Mary Carmen Guillén-Contreras</w:t>
      </w:r>
      <w:r w:rsidRPr="00252A21">
        <w:rPr>
          <w:i/>
          <w:lang w:val="es-PE" w:eastAsia="en-US"/>
        </w:rPr>
        <w:t>,</w:t>
      </w:r>
      <w:r w:rsidRPr="00252A21">
        <w:rPr>
          <w:lang w:val="es-PE" w:eastAsia="en-US"/>
        </w:rPr>
        <w:t xml:space="preserve"> </w:t>
      </w:r>
      <w:r w:rsidRPr="00252A21">
        <w:rPr>
          <w:i/>
          <w:lang w:val="es-PE" w:eastAsia="en-US"/>
        </w:rPr>
        <w:t xml:space="preserve">Yuly Santos-Rosales, </w:t>
      </w:r>
      <w:r w:rsidRPr="00252A21">
        <w:rPr>
          <w:rFonts w:eastAsia="Calibri"/>
          <w:i/>
          <w:iCs/>
          <w:lang w:val="es-CU" w:eastAsia="en-US"/>
        </w:rPr>
        <w:t>Victor Hugo Moquillaza-Alcantara</w:t>
      </w:r>
      <w:r w:rsidRPr="00252A21">
        <w:rPr>
          <w:i/>
          <w:lang w:val="es-PE" w:eastAsia="en-US"/>
        </w:rPr>
        <w:t>.</w:t>
      </w:r>
    </w:p>
    <w:p w14:paraId="6BB168C9" w14:textId="77777777" w:rsidR="00252A21" w:rsidRPr="00252A21" w:rsidRDefault="00252A21" w:rsidP="00252A21">
      <w:pPr>
        <w:spacing w:line="360" w:lineRule="auto"/>
        <w:rPr>
          <w:lang w:val="es-PE" w:eastAsia="en-US"/>
        </w:rPr>
      </w:pPr>
      <w:r w:rsidRPr="00252A21">
        <w:rPr>
          <w:lang w:val="es-PE" w:eastAsia="en-US"/>
        </w:rPr>
        <w:t xml:space="preserve">Metodología: </w:t>
      </w:r>
      <w:r w:rsidRPr="00252A21">
        <w:rPr>
          <w:rFonts w:eastAsia="Calibri"/>
          <w:i/>
          <w:iCs/>
          <w:lang w:val="es-CU" w:eastAsia="en-US"/>
        </w:rPr>
        <w:t>Mary Carmen Guillén-Contreras</w:t>
      </w:r>
      <w:r w:rsidRPr="00252A21">
        <w:rPr>
          <w:i/>
          <w:lang w:val="es-PE" w:eastAsia="en-US"/>
        </w:rPr>
        <w:t xml:space="preserve">, Yuly Santos-Rosales, </w:t>
      </w:r>
      <w:r w:rsidRPr="00252A21">
        <w:rPr>
          <w:rFonts w:eastAsia="Calibri"/>
          <w:i/>
          <w:iCs/>
          <w:lang w:val="es-CU" w:eastAsia="en-US"/>
        </w:rPr>
        <w:t>Victor Hugo Moquillaza-Alcantara</w:t>
      </w:r>
      <w:r w:rsidRPr="00252A21">
        <w:rPr>
          <w:i/>
          <w:lang w:val="es-PE" w:eastAsia="en-US"/>
        </w:rPr>
        <w:t>.</w:t>
      </w:r>
    </w:p>
    <w:p w14:paraId="100DC941" w14:textId="77777777" w:rsidR="00252A21" w:rsidRPr="00252A21" w:rsidRDefault="00252A21" w:rsidP="00252A21">
      <w:pPr>
        <w:spacing w:line="360" w:lineRule="auto"/>
        <w:rPr>
          <w:i/>
          <w:lang w:val="es-PE" w:eastAsia="en-US"/>
        </w:rPr>
      </w:pPr>
      <w:r w:rsidRPr="00252A21">
        <w:rPr>
          <w:lang w:val="es-PE" w:eastAsia="en-US"/>
        </w:rPr>
        <w:t xml:space="preserve">Administración del proyecto: </w:t>
      </w:r>
      <w:r w:rsidRPr="00252A21">
        <w:rPr>
          <w:rFonts w:eastAsia="Calibri"/>
          <w:i/>
          <w:iCs/>
          <w:lang w:val="es-CU" w:eastAsia="en-US"/>
        </w:rPr>
        <w:t>Mary Carmen Guillén-Contreras</w:t>
      </w:r>
      <w:r w:rsidRPr="00252A21">
        <w:rPr>
          <w:i/>
          <w:lang w:val="es-PE" w:eastAsia="en-US"/>
        </w:rPr>
        <w:t>, Yuly Santos-Rosales.</w:t>
      </w:r>
    </w:p>
    <w:p w14:paraId="7BEE7B2E" w14:textId="77777777" w:rsidR="00252A21" w:rsidRPr="00252A21" w:rsidRDefault="00252A21" w:rsidP="00252A21">
      <w:pPr>
        <w:spacing w:line="360" w:lineRule="auto"/>
        <w:rPr>
          <w:i/>
          <w:lang w:val="es-PE" w:eastAsia="en-US"/>
        </w:rPr>
      </w:pPr>
      <w:r w:rsidRPr="00252A21">
        <w:rPr>
          <w:lang w:val="es-PE" w:eastAsia="en-US"/>
        </w:rPr>
        <w:t xml:space="preserve">Recursos materiales: </w:t>
      </w:r>
      <w:r w:rsidRPr="00252A21">
        <w:rPr>
          <w:rFonts w:eastAsia="Calibri"/>
          <w:i/>
          <w:iCs/>
          <w:lang w:val="es-CU" w:eastAsia="en-US"/>
        </w:rPr>
        <w:t>Mary Carmen Guillén-Contreras</w:t>
      </w:r>
      <w:r w:rsidRPr="00252A21">
        <w:rPr>
          <w:i/>
          <w:iCs/>
          <w:lang w:val="es-PE" w:eastAsia="en-US"/>
        </w:rPr>
        <w:t>.</w:t>
      </w:r>
    </w:p>
    <w:p w14:paraId="06F8993D" w14:textId="77777777" w:rsidR="00252A21" w:rsidRPr="00252A21" w:rsidRDefault="00252A21" w:rsidP="00252A21">
      <w:pPr>
        <w:spacing w:line="360" w:lineRule="auto"/>
        <w:rPr>
          <w:i/>
          <w:lang w:val="es-PE" w:eastAsia="en-US"/>
        </w:rPr>
      </w:pPr>
      <w:r w:rsidRPr="00252A21">
        <w:rPr>
          <w:lang w:val="es-PE" w:eastAsia="en-US"/>
        </w:rPr>
        <w:t xml:space="preserve">Software: </w:t>
      </w:r>
      <w:r w:rsidRPr="00252A21">
        <w:rPr>
          <w:rFonts w:eastAsia="Calibri"/>
          <w:i/>
          <w:iCs/>
          <w:lang w:val="es-CU" w:eastAsia="en-US"/>
        </w:rPr>
        <w:t>Victor Hugo Moquillaza-Alcantara</w:t>
      </w:r>
      <w:r w:rsidRPr="00252A21">
        <w:rPr>
          <w:i/>
          <w:lang w:val="es-PE" w:eastAsia="en-US"/>
        </w:rPr>
        <w:t>.</w:t>
      </w:r>
    </w:p>
    <w:p w14:paraId="0A1B60A7" w14:textId="77777777" w:rsidR="00252A21" w:rsidRPr="00252A21" w:rsidRDefault="00252A21" w:rsidP="00252A21">
      <w:pPr>
        <w:spacing w:line="360" w:lineRule="auto"/>
        <w:rPr>
          <w:i/>
          <w:lang w:val="es-PE" w:eastAsia="en-US"/>
        </w:rPr>
      </w:pPr>
      <w:r w:rsidRPr="00252A21">
        <w:rPr>
          <w:lang w:val="es-PE" w:eastAsia="en-US"/>
        </w:rPr>
        <w:t xml:space="preserve">Validación: </w:t>
      </w:r>
      <w:r w:rsidRPr="00252A21">
        <w:rPr>
          <w:rFonts w:eastAsia="Calibri"/>
          <w:i/>
          <w:iCs/>
          <w:lang w:val="es-CU" w:eastAsia="en-US"/>
        </w:rPr>
        <w:t>Mary Carmen Guillén-Contreras</w:t>
      </w:r>
      <w:r w:rsidRPr="00252A21">
        <w:rPr>
          <w:i/>
          <w:lang w:val="es-PE" w:eastAsia="en-US"/>
        </w:rPr>
        <w:t>, Yuly Santos-Rosales.</w:t>
      </w:r>
    </w:p>
    <w:p w14:paraId="57578F94" w14:textId="77777777" w:rsidR="00252A21" w:rsidRPr="00252A21" w:rsidRDefault="00252A21" w:rsidP="00252A21">
      <w:pPr>
        <w:spacing w:line="360" w:lineRule="auto"/>
        <w:rPr>
          <w:i/>
          <w:lang w:val="es-PE" w:eastAsia="en-US"/>
        </w:rPr>
      </w:pPr>
      <w:r w:rsidRPr="00252A21">
        <w:rPr>
          <w:lang w:val="es-PE" w:eastAsia="en-US"/>
        </w:rPr>
        <w:t xml:space="preserve">Visualización: </w:t>
      </w:r>
      <w:r w:rsidRPr="00252A21">
        <w:rPr>
          <w:rFonts w:eastAsia="Calibri"/>
          <w:i/>
          <w:iCs/>
          <w:lang w:val="es-CU" w:eastAsia="en-US"/>
        </w:rPr>
        <w:t>Victor Hugo Moquillaza-Alcantara</w:t>
      </w:r>
      <w:r w:rsidRPr="00252A21">
        <w:rPr>
          <w:i/>
          <w:lang w:val="es-PE" w:eastAsia="en-US"/>
        </w:rPr>
        <w:t>.</w:t>
      </w:r>
    </w:p>
    <w:p w14:paraId="552C0159" w14:textId="77777777" w:rsidR="00252A21" w:rsidRPr="00252A21" w:rsidRDefault="00252A21" w:rsidP="00252A21">
      <w:pPr>
        <w:spacing w:line="360" w:lineRule="auto"/>
        <w:rPr>
          <w:i/>
          <w:lang w:val="es-PE" w:eastAsia="en-US"/>
        </w:rPr>
      </w:pPr>
      <w:r w:rsidRPr="00252A21">
        <w:rPr>
          <w:lang w:val="es-PE" w:eastAsia="en-US"/>
        </w:rPr>
        <w:t xml:space="preserve">Redacción – borrador original: </w:t>
      </w:r>
      <w:r w:rsidRPr="00252A21">
        <w:rPr>
          <w:rFonts w:eastAsia="Calibri"/>
          <w:i/>
          <w:iCs/>
          <w:lang w:val="es-CU" w:eastAsia="en-US"/>
        </w:rPr>
        <w:t>Mary Carmen Guillén-Contreras</w:t>
      </w:r>
      <w:r w:rsidRPr="00252A21">
        <w:rPr>
          <w:i/>
          <w:lang w:val="es-PE" w:eastAsia="en-US"/>
        </w:rPr>
        <w:t xml:space="preserve">, Yuly Santos-Rosales, </w:t>
      </w:r>
      <w:r w:rsidRPr="00252A21">
        <w:rPr>
          <w:rFonts w:eastAsia="Calibri"/>
          <w:i/>
          <w:iCs/>
          <w:lang w:val="es-CU" w:eastAsia="en-US"/>
        </w:rPr>
        <w:t>Victor Hugo Moquillaza-Alcantara</w:t>
      </w:r>
      <w:r w:rsidRPr="00252A21">
        <w:rPr>
          <w:i/>
          <w:lang w:val="es-PE" w:eastAsia="en-US"/>
        </w:rPr>
        <w:t>.</w:t>
      </w:r>
    </w:p>
    <w:p w14:paraId="143C9258" w14:textId="77777777" w:rsidR="00252A21" w:rsidRPr="00252A21" w:rsidRDefault="00252A21" w:rsidP="00252A21">
      <w:pPr>
        <w:spacing w:line="360" w:lineRule="auto"/>
        <w:rPr>
          <w:i/>
          <w:lang w:val="es-PE" w:eastAsia="en-US"/>
        </w:rPr>
      </w:pPr>
      <w:r w:rsidRPr="00252A21">
        <w:rPr>
          <w:lang w:val="es-PE" w:eastAsia="en-US"/>
        </w:rPr>
        <w:t xml:space="preserve">Redacción – revisión y edición: </w:t>
      </w:r>
      <w:r w:rsidRPr="00252A21">
        <w:rPr>
          <w:rFonts w:eastAsia="Calibri"/>
          <w:i/>
          <w:iCs/>
          <w:lang w:val="es-CU" w:eastAsia="en-US"/>
        </w:rPr>
        <w:t>Mary Carmen Guillén-Contreras</w:t>
      </w:r>
      <w:r w:rsidRPr="00252A21">
        <w:rPr>
          <w:i/>
          <w:lang w:val="es-PE" w:eastAsia="en-US"/>
        </w:rPr>
        <w:t xml:space="preserve">, Yuly Santos, </w:t>
      </w:r>
      <w:r w:rsidRPr="00252A21">
        <w:rPr>
          <w:rFonts w:eastAsia="Calibri"/>
          <w:i/>
          <w:iCs/>
          <w:lang w:val="es-CU" w:eastAsia="en-US"/>
        </w:rPr>
        <w:t>Victor Hugo Moquillaza-Alcantara</w:t>
      </w:r>
      <w:r w:rsidRPr="00252A21">
        <w:rPr>
          <w:i/>
          <w:lang w:val="es-PE" w:eastAsia="en-US"/>
        </w:rPr>
        <w:t>.</w:t>
      </w:r>
    </w:p>
    <w:p w14:paraId="72C6F9BB" w14:textId="77777777" w:rsidR="00252A21" w:rsidRPr="00252A21" w:rsidRDefault="00252A21" w:rsidP="00252A21">
      <w:pPr>
        <w:spacing w:line="360" w:lineRule="auto"/>
        <w:jc w:val="both"/>
        <w:rPr>
          <w:rFonts w:eastAsia="Calibri"/>
          <w:b/>
          <w:bCs/>
          <w:lang w:val="es-PE" w:eastAsia="en-US"/>
        </w:rPr>
      </w:pPr>
    </w:p>
    <w:p w14:paraId="324192CD" w14:textId="77777777" w:rsidR="00675476" w:rsidRPr="00252A21" w:rsidRDefault="00675476" w:rsidP="00EA1FEF">
      <w:pPr>
        <w:pStyle w:val="PDFRevista"/>
        <w:rPr>
          <w:lang w:val="es-PE"/>
        </w:rPr>
      </w:pPr>
    </w:p>
    <w:sectPr w:rsidR="00675476" w:rsidRPr="00252A21"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B45CC" w14:textId="77777777" w:rsidR="0055281E" w:rsidRDefault="0055281E">
      <w:r>
        <w:separator/>
      </w:r>
    </w:p>
  </w:endnote>
  <w:endnote w:type="continuationSeparator" w:id="0">
    <w:p w14:paraId="3A25F80F" w14:textId="77777777" w:rsidR="0055281E" w:rsidRDefault="00552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108A4D0t00">
    <w:altName w:val="Times New Roman"/>
    <w:panose1 w:val="00000000000000000000"/>
    <w:charset w:val="00"/>
    <w:family w:val="roman"/>
    <w:notTrueType/>
    <w:pitch w:val="default"/>
  </w:font>
  <w:font w:name="MS Reference Sans Serif">
    <w:panose1 w:val="020B0604030504040204"/>
    <w:charset w:val="00"/>
    <w:family w:val="swiss"/>
    <w:pitch w:val="variable"/>
    <w:sig w:usb0="20000287"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B24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8721E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CFE3" w14:textId="7EF4DFFA" w:rsidR="000F3690" w:rsidRPr="00AE044C" w:rsidRDefault="00252A2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F65AE10" wp14:editId="113D7D19">
              <wp:simplePos x="0" y="0"/>
              <wp:positionH relativeFrom="column">
                <wp:posOffset>3810</wp:posOffset>
              </wp:positionH>
              <wp:positionV relativeFrom="paragraph">
                <wp:posOffset>50165</wp:posOffset>
              </wp:positionV>
              <wp:extent cx="6286500" cy="19050"/>
              <wp:effectExtent l="19050" t="19050" r="0" b="0"/>
              <wp:wrapNone/>
              <wp:docPr id="1717266958"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B3B8FB"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9EEF702"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F86BC66"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EF6897E" w14:textId="3EFA6B06"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252A21" w:rsidRPr="00252A21">
      <w:rPr>
        <w:rFonts w:ascii="Verdana" w:hAnsi="Verdana"/>
        <w:noProof/>
        <w:sz w:val="18"/>
        <w:szCs w:val="18"/>
        <w:lang w:val="en-US" w:eastAsia="en-US"/>
      </w:rPr>
      <w:drawing>
        <wp:inline distT="0" distB="0" distL="0" distR="0" wp14:anchorId="4AD34BC4" wp14:editId="097DED04">
          <wp:extent cx="643890" cy="146050"/>
          <wp:effectExtent l="0" t="0" r="0" b="0"/>
          <wp:docPr id="236080737"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FFCF9" w14:textId="77777777" w:rsidR="0055281E" w:rsidRDefault="0055281E">
      <w:r>
        <w:separator/>
      </w:r>
    </w:p>
  </w:footnote>
  <w:footnote w:type="continuationSeparator" w:id="0">
    <w:p w14:paraId="6B3880DC" w14:textId="77777777" w:rsidR="0055281E" w:rsidRDefault="00552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AC9D" w14:textId="042738BF" w:rsidR="00CC376A" w:rsidRPr="00AE044C" w:rsidRDefault="00252A2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19C239B6" wp14:editId="7C70883B">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e02302665</w:t>
    </w:r>
  </w:p>
  <w:p w14:paraId="4348EAE3" w14:textId="7457F812" w:rsidR="00A477DE" w:rsidRDefault="00252A21">
    <w:r>
      <w:rPr>
        <w:noProof/>
      </w:rPr>
      <mc:AlternateContent>
        <mc:Choice Requires="wps">
          <w:drawing>
            <wp:anchor distT="0" distB="0" distL="114300" distR="114300" simplePos="0" relativeHeight="251654144" behindDoc="0" locked="0" layoutInCell="1" allowOverlap="1" wp14:anchorId="4B2CC3F0" wp14:editId="614A241B">
              <wp:simplePos x="0" y="0"/>
              <wp:positionH relativeFrom="column">
                <wp:posOffset>635</wp:posOffset>
              </wp:positionH>
              <wp:positionV relativeFrom="paragraph">
                <wp:posOffset>42545</wp:posOffset>
              </wp:positionV>
              <wp:extent cx="6307455" cy="28575"/>
              <wp:effectExtent l="19050" t="19050" r="17145" b="9525"/>
              <wp:wrapNone/>
              <wp:docPr id="159855478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918051"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8F8C76A"/>
    <w:lvl w:ilvl="0" w:tplc="6BA87824">
      <w:start w:val="1"/>
      <w:numFmt w:val="bullet"/>
      <w:lvlText w:val="­"/>
      <w:lvlJc w:val="left"/>
      <w:pPr>
        <w:ind w:left="360" w:hanging="360"/>
      </w:pPr>
      <w:rPr>
        <w:rFonts w:ascii="Courier New" w:hAnsi="Courier New" w:cs="Times New Roman"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1" w15:restartNumberingAfterBreak="0">
    <w:nsid w:val="00000002"/>
    <w:multiLevelType w:val="hybridMultilevel"/>
    <w:tmpl w:val="5CA49D22"/>
    <w:lvl w:ilvl="0" w:tplc="A10E2868">
      <w:start w:val="1"/>
      <w:numFmt w:val="decimal"/>
      <w:lvlText w:val="%1."/>
      <w:lvlJc w:val="left"/>
      <w:pPr>
        <w:ind w:left="644" w:hanging="360"/>
      </w:pPr>
      <w:rPr>
        <w:b w:val="0"/>
        <w:bCs w:val="0"/>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 w15:restartNumberingAfterBreak="0">
    <w:nsid w:val="00000003"/>
    <w:multiLevelType w:val="hybridMultilevel"/>
    <w:tmpl w:val="6C94063A"/>
    <w:lvl w:ilvl="0" w:tplc="220EDF72">
      <w:start w:val="1"/>
      <w:numFmt w:val="decimal"/>
      <w:lvlText w:val="%1."/>
      <w:lvlJc w:val="left"/>
      <w:pPr>
        <w:ind w:left="360" w:hanging="360"/>
      </w:pPr>
      <w:rPr>
        <w:b w:val="0"/>
        <w:bCs w:val="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 w15:restartNumberingAfterBreak="0">
    <w:nsid w:val="00000004"/>
    <w:multiLevelType w:val="hybridMultilevel"/>
    <w:tmpl w:val="7938E2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0000005"/>
    <w:multiLevelType w:val="hybridMultilevel"/>
    <w:tmpl w:val="8632AB7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0000006"/>
    <w:multiLevelType w:val="hybridMultilevel"/>
    <w:tmpl w:val="2EAE4276"/>
    <w:lvl w:ilvl="0" w:tplc="D48EDFE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00000007"/>
    <w:multiLevelType w:val="hybridMultilevel"/>
    <w:tmpl w:val="8E4455C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236C1A26"/>
    <w:multiLevelType w:val="hybridMultilevel"/>
    <w:tmpl w:val="3BB63C0C"/>
    <w:lvl w:ilvl="0" w:tplc="10FAA0E6">
      <w:start w:val="7"/>
      <w:numFmt w:val="decimal"/>
      <w:lvlText w:val="%1."/>
      <w:lvlJc w:val="left"/>
      <w:pPr>
        <w:ind w:left="786" w:hanging="360"/>
      </w:pPr>
      <w:rPr>
        <w:rFonts w:hint="default"/>
      </w:rPr>
    </w:lvl>
    <w:lvl w:ilvl="1" w:tplc="00000019" w:tentative="1">
      <w:start w:val="1"/>
      <w:numFmt w:val="lowerLetter"/>
      <w:lvlText w:val="%2."/>
      <w:lvlJc w:val="left"/>
      <w:pPr>
        <w:ind w:left="1506" w:hanging="360"/>
      </w:pPr>
    </w:lvl>
    <w:lvl w:ilvl="2" w:tplc="0000001B" w:tentative="1">
      <w:start w:val="1"/>
      <w:numFmt w:val="lowerRoman"/>
      <w:lvlText w:val="%3."/>
      <w:lvlJc w:val="right"/>
      <w:pPr>
        <w:ind w:left="2226" w:hanging="180"/>
      </w:pPr>
    </w:lvl>
    <w:lvl w:ilvl="3" w:tplc="0000000F" w:tentative="1">
      <w:start w:val="1"/>
      <w:numFmt w:val="decimal"/>
      <w:lvlText w:val="%4."/>
      <w:lvlJc w:val="left"/>
      <w:pPr>
        <w:ind w:left="2946" w:hanging="360"/>
      </w:pPr>
    </w:lvl>
    <w:lvl w:ilvl="4" w:tplc="00000019" w:tentative="1">
      <w:start w:val="1"/>
      <w:numFmt w:val="lowerLetter"/>
      <w:lvlText w:val="%5."/>
      <w:lvlJc w:val="left"/>
      <w:pPr>
        <w:ind w:left="3666" w:hanging="360"/>
      </w:pPr>
    </w:lvl>
    <w:lvl w:ilvl="5" w:tplc="0000001B" w:tentative="1">
      <w:start w:val="1"/>
      <w:numFmt w:val="lowerRoman"/>
      <w:lvlText w:val="%6."/>
      <w:lvlJc w:val="right"/>
      <w:pPr>
        <w:ind w:left="4386" w:hanging="180"/>
      </w:pPr>
    </w:lvl>
    <w:lvl w:ilvl="6" w:tplc="0000000F" w:tentative="1">
      <w:start w:val="1"/>
      <w:numFmt w:val="decimal"/>
      <w:lvlText w:val="%7."/>
      <w:lvlJc w:val="left"/>
      <w:pPr>
        <w:ind w:left="5106" w:hanging="360"/>
      </w:pPr>
    </w:lvl>
    <w:lvl w:ilvl="7" w:tplc="00000019" w:tentative="1">
      <w:start w:val="1"/>
      <w:numFmt w:val="lowerLetter"/>
      <w:lvlText w:val="%8."/>
      <w:lvlJc w:val="left"/>
      <w:pPr>
        <w:ind w:left="5826" w:hanging="360"/>
      </w:pPr>
    </w:lvl>
    <w:lvl w:ilvl="8" w:tplc="0000001B" w:tentative="1">
      <w:start w:val="1"/>
      <w:numFmt w:val="lowerRoman"/>
      <w:lvlText w:val="%9."/>
      <w:lvlJc w:val="right"/>
      <w:pPr>
        <w:ind w:left="6546" w:hanging="180"/>
      </w:pPr>
    </w:lvl>
  </w:abstractNum>
  <w:abstractNum w:abstractNumId="8" w15:restartNumberingAfterBreak="0">
    <w:nsid w:val="32D562AE"/>
    <w:multiLevelType w:val="hybridMultilevel"/>
    <w:tmpl w:val="1D38374E"/>
    <w:lvl w:ilvl="0" w:tplc="9CE46968">
      <w:start w:val="4"/>
      <w:numFmt w:val="decimal"/>
      <w:lvlText w:val="%1."/>
      <w:lvlJc w:val="left"/>
      <w:pPr>
        <w:ind w:left="786" w:hanging="360"/>
      </w:pPr>
      <w:rPr>
        <w:rFonts w:hint="default"/>
      </w:rPr>
    </w:lvl>
    <w:lvl w:ilvl="1" w:tplc="00000019" w:tentative="1">
      <w:start w:val="1"/>
      <w:numFmt w:val="lowerLetter"/>
      <w:lvlText w:val="%2."/>
      <w:lvlJc w:val="left"/>
      <w:pPr>
        <w:ind w:left="1506" w:hanging="360"/>
      </w:pPr>
    </w:lvl>
    <w:lvl w:ilvl="2" w:tplc="0000001B" w:tentative="1">
      <w:start w:val="1"/>
      <w:numFmt w:val="lowerRoman"/>
      <w:lvlText w:val="%3."/>
      <w:lvlJc w:val="right"/>
      <w:pPr>
        <w:ind w:left="2226" w:hanging="180"/>
      </w:pPr>
    </w:lvl>
    <w:lvl w:ilvl="3" w:tplc="0000000F" w:tentative="1">
      <w:start w:val="1"/>
      <w:numFmt w:val="decimal"/>
      <w:lvlText w:val="%4."/>
      <w:lvlJc w:val="left"/>
      <w:pPr>
        <w:ind w:left="2946" w:hanging="360"/>
      </w:pPr>
    </w:lvl>
    <w:lvl w:ilvl="4" w:tplc="00000019" w:tentative="1">
      <w:start w:val="1"/>
      <w:numFmt w:val="lowerLetter"/>
      <w:lvlText w:val="%5."/>
      <w:lvlJc w:val="left"/>
      <w:pPr>
        <w:ind w:left="3666" w:hanging="360"/>
      </w:pPr>
    </w:lvl>
    <w:lvl w:ilvl="5" w:tplc="0000001B" w:tentative="1">
      <w:start w:val="1"/>
      <w:numFmt w:val="lowerRoman"/>
      <w:lvlText w:val="%6."/>
      <w:lvlJc w:val="right"/>
      <w:pPr>
        <w:ind w:left="4386" w:hanging="180"/>
      </w:pPr>
    </w:lvl>
    <w:lvl w:ilvl="6" w:tplc="0000000F" w:tentative="1">
      <w:start w:val="1"/>
      <w:numFmt w:val="decimal"/>
      <w:lvlText w:val="%7."/>
      <w:lvlJc w:val="left"/>
      <w:pPr>
        <w:ind w:left="5106" w:hanging="360"/>
      </w:pPr>
    </w:lvl>
    <w:lvl w:ilvl="7" w:tplc="00000019" w:tentative="1">
      <w:start w:val="1"/>
      <w:numFmt w:val="lowerLetter"/>
      <w:lvlText w:val="%8."/>
      <w:lvlJc w:val="left"/>
      <w:pPr>
        <w:ind w:left="5826" w:hanging="360"/>
      </w:pPr>
    </w:lvl>
    <w:lvl w:ilvl="8" w:tplc="0000001B" w:tentative="1">
      <w:start w:val="1"/>
      <w:numFmt w:val="lowerRoman"/>
      <w:lvlText w:val="%9."/>
      <w:lvlJc w:val="right"/>
      <w:pPr>
        <w:ind w:left="6546" w:hanging="180"/>
      </w:pPr>
    </w:lvl>
  </w:abstractNum>
  <w:abstractNum w:abstractNumId="9"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672F54F6"/>
    <w:multiLevelType w:val="hybridMultilevel"/>
    <w:tmpl w:val="EDB4AB1A"/>
    <w:lvl w:ilvl="0" w:tplc="85406D20">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7AC53BAC"/>
    <w:multiLevelType w:val="hybridMultilevel"/>
    <w:tmpl w:val="0B784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291865">
    <w:abstractNumId w:val="9"/>
  </w:num>
  <w:num w:numId="2" w16cid:durableId="581336340">
    <w:abstractNumId w:val="6"/>
  </w:num>
  <w:num w:numId="3" w16cid:durableId="1117992633">
    <w:abstractNumId w:val="1"/>
  </w:num>
  <w:num w:numId="4" w16cid:durableId="248008115">
    <w:abstractNumId w:val="3"/>
  </w:num>
  <w:num w:numId="5" w16cid:durableId="483278298">
    <w:abstractNumId w:val="2"/>
  </w:num>
  <w:num w:numId="6" w16cid:durableId="85805632">
    <w:abstractNumId w:val="0"/>
  </w:num>
  <w:num w:numId="7" w16cid:durableId="1216545822">
    <w:abstractNumId w:val="4"/>
  </w:num>
  <w:num w:numId="8" w16cid:durableId="503206862">
    <w:abstractNumId w:val="10"/>
  </w:num>
  <w:num w:numId="9" w16cid:durableId="1297376940">
    <w:abstractNumId w:val="5"/>
  </w:num>
  <w:num w:numId="10" w16cid:durableId="775901526">
    <w:abstractNumId w:val="8"/>
  </w:num>
  <w:num w:numId="11" w16cid:durableId="242223460">
    <w:abstractNumId w:val="7"/>
  </w:num>
  <w:num w:numId="12" w16cid:durableId="483113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A21"/>
    <w:rsid w:val="000450EE"/>
    <w:rsid w:val="00057F45"/>
    <w:rsid w:val="000D3958"/>
    <w:rsid w:val="000F3690"/>
    <w:rsid w:val="001221D1"/>
    <w:rsid w:val="00165CB5"/>
    <w:rsid w:val="00180CE9"/>
    <w:rsid w:val="00230DD5"/>
    <w:rsid w:val="00250AE9"/>
    <w:rsid w:val="00252A21"/>
    <w:rsid w:val="00380D64"/>
    <w:rsid w:val="00391509"/>
    <w:rsid w:val="003E03D5"/>
    <w:rsid w:val="00486BFA"/>
    <w:rsid w:val="00493701"/>
    <w:rsid w:val="004E2065"/>
    <w:rsid w:val="005508A2"/>
    <w:rsid w:val="0055115D"/>
    <w:rsid w:val="0055281E"/>
    <w:rsid w:val="00566F71"/>
    <w:rsid w:val="005918BD"/>
    <w:rsid w:val="006173A6"/>
    <w:rsid w:val="006179EA"/>
    <w:rsid w:val="00675476"/>
    <w:rsid w:val="007C430F"/>
    <w:rsid w:val="007D2D0C"/>
    <w:rsid w:val="007D614D"/>
    <w:rsid w:val="0082696F"/>
    <w:rsid w:val="00915D3C"/>
    <w:rsid w:val="00960D6A"/>
    <w:rsid w:val="009A0560"/>
    <w:rsid w:val="009B0917"/>
    <w:rsid w:val="009F0F96"/>
    <w:rsid w:val="00A23C0C"/>
    <w:rsid w:val="00A477DE"/>
    <w:rsid w:val="00A66186"/>
    <w:rsid w:val="00A71E65"/>
    <w:rsid w:val="00AE044C"/>
    <w:rsid w:val="00B10FBB"/>
    <w:rsid w:val="00B31971"/>
    <w:rsid w:val="00B4380A"/>
    <w:rsid w:val="00B66ECB"/>
    <w:rsid w:val="00BC3B55"/>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FFF1D"/>
  <w15:docId w15:val="{9B93E258-850D-4BC1-B881-4D020183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252A21"/>
    <w:pPr>
      <w:keepNext/>
      <w:keepLines/>
      <w:spacing w:before="240" w:line="259" w:lineRule="auto"/>
      <w:outlineLvl w:val="0"/>
    </w:pPr>
    <w:rPr>
      <w:rFonts w:ascii="Calibri Light" w:eastAsia="SimSun" w:hAnsi="Calibri Light" w:cs="SimSun"/>
      <w:color w:val="2F5496"/>
      <w:sz w:val="32"/>
      <w:szCs w:val="32"/>
      <w:lang w:val="es-PE" w:eastAsia="en-US"/>
    </w:rPr>
  </w:style>
  <w:style w:type="paragraph" w:styleId="Ttulo2">
    <w:name w:val="heading 2"/>
    <w:basedOn w:val="Normal"/>
    <w:next w:val="Normal"/>
    <w:link w:val="Ttulo2Car"/>
    <w:uiPriority w:val="9"/>
    <w:semiHidden/>
    <w:unhideWhenUsed/>
    <w:qFormat/>
    <w:rsid w:val="00252A21"/>
    <w:pPr>
      <w:keepNext/>
      <w:spacing w:before="240" w:after="60"/>
      <w:outlineLvl w:val="1"/>
    </w:pPr>
    <w:rPr>
      <w:rFonts w:ascii="Cambria" w:hAnsi="Cambria"/>
      <w:color w:val="365F91"/>
      <w:sz w:val="26"/>
      <w:szCs w:val="26"/>
      <w:lang w:val="en-US" w:eastAsia="en-US"/>
    </w:rPr>
  </w:style>
  <w:style w:type="paragraph" w:styleId="Ttulo4">
    <w:name w:val="heading 4"/>
    <w:basedOn w:val="Normal"/>
    <w:next w:val="Normal"/>
    <w:link w:val="Ttulo4Car"/>
    <w:uiPriority w:val="9"/>
    <w:qFormat/>
    <w:rsid w:val="00252A21"/>
    <w:pPr>
      <w:keepNext/>
      <w:keepLines/>
      <w:spacing w:before="40" w:line="259" w:lineRule="auto"/>
      <w:outlineLvl w:val="3"/>
    </w:pPr>
    <w:rPr>
      <w:rFonts w:ascii="Calibri Light" w:eastAsia="SimSun" w:hAnsi="Calibri Light" w:cs="SimSun"/>
      <w:i/>
      <w:iCs/>
      <w:color w:val="2F5496"/>
      <w:sz w:val="22"/>
      <w:szCs w:val="22"/>
      <w:lang w:val="es-P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
    <w:rsid w:val="00252A21"/>
    <w:rPr>
      <w:rFonts w:ascii="Calibri Light" w:eastAsia="SimSun" w:hAnsi="Calibri Light" w:cs="SimSun"/>
      <w:color w:val="2F5496"/>
      <w:sz w:val="32"/>
      <w:szCs w:val="32"/>
      <w:lang w:val="es-PE"/>
    </w:rPr>
  </w:style>
  <w:style w:type="paragraph" w:customStyle="1" w:styleId="Ttulo21">
    <w:name w:val="Título 21"/>
    <w:basedOn w:val="Normal"/>
    <w:next w:val="Normal"/>
    <w:uiPriority w:val="9"/>
    <w:semiHidden/>
    <w:unhideWhenUsed/>
    <w:qFormat/>
    <w:rsid w:val="00252A21"/>
    <w:pPr>
      <w:keepNext/>
      <w:keepLines/>
      <w:spacing w:before="40" w:line="259" w:lineRule="auto"/>
      <w:outlineLvl w:val="1"/>
    </w:pPr>
    <w:rPr>
      <w:rFonts w:ascii="Cambria" w:hAnsi="Cambria"/>
      <w:color w:val="365F91"/>
      <w:sz w:val="26"/>
      <w:szCs w:val="26"/>
      <w:lang w:val="es-PE" w:eastAsia="en-US"/>
    </w:rPr>
  </w:style>
  <w:style w:type="character" w:customStyle="1" w:styleId="Ttulo4Car">
    <w:name w:val="Título 4 Car"/>
    <w:basedOn w:val="Fuentedeprrafopredeter"/>
    <w:link w:val="Ttulo4"/>
    <w:uiPriority w:val="9"/>
    <w:rsid w:val="00252A21"/>
    <w:rPr>
      <w:rFonts w:ascii="Calibri Light" w:eastAsia="SimSun" w:hAnsi="Calibri Light" w:cs="SimSun"/>
      <w:i/>
      <w:iCs/>
      <w:color w:val="2F5496"/>
      <w:sz w:val="22"/>
      <w:szCs w:val="22"/>
      <w:lang w:val="es-PE"/>
    </w:rPr>
  </w:style>
  <w:style w:type="numbering" w:customStyle="1" w:styleId="Sinlista1">
    <w:name w:val="Sin lista1"/>
    <w:next w:val="Sinlista"/>
    <w:uiPriority w:val="99"/>
    <w:semiHidden/>
    <w:unhideWhenUsed/>
    <w:rsid w:val="00252A21"/>
  </w:style>
  <w:style w:type="paragraph" w:styleId="Prrafodelista">
    <w:name w:val="List Paragraph"/>
    <w:basedOn w:val="Normal"/>
    <w:uiPriority w:val="34"/>
    <w:qFormat/>
    <w:rsid w:val="00252A21"/>
    <w:pPr>
      <w:spacing w:after="160" w:line="259" w:lineRule="auto"/>
      <w:ind w:left="720"/>
      <w:contextualSpacing/>
    </w:pPr>
    <w:rPr>
      <w:rFonts w:ascii="Calibri" w:eastAsia="Calibri" w:hAnsi="Calibri" w:cs="SimSun"/>
      <w:sz w:val="22"/>
      <w:szCs w:val="22"/>
      <w:lang w:val="es-PE" w:eastAsia="en-US"/>
    </w:rPr>
  </w:style>
  <w:style w:type="character" w:customStyle="1" w:styleId="Mencinsinresolver1">
    <w:name w:val="Mención sin resolver1"/>
    <w:uiPriority w:val="99"/>
    <w:rsid w:val="00252A21"/>
    <w:rPr>
      <w:color w:val="605E5C"/>
      <w:shd w:val="clear" w:color="auto" w:fill="E1DFDD"/>
    </w:rPr>
  </w:style>
  <w:style w:type="character" w:styleId="Refdecomentario">
    <w:name w:val="annotation reference"/>
    <w:uiPriority w:val="99"/>
    <w:rsid w:val="00252A21"/>
    <w:rPr>
      <w:sz w:val="16"/>
      <w:szCs w:val="16"/>
    </w:rPr>
  </w:style>
  <w:style w:type="character" w:customStyle="1" w:styleId="orcid-id-https">
    <w:name w:val="orcid-id-https"/>
    <w:basedOn w:val="Fuentedeprrafopredeter"/>
    <w:rsid w:val="00252A21"/>
  </w:style>
  <w:style w:type="paragraph" w:styleId="Textocomentario">
    <w:name w:val="annotation text"/>
    <w:basedOn w:val="Normal"/>
    <w:link w:val="TextocomentarioCar"/>
    <w:uiPriority w:val="99"/>
    <w:rsid w:val="00252A21"/>
    <w:pPr>
      <w:spacing w:after="160"/>
    </w:pPr>
    <w:rPr>
      <w:rFonts w:ascii="Calibri" w:eastAsia="Calibri" w:hAnsi="Calibri" w:cs="SimSun"/>
      <w:sz w:val="20"/>
      <w:szCs w:val="20"/>
      <w:lang w:val="es-PE" w:eastAsia="en-US"/>
    </w:rPr>
  </w:style>
  <w:style w:type="character" w:customStyle="1" w:styleId="TextocomentarioCar">
    <w:name w:val="Texto comentario Car"/>
    <w:basedOn w:val="Fuentedeprrafopredeter"/>
    <w:link w:val="Textocomentario"/>
    <w:uiPriority w:val="99"/>
    <w:rsid w:val="00252A21"/>
    <w:rPr>
      <w:rFonts w:ascii="Calibri" w:eastAsia="Calibri" w:hAnsi="Calibri" w:cs="SimSun"/>
      <w:lang w:val="es-PE"/>
    </w:rPr>
  </w:style>
  <w:style w:type="table" w:customStyle="1" w:styleId="Tablaconcuadrcula1">
    <w:name w:val="Tabla con cuadrícula1"/>
    <w:basedOn w:val="Tablanormal"/>
    <w:next w:val="Tablaconcuadrcula"/>
    <w:uiPriority w:val="39"/>
    <w:rsid w:val="00252A21"/>
    <w:rPr>
      <w:rFonts w:ascii="Calibri" w:eastAsia="Calibri" w:hAnsi="Calibri" w:cs="SimSun"/>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252A21"/>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252A21"/>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252A21"/>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rsid w:val="00252A21"/>
    <w:pPr>
      <w:tabs>
        <w:tab w:val="left" w:pos="384"/>
      </w:tabs>
      <w:spacing w:after="240"/>
      <w:ind w:left="384" w:hanging="384"/>
    </w:pPr>
    <w:rPr>
      <w:rFonts w:ascii="Calibri" w:eastAsia="Calibri" w:hAnsi="Calibri" w:cs="SimSun"/>
      <w:sz w:val="22"/>
      <w:szCs w:val="22"/>
      <w:lang w:val="es-PE" w:eastAsia="en-US"/>
    </w:rPr>
  </w:style>
  <w:style w:type="paragraph" w:styleId="Revisin">
    <w:name w:val="Revision"/>
    <w:uiPriority w:val="99"/>
    <w:rsid w:val="00252A21"/>
    <w:rPr>
      <w:rFonts w:ascii="Calibri" w:eastAsia="Calibri" w:hAnsi="Calibri" w:cs="SimSun"/>
      <w:sz w:val="22"/>
      <w:szCs w:val="22"/>
      <w:lang w:val="es-PE"/>
    </w:rPr>
  </w:style>
  <w:style w:type="paragraph" w:styleId="Asuntodelcomentario">
    <w:name w:val="annotation subject"/>
    <w:basedOn w:val="Textocomentario"/>
    <w:next w:val="Textocomentario"/>
    <w:link w:val="AsuntodelcomentarioCar"/>
    <w:uiPriority w:val="99"/>
    <w:rsid w:val="00252A21"/>
    <w:rPr>
      <w:b/>
      <w:bCs/>
    </w:rPr>
  </w:style>
  <w:style w:type="character" w:customStyle="1" w:styleId="AsuntodelcomentarioCar">
    <w:name w:val="Asunto del comentario Car"/>
    <w:basedOn w:val="TextocomentarioCar"/>
    <w:link w:val="Asuntodelcomentario"/>
    <w:uiPriority w:val="99"/>
    <w:rsid w:val="00252A21"/>
    <w:rPr>
      <w:rFonts w:ascii="Calibri" w:eastAsia="Calibri" w:hAnsi="Calibri" w:cs="SimSun"/>
      <w:b/>
      <w:bCs/>
      <w:lang w:val="es-PE"/>
    </w:rPr>
  </w:style>
  <w:style w:type="character" w:styleId="Textoennegrita">
    <w:name w:val="Strong"/>
    <w:uiPriority w:val="22"/>
    <w:qFormat/>
    <w:rsid w:val="00252A21"/>
    <w:rPr>
      <w:b/>
      <w:bCs/>
    </w:rPr>
  </w:style>
  <w:style w:type="character" w:styleId="nfasis">
    <w:name w:val="Emphasis"/>
    <w:uiPriority w:val="20"/>
    <w:qFormat/>
    <w:rsid w:val="00252A21"/>
    <w:rPr>
      <w:i/>
      <w:iCs/>
    </w:rPr>
  </w:style>
  <w:style w:type="paragraph" w:styleId="Textoindependiente">
    <w:name w:val="Body Text"/>
    <w:basedOn w:val="Normal"/>
    <w:link w:val="TextoindependienteCar"/>
    <w:uiPriority w:val="99"/>
    <w:unhideWhenUsed/>
    <w:rsid w:val="00252A21"/>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252A21"/>
    <w:rPr>
      <w:rFonts w:ascii="Arial" w:hAnsi="Arial" w:cs="Arial"/>
      <w:sz w:val="12"/>
      <w:szCs w:val="12"/>
      <w:lang w:val="es-ES" w:eastAsia="es-ES"/>
    </w:rPr>
  </w:style>
  <w:style w:type="character" w:customStyle="1" w:styleId="Ttulo2Car">
    <w:name w:val="Título 2 Car"/>
    <w:link w:val="Ttulo2"/>
    <w:uiPriority w:val="9"/>
    <w:semiHidden/>
    <w:rsid w:val="00252A21"/>
    <w:rPr>
      <w:rFonts w:ascii="Cambria" w:eastAsia="Times New Roman" w:hAnsi="Cambria" w:cs="Times New Roman"/>
      <w:color w:val="365F91"/>
      <w:sz w:val="26"/>
      <w:szCs w:val="26"/>
    </w:rPr>
  </w:style>
  <w:style w:type="character" w:customStyle="1" w:styleId="fontstyle01">
    <w:name w:val="fontstyle01"/>
    <w:rsid w:val="00252A21"/>
    <w:rPr>
      <w:rFonts w:ascii="TTE108A4D0t00" w:hAnsi="TTE108A4D0t00" w:hint="default"/>
      <w:b w:val="0"/>
      <w:bCs w:val="0"/>
      <w:i w:val="0"/>
      <w:iCs w:val="0"/>
      <w:color w:val="000000"/>
      <w:sz w:val="24"/>
      <w:szCs w:val="24"/>
    </w:rPr>
  </w:style>
  <w:style w:type="character" w:customStyle="1" w:styleId="Mencinsinresolver2">
    <w:name w:val="Mención sin resolver2"/>
    <w:uiPriority w:val="99"/>
    <w:semiHidden/>
    <w:unhideWhenUsed/>
    <w:rsid w:val="00252A21"/>
    <w:rPr>
      <w:color w:val="605E5C"/>
      <w:shd w:val="clear" w:color="auto" w:fill="E1DFDD"/>
    </w:rPr>
  </w:style>
  <w:style w:type="character" w:customStyle="1" w:styleId="Mencinsinresolver3">
    <w:name w:val="Mención sin resolver3"/>
    <w:uiPriority w:val="99"/>
    <w:semiHidden/>
    <w:unhideWhenUsed/>
    <w:rsid w:val="00252A21"/>
    <w:rPr>
      <w:color w:val="605E5C"/>
      <w:shd w:val="clear" w:color="auto" w:fill="E1DFDD"/>
    </w:rPr>
  </w:style>
  <w:style w:type="character" w:customStyle="1" w:styleId="Mencinsinresolver4">
    <w:name w:val="Mención sin resolver4"/>
    <w:uiPriority w:val="99"/>
    <w:semiHidden/>
    <w:unhideWhenUsed/>
    <w:rsid w:val="00252A21"/>
    <w:rPr>
      <w:color w:val="605E5C"/>
      <w:shd w:val="clear" w:color="auto" w:fill="E1DFDD"/>
    </w:rPr>
  </w:style>
  <w:style w:type="character" w:customStyle="1" w:styleId="Ttulo2Car1">
    <w:name w:val="Título 2 Car1"/>
    <w:basedOn w:val="Fuentedeprrafopredeter"/>
    <w:link w:val="Ttulo2"/>
    <w:semiHidden/>
    <w:rsid w:val="00252A21"/>
    <w:rPr>
      <w:rFonts w:asciiTheme="majorHAnsi" w:eastAsiaTheme="majorEastAsia" w:hAnsiTheme="majorHAnsi" w:cstheme="majorBidi"/>
      <w:b/>
      <w:bCs/>
      <w:i/>
      <w:i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536-8293" TargetMode="External"/><Relationship Id="rId13" Type="http://schemas.openxmlformats.org/officeDocument/2006/relationships/image" Target="media/image2.jpeg"/><Relationship Id="rId18" Type="http://schemas.openxmlformats.org/officeDocument/2006/relationships/hyperlink" Target="https://apps.who.int/gb/ebwha/pdf_files/WHA59-REC1/s/Anexo2-sp.pdf" TargetMode="External"/><Relationship Id="rId26" Type="http://schemas.openxmlformats.org/officeDocument/2006/relationships/hyperlink" Target="https://www.academia.edu/18890248/Principales_Resultados_del_Diagn%C3%B3stico_situacional_de_personas_lesbianas_gays_bisexuales_transg%C3%A9nero_travestis_transexuales_intersexuales_y_queers_de_M%C3%A9xico_2015_Primera_parte" TargetMode="External"/><Relationship Id="rId3" Type="http://schemas.openxmlformats.org/officeDocument/2006/relationships/settings" Target="settings.xml"/><Relationship Id="rId21" Type="http://schemas.openxmlformats.org/officeDocument/2006/relationships/hyperlink" Target="http://iinei.inei.gob.pe/microdatos/" TargetMode="External"/><Relationship Id="rId7" Type="http://schemas.openxmlformats.org/officeDocument/2006/relationships/hyperlink" Target="https://orcid.org/0000-0002-2198-7217" TargetMode="External"/><Relationship Id="rId12" Type="http://schemas.openxmlformats.org/officeDocument/2006/relationships/image" Target="media/image1.jpeg"/><Relationship Id="rId17" Type="http://schemas.openxmlformats.org/officeDocument/2006/relationships/hyperlink" Target="https://www.paho.org/es/noticias/16-5-2013-opsoms-advierte-que-estigma-discriminacion-afectan-salud-lesbianas-gays" TargetMode="External"/><Relationship Id="rId25" Type="http://schemas.openxmlformats.org/officeDocument/2006/relationships/hyperlink" Target="http://www.revcalixto.sld.cu/index.php/ahcg/article/view/74" TargetMode="External"/><Relationship Id="rId2" Type="http://schemas.openxmlformats.org/officeDocument/2006/relationships/styles" Target="styles.xml"/><Relationship Id="rId16" Type="http://schemas.openxmlformats.org/officeDocument/2006/relationships/hyperlink" Target="https://www.paho.org/es/noticias/15-5-2015-avances-desafios-situacion-personas-lgbt-15-anos-que-homosexualidad-dejo-ser" TargetMode="External"/><Relationship Id="rId20" Type="http://schemas.openxmlformats.org/officeDocument/2006/relationships/hyperlink" Target="https://www.inei.gob.pe/media/MenuRecursivo/boletines/lgbti.pdf"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gis.org/es/site/" TargetMode="External"/><Relationship Id="rId24" Type="http://schemas.openxmlformats.org/officeDocument/2006/relationships/hyperlink" Target="https://www.isciii.es/QueHacemos/Servicios/VigilanciaSaludPublicaRENAVE/EnfermedadesTransmisibles/Documents/VIH/pdfs%20y%20protocolo/Informe%20VIH_SIDA_20201130.pdf"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pesquisa.bvsalud.org/portal/resource/pt/lil-504398" TargetMode="External"/><Relationship Id="rId28" Type="http://schemas.openxmlformats.org/officeDocument/2006/relationships/footer" Target="footer1.xml"/><Relationship Id="rId10" Type="http://schemas.openxmlformats.org/officeDocument/2006/relationships/hyperlink" Target="mailto:victor.moquillaza@uwiener.edu.pe" TargetMode="External"/><Relationship Id="rId19" Type="http://schemas.openxmlformats.org/officeDocument/2006/relationships/hyperlink" Target="https://www.scielo.br/j/reben/a/DPXpVdDJJMKkRhwbSVTXSxL/?lang=e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0362-907X" TargetMode="External"/><Relationship Id="rId14" Type="http://schemas.openxmlformats.org/officeDocument/2006/relationships/image" Target="media/image3.png"/><Relationship Id="rId22" Type="http://schemas.openxmlformats.org/officeDocument/2006/relationships/hyperlink" Target="https://www.saludneuquen.gob.ar/wp-content/uploads/2018/11/Atencion-a-Personas-LGTBI.pdf"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17</Pages>
  <Words>9272</Words>
  <Characters>52856</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62004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2023-08-09T00:13:00Z</cp:lastPrinted>
  <dcterms:created xsi:type="dcterms:W3CDTF">2023-08-09T00:08:00Z</dcterms:created>
  <dcterms:modified xsi:type="dcterms:W3CDTF">2023-08-09T00:15:00Z</dcterms:modified>
</cp:coreProperties>
</file>