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734CF" w14:textId="77777777" w:rsidR="00603BB4" w:rsidRPr="00603BB4" w:rsidRDefault="00603BB4" w:rsidP="00603BB4">
      <w:pPr>
        <w:spacing w:line="360" w:lineRule="auto"/>
        <w:jc w:val="right"/>
        <w:rPr>
          <w:sz w:val="20"/>
          <w:szCs w:val="20"/>
          <w:lang w:val="es-EC" w:eastAsia="es-EC"/>
        </w:rPr>
      </w:pPr>
      <w:r w:rsidRPr="00603BB4">
        <w:rPr>
          <w:sz w:val="20"/>
          <w:szCs w:val="20"/>
          <w:lang w:val="es-EC" w:eastAsia="es-EC"/>
        </w:rPr>
        <w:t>Artículo de investigación</w:t>
      </w:r>
    </w:p>
    <w:p w14:paraId="1231DADE" w14:textId="77777777" w:rsidR="00603BB4" w:rsidRPr="00603BB4" w:rsidRDefault="00603BB4" w:rsidP="00603BB4">
      <w:pPr>
        <w:spacing w:line="360" w:lineRule="auto"/>
        <w:jc w:val="both"/>
        <w:rPr>
          <w:lang w:val="es-EC" w:eastAsia="es-EC"/>
        </w:rPr>
      </w:pPr>
    </w:p>
    <w:p w14:paraId="1DA63F2E" w14:textId="77777777" w:rsidR="00603BB4" w:rsidRPr="00603BB4" w:rsidRDefault="00603BB4" w:rsidP="00603BB4">
      <w:pPr>
        <w:spacing w:line="360" w:lineRule="auto"/>
        <w:jc w:val="center"/>
        <w:rPr>
          <w:b/>
          <w:bCs/>
          <w:sz w:val="28"/>
          <w:szCs w:val="28"/>
          <w:lang w:val="es-EC" w:eastAsia="es-EC"/>
        </w:rPr>
      </w:pPr>
      <w:r w:rsidRPr="00603BB4">
        <w:rPr>
          <w:b/>
          <w:bCs/>
          <w:sz w:val="28"/>
          <w:szCs w:val="28"/>
          <w:lang w:val="es-EC" w:eastAsia="es-EC"/>
        </w:rPr>
        <w:t>Efectividad del tratamiento con dieta, ejercicios físicos, metformina y tintura de ajo en pacientes con obesidad mórbida</w:t>
      </w:r>
    </w:p>
    <w:p w14:paraId="0DD29AF6" w14:textId="77777777" w:rsidR="00603BB4" w:rsidRPr="00603BB4" w:rsidRDefault="00603BB4" w:rsidP="00603BB4">
      <w:pPr>
        <w:spacing w:line="360" w:lineRule="auto"/>
        <w:contextualSpacing/>
        <w:jc w:val="center"/>
        <w:rPr>
          <w:lang w:val="en-US" w:eastAsia="es-EC"/>
        </w:rPr>
      </w:pPr>
      <w:r w:rsidRPr="00603BB4">
        <w:rPr>
          <w:sz w:val="28"/>
          <w:szCs w:val="28"/>
          <w:lang w:val="en-US" w:eastAsia="es-EC"/>
        </w:rPr>
        <w:t>Effectiveness of treatment with diet, physical exercises, metformin and garlic tincture in patients with morbid obesity</w:t>
      </w:r>
    </w:p>
    <w:p w14:paraId="638F7B46" w14:textId="77777777" w:rsidR="00603BB4" w:rsidRPr="00603BB4" w:rsidRDefault="00603BB4" w:rsidP="00603BB4">
      <w:pPr>
        <w:spacing w:line="360" w:lineRule="auto"/>
        <w:contextualSpacing/>
        <w:jc w:val="both"/>
        <w:rPr>
          <w:lang w:val="en-US" w:eastAsia="es-EC"/>
        </w:rPr>
      </w:pPr>
    </w:p>
    <w:p w14:paraId="12791735" w14:textId="77777777" w:rsidR="00603BB4" w:rsidRPr="00603BB4" w:rsidRDefault="00603BB4" w:rsidP="00603BB4">
      <w:pPr>
        <w:spacing w:line="360" w:lineRule="auto"/>
        <w:contextualSpacing/>
        <w:jc w:val="both"/>
        <w:rPr>
          <w:lang w:val="es-EC" w:eastAsia="es-EC"/>
        </w:rPr>
      </w:pPr>
      <w:proofErr w:type="spellStart"/>
      <w:r w:rsidRPr="00603BB4">
        <w:rPr>
          <w:lang w:val="es-EC" w:eastAsia="es-EC"/>
        </w:rPr>
        <w:t>Norileiny</w:t>
      </w:r>
      <w:proofErr w:type="spellEnd"/>
      <w:r w:rsidRPr="00603BB4">
        <w:rPr>
          <w:lang w:val="es-EC" w:eastAsia="es-EC"/>
        </w:rPr>
        <w:t xml:space="preserve"> Lugones </w:t>
      </w:r>
      <w:proofErr w:type="spellStart"/>
      <w:r w:rsidRPr="00603BB4">
        <w:rPr>
          <w:lang w:val="es-EC" w:eastAsia="es-EC"/>
        </w:rPr>
        <w:t>Clavero</w:t>
      </w:r>
      <w:r w:rsidRPr="00603BB4">
        <w:rPr>
          <w:vertAlign w:val="superscript"/>
          <w:lang w:val="es-EC" w:eastAsia="es-EC"/>
        </w:rPr>
        <w:t>1</w:t>
      </w:r>
      <w:proofErr w:type="spellEnd"/>
      <w:r w:rsidRPr="00603BB4">
        <w:rPr>
          <w:lang w:val="es-EC" w:eastAsia="es-EC"/>
        </w:rPr>
        <w:t xml:space="preserve">* </w:t>
      </w:r>
      <w:hyperlink r:id="rId7" w:history="1">
        <w:r w:rsidRPr="00603BB4">
          <w:rPr>
            <w:color w:val="0563C1"/>
            <w:lang w:val="es-EC" w:eastAsia="es-EC"/>
          </w:rPr>
          <w:t>https://orcid.org/0000-0002-2356-4787</w:t>
        </w:r>
      </w:hyperlink>
    </w:p>
    <w:p w14:paraId="4A7BF983" w14:textId="77777777" w:rsidR="00603BB4" w:rsidRPr="00603BB4" w:rsidRDefault="00603BB4" w:rsidP="00603BB4">
      <w:pPr>
        <w:spacing w:line="360" w:lineRule="auto"/>
        <w:contextualSpacing/>
        <w:jc w:val="both"/>
        <w:rPr>
          <w:lang w:val="es-EC" w:eastAsia="es-EC"/>
        </w:rPr>
      </w:pPr>
      <w:r w:rsidRPr="00603BB4">
        <w:rPr>
          <w:lang w:val="es-EC" w:eastAsia="es-EC"/>
        </w:rPr>
        <w:t xml:space="preserve">Juliet de la C. Brito </w:t>
      </w:r>
      <w:proofErr w:type="spellStart"/>
      <w:r w:rsidRPr="00603BB4">
        <w:rPr>
          <w:lang w:val="es-EC" w:eastAsia="es-EC"/>
        </w:rPr>
        <w:t>Bejerano</w:t>
      </w:r>
      <w:r w:rsidRPr="00603BB4">
        <w:rPr>
          <w:vertAlign w:val="superscript"/>
          <w:lang w:val="es-EC" w:eastAsia="es-EC"/>
        </w:rPr>
        <w:t>1</w:t>
      </w:r>
      <w:proofErr w:type="spellEnd"/>
      <w:r w:rsidRPr="00603BB4">
        <w:rPr>
          <w:vertAlign w:val="superscript"/>
          <w:lang w:val="es-EC" w:eastAsia="es-EC"/>
        </w:rPr>
        <w:t xml:space="preserve"> </w:t>
      </w:r>
      <w:hyperlink r:id="rId8" w:history="1">
        <w:r w:rsidRPr="00603BB4">
          <w:rPr>
            <w:color w:val="0563C1"/>
            <w:lang w:val="es-EC" w:eastAsia="es-EC"/>
          </w:rPr>
          <w:t>https://orcid.org/0000-0002-1426-2568</w:t>
        </w:r>
      </w:hyperlink>
    </w:p>
    <w:p w14:paraId="111FE558" w14:textId="77777777" w:rsidR="00603BB4" w:rsidRPr="00603BB4" w:rsidRDefault="00603BB4" w:rsidP="00603BB4">
      <w:pPr>
        <w:spacing w:line="360" w:lineRule="auto"/>
        <w:contextualSpacing/>
        <w:jc w:val="both"/>
        <w:rPr>
          <w:lang w:val="en-US" w:eastAsia="es-EC"/>
        </w:rPr>
      </w:pPr>
      <w:r w:rsidRPr="00603BB4">
        <w:rPr>
          <w:lang w:val="en-US" w:eastAsia="es-EC"/>
        </w:rPr>
        <w:t xml:space="preserve">Amaury </w:t>
      </w:r>
      <w:proofErr w:type="spellStart"/>
      <w:r w:rsidRPr="00603BB4">
        <w:rPr>
          <w:lang w:val="en-US" w:eastAsia="es-EC"/>
        </w:rPr>
        <w:t>Ledón</w:t>
      </w:r>
      <w:proofErr w:type="spellEnd"/>
      <w:r w:rsidRPr="00603BB4">
        <w:rPr>
          <w:lang w:val="en-US" w:eastAsia="es-EC"/>
        </w:rPr>
        <w:t xml:space="preserve"> </w:t>
      </w:r>
      <w:proofErr w:type="spellStart"/>
      <w:r w:rsidRPr="00603BB4">
        <w:rPr>
          <w:lang w:val="en-US" w:eastAsia="es-EC"/>
        </w:rPr>
        <w:t>Casals</w:t>
      </w:r>
      <w:r w:rsidRPr="00603BB4">
        <w:rPr>
          <w:vertAlign w:val="superscript"/>
          <w:lang w:val="en-US" w:eastAsia="es-EC"/>
        </w:rPr>
        <w:t>1</w:t>
      </w:r>
      <w:proofErr w:type="spellEnd"/>
      <w:r w:rsidRPr="00603BB4">
        <w:rPr>
          <w:vertAlign w:val="superscript"/>
          <w:lang w:val="en-US" w:eastAsia="es-EC"/>
        </w:rPr>
        <w:t xml:space="preserve"> </w:t>
      </w:r>
      <w:hyperlink r:id="rId9" w:history="1">
        <w:r w:rsidRPr="00603BB4">
          <w:rPr>
            <w:color w:val="0563C1"/>
            <w:lang w:val="en-US" w:eastAsia="es-EC"/>
          </w:rPr>
          <w:t>https://orcid.org/0000-0002-8320-5364</w:t>
        </w:r>
      </w:hyperlink>
    </w:p>
    <w:p w14:paraId="0FAE10C7" w14:textId="77777777" w:rsidR="00603BB4" w:rsidRPr="00603BB4" w:rsidRDefault="00603BB4" w:rsidP="00603BB4">
      <w:pPr>
        <w:spacing w:line="360" w:lineRule="auto"/>
        <w:contextualSpacing/>
        <w:jc w:val="both"/>
        <w:rPr>
          <w:lang w:val="es-EC" w:eastAsia="es-EC"/>
        </w:rPr>
      </w:pPr>
      <w:proofErr w:type="spellStart"/>
      <w:r w:rsidRPr="00603BB4">
        <w:rPr>
          <w:lang w:val="es-EC" w:eastAsia="es-EC"/>
        </w:rPr>
        <w:t>Mayulin</w:t>
      </w:r>
      <w:proofErr w:type="spellEnd"/>
      <w:r w:rsidRPr="00603BB4">
        <w:rPr>
          <w:lang w:val="es-EC" w:eastAsia="es-EC"/>
        </w:rPr>
        <w:t xml:space="preserve"> Bárbara Argote </w:t>
      </w:r>
      <w:proofErr w:type="spellStart"/>
      <w:r w:rsidRPr="00603BB4">
        <w:rPr>
          <w:lang w:val="es-EC" w:eastAsia="es-EC"/>
        </w:rPr>
        <w:t>Molina</w:t>
      </w:r>
      <w:r w:rsidRPr="00603BB4">
        <w:rPr>
          <w:vertAlign w:val="superscript"/>
          <w:lang w:val="es-EC" w:eastAsia="es-EC"/>
        </w:rPr>
        <w:t>1</w:t>
      </w:r>
      <w:proofErr w:type="spellEnd"/>
      <w:r w:rsidRPr="00603BB4">
        <w:rPr>
          <w:vertAlign w:val="superscript"/>
          <w:lang w:val="es-EC" w:eastAsia="es-EC"/>
        </w:rPr>
        <w:t xml:space="preserve"> </w:t>
      </w:r>
      <w:hyperlink r:id="rId10" w:history="1">
        <w:r w:rsidRPr="00603BB4">
          <w:rPr>
            <w:color w:val="0563C1"/>
            <w:lang w:val="es-EC" w:eastAsia="es-EC"/>
          </w:rPr>
          <w:t>https://orcid.org/0000-0002-7037-9912</w:t>
        </w:r>
      </w:hyperlink>
    </w:p>
    <w:p w14:paraId="23C6516D" w14:textId="77777777" w:rsidR="00603BB4" w:rsidRPr="00603BB4" w:rsidRDefault="00603BB4" w:rsidP="00603BB4">
      <w:pPr>
        <w:spacing w:line="360" w:lineRule="auto"/>
        <w:contextualSpacing/>
        <w:jc w:val="both"/>
        <w:rPr>
          <w:lang w:val="es-EC" w:eastAsia="es-EC"/>
        </w:rPr>
      </w:pPr>
      <w:r w:rsidRPr="00603BB4">
        <w:rPr>
          <w:lang w:val="es-EC" w:eastAsia="es-EC"/>
        </w:rPr>
        <w:t xml:space="preserve">Teresa María Pedroso </w:t>
      </w:r>
      <w:proofErr w:type="spellStart"/>
      <w:r w:rsidRPr="00603BB4">
        <w:rPr>
          <w:lang w:val="es-EC" w:eastAsia="es-EC"/>
        </w:rPr>
        <w:t>Garriga</w:t>
      </w:r>
      <w:r w:rsidRPr="00603BB4">
        <w:rPr>
          <w:vertAlign w:val="superscript"/>
          <w:lang w:val="es-EC" w:eastAsia="es-EC"/>
        </w:rPr>
        <w:t>1</w:t>
      </w:r>
      <w:proofErr w:type="spellEnd"/>
      <w:r w:rsidRPr="00603BB4">
        <w:rPr>
          <w:vertAlign w:val="superscript"/>
          <w:lang w:val="es-EC" w:eastAsia="es-EC"/>
        </w:rPr>
        <w:t xml:space="preserve"> </w:t>
      </w:r>
      <w:hyperlink r:id="rId11" w:history="1">
        <w:r w:rsidRPr="00603BB4">
          <w:rPr>
            <w:color w:val="0563C1"/>
            <w:lang w:val="es-EC" w:eastAsia="es-EC"/>
          </w:rPr>
          <w:t>https://orcid.org/0000-0001-7991-6633</w:t>
        </w:r>
      </w:hyperlink>
    </w:p>
    <w:p w14:paraId="0A2E7FBE" w14:textId="77777777" w:rsidR="00603BB4" w:rsidRPr="00603BB4" w:rsidRDefault="00603BB4" w:rsidP="00603BB4">
      <w:pPr>
        <w:spacing w:line="360" w:lineRule="auto"/>
        <w:contextualSpacing/>
        <w:jc w:val="both"/>
        <w:rPr>
          <w:lang w:val="es-EC" w:eastAsia="es-EC"/>
        </w:rPr>
      </w:pPr>
      <w:proofErr w:type="spellStart"/>
      <w:r w:rsidRPr="00603BB4">
        <w:rPr>
          <w:lang w:val="es-EC" w:eastAsia="es-EC"/>
        </w:rPr>
        <w:t>Madelayne</w:t>
      </w:r>
      <w:proofErr w:type="spellEnd"/>
      <w:r w:rsidRPr="00603BB4">
        <w:rPr>
          <w:lang w:val="es-EC" w:eastAsia="es-EC"/>
        </w:rPr>
        <w:t xml:space="preserve"> Cruz </w:t>
      </w:r>
      <w:proofErr w:type="spellStart"/>
      <w:r w:rsidRPr="00603BB4">
        <w:rPr>
          <w:lang w:val="es-EC" w:eastAsia="es-EC"/>
        </w:rPr>
        <w:t>Valle</w:t>
      </w:r>
      <w:r w:rsidRPr="00603BB4">
        <w:rPr>
          <w:vertAlign w:val="superscript"/>
          <w:lang w:val="es-EC" w:eastAsia="es-EC"/>
        </w:rPr>
        <w:t>1</w:t>
      </w:r>
      <w:proofErr w:type="spellEnd"/>
      <w:r w:rsidRPr="00603BB4">
        <w:rPr>
          <w:vertAlign w:val="superscript"/>
          <w:lang w:val="es-EC" w:eastAsia="es-EC"/>
        </w:rPr>
        <w:t xml:space="preserve"> </w:t>
      </w:r>
      <w:hyperlink r:id="rId12" w:history="1">
        <w:r w:rsidRPr="00603BB4">
          <w:rPr>
            <w:color w:val="0563C1"/>
            <w:lang w:val="es-EC" w:eastAsia="es-EC"/>
          </w:rPr>
          <w:t>https://orcid.org/0000-0003-3788-3698</w:t>
        </w:r>
      </w:hyperlink>
    </w:p>
    <w:p w14:paraId="34E757E4" w14:textId="77777777" w:rsidR="00603BB4" w:rsidRPr="00603BB4" w:rsidRDefault="00603BB4" w:rsidP="00603BB4">
      <w:pPr>
        <w:spacing w:line="360" w:lineRule="auto"/>
        <w:jc w:val="both"/>
        <w:rPr>
          <w:lang w:val="es-EC" w:eastAsia="es-EC"/>
        </w:rPr>
      </w:pPr>
    </w:p>
    <w:p w14:paraId="2A23A4B0" w14:textId="77777777" w:rsidR="00603BB4" w:rsidRPr="00603BB4" w:rsidRDefault="00603BB4" w:rsidP="00603BB4">
      <w:pPr>
        <w:spacing w:line="360" w:lineRule="auto"/>
        <w:jc w:val="both"/>
        <w:rPr>
          <w:lang w:val="es-EC" w:eastAsia="es-EC"/>
        </w:rPr>
      </w:pPr>
      <w:proofErr w:type="spellStart"/>
      <w:r w:rsidRPr="00603BB4">
        <w:rPr>
          <w:vertAlign w:val="superscript"/>
          <w:lang w:val="es-EC" w:eastAsia="es-EC"/>
        </w:rPr>
        <w:t>1</w:t>
      </w:r>
      <w:r w:rsidRPr="00603BB4">
        <w:rPr>
          <w:lang w:val="es-EC" w:eastAsia="es-EC"/>
        </w:rPr>
        <w:t>Universidad</w:t>
      </w:r>
      <w:proofErr w:type="spellEnd"/>
      <w:r w:rsidRPr="00603BB4">
        <w:rPr>
          <w:lang w:val="es-EC" w:eastAsia="es-EC"/>
        </w:rPr>
        <w:t xml:space="preserve"> de Ciencias Médicas de las Fuerzas Armadas Revolucionarias. Hospital Militar Central “Dr. Luis Díaz Soto”. La Habana, Cuba.</w:t>
      </w:r>
    </w:p>
    <w:p w14:paraId="3471CC21" w14:textId="77777777" w:rsidR="00603BB4" w:rsidRPr="00603BB4" w:rsidRDefault="00603BB4" w:rsidP="00603BB4">
      <w:pPr>
        <w:spacing w:line="360" w:lineRule="auto"/>
        <w:rPr>
          <w:b/>
          <w:lang w:val="es-EC" w:eastAsia="es-EC"/>
        </w:rPr>
      </w:pPr>
    </w:p>
    <w:p w14:paraId="0CB0DFD0" w14:textId="77777777" w:rsidR="00603BB4" w:rsidRPr="00603BB4" w:rsidRDefault="00603BB4" w:rsidP="00603BB4">
      <w:pPr>
        <w:spacing w:line="360" w:lineRule="auto"/>
        <w:jc w:val="both"/>
        <w:rPr>
          <w:lang w:val="es-EC" w:eastAsia="es-EC"/>
        </w:rPr>
      </w:pPr>
      <w:r w:rsidRPr="00603BB4">
        <w:rPr>
          <w:lang w:val="es-EC" w:eastAsia="es-EC"/>
        </w:rPr>
        <w:t xml:space="preserve">*Autor para la correspondencia. Correo electrónico: </w:t>
      </w:r>
      <w:hyperlink r:id="rId13" w:history="1">
        <w:r w:rsidRPr="00603BB4">
          <w:rPr>
            <w:color w:val="0563C1"/>
            <w:u w:val="single"/>
            <w:lang w:val="es-EC" w:eastAsia="es-EC"/>
          </w:rPr>
          <w:t>nory@infomed.sld.cu</w:t>
        </w:r>
      </w:hyperlink>
    </w:p>
    <w:p w14:paraId="7886EF86" w14:textId="77777777" w:rsidR="00603BB4" w:rsidRPr="00603BB4" w:rsidRDefault="00603BB4" w:rsidP="00603BB4">
      <w:pPr>
        <w:spacing w:line="360" w:lineRule="auto"/>
        <w:contextualSpacing/>
        <w:jc w:val="both"/>
        <w:rPr>
          <w:lang w:val="es-EC" w:eastAsia="es-EC"/>
        </w:rPr>
      </w:pPr>
    </w:p>
    <w:p w14:paraId="6B9FD406" w14:textId="77777777" w:rsidR="00603BB4" w:rsidRPr="00603BB4" w:rsidRDefault="00603BB4" w:rsidP="00603BB4">
      <w:pPr>
        <w:spacing w:line="360" w:lineRule="auto"/>
        <w:contextualSpacing/>
        <w:jc w:val="both"/>
        <w:rPr>
          <w:b/>
          <w:lang w:val="es-EC" w:eastAsia="es-EC"/>
        </w:rPr>
      </w:pPr>
      <w:r w:rsidRPr="00603BB4">
        <w:rPr>
          <w:b/>
          <w:lang w:val="es-EC" w:eastAsia="es-EC"/>
        </w:rPr>
        <w:t>RESUMEN</w:t>
      </w:r>
    </w:p>
    <w:p w14:paraId="6D95DD31" w14:textId="77777777" w:rsidR="00603BB4" w:rsidRPr="00603BB4" w:rsidRDefault="00603BB4" w:rsidP="00603BB4">
      <w:pPr>
        <w:spacing w:line="360" w:lineRule="auto"/>
        <w:jc w:val="both"/>
        <w:rPr>
          <w:lang w:val="es-EC" w:eastAsia="es-EC"/>
        </w:rPr>
      </w:pPr>
      <w:r w:rsidRPr="00603BB4">
        <w:rPr>
          <w:b/>
          <w:lang w:val="es-EC" w:eastAsia="es-EC"/>
        </w:rPr>
        <w:t>Introducción:</w:t>
      </w:r>
      <w:r w:rsidRPr="00603BB4">
        <w:rPr>
          <w:lang w:val="es-EC" w:eastAsia="es-EC"/>
        </w:rPr>
        <w:t xml:space="preserve"> La obesidad es una enfermedad multifactorial, crónica, asociada íntimamente a otros padecimientos que presentan elevada morbimortalidad, como la diabetes tipo 2, la hipertensión arterial, dislipemias, enfermedad cardiovascular y ciertos tipos de cáncer. Se considera como la enfermedad crónica no transmisible más frecuente. El manejo óptimo requiere un tratamiento combinado y la utilización de fármacos. </w:t>
      </w:r>
    </w:p>
    <w:p w14:paraId="29539A1D" w14:textId="77777777" w:rsidR="00603BB4" w:rsidRPr="00603BB4" w:rsidRDefault="00603BB4" w:rsidP="00603BB4">
      <w:pPr>
        <w:spacing w:line="360" w:lineRule="auto"/>
        <w:jc w:val="both"/>
        <w:rPr>
          <w:lang w:val="es-EC" w:eastAsia="es-EC"/>
        </w:rPr>
      </w:pPr>
      <w:r w:rsidRPr="00603BB4">
        <w:rPr>
          <w:b/>
          <w:lang w:val="es-EC" w:eastAsia="es-EC"/>
        </w:rPr>
        <w:t xml:space="preserve">Objetivo: </w:t>
      </w:r>
      <w:r w:rsidRPr="00603BB4">
        <w:rPr>
          <w:lang w:val="es-EC" w:eastAsia="es-EC"/>
        </w:rPr>
        <w:t>Evaluar la efectividad del tratamiento con dieta, ejercicios físicos, metformina y tintura de ajo en pacientes con obesidad mórbida.</w:t>
      </w:r>
    </w:p>
    <w:p w14:paraId="074C0103" w14:textId="77777777" w:rsidR="00603BB4" w:rsidRPr="00603BB4" w:rsidRDefault="00603BB4" w:rsidP="00603BB4">
      <w:pPr>
        <w:spacing w:line="360" w:lineRule="auto"/>
        <w:jc w:val="both"/>
        <w:rPr>
          <w:b/>
          <w:lang w:eastAsia="es-EC"/>
        </w:rPr>
      </w:pPr>
      <w:r w:rsidRPr="00603BB4">
        <w:rPr>
          <w:b/>
          <w:lang w:val="es-EC" w:eastAsia="es-EC"/>
        </w:rPr>
        <w:lastRenderedPageBreak/>
        <w:t>Métodos:</w:t>
      </w:r>
      <w:r w:rsidRPr="00603BB4">
        <w:rPr>
          <w:lang w:val="es-EC" w:eastAsia="es-EC"/>
        </w:rPr>
        <w:t xml:space="preserve"> Se realizó un estudio longitudinal prospectivo de 45 pacientes con obesidad mórbida atendidos en la consulta de Endocrinología y Nutrición, del Hospital Militar “Dr. Luis Díaz Soto” en el 2022; los cuales se sometieron a tratamiento </w:t>
      </w:r>
      <w:proofErr w:type="spellStart"/>
      <w:r w:rsidRPr="00603BB4">
        <w:rPr>
          <w:lang w:val="es-EC" w:eastAsia="es-EC"/>
        </w:rPr>
        <w:t>de4</w:t>
      </w:r>
      <w:proofErr w:type="spellEnd"/>
      <w:r w:rsidRPr="00603BB4">
        <w:rPr>
          <w:lang w:val="es-EC" w:eastAsia="es-EC"/>
        </w:rPr>
        <w:t xml:space="preserve"> meses de duración. Se recogieron variables demográficas, clínicas y bioquímicas. Se aplicó un proceso estadístico, utilizando media y desviación estándar, considerando significativo p&lt;0,05.</w:t>
      </w:r>
    </w:p>
    <w:p w14:paraId="09CF8598" w14:textId="77777777" w:rsidR="00603BB4" w:rsidRPr="00603BB4" w:rsidRDefault="00603BB4" w:rsidP="00603BB4">
      <w:pPr>
        <w:spacing w:line="360" w:lineRule="auto"/>
        <w:jc w:val="both"/>
        <w:rPr>
          <w:lang w:val="es-EC" w:eastAsia="es-EC"/>
        </w:rPr>
      </w:pPr>
      <w:r w:rsidRPr="00603BB4">
        <w:rPr>
          <w:b/>
          <w:lang w:val="es-EC" w:eastAsia="es-EC"/>
        </w:rPr>
        <w:t>Resultados:</w:t>
      </w:r>
      <w:r w:rsidRPr="00603BB4">
        <w:rPr>
          <w:lang w:val="es-EC" w:eastAsia="es-EC"/>
        </w:rPr>
        <w:t xml:space="preserve"> Predominó el sexo femenino (95,6 %) con media de edad de 54,4 ± 6,2 años. Todas las variables antropométricas disminuyeron a los 4 meses. El peso y el índice de masa corporal resultaron significativos (p&lt; 0,05). Tanto la tensión arterial sistólica como la diastólica disminuyeron significativamente (p&lt; 0,05). Las variables de laboratorio disminuyeron y de manera significativa: glicemia, insulinemia, triglicéridos, colesterol e índice de insulinorresistencia. Ningún sujeto abandonó el tratamiento. El tratamiento resultó efectivo en el 97,8 %.</w:t>
      </w:r>
    </w:p>
    <w:p w14:paraId="7944BFDA" w14:textId="77777777" w:rsidR="00603BB4" w:rsidRPr="00603BB4" w:rsidRDefault="00603BB4" w:rsidP="00603BB4">
      <w:pPr>
        <w:spacing w:line="360" w:lineRule="auto"/>
        <w:jc w:val="both"/>
        <w:rPr>
          <w:lang w:val="es-EC" w:eastAsia="es-EC"/>
        </w:rPr>
      </w:pPr>
      <w:r w:rsidRPr="00603BB4">
        <w:rPr>
          <w:b/>
          <w:lang w:val="es-EC" w:eastAsia="es-EC"/>
        </w:rPr>
        <w:t xml:space="preserve">Conclusiones: </w:t>
      </w:r>
      <w:r w:rsidRPr="00603BB4">
        <w:rPr>
          <w:lang w:val="es-EC" w:eastAsia="es-EC"/>
        </w:rPr>
        <w:t>Los pacientes con obesidad mórbida después del tratamiento con cambios en el estilo de vida y metformina, durante un período de 4 meses, mejoran los parámetros clínicos y bioquímicos.</w:t>
      </w:r>
    </w:p>
    <w:p w14:paraId="5D8111C5" w14:textId="77777777" w:rsidR="00603BB4" w:rsidRPr="00603BB4" w:rsidRDefault="00603BB4" w:rsidP="00603BB4">
      <w:pPr>
        <w:spacing w:line="360" w:lineRule="auto"/>
        <w:contextualSpacing/>
        <w:jc w:val="both"/>
        <w:rPr>
          <w:lang w:val="es-EC" w:eastAsia="es-EC"/>
        </w:rPr>
      </w:pPr>
      <w:r w:rsidRPr="00603BB4">
        <w:rPr>
          <w:b/>
          <w:lang w:val="es-EC" w:eastAsia="es-EC"/>
        </w:rPr>
        <w:t xml:space="preserve">Palabras clave: </w:t>
      </w:r>
      <w:r w:rsidRPr="00603BB4">
        <w:rPr>
          <w:lang w:val="es-EC" w:eastAsia="es-EC"/>
        </w:rPr>
        <w:t>obesidad mórbida; dieta; ejercicio terapéutico; metformina.</w:t>
      </w:r>
    </w:p>
    <w:p w14:paraId="3B938AE8" w14:textId="77777777" w:rsidR="00603BB4" w:rsidRPr="00603BB4" w:rsidRDefault="00603BB4" w:rsidP="00603BB4">
      <w:pPr>
        <w:spacing w:line="360" w:lineRule="auto"/>
        <w:contextualSpacing/>
        <w:jc w:val="both"/>
        <w:rPr>
          <w:lang w:val="es-EC" w:eastAsia="es-EC"/>
        </w:rPr>
      </w:pPr>
    </w:p>
    <w:p w14:paraId="2644C60B" w14:textId="77777777" w:rsidR="00603BB4" w:rsidRPr="00603BB4" w:rsidRDefault="00603BB4" w:rsidP="00603BB4">
      <w:pPr>
        <w:spacing w:line="360" w:lineRule="auto"/>
        <w:contextualSpacing/>
        <w:jc w:val="both"/>
        <w:rPr>
          <w:b/>
          <w:lang w:val="en-US" w:eastAsia="es-EC"/>
        </w:rPr>
      </w:pPr>
      <w:r w:rsidRPr="00603BB4">
        <w:rPr>
          <w:b/>
          <w:lang w:val="en-US" w:eastAsia="es-EC"/>
        </w:rPr>
        <w:t>ABSTRACT</w:t>
      </w:r>
    </w:p>
    <w:p w14:paraId="376E4CB8" w14:textId="77777777" w:rsidR="00603BB4" w:rsidRPr="00603BB4" w:rsidRDefault="00603BB4" w:rsidP="00603BB4">
      <w:pPr>
        <w:spacing w:line="360" w:lineRule="auto"/>
        <w:contextualSpacing/>
        <w:jc w:val="both"/>
        <w:rPr>
          <w:lang w:val="en-US" w:eastAsia="es-EC"/>
        </w:rPr>
      </w:pPr>
      <w:r w:rsidRPr="00603BB4">
        <w:rPr>
          <w:b/>
          <w:bCs/>
          <w:lang w:val="en-US" w:eastAsia="es-EC"/>
        </w:rPr>
        <w:t>Introduction:</w:t>
      </w:r>
      <w:r w:rsidRPr="00603BB4">
        <w:rPr>
          <w:lang w:val="en-US" w:eastAsia="es-EC"/>
        </w:rPr>
        <w:t xml:space="preserve"> Obesity is a multifactorial, chronic disease, intimately associated with other conditions that present high morbimortality, such as type 2 diabetes, arterial hypertension, dyslipidemias, cardiovascular disease and certain types of cancer. It is considered the most common chronic non-communicable disease. Optimal management requires combined treatment and the use of drugs. </w:t>
      </w:r>
    </w:p>
    <w:p w14:paraId="1D81F594" w14:textId="77777777" w:rsidR="00603BB4" w:rsidRPr="00603BB4" w:rsidRDefault="00603BB4" w:rsidP="00603BB4">
      <w:pPr>
        <w:spacing w:line="360" w:lineRule="auto"/>
        <w:contextualSpacing/>
        <w:jc w:val="both"/>
        <w:rPr>
          <w:lang w:val="en-US" w:eastAsia="es-EC"/>
        </w:rPr>
      </w:pPr>
      <w:r w:rsidRPr="00603BB4">
        <w:rPr>
          <w:b/>
          <w:bCs/>
          <w:lang w:val="en-US" w:eastAsia="es-EC"/>
        </w:rPr>
        <w:t xml:space="preserve">Objective: </w:t>
      </w:r>
      <w:r w:rsidRPr="00603BB4">
        <w:rPr>
          <w:lang w:val="en-US" w:eastAsia="es-EC"/>
        </w:rPr>
        <w:t>To evaluate the effectiveness of treatment with diet, physical exercise, metformin and garlic tincture in morbidly obese patients.</w:t>
      </w:r>
    </w:p>
    <w:p w14:paraId="1DB6F43A" w14:textId="77777777" w:rsidR="00603BB4" w:rsidRPr="00603BB4" w:rsidRDefault="00603BB4" w:rsidP="00603BB4">
      <w:pPr>
        <w:spacing w:line="360" w:lineRule="auto"/>
        <w:contextualSpacing/>
        <w:jc w:val="both"/>
        <w:rPr>
          <w:lang w:val="en-US" w:eastAsia="es-EC"/>
        </w:rPr>
      </w:pPr>
      <w:r w:rsidRPr="00603BB4">
        <w:rPr>
          <w:b/>
          <w:bCs/>
          <w:lang w:val="en-US" w:eastAsia="es-EC"/>
        </w:rPr>
        <w:t>Methods:</w:t>
      </w:r>
      <w:r w:rsidRPr="00603BB4">
        <w:rPr>
          <w:lang w:val="en-US" w:eastAsia="es-EC"/>
        </w:rPr>
        <w:t xml:space="preserve"> A prospective longitudinal study of 45 morbidly obese patients attended at the Endocrinology and Nutrition Clinic of the Military Hospital "Dr. Luis Díaz Soto" in 2022, who underwent a 4-month treatment. Demographic, clinical and biochemical variables were collected. A statistical process was applied, using mean and standard deviation, considering p&lt; 0.05 as significant.</w:t>
      </w:r>
    </w:p>
    <w:p w14:paraId="0EC41729" w14:textId="77777777" w:rsidR="00603BB4" w:rsidRPr="00603BB4" w:rsidRDefault="00603BB4" w:rsidP="00603BB4">
      <w:pPr>
        <w:spacing w:line="360" w:lineRule="auto"/>
        <w:contextualSpacing/>
        <w:jc w:val="both"/>
        <w:rPr>
          <w:lang w:val="en-US" w:eastAsia="es-EC"/>
        </w:rPr>
      </w:pPr>
      <w:r w:rsidRPr="00603BB4">
        <w:rPr>
          <w:b/>
          <w:bCs/>
          <w:lang w:val="en-US" w:eastAsia="es-EC"/>
        </w:rPr>
        <w:t>Results:</w:t>
      </w:r>
      <w:r w:rsidRPr="00603BB4">
        <w:rPr>
          <w:lang w:val="en-US" w:eastAsia="es-EC"/>
        </w:rPr>
        <w:t xml:space="preserve"> Female sex predominated (95.6%) with a mean age of 54.4 ± 6.2 years. All anthropometric variables decreased at 4 months. Weight and body mass index were significant (p&lt; 0.05). Both systolic </w:t>
      </w:r>
      <w:r w:rsidRPr="00603BB4">
        <w:rPr>
          <w:lang w:val="en-US" w:eastAsia="es-EC"/>
        </w:rPr>
        <w:lastRenderedPageBreak/>
        <w:t>and diastolic blood pressure decreased significantly (p&lt; 0.05). Laboratory variables decreased significantly: glycemia, insulinemia, triglycerides, cholesterol and insulin resistance index. No subject abandoned the treatment. The treatment was effective in 97.8%.</w:t>
      </w:r>
    </w:p>
    <w:p w14:paraId="13B93B51" w14:textId="77777777" w:rsidR="00603BB4" w:rsidRPr="00603BB4" w:rsidRDefault="00603BB4" w:rsidP="00603BB4">
      <w:pPr>
        <w:spacing w:line="360" w:lineRule="auto"/>
        <w:contextualSpacing/>
        <w:jc w:val="both"/>
        <w:rPr>
          <w:lang w:val="en-US" w:eastAsia="es-EC"/>
        </w:rPr>
      </w:pPr>
      <w:r w:rsidRPr="00603BB4">
        <w:rPr>
          <w:b/>
          <w:bCs/>
          <w:lang w:val="en-US" w:eastAsia="es-EC"/>
        </w:rPr>
        <w:t>Conclusions:</w:t>
      </w:r>
      <w:r w:rsidRPr="00603BB4">
        <w:rPr>
          <w:lang w:val="en-US" w:eastAsia="es-EC"/>
        </w:rPr>
        <w:t xml:space="preserve"> Morbidly obese patients after treatment with lifestyle changes and metformin, during a period of 4 months improve clinical and biochemical parameters.</w:t>
      </w:r>
    </w:p>
    <w:p w14:paraId="4425477A" w14:textId="77777777" w:rsidR="00603BB4" w:rsidRPr="00603BB4" w:rsidRDefault="00603BB4" w:rsidP="00603BB4">
      <w:pPr>
        <w:spacing w:line="360" w:lineRule="auto"/>
        <w:contextualSpacing/>
        <w:jc w:val="both"/>
        <w:rPr>
          <w:lang w:val="en-US" w:eastAsia="es-EC"/>
        </w:rPr>
      </w:pPr>
      <w:r w:rsidRPr="00603BB4">
        <w:rPr>
          <w:b/>
          <w:bCs/>
          <w:lang w:val="en-US" w:eastAsia="es-EC"/>
        </w:rPr>
        <w:t>Keywords:</w:t>
      </w:r>
      <w:r w:rsidRPr="00603BB4">
        <w:rPr>
          <w:lang w:val="en-US" w:eastAsia="es-EC"/>
        </w:rPr>
        <w:t xml:space="preserve"> obesity, morbid; exercise therapy; metformin.</w:t>
      </w:r>
    </w:p>
    <w:p w14:paraId="6533DDDF" w14:textId="77777777" w:rsidR="00603BB4" w:rsidRPr="00603BB4" w:rsidRDefault="00603BB4" w:rsidP="00603BB4">
      <w:pPr>
        <w:spacing w:line="360" w:lineRule="auto"/>
        <w:contextualSpacing/>
        <w:jc w:val="both"/>
        <w:rPr>
          <w:lang w:val="en-US" w:eastAsia="es-EC"/>
        </w:rPr>
      </w:pPr>
    </w:p>
    <w:p w14:paraId="11D3A9F4" w14:textId="77777777" w:rsidR="00603BB4" w:rsidRPr="00603BB4" w:rsidRDefault="00603BB4" w:rsidP="00603BB4">
      <w:pPr>
        <w:spacing w:line="360" w:lineRule="auto"/>
        <w:contextualSpacing/>
        <w:jc w:val="both"/>
        <w:rPr>
          <w:lang w:val="en-US" w:eastAsia="es-EC"/>
        </w:rPr>
      </w:pPr>
    </w:p>
    <w:p w14:paraId="002BA560" w14:textId="77777777" w:rsidR="00603BB4" w:rsidRPr="00603BB4" w:rsidRDefault="00603BB4" w:rsidP="00603BB4">
      <w:pPr>
        <w:spacing w:line="360" w:lineRule="auto"/>
        <w:contextualSpacing/>
        <w:jc w:val="both"/>
        <w:rPr>
          <w:lang w:val="es-CU" w:eastAsia="es-EC"/>
        </w:rPr>
      </w:pPr>
      <w:r w:rsidRPr="00603BB4">
        <w:rPr>
          <w:lang w:val="es-CU" w:eastAsia="es-EC"/>
        </w:rPr>
        <w:t>Recibido: 05/01/2023</w:t>
      </w:r>
    </w:p>
    <w:p w14:paraId="2573FC0A" w14:textId="77777777" w:rsidR="00603BB4" w:rsidRPr="00603BB4" w:rsidRDefault="00603BB4" w:rsidP="00603BB4">
      <w:pPr>
        <w:spacing w:line="360" w:lineRule="auto"/>
        <w:contextualSpacing/>
        <w:jc w:val="both"/>
        <w:rPr>
          <w:lang w:val="es-EC" w:eastAsia="es-EC"/>
        </w:rPr>
      </w:pPr>
      <w:r w:rsidRPr="00603BB4">
        <w:rPr>
          <w:lang w:val="es-EC" w:eastAsia="es-EC"/>
        </w:rPr>
        <w:t>Aprobado: 20/07/2023</w:t>
      </w:r>
    </w:p>
    <w:p w14:paraId="6D98CCE5" w14:textId="77777777" w:rsidR="00603BB4" w:rsidRPr="00603BB4" w:rsidRDefault="00603BB4" w:rsidP="00603BB4">
      <w:pPr>
        <w:spacing w:line="360" w:lineRule="auto"/>
        <w:contextualSpacing/>
        <w:jc w:val="both"/>
        <w:rPr>
          <w:lang w:val="es-EC" w:eastAsia="es-EC"/>
        </w:rPr>
      </w:pPr>
    </w:p>
    <w:p w14:paraId="19F95D70" w14:textId="77777777" w:rsidR="00603BB4" w:rsidRPr="00603BB4" w:rsidRDefault="00603BB4" w:rsidP="00603BB4">
      <w:pPr>
        <w:spacing w:line="360" w:lineRule="auto"/>
        <w:contextualSpacing/>
        <w:jc w:val="both"/>
        <w:rPr>
          <w:b/>
          <w:lang w:val="es-CU" w:eastAsia="es-EC"/>
        </w:rPr>
      </w:pPr>
    </w:p>
    <w:p w14:paraId="0E824910" w14:textId="77777777" w:rsidR="00603BB4" w:rsidRPr="00603BB4" w:rsidRDefault="00603BB4" w:rsidP="00603BB4">
      <w:pPr>
        <w:spacing w:line="360" w:lineRule="auto"/>
        <w:contextualSpacing/>
        <w:jc w:val="center"/>
        <w:rPr>
          <w:b/>
          <w:sz w:val="32"/>
          <w:szCs w:val="32"/>
          <w:lang w:val="es-EC" w:eastAsia="es-EC"/>
        </w:rPr>
      </w:pPr>
      <w:r w:rsidRPr="00603BB4">
        <w:rPr>
          <w:b/>
          <w:sz w:val="32"/>
          <w:szCs w:val="32"/>
          <w:lang w:val="es-EC" w:eastAsia="es-EC"/>
        </w:rPr>
        <w:t>INTRODUCCIÓN</w:t>
      </w:r>
    </w:p>
    <w:p w14:paraId="3739A735"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La obesidad ha adquirido proporciones epidémicas a nivel global. En la actualidad, con más de un billón de adultos con sobrepeso y por lo menos 300 millones de obesos, es uno de los mayores contribuyentes a la carga global de enfermedad y discapacidad. Su frecuente asociación con comorbilidades, alto costo social y económico y la complejidad del tratamiento, la convierten en un problema prioritario de salud </w:t>
      </w:r>
      <w:proofErr w:type="gramStart"/>
      <w:r w:rsidRPr="00603BB4">
        <w:rPr>
          <w:lang w:val="es-EC" w:eastAsia="es-EC"/>
        </w:rPr>
        <w:t>pública.</w:t>
      </w:r>
      <w:r w:rsidRPr="00603BB4">
        <w:rPr>
          <w:vertAlign w:val="superscript"/>
          <w:lang w:val="es-EC" w:eastAsia="es-EC"/>
        </w:rPr>
        <w:t>(</w:t>
      </w:r>
      <w:proofErr w:type="gramEnd"/>
      <w:r w:rsidRPr="00603BB4">
        <w:rPr>
          <w:vertAlign w:val="superscript"/>
          <w:lang w:val="es-EC" w:eastAsia="es-EC"/>
        </w:rPr>
        <w:t>1,2)</w:t>
      </w:r>
    </w:p>
    <w:p w14:paraId="39D05F2A" w14:textId="77777777" w:rsidR="00603BB4" w:rsidRPr="00603BB4" w:rsidRDefault="00603BB4" w:rsidP="00603BB4">
      <w:pPr>
        <w:spacing w:line="360" w:lineRule="auto"/>
        <w:jc w:val="both"/>
        <w:rPr>
          <w:vertAlign w:val="superscript"/>
          <w:lang w:val="es-EC" w:eastAsia="es-EC"/>
        </w:rPr>
      </w:pPr>
      <w:r w:rsidRPr="00603BB4">
        <w:rPr>
          <w:lang w:val="es-EC" w:eastAsia="es-EC"/>
        </w:rPr>
        <w:t>Estudios epidemiológicos</w:t>
      </w:r>
      <w:r w:rsidRPr="00603BB4">
        <w:rPr>
          <w:vertAlign w:val="superscript"/>
          <w:lang w:val="es-EC" w:eastAsia="es-EC"/>
        </w:rPr>
        <w:t xml:space="preserve">(1,3) </w:t>
      </w:r>
      <w:r w:rsidRPr="00603BB4">
        <w:rPr>
          <w:lang w:val="es-EC" w:eastAsia="es-EC"/>
        </w:rPr>
        <w:t xml:space="preserve">muestran que en los adultos, la obesidad se asocia a un aumento de los índices de mortalidad y constituye un importante factor de riesgo de hipertensión, diabetes, dislipidemias, cardiopatía coronaria, apnea del sueño y otras enfermedades crónicas como colelitiasis, reflujo gastroesofágico, esteatohepatitis no alcohólica, estasis venosa, algunos tipos de cáncer, enfermedades osteoarticulares, dermatológicas, alteraciones psicológicas, infertilidad y complicaciones </w:t>
      </w:r>
      <w:proofErr w:type="spellStart"/>
      <w:r w:rsidRPr="00603BB4">
        <w:rPr>
          <w:lang w:val="es-EC" w:eastAsia="es-EC"/>
        </w:rPr>
        <w:t>ginecobstétricas</w:t>
      </w:r>
      <w:proofErr w:type="spellEnd"/>
      <w:r w:rsidRPr="00603BB4">
        <w:rPr>
          <w:lang w:val="es-EC" w:eastAsia="es-EC"/>
        </w:rPr>
        <w:t xml:space="preserve">. En los casos más graves (obesidad mórbida y </w:t>
      </w:r>
      <w:proofErr w:type="spellStart"/>
      <w:r w:rsidRPr="00603BB4">
        <w:rPr>
          <w:lang w:val="es-EC" w:eastAsia="es-EC"/>
        </w:rPr>
        <w:t>megaobesidad</w:t>
      </w:r>
      <w:proofErr w:type="spellEnd"/>
      <w:r w:rsidRPr="00603BB4">
        <w:rPr>
          <w:lang w:val="es-EC" w:eastAsia="es-EC"/>
        </w:rPr>
        <w:t>) se intensifican estas complicaciones, las cuales determinan un aumento significativo en el riesgo vital.</w:t>
      </w:r>
    </w:p>
    <w:p w14:paraId="09DFAFF8"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En Cuba la transición epidemiológica y nutricional ha ocurrido en forma muy rápida. Así, desde una alta prevalencia de desnutrición en los años 50, se ha pasado a una situación en que la obesidad constituye uno de los más importantes problemas nutricionales en todas las edades. En la última década, la </w:t>
      </w:r>
      <w:r w:rsidRPr="00603BB4">
        <w:rPr>
          <w:lang w:val="es-EC" w:eastAsia="es-EC"/>
        </w:rPr>
        <w:lastRenderedPageBreak/>
        <w:t xml:space="preserve">prevalencia de obesidad se ha doblado en preescolares y escolares. La situación en embarazadas también ha cambiado en forma dramática, en quienes la obesidad ha aumentado de 12,9 % a 32,7 </w:t>
      </w:r>
      <w:proofErr w:type="gramStart"/>
      <w:r w:rsidRPr="00603BB4">
        <w:rPr>
          <w:lang w:val="es-EC" w:eastAsia="es-EC"/>
        </w:rPr>
        <w:t>%.</w:t>
      </w:r>
      <w:r w:rsidRPr="00603BB4">
        <w:rPr>
          <w:vertAlign w:val="superscript"/>
          <w:lang w:val="es-EC" w:eastAsia="es-EC"/>
        </w:rPr>
        <w:t>(</w:t>
      </w:r>
      <w:proofErr w:type="gramEnd"/>
      <w:r w:rsidRPr="00603BB4">
        <w:rPr>
          <w:vertAlign w:val="superscript"/>
          <w:lang w:val="es-EC" w:eastAsia="es-EC"/>
        </w:rPr>
        <w:t>4,5)</w:t>
      </w:r>
    </w:p>
    <w:p w14:paraId="656E6B2C"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En 2 encuestas hechas en 2018 y 2019 en adultos en Cuba, la obesidad aumentó de 6 % a 11 % en hombres y de 14 % a 24 % en mujeres. Las últimas cifras de la encuesta nacional de salud del año 2019 alcanzan a 23,2 % de la población. Este aumento se explicaría en gran medida por el sedentarismo y por los cambios en los estilos de alimentación, caracterizados por el consumo de dietas ricas en energía y altas en grasa. Contribuyen a lo anterior, a pesar de la disponibilidad en este medio, el escaso consumo de vegetales y frutas por parte de la </w:t>
      </w:r>
      <w:proofErr w:type="gramStart"/>
      <w:r w:rsidRPr="00603BB4">
        <w:rPr>
          <w:lang w:val="es-EC" w:eastAsia="es-EC"/>
        </w:rPr>
        <w:t>población.</w:t>
      </w:r>
      <w:r w:rsidRPr="00603BB4">
        <w:rPr>
          <w:vertAlign w:val="superscript"/>
          <w:lang w:val="es-EC" w:eastAsia="es-EC"/>
        </w:rPr>
        <w:t>(</w:t>
      </w:r>
      <w:proofErr w:type="gramEnd"/>
      <w:r w:rsidRPr="00603BB4">
        <w:rPr>
          <w:vertAlign w:val="superscript"/>
          <w:lang w:val="es-EC" w:eastAsia="es-EC"/>
        </w:rPr>
        <w:t>6,7, 8)</w:t>
      </w:r>
    </w:p>
    <w:p w14:paraId="58126C05"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Con el paciente obeso, aun en situación crítica, se ha observado la conveniencia de trabajar la parte dietético-nutricional para optimizar los distintos tratamientos, tanto médicos como quirúrgicos, sin olvidar que el objetivo final consiste en facilitar el aprendizaje de los nuevos hábitos dietéticos que permitan la consolidación y el mantenimiento de la pérdida </w:t>
      </w:r>
      <w:proofErr w:type="gramStart"/>
      <w:r w:rsidRPr="00603BB4">
        <w:rPr>
          <w:lang w:val="es-EC" w:eastAsia="es-EC"/>
        </w:rPr>
        <w:t>ponderal.</w:t>
      </w:r>
      <w:r w:rsidRPr="00603BB4">
        <w:rPr>
          <w:vertAlign w:val="superscript"/>
          <w:lang w:val="es-EC" w:eastAsia="es-EC"/>
        </w:rPr>
        <w:t>(</w:t>
      </w:r>
      <w:proofErr w:type="gramEnd"/>
      <w:r w:rsidRPr="00603BB4">
        <w:rPr>
          <w:vertAlign w:val="superscript"/>
          <w:lang w:val="es-EC" w:eastAsia="es-EC"/>
        </w:rPr>
        <w:t>9,10,11,12,13)</w:t>
      </w:r>
    </w:p>
    <w:p w14:paraId="55C6F161" w14:textId="77777777" w:rsidR="00603BB4" w:rsidRPr="00603BB4" w:rsidRDefault="00603BB4" w:rsidP="00603BB4">
      <w:pPr>
        <w:spacing w:line="360" w:lineRule="auto"/>
        <w:jc w:val="both"/>
        <w:rPr>
          <w:lang w:val="es-EC" w:eastAsia="es-EC"/>
        </w:rPr>
      </w:pPr>
      <w:r w:rsidRPr="00603BB4">
        <w:rPr>
          <w:lang w:val="es-EC" w:eastAsia="es-EC"/>
        </w:rPr>
        <w:t>Esta investigación tiene como objetivo describir los principales cambios clínicos y bioquímicos que ocurren en los pacientes con obesidad mórbida después del tratamiento con cambios en el estilo de vida y metformina, durante un período de 4 meses.</w:t>
      </w:r>
    </w:p>
    <w:p w14:paraId="4C26EFDA" w14:textId="77777777" w:rsidR="00603BB4" w:rsidRPr="00603BB4" w:rsidRDefault="00603BB4" w:rsidP="00603BB4">
      <w:pPr>
        <w:spacing w:line="360" w:lineRule="auto"/>
        <w:jc w:val="both"/>
        <w:rPr>
          <w:lang w:val="es-EC" w:eastAsia="es-EC"/>
        </w:rPr>
      </w:pPr>
    </w:p>
    <w:p w14:paraId="0CCC6154" w14:textId="77777777" w:rsidR="00603BB4" w:rsidRPr="00603BB4" w:rsidRDefault="00603BB4" w:rsidP="00603BB4">
      <w:pPr>
        <w:spacing w:line="360" w:lineRule="auto"/>
        <w:jc w:val="center"/>
        <w:rPr>
          <w:b/>
          <w:lang w:val="es-EC" w:eastAsia="es-EC"/>
        </w:rPr>
      </w:pPr>
    </w:p>
    <w:p w14:paraId="17BE92E8" w14:textId="77777777" w:rsidR="00603BB4" w:rsidRPr="00603BB4" w:rsidRDefault="00603BB4" w:rsidP="00603BB4">
      <w:pPr>
        <w:spacing w:line="360" w:lineRule="auto"/>
        <w:jc w:val="center"/>
        <w:rPr>
          <w:b/>
          <w:sz w:val="32"/>
          <w:szCs w:val="32"/>
          <w:lang w:val="es-EC" w:eastAsia="es-EC"/>
        </w:rPr>
      </w:pPr>
      <w:r w:rsidRPr="00603BB4">
        <w:rPr>
          <w:b/>
          <w:sz w:val="32"/>
          <w:szCs w:val="32"/>
          <w:lang w:val="es-EC" w:eastAsia="es-EC"/>
        </w:rPr>
        <w:t>MÉTODOS</w:t>
      </w:r>
    </w:p>
    <w:p w14:paraId="05169B63" w14:textId="77777777" w:rsidR="00603BB4" w:rsidRPr="00603BB4" w:rsidRDefault="00603BB4" w:rsidP="00603BB4">
      <w:pPr>
        <w:spacing w:line="360" w:lineRule="auto"/>
        <w:jc w:val="center"/>
        <w:rPr>
          <w:b/>
          <w:bCs/>
          <w:sz w:val="28"/>
          <w:szCs w:val="28"/>
          <w:lang w:val="es-EC" w:eastAsia="es-EC"/>
        </w:rPr>
      </w:pPr>
      <w:r w:rsidRPr="00603BB4">
        <w:rPr>
          <w:b/>
          <w:bCs/>
          <w:sz w:val="28"/>
          <w:szCs w:val="28"/>
          <w:lang w:val="es-EC" w:eastAsia="es-EC"/>
        </w:rPr>
        <w:t>Diseño</w:t>
      </w:r>
    </w:p>
    <w:p w14:paraId="4F53D4EB" w14:textId="77777777" w:rsidR="00603BB4" w:rsidRPr="00603BB4" w:rsidRDefault="00603BB4" w:rsidP="00603BB4">
      <w:pPr>
        <w:spacing w:line="360" w:lineRule="auto"/>
        <w:jc w:val="both"/>
        <w:rPr>
          <w:lang w:val="es-EC" w:eastAsia="es-EC"/>
        </w:rPr>
      </w:pPr>
      <w:r w:rsidRPr="00603BB4">
        <w:rPr>
          <w:lang w:val="es-EC" w:eastAsia="es-EC"/>
        </w:rPr>
        <w:t>Se realizó un estudio longitudinal prospectivo, en el servicio de Endocrinología y Nutrición del Hospital Militar Central “Dr. Luis Díaz Soto”, La Habana, Cuba. La recolección de la información se desarrolló en el período de enero a abril de 2022.</w:t>
      </w:r>
    </w:p>
    <w:p w14:paraId="5E1C1ECD" w14:textId="77777777" w:rsidR="00603BB4" w:rsidRPr="00603BB4" w:rsidRDefault="00603BB4" w:rsidP="00603BB4">
      <w:pPr>
        <w:spacing w:line="360" w:lineRule="auto"/>
        <w:jc w:val="center"/>
        <w:rPr>
          <w:b/>
          <w:bCs/>
          <w:sz w:val="28"/>
          <w:szCs w:val="28"/>
          <w:lang w:val="es-EC" w:eastAsia="es-EC"/>
        </w:rPr>
      </w:pPr>
      <w:r w:rsidRPr="00603BB4">
        <w:rPr>
          <w:b/>
          <w:bCs/>
          <w:sz w:val="28"/>
          <w:szCs w:val="28"/>
          <w:lang w:val="es-EC" w:eastAsia="es-EC"/>
        </w:rPr>
        <w:t>Sujetos</w:t>
      </w:r>
    </w:p>
    <w:p w14:paraId="77D679BB" w14:textId="77777777" w:rsidR="00603BB4" w:rsidRPr="00603BB4" w:rsidRDefault="00603BB4" w:rsidP="00603BB4">
      <w:pPr>
        <w:spacing w:line="360" w:lineRule="auto"/>
        <w:jc w:val="both"/>
        <w:rPr>
          <w:lang w:val="es-EC" w:eastAsia="es-EC"/>
        </w:rPr>
      </w:pPr>
      <w:r w:rsidRPr="00603BB4">
        <w:rPr>
          <w:lang w:val="es-EC" w:eastAsia="es-EC"/>
        </w:rPr>
        <w:t>La muestra quedó constituida por 45 pacientes con diagnóstico de obesidad mórbida o índice de masa corporal (IMC) &gt; 40 kg/</w:t>
      </w:r>
      <w:proofErr w:type="spellStart"/>
      <w:r w:rsidRPr="00603BB4">
        <w:rPr>
          <w:lang w:val="es-EC" w:eastAsia="es-EC"/>
        </w:rPr>
        <w:t>m</w:t>
      </w:r>
      <w:r w:rsidRPr="00603BB4">
        <w:rPr>
          <w:vertAlign w:val="superscript"/>
          <w:lang w:val="es-EC" w:eastAsia="es-EC"/>
        </w:rPr>
        <w:t>2</w:t>
      </w:r>
      <w:proofErr w:type="spellEnd"/>
      <w:r w:rsidRPr="00603BB4">
        <w:rPr>
          <w:lang w:val="es-EC" w:eastAsia="es-EC"/>
        </w:rPr>
        <w:t xml:space="preserve"> atendidos en las consultas externas de ambas especialidades durante el periodo señalado, que cumplieron con los siguientes criterios de inclusión:</w:t>
      </w:r>
    </w:p>
    <w:p w14:paraId="7A090446" w14:textId="77777777" w:rsidR="00603BB4" w:rsidRPr="00603BB4" w:rsidRDefault="00603BB4" w:rsidP="00603BB4">
      <w:pPr>
        <w:spacing w:line="360" w:lineRule="auto"/>
        <w:jc w:val="both"/>
        <w:rPr>
          <w:lang w:val="es-EC" w:eastAsia="es-EC"/>
        </w:rPr>
      </w:pPr>
    </w:p>
    <w:p w14:paraId="46F5EFAF" w14:textId="77777777" w:rsidR="00603BB4" w:rsidRPr="00603BB4" w:rsidRDefault="00603BB4" w:rsidP="00603BB4">
      <w:pPr>
        <w:numPr>
          <w:ilvl w:val="0"/>
          <w:numId w:val="6"/>
        </w:numPr>
        <w:spacing w:line="360" w:lineRule="auto"/>
        <w:ind w:left="714" w:hanging="357"/>
        <w:jc w:val="both"/>
        <w:rPr>
          <w:lang w:val="es-EC" w:eastAsia="es-EC"/>
        </w:rPr>
      </w:pPr>
      <w:r w:rsidRPr="00603BB4">
        <w:rPr>
          <w:lang w:val="es-EC" w:eastAsia="es-EC"/>
        </w:rPr>
        <w:lastRenderedPageBreak/>
        <w:t>Pacientes de ambos sexos de 19 a 60 años.</w:t>
      </w:r>
    </w:p>
    <w:p w14:paraId="63F8E8F5" w14:textId="77777777" w:rsidR="00603BB4" w:rsidRPr="00603BB4" w:rsidRDefault="00603BB4" w:rsidP="00603BB4">
      <w:pPr>
        <w:numPr>
          <w:ilvl w:val="0"/>
          <w:numId w:val="6"/>
        </w:numPr>
        <w:spacing w:line="360" w:lineRule="auto"/>
        <w:ind w:left="714" w:hanging="357"/>
        <w:jc w:val="both"/>
        <w:rPr>
          <w:lang w:val="es-EC" w:eastAsia="es-EC"/>
        </w:rPr>
      </w:pPr>
      <w:r w:rsidRPr="00603BB4">
        <w:rPr>
          <w:lang w:val="es-EC" w:eastAsia="es-EC"/>
        </w:rPr>
        <w:t>Índice masa corporal (IMC) mayor 40 kg/</w:t>
      </w:r>
      <w:proofErr w:type="spellStart"/>
      <w:r w:rsidRPr="00603BB4">
        <w:rPr>
          <w:lang w:val="es-EC" w:eastAsia="es-EC"/>
        </w:rPr>
        <w:t>m</w:t>
      </w:r>
      <w:r w:rsidRPr="00603BB4">
        <w:rPr>
          <w:vertAlign w:val="superscript"/>
          <w:lang w:val="es-EC" w:eastAsia="es-EC"/>
        </w:rPr>
        <w:t>2</w:t>
      </w:r>
      <w:proofErr w:type="spellEnd"/>
    </w:p>
    <w:p w14:paraId="5F0DFDC8" w14:textId="77777777" w:rsidR="00603BB4" w:rsidRPr="00603BB4" w:rsidRDefault="00603BB4" w:rsidP="00603BB4">
      <w:pPr>
        <w:numPr>
          <w:ilvl w:val="0"/>
          <w:numId w:val="6"/>
        </w:numPr>
        <w:spacing w:line="360" w:lineRule="auto"/>
        <w:ind w:left="714" w:hanging="357"/>
        <w:jc w:val="both"/>
        <w:rPr>
          <w:lang w:val="es-EC" w:eastAsia="es-EC"/>
        </w:rPr>
      </w:pPr>
      <w:r w:rsidRPr="00603BB4">
        <w:rPr>
          <w:lang w:val="es-EC" w:eastAsia="es-EC"/>
        </w:rPr>
        <w:t xml:space="preserve">Pacientes que estuvieron de acuerdo en participar en la investigación y que firmaron el consentimiento informado. </w:t>
      </w:r>
    </w:p>
    <w:p w14:paraId="36CDC862" w14:textId="77777777" w:rsidR="00603BB4" w:rsidRPr="00603BB4" w:rsidRDefault="00603BB4" w:rsidP="00603BB4">
      <w:pPr>
        <w:spacing w:line="360" w:lineRule="auto"/>
        <w:ind w:left="357"/>
        <w:jc w:val="both"/>
        <w:rPr>
          <w:lang w:val="es-EC" w:eastAsia="es-EC"/>
        </w:rPr>
      </w:pPr>
    </w:p>
    <w:p w14:paraId="0F8D3291" w14:textId="77777777" w:rsidR="00603BB4" w:rsidRPr="00603BB4" w:rsidRDefault="00603BB4" w:rsidP="00603BB4">
      <w:pPr>
        <w:spacing w:line="360" w:lineRule="auto"/>
        <w:ind w:left="357"/>
        <w:jc w:val="both"/>
        <w:rPr>
          <w:lang w:val="es-EC" w:eastAsia="es-EC"/>
        </w:rPr>
      </w:pPr>
      <w:r w:rsidRPr="00603BB4">
        <w:rPr>
          <w:lang w:val="es-EC" w:eastAsia="es-EC"/>
        </w:rPr>
        <w:t>Como criterios de exclusión:</w:t>
      </w:r>
    </w:p>
    <w:p w14:paraId="36D9ABC9" w14:textId="77777777" w:rsidR="00603BB4" w:rsidRPr="00603BB4" w:rsidRDefault="00603BB4" w:rsidP="00603BB4">
      <w:pPr>
        <w:numPr>
          <w:ilvl w:val="0"/>
          <w:numId w:val="6"/>
        </w:numPr>
        <w:spacing w:line="360" w:lineRule="auto"/>
        <w:ind w:left="714" w:hanging="357"/>
        <w:jc w:val="both"/>
        <w:rPr>
          <w:lang w:val="es-EC" w:eastAsia="es-EC"/>
        </w:rPr>
      </w:pPr>
      <w:r w:rsidRPr="00603BB4">
        <w:rPr>
          <w:lang w:val="es-EC" w:eastAsia="es-EC"/>
        </w:rPr>
        <w:t>Pacientes obesos con diagnóstico de alguna enfermedad crónica no transmisible.</w:t>
      </w:r>
    </w:p>
    <w:p w14:paraId="579FFFF5" w14:textId="77777777" w:rsidR="00603BB4" w:rsidRPr="00603BB4" w:rsidRDefault="00603BB4" w:rsidP="00603BB4">
      <w:pPr>
        <w:numPr>
          <w:ilvl w:val="0"/>
          <w:numId w:val="6"/>
        </w:numPr>
        <w:spacing w:line="360" w:lineRule="auto"/>
        <w:ind w:left="714" w:hanging="357"/>
        <w:jc w:val="both"/>
        <w:rPr>
          <w:lang w:val="es-EC" w:eastAsia="es-EC"/>
        </w:rPr>
      </w:pPr>
      <w:r w:rsidRPr="00603BB4">
        <w:rPr>
          <w:lang w:val="es-EC" w:eastAsia="es-EC"/>
        </w:rPr>
        <w:t>Pacientes que se negaron a llevar los regímenes terapéuticos propuestos.</w:t>
      </w:r>
    </w:p>
    <w:p w14:paraId="302B2DDA" w14:textId="77777777" w:rsidR="00603BB4" w:rsidRPr="00603BB4" w:rsidRDefault="00603BB4" w:rsidP="00603BB4">
      <w:pPr>
        <w:spacing w:line="360" w:lineRule="auto"/>
        <w:ind w:left="6"/>
        <w:jc w:val="center"/>
        <w:rPr>
          <w:b/>
          <w:bCs/>
          <w:sz w:val="28"/>
          <w:szCs w:val="28"/>
          <w:lang w:val="es-EC" w:eastAsia="es-EC"/>
        </w:rPr>
      </w:pPr>
    </w:p>
    <w:p w14:paraId="038AC17E" w14:textId="77777777" w:rsidR="00603BB4" w:rsidRPr="00603BB4" w:rsidRDefault="00603BB4" w:rsidP="00603BB4">
      <w:pPr>
        <w:spacing w:line="360" w:lineRule="auto"/>
        <w:ind w:left="6"/>
        <w:jc w:val="center"/>
        <w:rPr>
          <w:b/>
          <w:bCs/>
          <w:sz w:val="28"/>
          <w:szCs w:val="28"/>
          <w:lang w:val="es-EC" w:eastAsia="es-EC"/>
        </w:rPr>
      </w:pPr>
      <w:r w:rsidRPr="00603BB4">
        <w:rPr>
          <w:b/>
          <w:bCs/>
          <w:sz w:val="28"/>
          <w:szCs w:val="28"/>
          <w:lang w:val="es-EC" w:eastAsia="es-EC"/>
        </w:rPr>
        <w:t>Variables</w:t>
      </w:r>
    </w:p>
    <w:p w14:paraId="7D2DA236" w14:textId="77777777" w:rsidR="00603BB4" w:rsidRPr="00603BB4" w:rsidRDefault="00603BB4" w:rsidP="00603BB4">
      <w:pPr>
        <w:spacing w:line="360" w:lineRule="auto"/>
        <w:ind w:left="6"/>
        <w:jc w:val="both"/>
        <w:rPr>
          <w:lang w:val="es-EC" w:eastAsia="es-EC"/>
        </w:rPr>
      </w:pPr>
      <w:r w:rsidRPr="00603BB4">
        <w:rPr>
          <w:lang w:val="es-EC" w:eastAsia="es-EC"/>
        </w:rPr>
        <w:t>Para caracterizar a los sujetos se utilizó la variable cualitativa sexo y las cuantitativas: peso, índice de masa corporal, circunferencia abdominal y braquial, tensión arterial sistólica y diastólica; las variables bioquímicas, glucemia, insulinemia, índice de modelo homeostático para evaluar la resistencia a la insulina (</w:t>
      </w:r>
      <w:proofErr w:type="spellStart"/>
      <w:r w:rsidRPr="00603BB4">
        <w:rPr>
          <w:lang w:val="es-EC" w:eastAsia="es-EC"/>
        </w:rPr>
        <w:t>HOMA</w:t>
      </w:r>
      <w:proofErr w:type="spellEnd"/>
      <w:r w:rsidRPr="00603BB4">
        <w:rPr>
          <w:lang w:val="es-EC" w:eastAsia="es-EC"/>
        </w:rPr>
        <w:t>), colesterol, triglicéridos y ácido úrico.</w:t>
      </w:r>
    </w:p>
    <w:p w14:paraId="5AB4EE99" w14:textId="77777777" w:rsidR="00603BB4" w:rsidRPr="00603BB4" w:rsidRDefault="00603BB4" w:rsidP="00603BB4">
      <w:pPr>
        <w:spacing w:line="360" w:lineRule="auto"/>
        <w:jc w:val="center"/>
        <w:rPr>
          <w:b/>
          <w:sz w:val="28"/>
          <w:szCs w:val="28"/>
          <w:lang w:val="es-EC" w:eastAsia="es-EC"/>
        </w:rPr>
      </w:pPr>
      <w:r w:rsidRPr="00603BB4">
        <w:rPr>
          <w:b/>
          <w:sz w:val="28"/>
          <w:szCs w:val="28"/>
          <w:lang w:val="es-EC" w:eastAsia="es-EC"/>
        </w:rPr>
        <w:t>Procedimientos</w:t>
      </w:r>
    </w:p>
    <w:p w14:paraId="6A323C85" w14:textId="77777777" w:rsidR="00603BB4" w:rsidRPr="00603BB4" w:rsidRDefault="00603BB4" w:rsidP="00603BB4">
      <w:pPr>
        <w:spacing w:line="360" w:lineRule="auto"/>
        <w:jc w:val="both"/>
        <w:rPr>
          <w:lang w:val="es-EC" w:eastAsia="es-EC"/>
        </w:rPr>
      </w:pPr>
      <w:r w:rsidRPr="00603BB4">
        <w:rPr>
          <w:lang w:val="es-EC" w:eastAsia="es-EC"/>
        </w:rPr>
        <w:t>El estudio tuvo una duración de 4 meses el cual consistió en:</w:t>
      </w:r>
    </w:p>
    <w:p w14:paraId="2448AB76" w14:textId="77777777" w:rsidR="00603BB4" w:rsidRPr="00603BB4" w:rsidRDefault="00603BB4" w:rsidP="00603BB4">
      <w:pPr>
        <w:spacing w:line="360" w:lineRule="auto"/>
        <w:jc w:val="both"/>
        <w:rPr>
          <w:lang w:val="es-EC" w:eastAsia="es-EC"/>
        </w:rPr>
      </w:pPr>
    </w:p>
    <w:p w14:paraId="12E68BFC" w14:textId="77777777" w:rsidR="00603BB4" w:rsidRPr="00603BB4" w:rsidRDefault="00603BB4" w:rsidP="00603BB4">
      <w:pPr>
        <w:numPr>
          <w:ilvl w:val="0"/>
          <w:numId w:val="19"/>
        </w:numPr>
        <w:spacing w:line="360" w:lineRule="auto"/>
        <w:ind w:hanging="357"/>
        <w:jc w:val="both"/>
        <w:rPr>
          <w:lang w:val="es-EC" w:eastAsia="es-EC"/>
        </w:rPr>
      </w:pPr>
      <w:r w:rsidRPr="00603BB4">
        <w:rPr>
          <w:lang w:val="es-EC" w:eastAsia="es-EC"/>
        </w:rPr>
        <w:t>Dieta de 1500 kcal, para las mujeres y 1800 kcal para los hombres</w:t>
      </w:r>
    </w:p>
    <w:p w14:paraId="31950C47" w14:textId="77777777" w:rsidR="00603BB4" w:rsidRPr="00603BB4" w:rsidRDefault="00603BB4" w:rsidP="00603BB4">
      <w:pPr>
        <w:numPr>
          <w:ilvl w:val="0"/>
          <w:numId w:val="21"/>
        </w:numPr>
        <w:spacing w:line="360" w:lineRule="auto"/>
        <w:ind w:hanging="357"/>
        <w:jc w:val="both"/>
        <w:rPr>
          <w:lang w:val="es-EC" w:eastAsia="es-EC"/>
        </w:rPr>
      </w:pPr>
      <w:r w:rsidRPr="00603BB4">
        <w:rPr>
          <w:lang w:val="es-EC" w:eastAsia="es-EC"/>
        </w:rPr>
        <w:t>Carbohidratos simples (50-60 %)</w:t>
      </w:r>
    </w:p>
    <w:p w14:paraId="3E04CF71" w14:textId="77777777" w:rsidR="00603BB4" w:rsidRPr="00603BB4" w:rsidRDefault="00603BB4" w:rsidP="00603BB4">
      <w:pPr>
        <w:numPr>
          <w:ilvl w:val="0"/>
          <w:numId w:val="21"/>
        </w:numPr>
        <w:spacing w:line="360" w:lineRule="auto"/>
        <w:ind w:hanging="357"/>
        <w:jc w:val="both"/>
        <w:rPr>
          <w:lang w:val="es-EC" w:eastAsia="es-EC"/>
        </w:rPr>
      </w:pPr>
      <w:r w:rsidRPr="00603BB4">
        <w:rPr>
          <w:lang w:val="es-EC" w:eastAsia="es-EC"/>
        </w:rPr>
        <w:t>Grasas (20-30 %)</w:t>
      </w:r>
    </w:p>
    <w:p w14:paraId="5996FF1C" w14:textId="77777777" w:rsidR="00603BB4" w:rsidRPr="00603BB4" w:rsidRDefault="00603BB4" w:rsidP="00603BB4">
      <w:pPr>
        <w:numPr>
          <w:ilvl w:val="0"/>
          <w:numId w:val="21"/>
        </w:numPr>
        <w:spacing w:line="360" w:lineRule="auto"/>
        <w:ind w:hanging="357"/>
        <w:jc w:val="both"/>
        <w:rPr>
          <w:lang w:val="es-EC" w:eastAsia="es-EC"/>
        </w:rPr>
      </w:pPr>
      <w:r w:rsidRPr="00603BB4">
        <w:rPr>
          <w:lang w:val="es-EC" w:eastAsia="es-EC"/>
        </w:rPr>
        <w:t>No grasas trans (pasteles, chocolates, dulces)</w:t>
      </w:r>
    </w:p>
    <w:p w14:paraId="10C5C5F1" w14:textId="77777777" w:rsidR="00603BB4" w:rsidRPr="00603BB4" w:rsidRDefault="00603BB4" w:rsidP="00603BB4">
      <w:pPr>
        <w:numPr>
          <w:ilvl w:val="0"/>
          <w:numId w:val="21"/>
        </w:numPr>
        <w:spacing w:line="360" w:lineRule="auto"/>
        <w:ind w:hanging="357"/>
        <w:jc w:val="both"/>
        <w:rPr>
          <w:lang w:val="es-EC" w:eastAsia="es-EC"/>
        </w:rPr>
      </w:pPr>
      <w:r w:rsidRPr="00603BB4">
        <w:rPr>
          <w:lang w:val="es-EC" w:eastAsia="es-EC"/>
        </w:rPr>
        <w:t>Proteínas (10-20 %)</w:t>
      </w:r>
    </w:p>
    <w:p w14:paraId="0E477031" w14:textId="77777777" w:rsidR="00603BB4" w:rsidRPr="00603BB4" w:rsidRDefault="00603BB4" w:rsidP="00603BB4">
      <w:pPr>
        <w:numPr>
          <w:ilvl w:val="0"/>
          <w:numId w:val="19"/>
        </w:numPr>
        <w:spacing w:line="360" w:lineRule="auto"/>
        <w:ind w:hanging="357"/>
        <w:jc w:val="both"/>
        <w:rPr>
          <w:lang w:val="es-EC" w:eastAsia="es-EC"/>
        </w:rPr>
      </w:pPr>
      <w:r w:rsidRPr="00603BB4">
        <w:rPr>
          <w:lang w:val="es-EC" w:eastAsia="es-EC"/>
        </w:rPr>
        <w:t>Caminatas al aire libre 30 min no menos de 4 veces por semana</w:t>
      </w:r>
    </w:p>
    <w:p w14:paraId="65A7BFC5" w14:textId="77777777" w:rsidR="00603BB4" w:rsidRPr="00603BB4" w:rsidRDefault="00603BB4" w:rsidP="00603BB4">
      <w:pPr>
        <w:numPr>
          <w:ilvl w:val="0"/>
          <w:numId w:val="19"/>
        </w:numPr>
        <w:spacing w:line="360" w:lineRule="auto"/>
        <w:jc w:val="both"/>
        <w:rPr>
          <w:lang w:val="es-EC" w:eastAsia="es-EC"/>
        </w:rPr>
      </w:pPr>
      <w:r w:rsidRPr="00603BB4">
        <w:rPr>
          <w:lang w:val="es-EC" w:eastAsia="es-EC"/>
        </w:rPr>
        <w:t>Metformina (500 mg) 1 g</w:t>
      </w:r>
    </w:p>
    <w:p w14:paraId="6F74DCB4" w14:textId="77777777" w:rsidR="00603BB4" w:rsidRPr="00603BB4" w:rsidRDefault="00603BB4" w:rsidP="00603BB4">
      <w:pPr>
        <w:numPr>
          <w:ilvl w:val="0"/>
          <w:numId w:val="19"/>
        </w:numPr>
        <w:spacing w:line="360" w:lineRule="auto"/>
        <w:jc w:val="both"/>
        <w:rPr>
          <w:lang w:val="es-EC" w:eastAsia="es-EC"/>
        </w:rPr>
      </w:pPr>
      <w:r w:rsidRPr="00603BB4">
        <w:rPr>
          <w:lang w:val="es-EC" w:eastAsia="es-EC"/>
        </w:rPr>
        <w:t>Tintura de ajo 20 gotas sublingual o en medio vaso de agua, 2 veces al día.</w:t>
      </w:r>
    </w:p>
    <w:p w14:paraId="7143D40F" w14:textId="77777777" w:rsidR="00603BB4" w:rsidRPr="00603BB4" w:rsidRDefault="00603BB4" w:rsidP="00603BB4">
      <w:pPr>
        <w:spacing w:line="360" w:lineRule="auto"/>
        <w:jc w:val="both"/>
        <w:rPr>
          <w:lang w:val="es-EC" w:eastAsia="es-EC"/>
        </w:rPr>
      </w:pPr>
    </w:p>
    <w:p w14:paraId="522B283A" w14:textId="77777777" w:rsidR="00603BB4" w:rsidRPr="00603BB4" w:rsidRDefault="00603BB4" w:rsidP="00603BB4">
      <w:pPr>
        <w:spacing w:line="360" w:lineRule="auto"/>
        <w:jc w:val="both"/>
        <w:rPr>
          <w:lang w:val="es-EC" w:eastAsia="es-EC"/>
        </w:rPr>
      </w:pPr>
      <w:r w:rsidRPr="00603BB4">
        <w:rPr>
          <w:lang w:val="es-EC" w:eastAsia="es-EC"/>
        </w:rPr>
        <w:lastRenderedPageBreak/>
        <w:t>En la consulta inicial se recogió de cada paciente toda la información para el llenado de la planilla de recolección de datos mediante el interrogatorio y el examen físico que incluyó la toma de la tensión arterial. Se tomaron las medidas antropométricas utilizando los siguientes procedimientos:</w:t>
      </w:r>
    </w:p>
    <w:p w14:paraId="5CB31EBF" w14:textId="77777777" w:rsidR="00603BB4" w:rsidRPr="00603BB4" w:rsidRDefault="00603BB4" w:rsidP="00603BB4">
      <w:pPr>
        <w:spacing w:line="360" w:lineRule="auto"/>
        <w:jc w:val="both"/>
        <w:rPr>
          <w:lang w:val="es-EC" w:eastAsia="es-EC"/>
        </w:rPr>
      </w:pPr>
    </w:p>
    <w:p w14:paraId="5EAF71E2"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 xml:space="preserve">Peso (kg) con pesa de capacidad para 120 kg, y con aumento de 1 kg, con el paciente en ropa interior y después de orinar; </w:t>
      </w:r>
    </w:p>
    <w:p w14:paraId="0BB0C58B"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 xml:space="preserve">Talla (m) con estadiómetro con una precisión de 0,5 cm, con las adolescentes descalza y el plano Frankfurt horizontal; </w:t>
      </w:r>
    </w:p>
    <w:p w14:paraId="17972231"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IMC por la fórmula peso (kg)/ altura (</w:t>
      </w:r>
      <w:proofErr w:type="spellStart"/>
      <w:r w:rsidRPr="00603BB4">
        <w:rPr>
          <w:lang w:val="es-EC" w:eastAsia="es-EC"/>
        </w:rPr>
        <w:t>m</w:t>
      </w:r>
      <w:r w:rsidRPr="00603BB4">
        <w:rPr>
          <w:vertAlign w:val="superscript"/>
          <w:lang w:val="es-EC" w:eastAsia="es-EC"/>
        </w:rPr>
        <w:t>2</w:t>
      </w:r>
      <w:proofErr w:type="spellEnd"/>
      <w:r w:rsidRPr="00603BB4">
        <w:rPr>
          <w:lang w:val="es-EC" w:eastAsia="es-EC"/>
        </w:rPr>
        <w:t xml:space="preserve">); </w:t>
      </w:r>
    </w:p>
    <w:p w14:paraId="1C076A39"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 xml:space="preserve">Circunferencia de cintura (CC) con una huincha flexible en centímetros (cm), corresponde al perímetro menor entre la cresta ilíaca y el borde inferior de la última costilla, luego de exhalar con los brazos relajados en ambos costados; </w:t>
      </w:r>
    </w:p>
    <w:p w14:paraId="6382DDED"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 xml:space="preserve">Circunferencia braquial con cinta métrica al nivel del brazo; </w:t>
      </w:r>
    </w:p>
    <w:p w14:paraId="2E88C968"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 xml:space="preserve">Presión sanguínea sistólica (PAS) y presión sanguínea diastólica (PAD) (mmHg): con esfingomanómetro manual, ubicando la manga a la altura del corazón y su borde inferior a 2 cm sobre el pliegue del codo, previamente el paciente debe haber descansado al menos 5 minutos; </w:t>
      </w:r>
    </w:p>
    <w:p w14:paraId="50A35B5E"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Perfil lipídico: triglicéridos (mg/</w:t>
      </w:r>
      <w:proofErr w:type="spellStart"/>
      <w:r w:rsidRPr="00603BB4">
        <w:rPr>
          <w:lang w:val="es-EC" w:eastAsia="es-EC"/>
        </w:rPr>
        <w:t>dL</w:t>
      </w:r>
      <w:proofErr w:type="spellEnd"/>
      <w:r w:rsidRPr="00603BB4">
        <w:rPr>
          <w:lang w:val="es-EC" w:eastAsia="es-EC"/>
        </w:rPr>
        <w:t xml:space="preserve">) con </w:t>
      </w:r>
      <w:proofErr w:type="spellStart"/>
      <w:r w:rsidRPr="00603BB4">
        <w:rPr>
          <w:lang w:val="es-EC" w:eastAsia="es-EC"/>
        </w:rPr>
        <w:t>autoanalizador</w:t>
      </w:r>
      <w:proofErr w:type="spellEnd"/>
      <w:r w:rsidRPr="00603BB4">
        <w:rPr>
          <w:lang w:val="es-EC" w:eastAsia="es-EC"/>
        </w:rPr>
        <w:t xml:space="preserve"> Gemini Merck; </w:t>
      </w:r>
    </w:p>
    <w:p w14:paraId="25F51505"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glucemia (mg/</w:t>
      </w:r>
      <w:proofErr w:type="spellStart"/>
      <w:r w:rsidRPr="00603BB4">
        <w:rPr>
          <w:lang w:val="es-EC" w:eastAsia="es-EC"/>
        </w:rPr>
        <w:t>dL</w:t>
      </w:r>
      <w:proofErr w:type="spellEnd"/>
      <w:r w:rsidRPr="00603BB4">
        <w:rPr>
          <w:lang w:val="es-EC" w:eastAsia="es-EC"/>
        </w:rPr>
        <w:t xml:space="preserve">) con </w:t>
      </w:r>
      <w:proofErr w:type="spellStart"/>
      <w:r w:rsidRPr="00603BB4">
        <w:rPr>
          <w:lang w:val="es-EC" w:eastAsia="es-EC"/>
        </w:rPr>
        <w:t>autoanalizador</w:t>
      </w:r>
      <w:proofErr w:type="spellEnd"/>
      <w:r w:rsidRPr="00603BB4">
        <w:rPr>
          <w:lang w:val="es-EC" w:eastAsia="es-EC"/>
        </w:rPr>
        <w:t xml:space="preserve"> Gemini Merck; </w:t>
      </w:r>
    </w:p>
    <w:p w14:paraId="46341B8F" w14:textId="77777777" w:rsidR="00603BB4" w:rsidRPr="00603BB4" w:rsidRDefault="00603BB4" w:rsidP="00603BB4">
      <w:pPr>
        <w:numPr>
          <w:ilvl w:val="0"/>
          <w:numId w:val="24"/>
        </w:numPr>
        <w:spacing w:line="360" w:lineRule="auto"/>
        <w:contextualSpacing/>
        <w:jc w:val="both"/>
        <w:rPr>
          <w:lang w:val="es-EC" w:eastAsia="es-EC"/>
        </w:rPr>
      </w:pPr>
      <w:r w:rsidRPr="00603BB4">
        <w:rPr>
          <w:lang w:val="es-EC" w:eastAsia="es-EC"/>
        </w:rPr>
        <w:t>Insulinemia (</w:t>
      </w:r>
      <w:proofErr w:type="spellStart"/>
      <w:r w:rsidRPr="00603BB4">
        <w:rPr>
          <w:lang w:val="es-EC" w:eastAsia="es-EC"/>
        </w:rPr>
        <w:t>mU</w:t>
      </w:r>
      <w:proofErr w:type="spellEnd"/>
      <w:r w:rsidRPr="00603BB4">
        <w:rPr>
          <w:lang w:val="es-EC" w:eastAsia="es-EC"/>
        </w:rPr>
        <w:t xml:space="preserve">/mL) medida por quimioluminiscencia; </w:t>
      </w:r>
    </w:p>
    <w:p w14:paraId="5812265F" w14:textId="77777777" w:rsidR="00603BB4" w:rsidRPr="00603BB4" w:rsidRDefault="00603BB4" w:rsidP="00603BB4">
      <w:pPr>
        <w:numPr>
          <w:ilvl w:val="0"/>
          <w:numId w:val="24"/>
        </w:numPr>
        <w:spacing w:line="360" w:lineRule="auto"/>
        <w:contextualSpacing/>
        <w:jc w:val="both"/>
        <w:rPr>
          <w:lang w:val="es-EC" w:eastAsia="es-EC"/>
        </w:rPr>
      </w:pPr>
      <w:proofErr w:type="spellStart"/>
      <w:r w:rsidRPr="00603BB4">
        <w:rPr>
          <w:lang w:val="es-EC" w:eastAsia="es-EC"/>
        </w:rPr>
        <w:t>Homeostatic</w:t>
      </w:r>
      <w:proofErr w:type="spellEnd"/>
      <w:r w:rsidRPr="00603BB4">
        <w:rPr>
          <w:lang w:val="es-EC" w:eastAsia="es-EC"/>
        </w:rPr>
        <w:t xml:space="preserve"> </w:t>
      </w:r>
      <w:proofErr w:type="spellStart"/>
      <w:r w:rsidRPr="00603BB4">
        <w:rPr>
          <w:lang w:val="es-EC" w:eastAsia="es-EC"/>
        </w:rPr>
        <w:t>Model</w:t>
      </w:r>
      <w:proofErr w:type="spellEnd"/>
      <w:r w:rsidRPr="00603BB4">
        <w:rPr>
          <w:lang w:val="es-EC" w:eastAsia="es-EC"/>
        </w:rPr>
        <w:t xml:space="preserve"> </w:t>
      </w:r>
      <w:proofErr w:type="spellStart"/>
      <w:r w:rsidRPr="00603BB4">
        <w:rPr>
          <w:lang w:val="es-EC" w:eastAsia="es-EC"/>
        </w:rPr>
        <w:t>Assessment</w:t>
      </w:r>
      <w:proofErr w:type="spellEnd"/>
      <w:r w:rsidRPr="00603BB4">
        <w:rPr>
          <w:lang w:val="es-EC" w:eastAsia="es-EC"/>
        </w:rPr>
        <w:t xml:space="preserve"> (</w:t>
      </w:r>
      <w:proofErr w:type="spellStart"/>
      <w:r w:rsidRPr="00603BB4">
        <w:rPr>
          <w:lang w:val="es-EC" w:eastAsia="es-EC"/>
        </w:rPr>
        <w:t>HOMA</w:t>
      </w:r>
      <w:proofErr w:type="spellEnd"/>
      <w:r w:rsidRPr="00603BB4">
        <w:rPr>
          <w:lang w:val="es-EC" w:eastAsia="es-EC"/>
        </w:rPr>
        <w:t>) por la fórmula insulinemia (</w:t>
      </w:r>
      <w:proofErr w:type="spellStart"/>
      <w:r w:rsidRPr="00603BB4">
        <w:rPr>
          <w:lang w:val="es-EC" w:eastAsia="es-EC"/>
        </w:rPr>
        <w:t>mU</w:t>
      </w:r>
      <w:proofErr w:type="spellEnd"/>
      <w:r w:rsidRPr="00603BB4">
        <w:rPr>
          <w:lang w:val="es-EC" w:eastAsia="es-EC"/>
        </w:rPr>
        <w:t>/mL) x glicemia (mg/</w:t>
      </w:r>
      <w:proofErr w:type="spellStart"/>
      <w:proofErr w:type="gramStart"/>
      <w:r w:rsidRPr="00603BB4">
        <w:rPr>
          <w:lang w:val="es-EC" w:eastAsia="es-EC"/>
        </w:rPr>
        <w:t>dL</w:t>
      </w:r>
      <w:proofErr w:type="spellEnd"/>
      <w:r w:rsidRPr="00603BB4">
        <w:rPr>
          <w:lang w:val="es-EC" w:eastAsia="es-EC"/>
        </w:rPr>
        <w:t>)/</w:t>
      </w:r>
      <w:proofErr w:type="gramEnd"/>
      <w:r w:rsidRPr="00603BB4">
        <w:rPr>
          <w:lang w:val="es-EC" w:eastAsia="es-EC"/>
        </w:rPr>
        <w:t>405; k) ácido úrico (</w:t>
      </w:r>
      <w:proofErr w:type="spellStart"/>
      <w:r w:rsidRPr="00603BB4">
        <w:rPr>
          <w:lang w:val="es-EC" w:eastAsia="es-EC"/>
        </w:rPr>
        <w:t>uU</w:t>
      </w:r>
      <w:proofErr w:type="spellEnd"/>
      <w:r w:rsidRPr="00603BB4">
        <w:rPr>
          <w:lang w:val="es-EC" w:eastAsia="es-EC"/>
        </w:rPr>
        <w:t xml:space="preserve">/mL) con </w:t>
      </w:r>
      <w:proofErr w:type="spellStart"/>
      <w:r w:rsidRPr="00603BB4">
        <w:rPr>
          <w:lang w:val="es-EC" w:eastAsia="es-EC"/>
        </w:rPr>
        <w:t>autoanalizador</w:t>
      </w:r>
      <w:proofErr w:type="spellEnd"/>
      <w:r w:rsidRPr="00603BB4">
        <w:rPr>
          <w:lang w:val="es-EC" w:eastAsia="es-EC"/>
        </w:rPr>
        <w:t xml:space="preserve"> Gemini Merck.</w:t>
      </w:r>
      <w:r w:rsidRPr="00603BB4">
        <w:rPr>
          <w:vertAlign w:val="superscript"/>
          <w:lang w:val="es-EC" w:eastAsia="es-EC"/>
        </w:rPr>
        <w:t>(4,5,6,7,8)</w:t>
      </w:r>
    </w:p>
    <w:p w14:paraId="4B56FA28" w14:textId="77777777" w:rsidR="00603BB4" w:rsidRPr="00603BB4" w:rsidRDefault="00603BB4" w:rsidP="00603BB4">
      <w:pPr>
        <w:spacing w:line="360" w:lineRule="auto"/>
        <w:jc w:val="both"/>
        <w:rPr>
          <w:lang w:val="es-EC" w:eastAsia="es-EC"/>
        </w:rPr>
      </w:pPr>
    </w:p>
    <w:p w14:paraId="62C79CBB" w14:textId="77777777" w:rsidR="00603BB4" w:rsidRPr="00603BB4" w:rsidRDefault="00603BB4" w:rsidP="00603BB4">
      <w:pPr>
        <w:spacing w:line="360" w:lineRule="auto"/>
        <w:jc w:val="both"/>
        <w:rPr>
          <w:lang w:val="es-EC" w:eastAsia="es-EC"/>
        </w:rPr>
      </w:pPr>
      <w:r w:rsidRPr="00603BB4">
        <w:rPr>
          <w:lang w:val="es-EC" w:eastAsia="es-EC"/>
        </w:rPr>
        <w:t>Los pacientes aceptados para el estudio se citaron a consulta una semana después, en la cual se les hizo la indicación del tratamiento.</w:t>
      </w:r>
    </w:p>
    <w:p w14:paraId="1ED4A7B9" w14:textId="77777777" w:rsidR="00603BB4" w:rsidRPr="00603BB4" w:rsidRDefault="00603BB4" w:rsidP="00603BB4">
      <w:pPr>
        <w:spacing w:line="360" w:lineRule="auto"/>
        <w:jc w:val="center"/>
        <w:rPr>
          <w:b/>
          <w:sz w:val="28"/>
          <w:szCs w:val="28"/>
          <w:lang w:val="es-EC" w:eastAsia="es-EC"/>
        </w:rPr>
      </w:pPr>
      <w:r w:rsidRPr="00603BB4">
        <w:rPr>
          <w:b/>
          <w:sz w:val="28"/>
          <w:szCs w:val="28"/>
          <w:lang w:val="es-EC" w:eastAsia="es-EC"/>
        </w:rPr>
        <w:t>Procesamiento</w:t>
      </w:r>
    </w:p>
    <w:p w14:paraId="5F332C5D" w14:textId="77777777" w:rsidR="00603BB4" w:rsidRPr="00603BB4" w:rsidRDefault="00603BB4" w:rsidP="00603BB4">
      <w:pPr>
        <w:spacing w:line="360" w:lineRule="auto"/>
        <w:jc w:val="both"/>
        <w:rPr>
          <w:lang w:val="es-EC" w:eastAsia="es-EC"/>
        </w:rPr>
      </w:pPr>
      <w:r w:rsidRPr="00603BB4">
        <w:rPr>
          <w:lang w:val="es-EC" w:eastAsia="es-EC"/>
        </w:rPr>
        <w:t>Con la información acopiada se confeccionó una base de datos en Microsoft Office Excel 2013, la que fue posteriormente exportada al programa de procesamiento estadístico para su análisis.</w:t>
      </w:r>
    </w:p>
    <w:p w14:paraId="4939C28D" w14:textId="77777777" w:rsidR="00603BB4" w:rsidRPr="00603BB4" w:rsidRDefault="00603BB4" w:rsidP="00603BB4">
      <w:pPr>
        <w:spacing w:line="360" w:lineRule="auto"/>
        <w:jc w:val="both"/>
        <w:rPr>
          <w:lang w:val="es-EC" w:eastAsia="es-EC"/>
        </w:rPr>
      </w:pPr>
      <w:r w:rsidRPr="00603BB4">
        <w:rPr>
          <w:lang w:val="es-EC" w:eastAsia="es-EC"/>
        </w:rPr>
        <w:lastRenderedPageBreak/>
        <w:t>Los datos que se tomaron de cada paciente se incluyeron en una planilla de recolección de datos en la cual se almacenó toda la información general: datos personales, edad, sexo, medidas antropométricas, resultados de los parámetros bioquímicos en la primera consulta y final a los 4 meses de iniciado el tratamiento. Toda la información fue revisada y clasificada para ser sometida después a las distintas etapas de análisis estadísticos.</w:t>
      </w:r>
    </w:p>
    <w:p w14:paraId="47E98219" w14:textId="77777777" w:rsidR="00603BB4" w:rsidRPr="00603BB4" w:rsidRDefault="00603BB4" w:rsidP="00603BB4">
      <w:pPr>
        <w:spacing w:line="360" w:lineRule="auto"/>
        <w:jc w:val="both"/>
        <w:rPr>
          <w:lang w:val="es-EC" w:eastAsia="es-EC"/>
        </w:rPr>
      </w:pPr>
      <w:r w:rsidRPr="00603BB4">
        <w:rPr>
          <w:lang w:val="es-EC" w:eastAsia="es-EC"/>
        </w:rPr>
        <w:t>Para resumir la información de la muestra en estudio se utilizó la estadística descriptiva, la media aritmética y la desviación estándar para las variables cuantitativas. Para todas las variables cualitativas se calcularon los números absolutos y porcentajes.</w:t>
      </w:r>
    </w:p>
    <w:p w14:paraId="6430E1FB" w14:textId="77777777" w:rsidR="00603BB4" w:rsidRPr="00603BB4" w:rsidRDefault="00603BB4" w:rsidP="00603BB4">
      <w:pPr>
        <w:spacing w:line="360" w:lineRule="auto"/>
        <w:ind w:left="6"/>
        <w:jc w:val="both"/>
        <w:rPr>
          <w:lang w:val="es-EC" w:eastAsia="es-EC"/>
        </w:rPr>
      </w:pPr>
      <w:r w:rsidRPr="00603BB4">
        <w:rPr>
          <w:lang w:val="es-EC" w:eastAsia="es-EC"/>
        </w:rPr>
        <w:t xml:space="preserve">Para el análisis se empleó el paquete estadístico IBM SPSS versión 24.0 para Windows. Se utilizó análisis bivariado para determinar los cambios en las variables antes y después del tratamiento, para las variables cuantitativas (peso, índice de masa corporal, circunferencia abdominal y braquial, tensión arterial sistólica y diastólica, glucemia, insulinemia, índice de </w:t>
      </w:r>
      <w:proofErr w:type="spellStart"/>
      <w:r w:rsidRPr="00603BB4">
        <w:rPr>
          <w:lang w:val="es-EC" w:eastAsia="es-EC"/>
        </w:rPr>
        <w:t>HOMA</w:t>
      </w:r>
      <w:proofErr w:type="spellEnd"/>
      <w:r w:rsidRPr="00603BB4">
        <w:rPr>
          <w:lang w:val="es-EC" w:eastAsia="es-EC"/>
        </w:rPr>
        <w:t xml:space="preserve">, colesterol, triglicéridos y ácido úrico). Se usó t de Student para muestras pareadas y </w:t>
      </w:r>
      <w:r w:rsidRPr="00603BB4">
        <w:rPr>
          <w:i/>
          <w:iCs/>
          <w:lang w:val="es-EC" w:eastAsia="es-EC"/>
        </w:rPr>
        <w:t>ji</w:t>
      </w:r>
      <w:r w:rsidRPr="00603BB4">
        <w:rPr>
          <w:lang w:val="es-EC" w:eastAsia="es-EC"/>
        </w:rPr>
        <w:t xml:space="preserve"> cuadrado de </w:t>
      </w:r>
      <w:proofErr w:type="spellStart"/>
      <w:r w:rsidRPr="00603BB4">
        <w:rPr>
          <w:lang w:val="es-EC" w:eastAsia="es-EC"/>
        </w:rPr>
        <w:t>McNemar</w:t>
      </w:r>
      <w:proofErr w:type="spellEnd"/>
      <w:r w:rsidRPr="00603BB4">
        <w:rPr>
          <w:lang w:val="es-EC" w:eastAsia="es-EC"/>
        </w:rPr>
        <w:t xml:space="preserve"> para las cualitativas (sexo), considerando un nivel de significación de 0,</w:t>
      </w:r>
      <w:proofErr w:type="gramStart"/>
      <w:r w:rsidRPr="00603BB4">
        <w:rPr>
          <w:lang w:val="es-EC" w:eastAsia="es-EC"/>
        </w:rPr>
        <w:t>05.</w:t>
      </w:r>
      <w:r w:rsidRPr="00603BB4">
        <w:rPr>
          <w:vertAlign w:val="superscript"/>
          <w:lang w:val="es-EC" w:eastAsia="es-EC"/>
        </w:rPr>
        <w:t>(</w:t>
      </w:r>
      <w:proofErr w:type="gramEnd"/>
      <w:r w:rsidRPr="00603BB4">
        <w:rPr>
          <w:vertAlign w:val="superscript"/>
          <w:lang w:val="es-EC" w:eastAsia="es-EC"/>
        </w:rPr>
        <w:t>4,5)</w:t>
      </w:r>
    </w:p>
    <w:p w14:paraId="425A3F69" w14:textId="77777777" w:rsidR="00603BB4" w:rsidRPr="00603BB4" w:rsidRDefault="00603BB4" w:rsidP="00603BB4">
      <w:pPr>
        <w:spacing w:line="360" w:lineRule="auto"/>
        <w:jc w:val="both"/>
        <w:rPr>
          <w:lang w:val="es-EC" w:eastAsia="es-EC"/>
        </w:rPr>
      </w:pPr>
      <w:r w:rsidRPr="00603BB4">
        <w:rPr>
          <w:lang w:val="es-EC" w:eastAsia="es-EC"/>
        </w:rPr>
        <w:t>La evaluación de la respuesta al tratamiento multidisciplinario se consideró como efectiva cuando disminuyó no menos de 1 kg/m² del peso corporal al finalizar los 4 meses de seguimiento luego de aplicada la terapia; y como no efectiva si persistió de igual manera o aumentó el peso corporal después de este tiempo.</w:t>
      </w:r>
    </w:p>
    <w:p w14:paraId="1B3F8832" w14:textId="77777777" w:rsidR="00603BB4" w:rsidRPr="00603BB4" w:rsidRDefault="00603BB4" w:rsidP="00603BB4">
      <w:pPr>
        <w:spacing w:line="360" w:lineRule="auto"/>
        <w:jc w:val="center"/>
        <w:rPr>
          <w:b/>
          <w:sz w:val="28"/>
          <w:szCs w:val="28"/>
          <w:lang w:val="es-EC" w:eastAsia="es-EC"/>
        </w:rPr>
      </w:pPr>
      <w:r w:rsidRPr="00603BB4">
        <w:rPr>
          <w:b/>
          <w:sz w:val="28"/>
          <w:szCs w:val="28"/>
          <w:lang w:val="es-EC" w:eastAsia="es-EC"/>
        </w:rPr>
        <w:t>Aspectos bioéticos</w:t>
      </w:r>
    </w:p>
    <w:p w14:paraId="6F58B2F7"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Para realizar este estudio se cumplieron con las normativas éticas del código de Helsinki para las investigaciones en humanos. Los datos se obtuvieron de la práctica asistencial y se garantizó su confidencialidad. Este estudio fue examinado por la comisión de bioética del hospital y la aprobación dependió enteramente de ellos (acta nro. 22, aprobación de protocolo de tesis de residencia de medicina interna). A todos los pacientes se les explicó el objetivo del estudio, sus beneficios para la salud y lo inocuo de este. No se ensayaron nuevas medidas </w:t>
      </w:r>
      <w:proofErr w:type="gramStart"/>
      <w:r w:rsidRPr="00603BB4">
        <w:rPr>
          <w:lang w:val="es-EC" w:eastAsia="es-EC"/>
        </w:rPr>
        <w:t>terapéuticas.</w:t>
      </w:r>
      <w:r w:rsidRPr="00603BB4">
        <w:rPr>
          <w:vertAlign w:val="superscript"/>
          <w:lang w:val="es-MX" w:eastAsia="es-EC"/>
        </w:rPr>
        <w:t>(</w:t>
      </w:r>
      <w:proofErr w:type="gramEnd"/>
      <w:r w:rsidRPr="00603BB4">
        <w:rPr>
          <w:vertAlign w:val="superscript"/>
          <w:lang w:val="es-EC" w:eastAsia="es-EC"/>
        </w:rPr>
        <w:t>4,5,6,7,8)</w:t>
      </w:r>
    </w:p>
    <w:p w14:paraId="38D68E8A" w14:textId="77777777" w:rsidR="00603BB4" w:rsidRPr="00603BB4" w:rsidRDefault="00603BB4" w:rsidP="00603BB4">
      <w:pPr>
        <w:spacing w:line="360" w:lineRule="auto"/>
        <w:jc w:val="both"/>
        <w:rPr>
          <w:vertAlign w:val="superscript"/>
          <w:lang w:val="es-EC" w:eastAsia="es-EC"/>
        </w:rPr>
      </w:pPr>
    </w:p>
    <w:p w14:paraId="1A2711B0" w14:textId="77777777" w:rsidR="00603BB4" w:rsidRPr="00603BB4" w:rsidRDefault="00603BB4" w:rsidP="00603BB4">
      <w:pPr>
        <w:spacing w:line="360" w:lineRule="auto"/>
        <w:jc w:val="both"/>
        <w:rPr>
          <w:lang w:val="es-MX" w:eastAsia="es-EC"/>
        </w:rPr>
      </w:pPr>
    </w:p>
    <w:p w14:paraId="6937045A" w14:textId="77777777" w:rsidR="00074F34" w:rsidRDefault="00074F34">
      <w:pPr>
        <w:rPr>
          <w:b/>
          <w:bCs/>
          <w:iCs/>
          <w:sz w:val="32"/>
          <w:szCs w:val="32"/>
          <w:lang w:val="es-MX" w:eastAsia="es-EC"/>
        </w:rPr>
      </w:pPr>
      <w:r>
        <w:rPr>
          <w:b/>
          <w:bCs/>
          <w:iCs/>
          <w:sz w:val="32"/>
          <w:szCs w:val="32"/>
          <w:lang w:val="es-MX" w:eastAsia="es-EC"/>
        </w:rPr>
        <w:br w:type="page"/>
      </w:r>
    </w:p>
    <w:p w14:paraId="67DE4056" w14:textId="471E1C78" w:rsidR="00603BB4" w:rsidRPr="00603BB4" w:rsidRDefault="00603BB4" w:rsidP="00603BB4">
      <w:pPr>
        <w:spacing w:line="360" w:lineRule="auto"/>
        <w:jc w:val="center"/>
        <w:rPr>
          <w:b/>
          <w:bCs/>
          <w:iCs/>
          <w:sz w:val="32"/>
          <w:szCs w:val="32"/>
          <w:lang w:val="es-MX" w:eastAsia="es-EC"/>
        </w:rPr>
      </w:pPr>
      <w:r w:rsidRPr="00603BB4">
        <w:rPr>
          <w:b/>
          <w:bCs/>
          <w:iCs/>
          <w:sz w:val="32"/>
          <w:szCs w:val="32"/>
          <w:lang w:val="es-MX" w:eastAsia="es-EC"/>
        </w:rPr>
        <w:lastRenderedPageBreak/>
        <w:t>RESULTADOS</w:t>
      </w:r>
    </w:p>
    <w:p w14:paraId="5457144F" w14:textId="77777777" w:rsidR="00603BB4" w:rsidRPr="00603BB4" w:rsidRDefault="00603BB4" w:rsidP="00603BB4">
      <w:pPr>
        <w:spacing w:line="360" w:lineRule="auto"/>
        <w:jc w:val="both"/>
        <w:rPr>
          <w:lang w:val="es-EC" w:eastAsia="es-EC"/>
        </w:rPr>
      </w:pPr>
      <w:r w:rsidRPr="00603BB4">
        <w:rPr>
          <w:lang w:val="es-EC" w:eastAsia="es-EC"/>
        </w:rPr>
        <w:t>Se estudiaron a 45 pacientes con diagnóstico de obesidad mórbida. A todos se les indicó tratamiento multidisciplinario para la obesidad. El grupo de edad de 51 a 60 años fue el más frecuente con el 44,4 % y la media de edad fue de 54,4 ± 6,2 años. El paciente más joven tenía 19 años y el de más edad 58 años. Predominó el sexo masculino con 43 pacientes para el 95,6 % (tabla 1).</w:t>
      </w:r>
    </w:p>
    <w:p w14:paraId="2BB2F836" w14:textId="77777777" w:rsidR="00603BB4" w:rsidRPr="00603BB4" w:rsidRDefault="00603BB4" w:rsidP="00603BB4">
      <w:pPr>
        <w:spacing w:line="360" w:lineRule="auto"/>
        <w:jc w:val="both"/>
        <w:rPr>
          <w:lang w:val="es-EC" w:eastAsia="es-EC"/>
        </w:rPr>
      </w:pPr>
    </w:p>
    <w:p w14:paraId="0BE8FD79" w14:textId="77777777" w:rsidR="00603BB4" w:rsidRPr="00603BB4" w:rsidRDefault="00603BB4" w:rsidP="00603BB4">
      <w:pPr>
        <w:spacing w:line="360" w:lineRule="auto"/>
        <w:jc w:val="center"/>
        <w:rPr>
          <w:sz w:val="22"/>
          <w:szCs w:val="22"/>
          <w:lang w:val="es-EC" w:eastAsia="es-EC"/>
        </w:rPr>
      </w:pPr>
      <w:r w:rsidRPr="00603BB4">
        <w:rPr>
          <w:b/>
          <w:bCs/>
          <w:sz w:val="22"/>
          <w:szCs w:val="22"/>
          <w:lang w:val="es-EC" w:eastAsia="es-EC"/>
        </w:rPr>
        <w:t>Tabla 1 -</w:t>
      </w:r>
      <w:r w:rsidRPr="00603BB4">
        <w:rPr>
          <w:sz w:val="22"/>
          <w:szCs w:val="22"/>
          <w:lang w:val="es-EC" w:eastAsia="es-EC"/>
        </w:rPr>
        <w:t xml:space="preserve"> Características demográficas de los pacientes estudiados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6"/>
        <w:gridCol w:w="851"/>
        <w:gridCol w:w="850"/>
      </w:tblGrid>
      <w:tr w:rsidR="00603BB4" w:rsidRPr="00603BB4" w14:paraId="58FC7F2D" w14:textId="77777777" w:rsidTr="007077F6">
        <w:trPr>
          <w:trHeight w:val="284"/>
          <w:jc w:val="center"/>
        </w:trPr>
        <w:tc>
          <w:tcPr>
            <w:tcW w:w="1696" w:type="dxa"/>
            <w:vAlign w:val="center"/>
          </w:tcPr>
          <w:p w14:paraId="0450B3DF" w14:textId="77777777" w:rsidR="00603BB4" w:rsidRPr="00603BB4" w:rsidRDefault="00603BB4" w:rsidP="00603BB4">
            <w:pPr>
              <w:spacing w:line="360" w:lineRule="auto"/>
              <w:jc w:val="center"/>
              <w:rPr>
                <w:b/>
                <w:sz w:val="18"/>
                <w:szCs w:val="18"/>
                <w:lang w:val="es-EC" w:eastAsia="es-EC"/>
              </w:rPr>
            </w:pPr>
            <w:r w:rsidRPr="00603BB4">
              <w:rPr>
                <w:b/>
                <w:sz w:val="18"/>
                <w:szCs w:val="18"/>
                <w:lang w:val="es-EC" w:eastAsia="es-EC"/>
              </w:rPr>
              <w:t>Edad (años)</w:t>
            </w:r>
          </w:p>
        </w:tc>
        <w:tc>
          <w:tcPr>
            <w:tcW w:w="851" w:type="dxa"/>
            <w:vAlign w:val="center"/>
          </w:tcPr>
          <w:p w14:paraId="27112C3C" w14:textId="77777777" w:rsidR="00603BB4" w:rsidRPr="00603BB4" w:rsidRDefault="00603BB4" w:rsidP="00603BB4">
            <w:pPr>
              <w:spacing w:line="360" w:lineRule="auto"/>
              <w:jc w:val="center"/>
              <w:rPr>
                <w:b/>
                <w:sz w:val="18"/>
                <w:szCs w:val="18"/>
                <w:lang w:val="es-EC" w:eastAsia="es-EC"/>
              </w:rPr>
            </w:pPr>
            <w:r w:rsidRPr="00603BB4">
              <w:rPr>
                <w:b/>
                <w:sz w:val="18"/>
                <w:szCs w:val="18"/>
                <w:lang w:val="es-EC" w:eastAsia="es-EC"/>
              </w:rPr>
              <w:t>n</w:t>
            </w:r>
          </w:p>
        </w:tc>
        <w:tc>
          <w:tcPr>
            <w:tcW w:w="850" w:type="dxa"/>
            <w:vAlign w:val="center"/>
          </w:tcPr>
          <w:p w14:paraId="58DAB271" w14:textId="77777777" w:rsidR="00603BB4" w:rsidRPr="00603BB4" w:rsidRDefault="00603BB4" w:rsidP="00603BB4">
            <w:pPr>
              <w:spacing w:line="360" w:lineRule="auto"/>
              <w:jc w:val="center"/>
              <w:rPr>
                <w:b/>
                <w:sz w:val="18"/>
                <w:szCs w:val="18"/>
                <w:lang w:val="es-EC" w:eastAsia="es-EC"/>
              </w:rPr>
            </w:pPr>
            <w:r w:rsidRPr="00603BB4">
              <w:rPr>
                <w:b/>
                <w:sz w:val="18"/>
                <w:szCs w:val="18"/>
                <w:lang w:val="es-EC" w:eastAsia="es-EC"/>
              </w:rPr>
              <w:t>%</w:t>
            </w:r>
          </w:p>
        </w:tc>
      </w:tr>
      <w:tr w:rsidR="00603BB4" w:rsidRPr="00603BB4" w14:paraId="4631CF5B" w14:textId="77777777" w:rsidTr="007077F6">
        <w:trPr>
          <w:trHeight w:val="284"/>
          <w:jc w:val="center"/>
        </w:trPr>
        <w:tc>
          <w:tcPr>
            <w:tcW w:w="1696" w:type="dxa"/>
            <w:vAlign w:val="center"/>
          </w:tcPr>
          <w:p w14:paraId="69A7D14A"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20 – 30</w:t>
            </w:r>
          </w:p>
        </w:tc>
        <w:tc>
          <w:tcPr>
            <w:tcW w:w="851" w:type="dxa"/>
            <w:vAlign w:val="center"/>
          </w:tcPr>
          <w:p w14:paraId="6614EBF5"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12</w:t>
            </w:r>
          </w:p>
        </w:tc>
        <w:tc>
          <w:tcPr>
            <w:tcW w:w="850" w:type="dxa"/>
            <w:vAlign w:val="center"/>
          </w:tcPr>
          <w:p w14:paraId="4BACFB4E"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26,7</w:t>
            </w:r>
          </w:p>
        </w:tc>
      </w:tr>
      <w:tr w:rsidR="00603BB4" w:rsidRPr="00603BB4" w14:paraId="0E897C88" w14:textId="77777777" w:rsidTr="007077F6">
        <w:trPr>
          <w:trHeight w:val="284"/>
          <w:jc w:val="center"/>
        </w:trPr>
        <w:tc>
          <w:tcPr>
            <w:tcW w:w="1696" w:type="dxa"/>
            <w:vAlign w:val="center"/>
          </w:tcPr>
          <w:p w14:paraId="7FEC9EBC"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31 – 40</w:t>
            </w:r>
          </w:p>
        </w:tc>
        <w:tc>
          <w:tcPr>
            <w:tcW w:w="851" w:type="dxa"/>
            <w:vAlign w:val="center"/>
          </w:tcPr>
          <w:p w14:paraId="339299D8"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5</w:t>
            </w:r>
          </w:p>
        </w:tc>
        <w:tc>
          <w:tcPr>
            <w:tcW w:w="850" w:type="dxa"/>
            <w:vAlign w:val="center"/>
          </w:tcPr>
          <w:p w14:paraId="1A24BD93"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11,1</w:t>
            </w:r>
          </w:p>
        </w:tc>
      </w:tr>
      <w:tr w:rsidR="00603BB4" w:rsidRPr="00603BB4" w14:paraId="4F0328CA" w14:textId="77777777" w:rsidTr="007077F6">
        <w:trPr>
          <w:trHeight w:val="284"/>
          <w:jc w:val="center"/>
        </w:trPr>
        <w:tc>
          <w:tcPr>
            <w:tcW w:w="1696" w:type="dxa"/>
            <w:vAlign w:val="center"/>
          </w:tcPr>
          <w:p w14:paraId="4B7B35DD"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41 – 50</w:t>
            </w:r>
          </w:p>
        </w:tc>
        <w:tc>
          <w:tcPr>
            <w:tcW w:w="851" w:type="dxa"/>
            <w:vAlign w:val="center"/>
          </w:tcPr>
          <w:p w14:paraId="50CE2B90"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8</w:t>
            </w:r>
          </w:p>
        </w:tc>
        <w:tc>
          <w:tcPr>
            <w:tcW w:w="850" w:type="dxa"/>
            <w:vAlign w:val="center"/>
          </w:tcPr>
          <w:p w14:paraId="106A09B5"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17,8</w:t>
            </w:r>
          </w:p>
        </w:tc>
      </w:tr>
      <w:tr w:rsidR="00603BB4" w:rsidRPr="00603BB4" w14:paraId="4654C06A" w14:textId="77777777" w:rsidTr="007077F6">
        <w:trPr>
          <w:trHeight w:val="284"/>
          <w:jc w:val="center"/>
        </w:trPr>
        <w:tc>
          <w:tcPr>
            <w:tcW w:w="1696" w:type="dxa"/>
            <w:vAlign w:val="center"/>
          </w:tcPr>
          <w:p w14:paraId="4740A486"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51 – 60</w:t>
            </w:r>
          </w:p>
        </w:tc>
        <w:tc>
          <w:tcPr>
            <w:tcW w:w="851" w:type="dxa"/>
            <w:vAlign w:val="center"/>
          </w:tcPr>
          <w:p w14:paraId="15F48C0A"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20</w:t>
            </w:r>
          </w:p>
        </w:tc>
        <w:tc>
          <w:tcPr>
            <w:tcW w:w="850" w:type="dxa"/>
            <w:vAlign w:val="center"/>
          </w:tcPr>
          <w:p w14:paraId="61AD0990"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44,4</w:t>
            </w:r>
          </w:p>
        </w:tc>
      </w:tr>
      <w:tr w:rsidR="00603BB4" w:rsidRPr="00603BB4" w14:paraId="26B3A741" w14:textId="77777777" w:rsidTr="007077F6">
        <w:trPr>
          <w:trHeight w:val="284"/>
          <w:jc w:val="center"/>
        </w:trPr>
        <w:tc>
          <w:tcPr>
            <w:tcW w:w="1696" w:type="dxa"/>
            <w:vAlign w:val="center"/>
          </w:tcPr>
          <w:p w14:paraId="3C6679F3"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Media (DE)</w:t>
            </w:r>
          </w:p>
        </w:tc>
        <w:tc>
          <w:tcPr>
            <w:tcW w:w="1701" w:type="dxa"/>
            <w:gridSpan w:val="2"/>
            <w:vAlign w:val="center"/>
          </w:tcPr>
          <w:p w14:paraId="42613824"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54,4 (6,2)</w:t>
            </w:r>
          </w:p>
        </w:tc>
      </w:tr>
      <w:tr w:rsidR="00603BB4" w:rsidRPr="00603BB4" w14:paraId="1C441265" w14:textId="77777777" w:rsidTr="007077F6">
        <w:trPr>
          <w:trHeight w:val="284"/>
          <w:jc w:val="center"/>
        </w:trPr>
        <w:tc>
          <w:tcPr>
            <w:tcW w:w="1696" w:type="dxa"/>
            <w:vAlign w:val="center"/>
          </w:tcPr>
          <w:p w14:paraId="55242AD9"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Mínimo – máximo</w:t>
            </w:r>
          </w:p>
        </w:tc>
        <w:tc>
          <w:tcPr>
            <w:tcW w:w="1701" w:type="dxa"/>
            <w:gridSpan w:val="2"/>
            <w:vAlign w:val="center"/>
          </w:tcPr>
          <w:p w14:paraId="678CB68C"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19 – 58</w:t>
            </w:r>
          </w:p>
        </w:tc>
      </w:tr>
      <w:tr w:rsidR="00603BB4" w:rsidRPr="00603BB4" w14:paraId="761754FE" w14:textId="77777777" w:rsidTr="007077F6">
        <w:trPr>
          <w:trHeight w:val="284"/>
          <w:jc w:val="center"/>
        </w:trPr>
        <w:tc>
          <w:tcPr>
            <w:tcW w:w="1696" w:type="dxa"/>
            <w:vAlign w:val="center"/>
          </w:tcPr>
          <w:p w14:paraId="7A8277FE" w14:textId="77777777" w:rsidR="00603BB4" w:rsidRPr="00603BB4" w:rsidRDefault="00603BB4" w:rsidP="00603BB4">
            <w:pPr>
              <w:spacing w:line="360" w:lineRule="auto"/>
              <w:jc w:val="both"/>
              <w:rPr>
                <w:bCs/>
                <w:sz w:val="18"/>
                <w:szCs w:val="18"/>
                <w:lang w:val="es-EC" w:eastAsia="es-EC"/>
              </w:rPr>
            </w:pPr>
            <w:r w:rsidRPr="00603BB4">
              <w:rPr>
                <w:bCs/>
                <w:sz w:val="18"/>
                <w:szCs w:val="18"/>
                <w:lang w:val="es-EC" w:eastAsia="es-EC"/>
              </w:rPr>
              <w:t>Sexo</w:t>
            </w:r>
          </w:p>
        </w:tc>
        <w:tc>
          <w:tcPr>
            <w:tcW w:w="851" w:type="dxa"/>
            <w:vAlign w:val="center"/>
          </w:tcPr>
          <w:p w14:paraId="7A423A2A" w14:textId="77777777" w:rsidR="00603BB4" w:rsidRPr="00603BB4" w:rsidRDefault="00603BB4" w:rsidP="00603BB4">
            <w:pPr>
              <w:spacing w:line="360" w:lineRule="auto"/>
              <w:jc w:val="center"/>
              <w:rPr>
                <w:bCs/>
                <w:sz w:val="18"/>
                <w:szCs w:val="18"/>
                <w:lang w:val="es-EC" w:eastAsia="es-EC"/>
              </w:rPr>
            </w:pPr>
            <w:r w:rsidRPr="00603BB4">
              <w:rPr>
                <w:bCs/>
                <w:sz w:val="18"/>
                <w:szCs w:val="18"/>
                <w:lang w:val="es-EC" w:eastAsia="es-EC"/>
              </w:rPr>
              <w:t>n</w:t>
            </w:r>
          </w:p>
        </w:tc>
        <w:tc>
          <w:tcPr>
            <w:tcW w:w="850" w:type="dxa"/>
            <w:vAlign w:val="center"/>
          </w:tcPr>
          <w:p w14:paraId="59BE56DD" w14:textId="77777777" w:rsidR="00603BB4" w:rsidRPr="00603BB4" w:rsidRDefault="00603BB4" w:rsidP="00603BB4">
            <w:pPr>
              <w:spacing w:line="360" w:lineRule="auto"/>
              <w:jc w:val="center"/>
              <w:rPr>
                <w:bCs/>
                <w:sz w:val="18"/>
                <w:szCs w:val="18"/>
                <w:lang w:val="es-EC" w:eastAsia="es-EC"/>
              </w:rPr>
            </w:pPr>
            <w:r w:rsidRPr="00603BB4">
              <w:rPr>
                <w:bCs/>
                <w:sz w:val="18"/>
                <w:szCs w:val="18"/>
                <w:lang w:val="es-EC" w:eastAsia="es-EC"/>
              </w:rPr>
              <w:t>%</w:t>
            </w:r>
          </w:p>
        </w:tc>
      </w:tr>
      <w:tr w:rsidR="00603BB4" w:rsidRPr="00603BB4" w14:paraId="3B78AE80" w14:textId="77777777" w:rsidTr="007077F6">
        <w:trPr>
          <w:trHeight w:val="284"/>
          <w:jc w:val="center"/>
        </w:trPr>
        <w:tc>
          <w:tcPr>
            <w:tcW w:w="1696" w:type="dxa"/>
            <w:vAlign w:val="center"/>
          </w:tcPr>
          <w:p w14:paraId="78248603" w14:textId="77777777" w:rsidR="00603BB4" w:rsidRPr="00603BB4" w:rsidRDefault="00603BB4" w:rsidP="00603BB4">
            <w:pPr>
              <w:spacing w:line="360" w:lineRule="auto"/>
              <w:jc w:val="both"/>
              <w:rPr>
                <w:bCs/>
                <w:sz w:val="18"/>
                <w:szCs w:val="18"/>
                <w:lang w:val="es-EC" w:eastAsia="es-EC"/>
              </w:rPr>
            </w:pPr>
            <w:r w:rsidRPr="00603BB4">
              <w:rPr>
                <w:bCs/>
                <w:sz w:val="18"/>
                <w:szCs w:val="18"/>
                <w:lang w:val="es-EC" w:eastAsia="es-EC"/>
              </w:rPr>
              <w:t>Femenino</w:t>
            </w:r>
          </w:p>
        </w:tc>
        <w:tc>
          <w:tcPr>
            <w:tcW w:w="851" w:type="dxa"/>
            <w:vAlign w:val="center"/>
          </w:tcPr>
          <w:p w14:paraId="2C36171A" w14:textId="77777777" w:rsidR="00603BB4" w:rsidRPr="00603BB4" w:rsidRDefault="00603BB4" w:rsidP="00603BB4">
            <w:pPr>
              <w:spacing w:line="360" w:lineRule="auto"/>
              <w:jc w:val="center"/>
              <w:rPr>
                <w:bCs/>
                <w:sz w:val="18"/>
                <w:szCs w:val="18"/>
                <w:lang w:val="es-EC" w:eastAsia="es-EC"/>
              </w:rPr>
            </w:pPr>
            <w:r w:rsidRPr="00603BB4">
              <w:rPr>
                <w:bCs/>
                <w:sz w:val="18"/>
                <w:szCs w:val="18"/>
                <w:lang w:val="es-EC" w:eastAsia="es-EC"/>
              </w:rPr>
              <w:t>43</w:t>
            </w:r>
          </w:p>
        </w:tc>
        <w:tc>
          <w:tcPr>
            <w:tcW w:w="850" w:type="dxa"/>
            <w:vAlign w:val="center"/>
          </w:tcPr>
          <w:p w14:paraId="32211D95" w14:textId="77777777" w:rsidR="00603BB4" w:rsidRPr="00603BB4" w:rsidRDefault="00603BB4" w:rsidP="00603BB4">
            <w:pPr>
              <w:spacing w:line="360" w:lineRule="auto"/>
              <w:jc w:val="center"/>
              <w:rPr>
                <w:bCs/>
                <w:sz w:val="18"/>
                <w:szCs w:val="18"/>
                <w:lang w:val="es-EC" w:eastAsia="es-EC"/>
              </w:rPr>
            </w:pPr>
            <w:r w:rsidRPr="00603BB4">
              <w:rPr>
                <w:bCs/>
                <w:sz w:val="18"/>
                <w:szCs w:val="18"/>
                <w:lang w:val="es-EC" w:eastAsia="es-EC"/>
              </w:rPr>
              <w:t>95,6</w:t>
            </w:r>
          </w:p>
        </w:tc>
      </w:tr>
      <w:tr w:rsidR="00603BB4" w:rsidRPr="00603BB4" w14:paraId="6D806678" w14:textId="77777777" w:rsidTr="007077F6">
        <w:trPr>
          <w:trHeight w:val="284"/>
          <w:jc w:val="center"/>
        </w:trPr>
        <w:tc>
          <w:tcPr>
            <w:tcW w:w="1696" w:type="dxa"/>
            <w:vAlign w:val="center"/>
          </w:tcPr>
          <w:p w14:paraId="1FCB4862" w14:textId="77777777" w:rsidR="00603BB4" w:rsidRPr="00603BB4" w:rsidRDefault="00603BB4" w:rsidP="00603BB4">
            <w:pPr>
              <w:spacing w:line="360" w:lineRule="auto"/>
              <w:rPr>
                <w:bCs/>
                <w:sz w:val="18"/>
                <w:szCs w:val="18"/>
                <w:lang w:val="es-EC" w:eastAsia="es-EC"/>
              </w:rPr>
            </w:pPr>
            <w:r w:rsidRPr="00603BB4">
              <w:rPr>
                <w:bCs/>
                <w:sz w:val="18"/>
                <w:szCs w:val="18"/>
                <w:lang w:val="es-EC" w:eastAsia="es-EC"/>
              </w:rPr>
              <w:t>Masculino</w:t>
            </w:r>
          </w:p>
        </w:tc>
        <w:tc>
          <w:tcPr>
            <w:tcW w:w="851" w:type="dxa"/>
            <w:vAlign w:val="center"/>
          </w:tcPr>
          <w:p w14:paraId="54A48FF2" w14:textId="77777777" w:rsidR="00603BB4" w:rsidRPr="00603BB4" w:rsidRDefault="00603BB4" w:rsidP="00603BB4">
            <w:pPr>
              <w:spacing w:line="360" w:lineRule="auto"/>
              <w:jc w:val="center"/>
              <w:rPr>
                <w:bCs/>
                <w:sz w:val="18"/>
                <w:szCs w:val="18"/>
                <w:lang w:val="es-EC" w:eastAsia="es-EC"/>
              </w:rPr>
            </w:pPr>
            <w:r w:rsidRPr="00603BB4">
              <w:rPr>
                <w:bCs/>
                <w:sz w:val="18"/>
                <w:szCs w:val="18"/>
                <w:lang w:val="es-EC" w:eastAsia="es-EC"/>
              </w:rPr>
              <w:t>2</w:t>
            </w:r>
          </w:p>
        </w:tc>
        <w:tc>
          <w:tcPr>
            <w:tcW w:w="850" w:type="dxa"/>
            <w:vAlign w:val="center"/>
          </w:tcPr>
          <w:p w14:paraId="48332788" w14:textId="77777777" w:rsidR="00603BB4" w:rsidRPr="00603BB4" w:rsidRDefault="00603BB4" w:rsidP="00603BB4">
            <w:pPr>
              <w:spacing w:line="360" w:lineRule="auto"/>
              <w:jc w:val="center"/>
              <w:rPr>
                <w:bCs/>
                <w:sz w:val="18"/>
                <w:szCs w:val="18"/>
                <w:lang w:val="es-EC" w:eastAsia="es-EC"/>
              </w:rPr>
            </w:pPr>
            <w:r w:rsidRPr="00603BB4">
              <w:rPr>
                <w:bCs/>
                <w:sz w:val="18"/>
                <w:szCs w:val="18"/>
                <w:lang w:val="es-EC" w:eastAsia="es-EC"/>
              </w:rPr>
              <w:t>4,4</w:t>
            </w:r>
          </w:p>
        </w:tc>
      </w:tr>
      <w:tr w:rsidR="00603BB4" w:rsidRPr="00603BB4" w14:paraId="00D6F101" w14:textId="77777777" w:rsidTr="007077F6">
        <w:trPr>
          <w:trHeight w:val="284"/>
          <w:jc w:val="center"/>
        </w:trPr>
        <w:tc>
          <w:tcPr>
            <w:tcW w:w="1696" w:type="dxa"/>
            <w:vAlign w:val="center"/>
          </w:tcPr>
          <w:p w14:paraId="71E7F02B" w14:textId="77777777" w:rsidR="00603BB4" w:rsidRPr="00603BB4" w:rsidRDefault="00603BB4" w:rsidP="00603BB4">
            <w:pPr>
              <w:spacing w:line="360" w:lineRule="auto"/>
              <w:jc w:val="both"/>
              <w:rPr>
                <w:bCs/>
                <w:sz w:val="18"/>
                <w:szCs w:val="18"/>
                <w:lang w:val="es-EC" w:eastAsia="es-EC"/>
              </w:rPr>
            </w:pPr>
            <w:r w:rsidRPr="00603BB4">
              <w:rPr>
                <w:bCs/>
                <w:sz w:val="18"/>
                <w:szCs w:val="18"/>
                <w:lang w:val="es-EC" w:eastAsia="es-EC"/>
              </w:rPr>
              <w:t>Total</w:t>
            </w:r>
          </w:p>
        </w:tc>
        <w:tc>
          <w:tcPr>
            <w:tcW w:w="851" w:type="dxa"/>
            <w:vAlign w:val="center"/>
          </w:tcPr>
          <w:p w14:paraId="69F59515" w14:textId="77777777" w:rsidR="00603BB4" w:rsidRPr="00603BB4" w:rsidRDefault="00603BB4" w:rsidP="00603BB4">
            <w:pPr>
              <w:spacing w:line="360" w:lineRule="auto"/>
              <w:jc w:val="center"/>
              <w:rPr>
                <w:bCs/>
                <w:sz w:val="18"/>
                <w:szCs w:val="18"/>
                <w:lang w:val="es-EC" w:eastAsia="es-EC"/>
              </w:rPr>
            </w:pPr>
            <w:r w:rsidRPr="00603BB4">
              <w:rPr>
                <w:bCs/>
                <w:sz w:val="18"/>
                <w:szCs w:val="18"/>
                <w:lang w:val="es-EC" w:eastAsia="es-EC"/>
              </w:rPr>
              <w:t>45</w:t>
            </w:r>
          </w:p>
        </w:tc>
        <w:tc>
          <w:tcPr>
            <w:tcW w:w="850" w:type="dxa"/>
            <w:vAlign w:val="center"/>
          </w:tcPr>
          <w:p w14:paraId="0D654363" w14:textId="77777777" w:rsidR="00603BB4" w:rsidRPr="00603BB4" w:rsidRDefault="00603BB4" w:rsidP="00603BB4">
            <w:pPr>
              <w:spacing w:line="360" w:lineRule="auto"/>
              <w:jc w:val="center"/>
              <w:rPr>
                <w:bCs/>
                <w:sz w:val="18"/>
                <w:szCs w:val="18"/>
                <w:lang w:val="es-EC" w:eastAsia="es-EC"/>
              </w:rPr>
            </w:pPr>
            <w:r w:rsidRPr="00603BB4">
              <w:rPr>
                <w:bCs/>
                <w:sz w:val="18"/>
                <w:szCs w:val="18"/>
                <w:lang w:val="es-EC" w:eastAsia="es-EC"/>
              </w:rPr>
              <w:t>100</w:t>
            </w:r>
          </w:p>
        </w:tc>
      </w:tr>
    </w:tbl>
    <w:p w14:paraId="50E86424" w14:textId="77777777" w:rsidR="00603BB4" w:rsidRPr="00603BB4" w:rsidRDefault="00603BB4" w:rsidP="00603BB4">
      <w:pPr>
        <w:spacing w:line="360" w:lineRule="auto"/>
        <w:jc w:val="center"/>
        <w:rPr>
          <w:sz w:val="16"/>
          <w:szCs w:val="16"/>
          <w:lang w:val="es-ES" w:eastAsia="es-EC"/>
        </w:rPr>
      </w:pPr>
      <w:r w:rsidRPr="00603BB4">
        <w:rPr>
          <w:sz w:val="16"/>
          <w:szCs w:val="16"/>
          <w:lang w:val="es-ES" w:eastAsia="es-EC"/>
        </w:rPr>
        <w:t>DE: desviación estándar.</w:t>
      </w:r>
    </w:p>
    <w:p w14:paraId="7E569C6E" w14:textId="77777777" w:rsidR="00603BB4" w:rsidRPr="00603BB4" w:rsidRDefault="00603BB4" w:rsidP="00603BB4">
      <w:pPr>
        <w:spacing w:line="360" w:lineRule="auto"/>
        <w:jc w:val="center"/>
        <w:rPr>
          <w:sz w:val="16"/>
          <w:szCs w:val="16"/>
          <w:lang w:val="es-ES" w:eastAsia="es-EC"/>
        </w:rPr>
      </w:pPr>
    </w:p>
    <w:p w14:paraId="5595158B" w14:textId="77777777" w:rsidR="00603BB4" w:rsidRPr="00603BB4" w:rsidRDefault="00603BB4" w:rsidP="00603BB4">
      <w:pPr>
        <w:spacing w:line="360" w:lineRule="auto"/>
        <w:jc w:val="both"/>
        <w:rPr>
          <w:lang w:val="es-ES" w:eastAsia="es-EC"/>
        </w:rPr>
      </w:pPr>
      <w:r w:rsidRPr="00603BB4">
        <w:rPr>
          <w:lang w:val="es-ES" w:eastAsia="es-EC"/>
        </w:rPr>
        <w:t>Todas las variables antropométricas estudiadas disminuyeron a los 4 meses del tratamiento multidisciplinario. Tanto en la media del peso (de 110 kg a 80 kg) como en el IMC (42 kg/</w:t>
      </w:r>
      <w:proofErr w:type="spellStart"/>
      <w:r w:rsidRPr="00603BB4">
        <w:rPr>
          <w:lang w:val="es-ES" w:eastAsia="es-EC"/>
        </w:rPr>
        <w:t>m</w:t>
      </w:r>
      <w:r w:rsidRPr="00603BB4">
        <w:rPr>
          <w:vertAlign w:val="superscript"/>
          <w:lang w:val="es-ES" w:eastAsia="es-EC"/>
        </w:rPr>
        <w:t>2</w:t>
      </w:r>
      <w:proofErr w:type="spellEnd"/>
      <w:r w:rsidRPr="00603BB4">
        <w:rPr>
          <w:lang w:val="es-ES" w:eastAsia="es-EC"/>
        </w:rPr>
        <w:t xml:space="preserve"> a 30 kg/</w:t>
      </w:r>
      <w:proofErr w:type="spellStart"/>
      <w:r w:rsidRPr="00603BB4">
        <w:rPr>
          <w:lang w:val="es-ES" w:eastAsia="es-EC"/>
        </w:rPr>
        <w:t>m</w:t>
      </w:r>
      <w:r w:rsidRPr="00603BB4">
        <w:rPr>
          <w:vertAlign w:val="superscript"/>
          <w:lang w:val="es-ES" w:eastAsia="es-EC"/>
        </w:rPr>
        <w:t>2</w:t>
      </w:r>
      <w:proofErr w:type="spellEnd"/>
      <w:r w:rsidRPr="00603BB4">
        <w:rPr>
          <w:lang w:val="es-ES" w:eastAsia="es-EC"/>
        </w:rPr>
        <w:t>) estas disminuciones resultaron estadísticamente significativas (p&lt; 0,05).</w:t>
      </w:r>
    </w:p>
    <w:p w14:paraId="5368503C" w14:textId="77777777" w:rsidR="00603BB4" w:rsidRPr="00603BB4" w:rsidRDefault="00603BB4" w:rsidP="00603BB4">
      <w:pPr>
        <w:spacing w:line="360" w:lineRule="auto"/>
        <w:jc w:val="both"/>
        <w:rPr>
          <w:lang w:val="es-ES" w:eastAsia="es-EC"/>
        </w:rPr>
      </w:pPr>
      <w:r w:rsidRPr="00603BB4">
        <w:rPr>
          <w:lang w:val="es-ES" w:eastAsia="es-EC"/>
        </w:rPr>
        <w:t>La tensión arterial sistólica y la diastólica disminuyeron de manera significativa con el tratamiento multidisciplinario. Para la media desde 120 mmHg a 123,3 mmHg en la sistólica y de 82,9 a 78,9 en la diastólica (p&lt; 0,05) (tabla 2).</w:t>
      </w:r>
    </w:p>
    <w:p w14:paraId="63DAE65C" w14:textId="77777777" w:rsidR="00603BB4" w:rsidRPr="00603BB4" w:rsidRDefault="00603BB4" w:rsidP="00603BB4">
      <w:pPr>
        <w:spacing w:line="360" w:lineRule="auto"/>
        <w:jc w:val="center"/>
        <w:rPr>
          <w:b/>
          <w:sz w:val="22"/>
          <w:szCs w:val="22"/>
          <w:lang w:val="es-EC" w:eastAsia="es-EC"/>
        </w:rPr>
      </w:pPr>
    </w:p>
    <w:p w14:paraId="5AB0979B" w14:textId="77777777" w:rsidR="00CB1D61" w:rsidRDefault="00CB1D61">
      <w:pPr>
        <w:rPr>
          <w:b/>
          <w:sz w:val="22"/>
          <w:szCs w:val="22"/>
          <w:lang w:val="es-EC" w:eastAsia="es-EC"/>
        </w:rPr>
      </w:pPr>
      <w:r>
        <w:rPr>
          <w:b/>
          <w:sz w:val="22"/>
          <w:szCs w:val="22"/>
          <w:lang w:val="es-EC" w:eastAsia="es-EC"/>
        </w:rPr>
        <w:br w:type="page"/>
      </w:r>
    </w:p>
    <w:p w14:paraId="5FC44C15" w14:textId="59819150" w:rsidR="00603BB4" w:rsidRPr="00603BB4" w:rsidRDefault="00603BB4" w:rsidP="00603BB4">
      <w:pPr>
        <w:spacing w:line="360" w:lineRule="auto"/>
        <w:jc w:val="center"/>
        <w:rPr>
          <w:sz w:val="22"/>
          <w:szCs w:val="22"/>
          <w:lang w:val="es-EC" w:eastAsia="es-EC"/>
        </w:rPr>
      </w:pPr>
      <w:r w:rsidRPr="00603BB4">
        <w:rPr>
          <w:b/>
          <w:sz w:val="22"/>
          <w:szCs w:val="22"/>
          <w:lang w:val="es-EC" w:eastAsia="es-EC"/>
        </w:rPr>
        <w:lastRenderedPageBreak/>
        <w:t>Tabla 2 -</w:t>
      </w:r>
      <w:r w:rsidRPr="00603BB4">
        <w:rPr>
          <w:sz w:val="22"/>
          <w:szCs w:val="22"/>
          <w:lang w:val="es-EC" w:eastAsia="es-EC"/>
        </w:rPr>
        <w:t xml:space="preserve"> Comportamiento de las variables clínicas antes y después del tratamiento</w:t>
      </w: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993"/>
        <w:gridCol w:w="992"/>
        <w:gridCol w:w="850"/>
        <w:gridCol w:w="851"/>
        <w:gridCol w:w="992"/>
      </w:tblGrid>
      <w:tr w:rsidR="00603BB4" w:rsidRPr="00603BB4" w14:paraId="57B65489" w14:textId="77777777" w:rsidTr="007077F6">
        <w:trPr>
          <w:trHeight w:val="284"/>
          <w:jc w:val="center"/>
        </w:trPr>
        <w:tc>
          <w:tcPr>
            <w:tcW w:w="2263" w:type="dxa"/>
            <w:vMerge w:val="restart"/>
            <w:vAlign w:val="center"/>
          </w:tcPr>
          <w:p w14:paraId="08A7BAB7"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Variables clínicas</w:t>
            </w:r>
          </w:p>
        </w:tc>
        <w:tc>
          <w:tcPr>
            <w:tcW w:w="1985" w:type="dxa"/>
            <w:gridSpan w:val="2"/>
            <w:vAlign w:val="center"/>
          </w:tcPr>
          <w:p w14:paraId="25B2C657"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Antes</w:t>
            </w:r>
          </w:p>
        </w:tc>
        <w:tc>
          <w:tcPr>
            <w:tcW w:w="1701" w:type="dxa"/>
            <w:gridSpan w:val="2"/>
            <w:vAlign w:val="center"/>
          </w:tcPr>
          <w:p w14:paraId="566FB280"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Después</w:t>
            </w:r>
          </w:p>
        </w:tc>
        <w:tc>
          <w:tcPr>
            <w:tcW w:w="992" w:type="dxa"/>
            <w:vMerge w:val="restart"/>
            <w:vAlign w:val="center"/>
          </w:tcPr>
          <w:p w14:paraId="161FA980" w14:textId="77777777" w:rsidR="00603BB4" w:rsidRPr="00603BB4" w:rsidRDefault="00603BB4" w:rsidP="00603BB4">
            <w:pPr>
              <w:spacing w:line="360" w:lineRule="auto"/>
              <w:jc w:val="center"/>
              <w:rPr>
                <w:b/>
                <w:bCs/>
                <w:i/>
                <w:sz w:val="18"/>
                <w:szCs w:val="18"/>
                <w:lang w:val="es-EC" w:eastAsia="es-EC"/>
              </w:rPr>
            </w:pPr>
            <w:r w:rsidRPr="00603BB4">
              <w:rPr>
                <w:b/>
                <w:bCs/>
                <w:i/>
                <w:sz w:val="18"/>
                <w:szCs w:val="18"/>
                <w:lang w:val="es-EC" w:eastAsia="es-EC"/>
              </w:rPr>
              <w:t>P</w:t>
            </w:r>
          </w:p>
        </w:tc>
      </w:tr>
      <w:tr w:rsidR="00603BB4" w:rsidRPr="00603BB4" w14:paraId="6699A51B" w14:textId="77777777" w:rsidTr="007077F6">
        <w:trPr>
          <w:trHeight w:val="284"/>
          <w:jc w:val="center"/>
        </w:trPr>
        <w:tc>
          <w:tcPr>
            <w:tcW w:w="2263" w:type="dxa"/>
            <w:vMerge/>
            <w:vAlign w:val="center"/>
          </w:tcPr>
          <w:p w14:paraId="08D5FF16" w14:textId="77777777" w:rsidR="00603BB4" w:rsidRPr="00603BB4" w:rsidRDefault="00603BB4" w:rsidP="00603BB4">
            <w:pPr>
              <w:spacing w:line="360" w:lineRule="auto"/>
              <w:jc w:val="center"/>
              <w:rPr>
                <w:b/>
                <w:bCs/>
                <w:sz w:val="18"/>
                <w:szCs w:val="18"/>
                <w:lang w:val="es-EC" w:eastAsia="es-EC"/>
              </w:rPr>
            </w:pPr>
          </w:p>
        </w:tc>
        <w:tc>
          <w:tcPr>
            <w:tcW w:w="993" w:type="dxa"/>
            <w:vAlign w:val="center"/>
          </w:tcPr>
          <w:p w14:paraId="14A7B760"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Media</w:t>
            </w:r>
          </w:p>
        </w:tc>
        <w:tc>
          <w:tcPr>
            <w:tcW w:w="992" w:type="dxa"/>
            <w:vAlign w:val="center"/>
          </w:tcPr>
          <w:p w14:paraId="0132A330"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DE</w:t>
            </w:r>
          </w:p>
        </w:tc>
        <w:tc>
          <w:tcPr>
            <w:tcW w:w="850" w:type="dxa"/>
            <w:vAlign w:val="center"/>
          </w:tcPr>
          <w:p w14:paraId="0EAB1C97"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Media</w:t>
            </w:r>
          </w:p>
        </w:tc>
        <w:tc>
          <w:tcPr>
            <w:tcW w:w="851" w:type="dxa"/>
            <w:vAlign w:val="center"/>
          </w:tcPr>
          <w:p w14:paraId="55749084"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DE</w:t>
            </w:r>
          </w:p>
        </w:tc>
        <w:tc>
          <w:tcPr>
            <w:tcW w:w="992" w:type="dxa"/>
            <w:vMerge/>
            <w:vAlign w:val="center"/>
          </w:tcPr>
          <w:p w14:paraId="73D8FE1D" w14:textId="77777777" w:rsidR="00603BB4" w:rsidRPr="00603BB4" w:rsidRDefault="00603BB4" w:rsidP="00603BB4">
            <w:pPr>
              <w:spacing w:line="360" w:lineRule="auto"/>
              <w:jc w:val="center"/>
              <w:rPr>
                <w:b/>
                <w:bCs/>
                <w:i/>
                <w:sz w:val="18"/>
                <w:szCs w:val="18"/>
                <w:lang w:val="es-EC" w:eastAsia="es-EC"/>
              </w:rPr>
            </w:pPr>
          </w:p>
        </w:tc>
      </w:tr>
      <w:tr w:rsidR="00603BB4" w:rsidRPr="00603BB4" w14:paraId="3C3AF060" w14:textId="77777777" w:rsidTr="007077F6">
        <w:trPr>
          <w:trHeight w:val="284"/>
          <w:jc w:val="center"/>
        </w:trPr>
        <w:tc>
          <w:tcPr>
            <w:tcW w:w="2263" w:type="dxa"/>
            <w:vAlign w:val="center"/>
          </w:tcPr>
          <w:p w14:paraId="2F5FDF57"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Peso</w:t>
            </w:r>
          </w:p>
        </w:tc>
        <w:tc>
          <w:tcPr>
            <w:tcW w:w="993" w:type="dxa"/>
            <w:vAlign w:val="center"/>
          </w:tcPr>
          <w:p w14:paraId="0C07E0FA"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110</w:t>
            </w:r>
          </w:p>
        </w:tc>
        <w:tc>
          <w:tcPr>
            <w:tcW w:w="992" w:type="dxa"/>
            <w:vAlign w:val="center"/>
          </w:tcPr>
          <w:p w14:paraId="254E9E87"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27,05</w:t>
            </w:r>
          </w:p>
        </w:tc>
        <w:tc>
          <w:tcPr>
            <w:tcW w:w="850" w:type="dxa"/>
            <w:vAlign w:val="center"/>
          </w:tcPr>
          <w:p w14:paraId="5424745D"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80</w:t>
            </w:r>
          </w:p>
        </w:tc>
        <w:tc>
          <w:tcPr>
            <w:tcW w:w="851" w:type="dxa"/>
            <w:vAlign w:val="center"/>
          </w:tcPr>
          <w:p w14:paraId="1590ED07"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7,81</w:t>
            </w:r>
          </w:p>
        </w:tc>
        <w:tc>
          <w:tcPr>
            <w:tcW w:w="992" w:type="dxa"/>
            <w:vAlign w:val="center"/>
          </w:tcPr>
          <w:p w14:paraId="73E1E5D4" w14:textId="77777777" w:rsidR="00603BB4" w:rsidRPr="00603BB4" w:rsidRDefault="00603BB4" w:rsidP="00603BB4">
            <w:pPr>
              <w:spacing w:line="360" w:lineRule="auto"/>
              <w:jc w:val="center"/>
              <w:rPr>
                <w:iCs/>
                <w:sz w:val="18"/>
                <w:szCs w:val="18"/>
                <w:lang w:val="es-EC" w:eastAsia="es-EC"/>
              </w:rPr>
            </w:pPr>
            <w:r w:rsidRPr="00603BB4">
              <w:rPr>
                <w:iCs/>
                <w:sz w:val="18"/>
                <w:szCs w:val="18"/>
                <w:lang w:val="es-EC" w:eastAsia="es-EC"/>
              </w:rPr>
              <w:t>0,021*</w:t>
            </w:r>
          </w:p>
        </w:tc>
      </w:tr>
      <w:tr w:rsidR="00603BB4" w:rsidRPr="00603BB4" w14:paraId="2D0FB827" w14:textId="77777777" w:rsidTr="007077F6">
        <w:trPr>
          <w:trHeight w:val="284"/>
          <w:jc w:val="center"/>
        </w:trPr>
        <w:tc>
          <w:tcPr>
            <w:tcW w:w="2263" w:type="dxa"/>
            <w:vAlign w:val="center"/>
          </w:tcPr>
          <w:p w14:paraId="3C245E2E"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IMC</w:t>
            </w:r>
          </w:p>
        </w:tc>
        <w:tc>
          <w:tcPr>
            <w:tcW w:w="993" w:type="dxa"/>
            <w:vAlign w:val="center"/>
          </w:tcPr>
          <w:p w14:paraId="5A3DD33E"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42</w:t>
            </w:r>
          </w:p>
        </w:tc>
        <w:tc>
          <w:tcPr>
            <w:tcW w:w="992" w:type="dxa"/>
            <w:vAlign w:val="center"/>
          </w:tcPr>
          <w:p w14:paraId="10DDC4C6"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10,34</w:t>
            </w:r>
          </w:p>
        </w:tc>
        <w:tc>
          <w:tcPr>
            <w:tcW w:w="850" w:type="dxa"/>
            <w:vAlign w:val="center"/>
          </w:tcPr>
          <w:p w14:paraId="26D28BD7"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30</w:t>
            </w:r>
          </w:p>
        </w:tc>
        <w:tc>
          <w:tcPr>
            <w:tcW w:w="851" w:type="dxa"/>
            <w:vAlign w:val="center"/>
          </w:tcPr>
          <w:p w14:paraId="764B7B83"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7,47</w:t>
            </w:r>
          </w:p>
        </w:tc>
        <w:tc>
          <w:tcPr>
            <w:tcW w:w="992" w:type="dxa"/>
            <w:vAlign w:val="center"/>
          </w:tcPr>
          <w:p w14:paraId="48CE4A93" w14:textId="77777777" w:rsidR="00603BB4" w:rsidRPr="00603BB4" w:rsidRDefault="00603BB4" w:rsidP="00603BB4">
            <w:pPr>
              <w:spacing w:line="360" w:lineRule="auto"/>
              <w:jc w:val="center"/>
              <w:rPr>
                <w:iCs/>
                <w:sz w:val="18"/>
                <w:szCs w:val="18"/>
                <w:lang w:val="es-EC" w:eastAsia="es-EC"/>
              </w:rPr>
            </w:pPr>
            <w:r w:rsidRPr="00603BB4">
              <w:rPr>
                <w:iCs/>
                <w:sz w:val="18"/>
                <w:szCs w:val="18"/>
                <w:lang w:val="es-EC" w:eastAsia="es-EC"/>
              </w:rPr>
              <w:t>0,005*</w:t>
            </w:r>
          </w:p>
        </w:tc>
      </w:tr>
      <w:tr w:rsidR="00603BB4" w:rsidRPr="00603BB4" w14:paraId="7FB1C4C2" w14:textId="77777777" w:rsidTr="007077F6">
        <w:trPr>
          <w:trHeight w:val="284"/>
          <w:jc w:val="center"/>
        </w:trPr>
        <w:tc>
          <w:tcPr>
            <w:tcW w:w="2263" w:type="dxa"/>
            <w:vAlign w:val="center"/>
          </w:tcPr>
          <w:p w14:paraId="4F188656"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Circunferencia abdominal</w:t>
            </w:r>
          </w:p>
        </w:tc>
        <w:tc>
          <w:tcPr>
            <w:tcW w:w="993" w:type="dxa"/>
            <w:vAlign w:val="center"/>
          </w:tcPr>
          <w:p w14:paraId="7AE666BB"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124,2</w:t>
            </w:r>
          </w:p>
        </w:tc>
        <w:tc>
          <w:tcPr>
            <w:tcW w:w="992" w:type="dxa"/>
            <w:vAlign w:val="center"/>
          </w:tcPr>
          <w:p w14:paraId="74001DCC"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4,27</w:t>
            </w:r>
          </w:p>
        </w:tc>
        <w:tc>
          <w:tcPr>
            <w:tcW w:w="850" w:type="dxa"/>
            <w:vAlign w:val="center"/>
          </w:tcPr>
          <w:p w14:paraId="438423B4"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101,2</w:t>
            </w:r>
          </w:p>
        </w:tc>
        <w:tc>
          <w:tcPr>
            <w:tcW w:w="851" w:type="dxa"/>
            <w:vAlign w:val="center"/>
          </w:tcPr>
          <w:p w14:paraId="3F5A8F53"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2,90</w:t>
            </w:r>
          </w:p>
        </w:tc>
        <w:tc>
          <w:tcPr>
            <w:tcW w:w="992" w:type="dxa"/>
            <w:vAlign w:val="center"/>
          </w:tcPr>
          <w:p w14:paraId="10394251" w14:textId="77777777" w:rsidR="00603BB4" w:rsidRPr="00603BB4" w:rsidRDefault="00603BB4" w:rsidP="00603BB4">
            <w:pPr>
              <w:spacing w:line="360" w:lineRule="auto"/>
              <w:jc w:val="center"/>
              <w:rPr>
                <w:iCs/>
                <w:sz w:val="18"/>
                <w:szCs w:val="18"/>
                <w:lang w:val="es-EC" w:eastAsia="es-EC"/>
              </w:rPr>
            </w:pPr>
            <w:r w:rsidRPr="00603BB4">
              <w:rPr>
                <w:iCs/>
                <w:sz w:val="18"/>
                <w:szCs w:val="18"/>
                <w:lang w:val="es-EC" w:eastAsia="es-EC"/>
              </w:rPr>
              <w:t>0,201</w:t>
            </w:r>
          </w:p>
        </w:tc>
      </w:tr>
      <w:tr w:rsidR="00603BB4" w:rsidRPr="00603BB4" w14:paraId="2C308C09" w14:textId="77777777" w:rsidTr="007077F6">
        <w:trPr>
          <w:trHeight w:val="284"/>
          <w:jc w:val="center"/>
        </w:trPr>
        <w:tc>
          <w:tcPr>
            <w:tcW w:w="2263" w:type="dxa"/>
            <w:vAlign w:val="center"/>
          </w:tcPr>
          <w:p w14:paraId="61D6548A"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Circunferencia braquial</w:t>
            </w:r>
          </w:p>
        </w:tc>
        <w:tc>
          <w:tcPr>
            <w:tcW w:w="993" w:type="dxa"/>
            <w:vAlign w:val="center"/>
          </w:tcPr>
          <w:p w14:paraId="76761AF4"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37,4</w:t>
            </w:r>
          </w:p>
        </w:tc>
        <w:tc>
          <w:tcPr>
            <w:tcW w:w="992" w:type="dxa"/>
            <w:vAlign w:val="center"/>
          </w:tcPr>
          <w:p w14:paraId="2BF50744"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3,51</w:t>
            </w:r>
          </w:p>
        </w:tc>
        <w:tc>
          <w:tcPr>
            <w:tcW w:w="850" w:type="dxa"/>
            <w:vAlign w:val="center"/>
          </w:tcPr>
          <w:p w14:paraId="722482A8"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35,2</w:t>
            </w:r>
          </w:p>
        </w:tc>
        <w:tc>
          <w:tcPr>
            <w:tcW w:w="851" w:type="dxa"/>
            <w:vAlign w:val="center"/>
          </w:tcPr>
          <w:p w14:paraId="7DB567C1"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2,33</w:t>
            </w:r>
          </w:p>
        </w:tc>
        <w:tc>
          <w:tcPr>
            <w:tcW w:w="992" w:type="dxa"/>
            <w:vAlign w:val="center"/>
          </w:tcPr>
          <w:p w14:paraId="335A59B7" w14:textId="77777777" w:rsidR="00603BB4" w:rsidRPr="00603BB4" w:rsidRDefault="00603BB4" w:rsidP="00603BB4">
            <w:pPr>
              <w:spacing w:line="360" w:lineRule="auto"/>
              <w:jc w:val="center"/>
              <w:rPr>
                <w:iCs/>
                <w:sz w:val="18"/>
                <w:szCs w:val="18"/>
                <w:lang w:val="es-EC" w:eastAsia="es-EC"/>
              </w:rPr>
            </w:pPr>
            <w:r w:rsidRPr="00603BB4">
              <w:rPr>
                <w:iCs/>
                <w:sz w:val="18"/>
                <w:szCs w:val="18"/>
                <w:lang w:val="es-EC" w:eastAsia="es-EC"/>
              </w:rPr>
              <w:t>0,087</w:t>
            </w:r>
          </w:p>
        </w:tc>
      </w:tr>
      <w:tr w:rsidR="00603BB4" w:rsidRPr="00603BB4" w14:paraId="745D6CD1" w14:textId="77777777" w:rsidTr="007077F6">
        <w:trPr>
          <w:trHeight w:val="284"/>
          <w:jc w:val="center"/>
        </w:trPr>
        <w:tc>
          <w:tcPr>
            <w:tcW w:w="2263" w:type="dxa"/>
            <w:vAlign w:val="center"/>
          </w:tcPr>
          <w:p w14:paraId="5D7904D8" w14:textId="77777777" w:rsidR="00603BB4" w:rsidRPr="00603BB4" w:rsidRDefault="00603BB4" w:rsidP="00603BB4">
            <w:pPr>
              <w:spacing w:line="360" w:lineRule="auto"/>
              <w:jc w:val="both"/>
              <w:rPr>
                <w:sz w:val="18"/>
                <w:szCs w:val="18"/>
                <w:lang w:val="es-EC" w:eastAsia="es-EC"/>
              </w:rPr>
            </w:pPr>
            <w:proofErr w:type="spellStart"/>
            <w:r w:rsidRPr="00603BB4">
              <w:rPr>
                <w:sz w:val="18"/>
                <w:szCs w:val="18"/>
                <w:lang w:val="es-EC" w:eastAsia="es-EC"/>
              </w:rPr>
              <w:t>PA</w:t>
            </w:r>
            <w:proofErr w:type="spellEnd"/>
            <w:r w:rsidRPr="00603BB4">
              <w:rPr>
                <w:sz w:val="18"/>
                <w:szCs w:val="18"/>
                <w:lang w:val="es-EC" w:eastAsia="es-EC"/>
              </w:rPr>
              <w:t xml:space="preserve"> sistólica</w:t>
            </w:r>
          </w:p>
        </w:tc>
        <w:tc>
          <w:tcPr>
            <w:tcW w:w="993" w:type="dxa"/>
            <w:vAlign w:val="center"/>
          </w:tcPr>
          <w:p w14:paraId="06BBA891"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127</w:t>
            </w:r>
          </w:p>
        </w:tc>
        <w:tc>
          <w:tcPr>
            <w:tcW w:w="992" w:type="dxa"/>
            <w:vAlign w:val="center"/>
          </w:tcPr>
          <w:p w14:paraId="683E6AD6"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14,7</w:t>
            </w:r>
          </w:p>
        </w:tc>
        <w:tc>
          <w:tcPr>
            <w:tcW w:w="850" w:type="dxa"/>
            <w:vAlign w:val="center"/>
          </w:tcPr>
          <w:p w14:paraId="3D957B5E"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123,3</w:t>
            </w:r>
          </w:p>
        </w:tc>
        <w:tc>
          <w:tcPr>
            <w:tcW w:w="851" w:type="dxa"/>
            <w:vAlign w:val="center"/>
          </w:tcPr>
          <w:p w14:paraId="2AAAA702"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12,8</w:t>
            </w:r>
          </w:p>
        </w:tc>
        <w:tc>
          <w:tcPr>
            <w:tcW w:w="992" w:type="dxa"/>
            <w:vAlign w:val="center"/>
          </w:tcPr>
          <w:p w14:paraId="6FD5B3BE" w14:textId="77777777" w:rsidR="00603BB4" w:rsidRPr="00603BB4" w:rsidRDefault="00603BB4" w:rsidP="00603BB4">
            <w:pPr>
              <w:spacing w:line="360" w:lineRule="auto"/>
              <w:jc w:val="center"/>
              <w:rPr>
                <w:iCs/>
                <w:sz w:val="18"/>
                <w:szCs w:val="18"/>
                <w:lang w:val="es-EC" w:eastAsia="es-EC"/>
              </w:rPr>
            </w:pPr>
            <w:r w:rsidRPr="00603BB4">
              <w:rPr>
                <w:iCs/>
                <w:sz w:val="18"/>
                <w:szCs w:val="18"/>
                <w:lang w:val="es-EC" w:eastAsia="es-EC"/>
              </w:rPr>
              <w:t>0,002*</w:t>
            </w:r>
          </w:p>
        </w:tc>
      </w:tr>
      <w:tr w:rsidR="00603BB4" w:rsidRPr="00603BB4" w14:paraId="05508865" w14:textId="77777777" w:rsidTr="007077F6">
        <w:trPr>
          <w:trHeight w:val="284"/>
          <w:jc w:val="center"/>
        </w:trPr>
        <w:tc>
          <w:tcPr>
            <w:tcW w:w="2263" w:type="dxa"/>
            <w:vAlign w:val="center"/>
          </w:tcPr>
          <w:p w14:paraId="3F24843D" w14:textId="77777777" w:rsidR="00603BB4" w:rsidRPr="00603BB4" w:rsidRDefault="00603BB4" w:rsidP="00603BB4">
            <w:pPr>
              <w:spacing w:line="360" w:lineRule="auto"/>
              <w:jc w:val="both"/>
              <w:rPr>
                <w:sz w:val="18"/>
                <w:szCs w:val="18"/>
                <w:lang w:val="es-EC" w:eastAsia="es-EC"/>
              </w:rPr>
            </w:pPr>
            <w:proofErr w:type="spellStart"/>
            <w:r w:rsidRPr="00603BB4">
              <w:rPr>
                <w:sz w:val="18"/>
                <w:szCs w:val="18"/>
                <w:lang w:val="es-EC" w:eastAsia="es-EC"/>
              </w:rPr>
              <w:t>PA</w:t>
            </w:r>
            <w:proofErr w:type="spellEnd"/>
            <w:r w:rsidRPr="00603BB4">
              <w:rPr>
                <w:sz w:val="18"/>
                <w:szCs w:val="18"/>
                <w:lang w:val="es-EC" w:eastAsia="es-EC"/>
              </w:rPr>
              <w:t xml:space="preserve"> diastólica</w:t>
            </w:r>
          </w:p>
        </w:tc>
        <w:tc>
          <w:tcPr>
            <w:tcW w:w="993" w:type="dxa"/>
            <w:vAlign w:val="center"/>
          </w:tcPr>
          <w:p w14:paraId="76F1EACE"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82,9</w:t>
            </w:r>
          </w:p>
        </w:tc>
        <w:tc>
          <w:tcPr>
            <w:tcW w:w="992" w:type="dxa"/>
            <w:vAlign w:val="center"/>
          </w:tcPr>
          <w:p w14:paraId="39C9C816"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12,2</w:t>
            </w:r>
          </w:p>
        </w:tc>
        <w:tc>
          <w:tcPr>
            <w:tcW w:w="850" w:type="dxa"/>
            <w:vAlign w:val="center"/>
          </w:tcPr>
          <w:p w14:paraId="0D0DD986"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78,9</w:t>
            </w:r>
          </w:p>
        </w:tc>
        <w:tc>
          <w:tcPr>
            <w:tcW w:w="851" w:type="dxa"/>
            <w:vAlign w:val="center"/>
          </w:tcPr>
          <w:p w14:paraId="675EA1E0"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7,31</w:t>
            </w:r>
          </w:p>
        </w:tc>
        <w:tc>
          <w:tcPr>
            <w:tcW w:w="992" w:type="dxa"/>
            <w:vAlign w:val="center"/>
          </w:tcPr>
          <w:p w14:paraId="3474F10E" w14:textId="77777777" w:rsidR="00603BB4" w:rsidRPr="00603BB4" w:rsidRDefault="00603BB4" w:rsidP="00603BB4">
            <w:pPr>
              <w:spacing w:line="360" w:lineRule="auto"/>
              <w:jc w:val="center"/>
              <w:rPr>
                <w:iCs/>
                <w:sz w:val="18"/>
                <w:szCs w:val="18"/>
                <w:lang w:val="es-EC" w:eastAsia="es-EC"/>
              </w:rPr>
            </w:pPr>
            <w:r w:rsidRPr="00603BB4">
              <w:rPr>
                <w:iCs/>
                <w:sz w:val="18"/>
                <w:szCs w:val="18"/>
                <w:lang w:val="es-EC" w:eastAsia="es-EC"/>
              </w:rPr>
              <w:t>0,001*</w:t>
            </w:r>
          </w:p>
        </w:tc>
      </w:tr>
      <w:tr w:rsidR="00603BB4" w:rsidRPr="00603BB4" w14:paraId="3BB4B1C4" w14:textId="77777777" w:rsidTr="007077F6">
        <w:trPr>
          <w:trHeight w:val="284"/>
          <w:jc w:val="center"/>
        </w:trPr>
        <w:tc>
          <w:tcPr>
            <w:tcW w:w="2263" w:type="dxa"/>
            <w:vAlign w:val="center"/>
          </w:tcPr>
          <w:p w14:paraId="7D8D4A27"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Total</w:t>
            </w:r>
          </w:p>
        </w:tc>
        <w:tc>
          <w:tcPr>
            <w:tcW w:w="993" w:type="dxa"/>
            <w:vAlign w:val="center"/>
          </w:tcPr>
          <w:p w14:paraId="3062B49A"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45</w:t>
            </w:r>
          </w:p>
        </w:tc>
        <w:tc>
          <w:tcPr>
            <w:tcW w:w="992" w:type="dxa"/>
            <w:vAlign w:val="center"/>
          </w:tcPr>
          <w:p w14:paraId="55B74A4A"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100</w:t>
            </w:r>
          </w:p>
        </w:tc>
        <w:tc>
          <w:tcPr>
            <w:tcW w:w="850" w:type="dxa"/>
            <w:vAlign w:val="center"/>
          </w:tcPr>
          <w:p w14:paraId="73A9EA9F"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45</w:t>
            </w:r>
          </w:p>
        </w:tc>
        <w:tc>
          <w:tcPr>
            <w:tcW w:w="851" w:type="dxa"/>
            <w:vAlign w:val="center"/>
          </w:tcPr>
          <w:p w14:paraId="589ACB9F"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100</w:t>
            </w:r>
          </w:p>
        </w:tc>
        <w:tc>
          <w:tcPr>
            <w:tcW w:w="992" w:type="dxa"/>
            <w:vAlign w:val="center"/>
          </w:tcPr>
          <w:p w14:paraId="45828853" w14:textId="77777777" w:rsidR="00603BB4" w:rsidRPr="00603BB4" w:rsidRDefault="00603BB4" w:rsidP="00603BB4">
            <w:pPr>
              <w:spacing w:line="360" w:lineRule="auto"/>
              <w:jc w:val="center"/>
              <w:rPr>
                <w:iCs/>
                <w:sz w:val="18"/>
                <w:szCs w:val="18"/>
                <w:lang w:val="es-EC" w:eastAsia="es-EC"/>
              </w:rPr>
            </w:pPr>
            <w:r w:rsidRPr="00603BB4">
              <w:rPr>
                <w:iCs/>
                <w:sz w:val="18"/>
                <w:szCs w:val="18"/>
                <w:lang w:val="es-EC" w:eastAsia="es-EC"/>
              </w:rPr>
              <w:t>-</w:t>
            </w:r>
          </w:p>
        </w:tc>
      </w:tr>
    </w:tbl>
    <w:p w14:paraId="1E148F56" w14:textId="77777777" w:rsidR="00603BB4" w:rsidRPr="00603BB4" w:rsidRDefault="00603BB4" w:rsidP="00603BB4">
      <w:pPr>
        <w:spacing w:line="360" w:lineRule="auto"/>
        <w:jc w:val="center"/>
        <w:rPr>
          <w:iCs/>
          <w:sz w:val="16"/>
          <w:szCs w:val="16"/>
          <w:lang w:val="es-EC" w:eastAsia="es-EC"/>
        </w:rPr>
      </w:pPr>
      <w:r w:rsidRPr="00603BB4">
        <w:rPr>
          <w:iCs/>
          <w:sz w:val="16"/>
          <w:szCs w:val="16"/>
          <w:lang w:val="es-EC" w:eastAsia="es-EC"/>
        </w:rPr>
        <w:t>*p&lt; 0,05 (estadísticamente significativo).</w:t>
      </w:r>
    </w:p>
    <w:p w14:paraId="15CB95A2" w14:textId="77777777" w:rsidR="00603BB4" w:rsidRPr="00603BB4" w:rsidRDefault="00603BB4" w:rsidP="00603BB4">
      <w:pPr>
        <w:spacing w:line="360" w:lineRule="auto"/>
        <w:jc w:val="center"/>
        <w:rPr>
          <w:iCs/>
          <w:sz w:val="16"/>
          <w:szCs w:val="16"/>
          <w:lang w:val="es-EC" w:eastAsia="es-EC"/>
        </w:rPr>
      </w:pPr>
      <w:r w:rsidRPr="00603BB4">
        <w:rPr>
          <w:iCs/>
          <w:sz w:val="16"/>
          <w:szCs w:val="16"/>
          <w:lang w:val="es-EC" w:eastAsia="es-EC"/>
        </w:rPr>
        <w:t xml:space="preserve">IMC: Índice de masa corporal; </w:t>
      </w:r>
      <w:proofErr w:type="spellStart"/>
      <w:r w:rsidRPr="00603BB4">
        <w:rPr>
          <w:iCs/>
          <w:sz w:val="16"/>
          <w:szCs w:val="16"/>
          <w:lang w:val="es-EC" w:eastAsia="es-EC"/>
        </w:rPr>
        <w:t>PA</w:t>
      </w:r>
      <w:proofErr w:type="spellEnd"/>
      <w:r w:rsidRPr="00603BB4">
        <w:rPr>
          <w:iCs/>
          <w:sz w:val="16"/>
          <w:szCs w:val="16"/>
          <w:lang w:val="es-EC" w:eastAsia="es-EC"/>
        </w:rPr>
        <w:t>: presión arterial; DE: desviación estándar; DE: desviación estándar.</w:t>
      </w:r>
    </w:p>
    <w:p w14:paraId="3E3834F4" w14:textId="77777777" w:rsidR="00603BB4" w:rsidRPr="00603BB4" w:rsidRDefault="00603BB4" w:rsidP="00603BB4">
      <w:pPr>
        <w:spacing w:line="360" w:lineRule="auto"/>
        <w:jc w:val="both"/>
        <w:rPr>
          <w:lang w:val="es-ES" w:eastAsia="es-EC"/>
        </w:rPr>
      </w:pPr>
    </w:p>
    <w:p w14:paraId="40CE8996" w14:textId="77777777" w:rsidR="00603BB4" w:rsidRPr="00603BB4" w:rsidRDefault="00603BB4" w:rsidP="00603BB4">
      <w:pPr>
        <w:spacing w:line="360" w:lineRule="auto"/>
        <w:jc w:val="both"/>
        <w:rPr>
          <w:lang w:val="es-ES" w:eastAsia="es-EC"/>
        </w:rPr>
      </w:pPr>
      <w:r w:rsidRPr="00603BB4">
        <w:rPr>
          <w:lang w:val="es-ES" w:eastAsia="es-EC"/>
        </w:rPr>
        <w:t xml:space="preserve">La mayoría de las variables de laboratorio (medias) disminuyeron hasta alcanzar la normalidad como es el caso de la glucemia (8,38 a 5,38 </w:t>
      </w:r>
      <w:r w:rsidRPr="00603BB4">
        <w:rPr>
          <w:lang w:val="es-EC" w:eastAsia="es-EC"/>
        </w:rPr>
        <w:t>mg/</w:t>
      </w:r>
      <w:proofErr w:type="spellStart"/>
      <w:r w:rsidRPr="00603BB4">
        <w:rPr>
          <w:lang w:val="es-EC" w:eastAsia="es-EC"/>
        </w:rPr>
        <w:t>dL</w:t>
      </w:r>
      <w:proofErr w:type="spellEnd"/>
      <w:r w:rsidRPr="00603BB4">
        <w:rPr>
          <w:lang w:val="es-ES" w:eastAsia="es-EC"/>
        </w:rPr>
        <w:t xml:space="preserve">), la insulinemia (15,47 a 8,09 </w:t>
      </w:r>
      <w:proofErr w:type="spellStart"/>
      <w:r w:rsidRPr="00603BB4">
        <w:rPr>
          <w:lang w:val="es-EC" w:eastAsia="es-EC"/>
        </w:rPr>
        <w:t>mUI</w:t>
      </w:r>
      <w:proofErr w:type="spellEnd"/>
      <w:r w:rsidRPr="00603BB4">
        <w:rPr>
          <w:lang w:val="es-EC" w:eastAsia="es-EC"/>
        </w:rPr>
        <w:t>/mL</w:t>
      </w:r>
      <w:r w:rsidRPr="00603BB4">
        <w:rPr>
          <w:lang w:val="es-ES" w:eastAsia="es-EC"/>
        </w:rPr>
        <w:t xml:space="preserve">), los triglicéridos (2,23 a 1,93 </w:t>
      </w:r>
      <w:r w:rsidRPr="00603BB4">
        <w:rPr>
          <w:lang w:val="es-EC" w:eastAsia="es-EC"/>
        </w:rPr>
        <w:t>mg/</w:t>
      </w:r>
      <w:proofErr w:type="spellStart"/>
      <w:r w:rsidRPr="00603BB4">
        <w:rPr>
          <w:lang w:val="es-EC" w:eastAsia="es-EC"/>
        </w:rPr>
        <w:t>dL</w:t>
      </w:r>
      <w:proofErr w:type="spellEnd"/>
      <w:r w:rsidRPr="00603BB4">
        <w:rPr>
          <w:lang w:val="es-ES" w:eastAsia="es-EC"/>
        </w:rPr>
        <w:t>), el colesterol total (232,4 a 198,3 mg/</w:t>
      </w:r>
      <w:proofErr w:type="spellStart"/>
      <w:r w:rsidRPr="00603BB4">
        <w:rPr>
          <w:lang w:val="es-ES" w:eastAsia="es-EC"/>
        </w:rPr>
        <w:t>dL</w:t>
      </w:r>
      <w:proofErr w:type="spellEnd"/>
      <w:r w:rsidRPr="00603BB4">
        <w:rPr>
          <w:lang w:val="es-ES" w:eastAsia="es-EC"/>
        </w:rPr>
        <w:t xml:space="preserve">) y el </w:t>
      </w:r>
      <w:r w:rsidRPr="00603BB4">
        <w:rPr>
          <w:color w:val="000000"/>
          <w:lang w:val="es-ES" w:eastAsia="es-EC"/>
        </w:rPr>
        <w:t>índice de resistencia a la insulina</w:t>
      </w:r>
      <w:r w:rsidRPr="00603BB4">
        <w:rPr>
          <w:lang w:val="es-ES" w:eastAsia="es-EC"/>
        </w:rPr>
        <w:t xml:space="preserve"> (</w:t>
      </w:r>
      <w:proofErr w:type="spellStart"/>
      <w:r w:rsidRPr="00603BB4">
        <w:rPr>
          <w:lang w:val="es-ES" w:eastAsia="es-EC"/>
        </w:rPr>
        <w:t>HOMA</w:t>
      </w:r>
      <w:proofErr w:type="spellEnd"/>
      <w:r w:rsidRPr="00603BB4">
        <w:rPr>
          <w:lang w:val="es-ES" w:eastAsia="es-EC"/>
        </w:rPr>
        <w:t xml:space="preserve">) (4,22 a 1,90 </w:t>
      </w:r>
      <w:proofErr w:type="spellStart"/>
      <w:r w:rsidRPr="00603BB4">
        <w:rPr>
          <w:lang w:val="es-EC" w:eastAsia="es-EC"/>
        </w:rPr>
        <w:t>mU</w:t>
      </w:r>
      <w:proofErr w:type="spellEnd"/>
      <w:r w:rsidRPr="00603BB4">
        <w:rPr>
          <w:lang w:val="es-EC" w:eastAsia="es-EC"/>
        </w:rPr>
        <w:t>/mL</w:t>
      </w:r>
      <w:r w:rsidRPr="00603BB4">
        <w:rPr>
          <w:lang w:val="es-ES" w:eastAsia="es-EC"/>
        </w:rPr>
        <w:t xml:space="preserve">). Aunque el ácido úrico no mostró diferencias significativas, se puede considerar que clínicamente sí tuvo importancia con una disminución de 279 a 265,4 </w:t>
      </w:r>
      <w:proofErr w:type="spellStart"/>
      <w:r w:rsidRPr="00603BB4">
        <w:rPr>
          <w:lang w:val="es-EC" w:eastAsia="es-EC"/>
        </w:rPr>
        <w:t>uU</w:t>
      </w:r>
      <w:proofErr w:type="spellEnd"/>
      <w:r w:rsidRPr="00603BB4">
        <w:rPr>
          <w:lang w:val="es-EC" w:eastAsia="es-EC"/>
        </w:rPr>
        <w:t>/mL</w:t>
      </w:r>
      <w:r w:rsidRPr="00603BB4">
        <w:rPr>
          <w:lang w:val="es-ES" w:eastAsia="es-EC"/>
        </w:rPr>
        <w:t>. El 100 % de los pacientes completaron el tratamiento multidisciplinario de 3 meses, sin ningún sujeto que lo abandonara.</w:t>
      </w:r>
    </w:p>
    <w:p w14:paraId="4E81229F" w14:textId="77777777" w:rsidR="00603BB4" w:rsidRPr="00603BB4" w:rsidRDefault="00603BB4" w:rsidP="00603BB4">
      <w:pPr>
        <w:spacing w:line="360" w:lineRule="auto"/>
        <w:jc w:val="both"/>
        <w:rPr>
          <w:lang w:val="es-ES" w:eastAsia="es-EC"/>
        </w:rPr>
      </w:pPr>
      <w:r w:rsidRPr="00603BB4">
        <w:rPr>
          <w:lang w:val="es-ES" w:eastAsia="es-EC"/>
        </w:rPr>
        <w:t>En el 97,8 % de los pacientes con obesidad mórbida resultó efectivo el tratamiento multidisciplinario. Solamente un paciente no disminuyó el peso corporal luego del tratamiento (tabla 3).</w:t>
      </w:r>
    </w:p>
    <w:p w14:paraId="4B1A1384" w14:textId="77777777" w:rsidR="00603BB4" w:rsidRPr="00603BB4" w:rsidRDefault="00603BB4" w:rsidP="00603BB4">
      <w:pPr>
        <w:spacing w:line="360" w:lineRule="auto"/>
        <w:jc w:val="both"/>
        <w:rPr>
          <w:lang w:val="es-ES" w:eastAsia="es-EC"/>
        </w:rPr>
      </w:pPr>
    </w:p>
    <w:p w14:paraId="7177AC70" w14:textId="77777777" w:rsidR="00CB1D61" w:rsidRDefault="00CB1D61">
      <w:pPr>
        <w:rPr>
          <w:b/>
          <w:sz w:val="22"/>
          <w:szCs w:val="22"/>
          <w:lang w:val="es-EC" w:eastAsia="es-EC"/>
        </w:rPr>
      </w:pPr>
      <w:r>
        <w:rPr>
          <w:b/>
          <w:sz w:val="22"/>
          <w:szCs w:val="22"/>
          <w:lang w:val="es-EC" w:eastAsia="es-EC"/>
        </w:rPr>
        <w:br w:type="page"/>
      </w:r>
    </w:p>
    <w:p w14:paraId="426B7C0E" w14:textId="127D717E" w:rsidR="00603BB4" w:rsidRPr="00603BB4" w:rsidRDefault="00603BB4" w:rsidP="00603BB4">
      <w:pPr>
        <w:spacing w:line="360" w:lineRule="auto"/>
        <w:jc w:val="center"/>
        <w:rPr>
          <w:sz w:val="22"/>
          <w:szCs w:val="22"/>
          <w:lang w:val="es-EC" w:eastAsia="es-EC"/>
        </w:rPr>
      </w:pPr>
      <w:r w:rsidRPr="00603BB4">
        <w:rPr>
          <w:b/>
          <w:sz w:val="22"/>
          <w:szCs w:val="22"/>
          <w:lang w:val="es-EC" w:eastAsia="es-EC"/>
        </w:rPr>
        <w:lastRenderedPageBreak/>
        <w:t>Tabla 3 -</w:t>
      </w:r>
      <w:r w:rsidRPr="00603BB4">
        <w:rPr>
          <w:sz w:val="22"/>
          <w:szCs w:val="22"/>
          <w:lang w:val="es-EC" w:eastAsia="es-EC"/>
        </w:rPr>
        <w:t xml:space="preserve"> Valores bioquímicos de laboratorio de los pacientes antes y después de la intervención multidisciplinaria</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992"/>
        <w:gridCol w:w="851"/>
        <w:gridCol w:w="850"/>
        <w:gridCol w:w="992"/>
        <w:gridCol w:w="993"/>
      </w:tblGrid>
      <w:tr w:rsidR="00603BB4" w:rsidRPr="00603BB4" w14:paraId="44703ED8" w14:textId="77777777" w:rsidTr="007077F6">
        <w:trPr>
          <w:trHeight w:val="454"/>
          <w:jc w:val="center"/>
        </w:trPr>
        <w:tc>
          <w:tcPr>
            <w:tcW w:w="2126" w:type="dxa"/>
            <w:vMerge w:val="restart"/>
            <w:vAlign w:val="center"/>
          </w:tcPr>
          <w:p w14:paraId="3082FB68"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Variables bioquímicas</w:t>
            </w:r>
          </w:p>
        </w:tc>
        <w:tc>
          <w:tcPr>
            <w:tcW w:w="1843" w:type="dxa"/>
            <w:gridSpan w:val="2"/>
            <w:vAlign w:val="center"/>
          </w:tcPr>
          <w:p w14:paraId="2BF381D9"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Antes</w:t>
            </w:r>
          </w:p>
        </w:tc>
        <w:tc>
          <w:tcPr>
            <w:tcW w:w="1842" w:type="dxa"/>
            <w:gridSpan w:val="2"/>
            <w:vAlign w:val="center"/>
          </w:tcPr>
          <w:p w14:paraId="37C93D18"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Después</w:t>
            </w:r>
          </w:p>
        </w:tc>
        <w:tc>
          <w:tcPr>
            <w:tcW w:w="993" w:type="dxa"/>
            <w:vMerge w:val="restart"/>
            <w:vAlign w:val="center"/>
          </w:tcPr>
          <w:p w14:paraId="3E39A4B3"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P</w:t>
            </w:r>
          </w:p>
        </w:tc>
      </w:tr>
      <w:tr w:rsidR="00603BB4" w:rsidRPr="00603BB4" w14:paraId="2D82C4D8" w14:textId="77777777" w:rsidTr="007077F6">
        <w:trPr>
          <w:trHeight w:val="343"/>
          <w:jc w:val="center"/>
        </w:trPr>
        <w:tc>
          <w:tcPr>
            <w:tcW w:w="2126" w:type="dxa"/>
            <w:vMerge/>
            <w:vAlign w:val="center"/>
          </w:tcPr>
          <w:p w14:paraId="2127B9D0" w14:textId="77777777" w:rsidR="00603BB4" w:rsidRPr="00603BB4" w:rsidRDefault="00603BB4" w:rsidP="00603BB4">
            <w:pPr>
              <w:spacing w:line="360" w:lineRule="auto"/>
              <w:jc w:val="center"/>
              <w:rPr>
                <w:b/>
                <w:bCs/>
                <w:sz w:val="18"/>
                <w:szCs w:val="18"/>
                <w:lang w:val="es-EC" w:eastAsia="es-EC"/>
              </w:rPr>
            </w:pPr>
          </w:p>
        </w:tc>
        <w:tc>
          <w:tcPr>
            <w:tcW w:w="992" w:type="dxa"/>
            <w:vAlign w:val="center"/>
          </w:tcPr>
          <w:p w14:paraId="0C103622"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Media</w:t>
            </w:r>
          </w:p>
        </w:tc>
        <w:tc>
          <w:tcPr>
            <w:tcW w:w="851" w:type="dxa"/>
            <w:vAlign w:val="center"/>
          </w:tcPr>
          <w:p w14:paraId="64F97A76"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DE</w:t>
            </w:r>
          </w:p>
        </w:tc>
        <w:tc>
          <w:tcPr>
            <w:tcW w:w="850" w:type="dxa"/>
            <w:vAlign w:val="center"/>
          </w:tcPr>
          <w:p w14:paraId="51DBDEFA"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Media</w:t>
            </w:r>
          </w:p>
        </w:tc>
        <w:tc>
          <w:tcPr>
            <w:tcW w:w="992" w:type="dxa"/>
            <w:vAlign w:val="center"/>
          </w:tcPr>
          <w:p w14:paraId="7B05FC0D" w14:textId="77777777" w:rsidR="00603BB4" w:rsidRPr="00603BB4" w:rsidRDefault="00603BB4" w:rsidP="00603BB4">
            <w:pPr>
              <w:spacing w:line="360" w:lineRule="auto"/>
              <w:jc w:val="center"/>
              <w:rPr>
                <w:b/>
                <w:bCs/>
                <w:sz w:val="18"/>
                <w:szCs w:val="18"/>
                <w:lang w:val="es-EC" w:eastAsia="es-EC"/>
              </w:rPr>
            </w:pPr>
            <w:r w:rsidRPr="00603BB4">
              <w:rPr>
                <w:b/>
                <w:bCs/>
                <w:sz w:val="18"/>
                <w:szCs w:val="18"/>
                <w:lang w:val="es-EC" w:eastAsia="es-EC"/>
              </w:rPr>
              <w:t>DE</w:t>
            </w:r>
          </w:p>
        </w:tc>
        <w:tc>
          <w:tcPr>
            <w:tcW w:w="993" w:type="dxa"/>
            <w:vMerge/>
            <w:vAlign w:val="center"/>
          </w:tcPr>
          <w:p w14:paraId="2FA379C2" w14:textId="77777777" w:rsidR="00603BB4" w:rsidRPr="00603BB4" w:rsidRDefault="00603BB4" w:rsidP="00603BB4">
            <w:pPr>
              <w:spacing w:line="360" w:lineRule="auto"/>
              <w:jc w:val="center"/>
              <w:rPr>
                <w:b/>
                <w:bCs/>
                <w:sz w:val="18"/>
                <w:szCs w:val="18"/>
                <w:lang w:val="es-EC" w:eastAsia="es-EC"/>
              </w:rPr>
            </w:pPr>
          </w:p>
        </w:tc>
      </w:tr>
      <w:tr w:rsidR="00603BB4" w:rsidRPr="00603BB4" w14:paraId="2F6FF946" w14:textId="77777777" w:rsidTr="007077F6">
        <w:trPr>
          <w:trHeight w:val="454"/>
          <w:jc w:val="center"/>
        </w:trPr>
        <w:tc>
          <w:tcPr>
            <w:tcW w:w="2126" w:type="dxa"/>
            <w:vAlign w:val="center"/>
          </w:tcPr>
          <w:p w14:paraId="0CC6633F"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 xml:space="preserve">Glucemia (mg/ </w:t>
            </w:r>
            <w:proofErr w:type="spellStart"/>
            <w:r w:rsidRPr="00603BB4">
              <w:rPr>
                <w:sz w:val="18"/>
                <w:szCs w:val="18"/>
                <w:lang w:val="es-EC" w:eastAsia="es-EC"/>
              </w:rPr>
              <w:t>dL</w:t>
            </w:r>
            <w:proofErr w:type="spellEnd"/>
            <w:r w:rsidRPr="00603BB4">
              <w:rPr>
                <w:sz w:val="18"/>
                <w:szCs w:val="18"/>
                <w:lang w:val="es-EC" w:eastAsia="es-EC"/>
              </w:rPr>
              <w:t>)</w:t>
            </w:r>
          </w:p>
        </w:tc>
        <w:tc>
          <w:tcPr>
            <w:tcW w:w="992" w:type="dxa"/>
            <w:vAlign w:val="center"/>
          </w:tcPr>
          <w:p w14:paraId="31DA1405"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6,38</w:t>
            </w:r>
          </w:p>
        </w:tc>
        <w:tc>
          <w:tcPr>
            <w:tcW w:w="851" w:type="dxa"/>
            <w:vAlign w:val="center"/>
          </w:tcPr>
          <w:p w14:paraId="163EDD22"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1,80</w:t>
            </w:r>
          </w:p>
        </w:tc>
        <w:tc>
          <w:tcPr>
            <w:tcW w:w="850" w:type="dxa"/>
            <w:vAlign w:val="center"/>
          </w:tcPr>
          <w:p w14:paraId="04B6289D"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5,38</w:t>
            </w:r>
          </w:p>
        </w:tc>
        <w:tc>
          <w:tcPr>
            <w:tcW w:w="992" w:type="dxa"/>
            <w:vAlign w:val="center"/>
          </w:tcPr>
          <w:p w14:paraId="5B40B88B"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1,31</w:t>
            </w:r>
          </w:p>
        </w:tc>
        <w:tc>
          <w:tcPr>
            <w:tcW w:w="993" w:type="dxa"/>
            <w:vAlign w:val="center"/>
          </w:tcPr>
          <w:p w14:paraId="5CF49E76"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0,002*</w:t>
            </w:r>
          </w:p>
        </w:tc>
      </w:tr>
      <w:tr w:rsidR="00603BB4" w:rsidRPr="00603BB4" w14:paraId="052C8A27" w14:textId="77777777" w:rsidTr="007077F6">
        <w:trPr>
          <w:trHeight w:val="454"/>
          <w:jc w:val="center"/>
        </w:trPr>
        <w:tc>
          <w:tcPr>
            <w:tcW w:w="2126" w:type="dxa"/>
            <w:vAlign w:val="center"/>
          </w:tcPr>
          <w:p w14:paraId="75BAB530"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Insulinemia (</w:t>
            </w:r>
            <w:proofErr w:type="spellStart"/>
            <w:r w:rsidRPr="00603BB4">
              <w:rPr>
                <w:sz w:val="18"/>
                <w:szCs w:val="18"/>
                <w:lang w:val="es-EC" w:eastAsia="es-EC"/>
              </w:rPr>
              <w:t>mU</w:t>
            </w:r>
            <w:proofErr w:type="spellEnd"/>
            <w:r w:rsidRPr="00603BB4">
              <w:rPr>
                <w:sz w:val="18"/>
                <w:szCs w:val="18"/>
                <w:lang w:val="es-EC" w:eastAsia="es-EC"/>
              </w:rPr>
              <w:t>/ mL)</w:t>
            </w:r>
          </w:p>
        </w:tc>
        <w:tc>
          <w:tcPr>
            <w:tcW w:w="992" w:type="dxa"/>
            <w:vAlign w:val="center"/>
          </w:tcPr>
          <w:p w14:paraId="16C5EC93"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15,47</w:t>
            </w:r>
          </w:p>
        </w:tc>
        <w:tc>
          <w:tcPr>
            <w:tcW w:w="851" w:type="dxa"/>
            <w:vAlign w:val="center"/>
          </w:tcPr>
          <w:p w14:paraId="421179E0"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6,10</w:t>
            </w:r>
          </w:p>
        </w:tc>
        <w:tc>
          <w:tcPr>
            <w:tcW w:w="850" w:type="dxa"/>
            <w:vAlign w:val="center"/>
          </w:tcPr>
          <w:p w14:paraId="337D623D"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8,09</w:t>
            </w:r>
          </w:p>
        </w:tc>
        <w:tc>
          <w:tcPr>
            <w:tcW w:w="992" w:type="dxa"/>
            <w:vAlign w:val="center"/>
          </w:tcPr>
          <w:p w14:paraId="6C2E8C28"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2,05</w:t>
            </w:r>
          </w:p>
        </w:tc>
        <w:tc>
          <w:tcPr>
            <w:tcW w:w="993" w:type="dxa"/>
            <w:vAlign w:val="center"/>
          </w:tcPr>
          <w:p w14:paraId="50C3DE1B"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&lt;0,001*</w:t>
            </w:r>
          </w:p>
        </w:tc>
      </w:tr>
      <w:tr w:rsidR="00603BB4" w:rsidRPr="00603BB4" w14:paraId="11765990" w14:textId="77777777" w:rsidTr="007077F6">
        <w:trPr>
          <w:trHeight w:val="454"/>
          <w:jc w:val="center"/>
        </w:trPr>
        <w:tc>
          <w:tcPr>
            <w:tcW w:w="2126" w:type="dxa"/>
            <w:vAlign w:val="center"/>
          </w:tcPr>
          <w:p w14:paraId="18BCB391"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 xml:space="preserve">Triglicéridos (mg/ </w:t>
            </w:r>
            <w:proofErr w:type="spellStart"/>
            <w:r w:rsidRPr="00603BB4">
              <w:rPr>
                <w:sz w:val="18"/>
                <w:szCs w:val="18"/>
                <w:lang w:val="es-EC" w:eastAsia="es-EC"/>
              </w:rPr>
              <w:t>dL</w:t>
            </w:r>
            <w:proofErr w:type="spellEnd"/>
            <w:r w:rsidRPr="00603BB4">
              <w:rPr>
                <w:sz w:val="18"/>
                <w:szCs w:val="18"/>
                <w:lang w:val="es-EC" w:eastAsia="es-EC"/>
              </w:rPr>
              <w:t>)</w:t>
            </w:r>
          </w:p>
        </w:tc>
        <w:tc>
          <w:tcPr>
            <w:tcW w:w="992" w:type="dxa"/>
            <w:vAlign w:val="center"/>
          </w:tcPr>
          <w:p w14:paraId="1A417A66"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2,23</w:t>
            </w:r>
          </w:p>
        </w:tc>
        <w:tc>
          <w:tcPr>
            <w:tcW w:w="851" w:type="dxa"/>
            <w:vAlign w:val="center"/>
          </w:tcPr>
          <w:p w14:paraId="5D0161C9"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1,24</w:t>
            </w:r>
          </w:p>
        </w:tc>
        <w:tc>
          <w:tcPr>
            <w:tcW w:w="850" w:type="dxa"/>
            <w:vAlign w:val="center"/>
          </w:tcPr>
          <w:p w14:paraId="191147D8"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1,93</w:t>
            </w:r>
          </w:p>
        </w:tc>
        <w:tc>
          <w:tcPr>
            <w:tcW w:w="992" w:type="dxa"/>
            <w:vAlign w:val="center"/>
          </w:tcPr>
          <w:p w14:paraId="46FDEB8E"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0,30</w:t>
            </w:r>
          </w:p>
        </w:tc>
        <w:tc>
          <w:tcPr>
            <w:tcW w:w="993" w:type="dxa"/>
            <w:vAlign w:val="center"/>
          </w:tcPr>
          <w:p w14:paraId="1642885F"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0,001*</w:t>
            </w:r>
          </w:p>
        </w:tc>
      </w:tr>
      <w:tr w:rsidR="00603BB4" w:rsidRPr="00603BB4" w14:paraId="7995A7B1" w14:textId="77777777" w:rsidTr="007077F6">
        <w:trPr>
          <w:trHeight w:val="454"/>
          <w:jc w:val="center"/>
        </w:trPr>
        <w:tc>
          <w:tcPr>
            <w:tcW w:w="2126" w:type="dxa"/>
            <w:vAlign w:val="center"/>
          </w:tcPr>
          <w:p w14:paraId="0456B3DF" w14:textId="77777777" w:rsidR="00603BB4" w:rsidRPr="00603BB4" w:rsidRDefault="00603BB4" w:rsidP="00603BB4">
            <w:pPr>
              <w:spacing w:line="360" w:lineRule="auto"/>
              <w:jc w:val="both"/>
              <w:rPr>
                <w:color w:val="FF0000"/>
                <w:sz w:val="18"/>
                <w:szCs w:val="18"/>
                <w:lang w:val="es-EC" w:eastAsia="es-EC"/>
              </w:rPr>
            </w:pPr>
            <w:r w:rsidRPr="00603BB4">
              <w:rPr>
                <w:sz w:val="18"/>
                <w:szCs w:val="18"/>
                <w:lang w:val="es-EC" w:eastAsia="es-EC"/>
              </w:rPr>
              <w:t xml:space="preserve">Colesterol (mg/ </w:t>
            </w:r>
            <w:proofErr w:type="spellStart"/>
            <w:r w:rsidRPr="00603BB4">
              <w:rPr>
                <w:sz w:val="18"/>
                <w:szCs w:val="18"/>
                <w:lang w:val="es-EC" w:eastAsia="es-EC"/>
              </w:rPr>
              <w:t>dL</w:t>
            </w:r>
            <w:proofErr w:type="spellEnd"/>
            <w:r w:rsidRPr="00603BB4">
              <w:rPr>
                <w:sz w:val="18"/>
                <w:szCs w:val="18"/>
                <w:lang w:val="es-EC" w:eastAsia="es-EC"/>
              </w:rPr>
              <w:t>)</w:t>
            </w:r>
          </w:p>
        </w:tc>
        <w:tc>
          <w:tcPr>
            <w:tcW w:w="992" w:type="dxa"/>
            <w:vAlign w:val="center"/>
          </w:tcPr>
          <w:p w14:paraId="0D3F1B3A"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232,4</w:t>
            </w:r>
          </w:p>
        </w:tc>
        <w:tc>
          <w:tcPr>
            <w:tcW w:w="851" w:type="dxa"/>
            <w:vAlign w:val="center"/>
          </w:tcPr>
          <w:p w14:paraId="49042FCD"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12,7</w:t>
            </w:r>
          </w:p>
        </w:tc>
        <w:tc>
          <w:tcPr>
            <w:tcW w:w="850" w:type="dxa"/>
            <w:vAlign w:val="center"/>
          </w:tcPr>
          <w:p w14:paraId="40AA99FF"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198,3</w:t>
            </w:r>
          </w:p>
        </w:tc>
        <w:tc>
          <w:tcPr>
            <w:tcW w:w="992" w:type="dxa"/>
            <w:vAlign w:val="center"/>
          </w:tcPr>
          <w:p w14:paraId="6BE2B343"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19,4</w:t>
            </w:r>
          </w:p>
        </w:tc>
        <w:tc>
          <w:tcPr>
            <w:tcW w:w="993" w:type="dxa"/>
            <w:vAlign w:val="center"/>
          </w:tcPr>
          <w:p w14:paraId="7303F332"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0,001*</w:t>
            </w:r>
          </w:p>
        </w:tc>
      </w:tr>
      <w:tr w:rsidR="00603BB4" w:rsidRPr="00603BB4" w14:paraId="75FDC875" w14:textId="77777777" w:rsidTr="007077F6">
        <w:trPr>
          <w:trHeight w:val="454"/>
          <w:jc w:val="center"/>
        </w:trPr>
        <w:tc>
          <w:tcPr>
            <w:tcW w:w="2126" w:type="dxa"/>
            <w:vAlign w:val="center"/>
          </w:tcPr>
          <w:p w14:paraId="7D4F2C1B" w14:textId="77777777" w:rsidR="00603BB4" w:rsidRPr="00603BB4" w:rsidRDefault="00603BB4" w:rsidP="00603BB4">
            <w:pPr>
              <w:spacing w:line="360" w:lineRule="auto"/>
              <w:jc w:val="both"/>
              <w:rPr>
                <w:sz w:val="18"/>
                <w:szCs w:val="18"/>
                <w:lang w:val="es-EC" w:eastAsia="es-EC"/>
              </w:rPr>
            </w:pPr>
            <w:r w:rsidRPr="00603BB4">
              <w:rPr>
                <w:sz w:val="18"/>
                <w:szCs w:val="18"/>
                <w:lang w:val="es-EC" w:eastAsia="es-EC"/>
              </w:rPr>
              <w:t>Ácido úrico (µU/ mL)</w:t>
            </w:r>
          </w:p>
        </w:tc>
        <w:tc>
          <w:tcPr>
            <w:tcW w:w="992" w:type="dxa"/>
            <w:vAlign w:val="center"/>
          </w:tcPr>
          <w:p w14:paraId="615BFCEB"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279</w:t>
            </w:r>
          </w:p>
        </w:tc>
        <w:tc>
          <w:tcPr>
            <w:tcW w:w="851" w:type="dxa"/>
            <w:vAlign w:val="center"/>
          </w:tcPr>
          <w:p w14:paraId="2102BFFB"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101</w:t>
            </w:r>
          </w:p>
        </w:tc>
        <w:tc>
          <w:tcPr>
            <w:tcW w:w="850" w:type="dxa"/>
            <w:vAlign w:val="center"/>
          </w:tcPr>
          <w:p w14:paraId="018BB649"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265,4</w:t>
            </w:r>
          </w:p>
        </w:tc>
        <w:tc>
          <w:tcPr>
            <w:tcW w:w="992" w:type="dxa"/>
            <w:vAlign w:val="center"/>
          </w:tcPr>
          <w:p w14:paraId="67DCC78A"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100</w:t>
            </w:r>
          </w:p>
        </w:tc>
        <w:tc>
          <w:tcPr>
            <w:tcW w:w="993" w:type="dxa"/>
            <w:vAlign w:val="center"/>
          </w:tcPr>
          <w:p w14:paraId="1BDFDBBE"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0,554</w:t>
            </w:r>
          </w:p>
        </w:tc>
      </w:tr>
      <w:tr w:rsidR="00603BB4" w:rsidRPr="00603BB4" w14:paraId="169B2D83" w14:textId="77777777" w:rsidTr="007077F6">
        <w:trPr>
          <w:trHeight w:val="454"/>
          <w:jc w:val="center"/>
        </w:trPr>
        <w:tc>
          <w:tcPr>
            <w:tcW w:w="2126" w:type="dxa"/>
            <w:vAlign w:val="center"/>
          </w:tcPr>
          <w:p w14:paraId="240038CD" w14:textId="77777777" w:rsidR="00603BB4" w:rsidRPr="00603BB4" w:rsidRDefault="00603BB4" w:rsidP="00603BB4">
            <w:pPr>
              <w:spacing w:line="360" w:lineRule="auto"/>
              <w:jc w:val="both"/>
              <w:rPr>
                <w:sz w:val="18"/>
                <w:szCs w:val="18"/>
                <w:lang w:val="es-EC" w:eastAsia="es-EC"/>
              </w:rPr>
            </w:pPr>
            <w:proofErr w:type="spellStart"/>
            <w:r w:rsidRPr="00603BB4">
              <w:rPr>
                <w:sz w:val="18"/>
                <w:szCs w:val="18"/>
                <w:lang w:val="es-EC" w:eastAsia="es-EC"/>
              </w:rPr>
              <w:t>HOMA</w:t>
            </w:r>
            <w:proofErr w:type="spellEnd"/>
            <w:r w:rsidRPr="00603BB4">
              <w:rPr>
                <w:sz w:val="18"/>
                <w:szCs w:val="18"/>
                <w:lang w:val="es-EC" w:eastAsia="es-EC"/>
              </w:rPr>
              <w:t xml:space="preserve"> (</w:t>
            </w:r>
            <w:proofErr w:type="spellStart"/>
            <w:r w:rsidRPr="00603BB4">
              <w:rPr>
                <w:sz w:val="18"/>
                <w:szCs w:val="18"/>
                <w:lang w:val="es-EC" w:eastAsia="es-EC"/>
              </w:rPr>
              <w:t>mU</w:t>
            </w:r>
            <w:proofErr w:type="spellEnd"/>
            <w:r w:rsidRPr="00603BB4">
              <w:rPr>
                <w:sz w:val="18"/>
                <w:szCs w:val="18"/>
                <w:lang w:val="es-EC" w:eastAsia="es-EC"/>
              </w:rPr>
              <w:t>/ mL)</w:t>
            </w:r>
          </w:p>
        </w:tc>
        <w:tc>
          <w:tcPr>
            <w:tcW w:w="992" w:type="dxa"/>
            <w:vAlign w:val="center"/>
          </w:tcPr>
          <w:p w14:paraId="378FD389"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4,22</w:t>
            </w:r>
          </w:p>
        </w:tc>
        <w:tc>
          <w:tcPr>
            <w:tcW w:w="851" w:type="dxa"/>
            <w:vAlign w:val="center"/>
          </w:tcPr>
          <w:p w14:paraId="23B2F80D"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1,4</w:t>
            </w:r>
          </w:p>
        </w:tc>
        <w:tc>
          <w:tcPr>
            <w:tcW w:w="850" w:type="dxa"/>
            <w:vAlign w:val="center"/>
          </w:tcPr>
          <w:p w14:paraId="23E2D6ED"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1,90</w:t>
            </w:r>
          </w:p>
        </w:tc>
        <w:tc>
          <w:tcPr>
            <w:tcW w:w="992" w:type="dxa"/>
            <w:vAlign w:val="center"/>
          </w:tcPr>
          <w:p w14:paraId="505C1185"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0,5</w:t>
            </w:r>
          </w:p>
        </w:tc>
        <w:tc>
          <w:tcPr>
            <w:tcW w:w="993" w:type="dxa"/>
            <w:vAlign w:val="center"/>
          </w:tcPr>
          <w:p w14:paraId="771909D5" w14:textId="77777777" w:rsidR="00603BB4" w:rsidRPr="00603BB4" w:rsidRDefault="00603BB4" w:rsidP="00603BB4">
            <w:pPr>
              <w:spacing w:line="360" w:lineRule="auto"/>
              <w:jc w:val="center"/>
              <w:rPr>
                <w:sz w:val="18"/>
                <w:szCs w:val="18"/>
                <w:lang w:val="es-EC" w:eastAsia="es-EC"/>
              </w:rPr>
            </w:pPr>
            <w:r w:rsidRPr="00603BB4">
              <w:rPr>
                <w:sz w:val="18"/>
                <w:szCs w:val="18"/>
                <w:lang w:val="es-EC" w:eastAsia="es-EC"/>
              </w:rPr>
              <w:t>&lt;0,001*</w:t>
            </w:r>
          </w:p>
        </w:tc>
      </w:tr>
    </w:tbl>
    <w:p w14:paraId="5A2DBB40" w14:textId="77777777" w:rsidR="00603BB4" w:rsidRPr="00603BB4" w:rsidRDefault="00603BB4" w:rsidP="00603BB4">
      <w:pPr>
        <w:spacing w:line="360" w:lineRule="auto"/>
        <w:jc w:val="center"/>
        <w:rPr>
          <w:iCs/>
          <w:sz w:val="16"/>
          <w:szCs w:val="16"/>
          <w:lang w:val="es-EC" w:eastAsia="es-EC"/>
        </w:rPr>
      </w:pPr>
      <w:r w:rsidRPr="00603BB4">
        <w:rPr>
          <w:iCs/>
          <w:sz w:val="16"/>
          <w:szCs w:val="16"/>
          <w:lang w:val="es-EC" w:eastAsia="es-EC"/>
        </w:rPr>
        <w:t>*p&lt; 0,05 (estadísticamente significativo).</w:t>
      </w:r>
    </w:p>
    <w:p w14:paraId="27757D17" w14:textId="77777777" w:rsidR="00603BB4" w:rsidRPr="00603BB4" w:rsidRDefault="00603BB4" w:rsidP="00603BB4">
      <w:pPr>
        <w:spacing w:line="360" w:lineRule="auto"/>
        <w:jc w:val="center"/>
        <w:rPr>
          <w:iCs/>
          <w:sz w:val="16"/>
          <w:szCs w:val="16"/>
          <w:lang w:val="es-EC" w:eastAsia="es-EC"/>
        </w:rPr>
      </w:pPr>
      <w:r w:rsidRPr="00603BB4">
        <w:rPr>
          <w:iCs/>
          <w:sz w:val="16"/>
          <w:szCs w:val="16"/>
          <w:lang w:val="es-EC" w:eastAsia="es-EC"/>
        </w:rPr>
        <w:t xml:space="preserve">DE: desviación estándar; </w:t>
      </w:r>
      <w:proofErr w:type="spellStart"/>
      <w:r w:rsidRPr="00603BB4">
        <w:rPr>
          <w:iCs/>
          <w:sz w:val="16"/>
          <w:szCs w:val="16"/>
          <w:lang w:val="es-EC" w:eastAsia="es-EC"/>
        </w:rPr>
        <w:t>HOMA</w:t>
      </w:r>
      <w:proofErr w:type="spellEnd"/>
      <w:r w:rsidRPr="00603BB4">
        <w:rPr>
          <w:iCs/>
          <w:sz w:val="16"/>
          <w:szCs w:val="16"/>
          <w:lang w:val="es-EC" w:eastAsia="es-EC"/>
        </w:rPr>
        <w:t xml:space="preserve">: </w:t>
      </w:r>
      <w:proofErr w:type="spellStart"/>
      <w:r w:rsidRPr="00603BB4">
        <w:rPr>
          <w:i/>
          <w:sz w:val="16"/>
          <w:szCs w:val="16"/>
          <w:lang w:val="es-EC" w:eastAsia="es-EC"/>
        </w:rPr>
        <w:t>Homeostatic</w:t>
      </w:r>
      <w:proofErr w:type="spellEnd"/>
      <w:r w:rsidRPr="00603BB4">
        <w:rPr>
          <w:i/>
          <w:sz w:val="16"/>
          <w:szCs w:val="16"/>
          <w:lang w:val="es-EC" w:eastAsia="es-EC"/>
        </w:rPr>
        <w:t xml:space="preserve"> </w:t>
      </w:r>
      <w:proofErr w:type="spellStart"/>
      <w:r w:rsidRPr="00603BB4">
        <w:rPr>
          <w:i/>
          <w:sz w:val="16"/>
          <w:szCs w:val="16"/>
          <w:lang w:val="es-EC" w:eastAsia="es-EC"/>
        </w:rPr>
        <w:t>Model</w:t>
      </w:r>
      <w:proofErr w:type="spellEnd"/>
      <w:r w:rsidRPr="00603BB4">
        <w:rPr>
          <w:i/>
          <w:sz w:val="16"/>
          <w:szCs w:val="16"/>
          <w:lang w:val="es-EC" w:eastAsia="es-EC"/>
        </w:rPr>
        <w:t xml:space="preserve"> </w:t>
      </w:r>
      <w:proofErr w:type="spellStart"/>
      <w:r w:rsidRPr="00603BB4">
        <w:rPr>
          <w:i/>
          <w:sz w:val="16"/>
          <w:szCs w:val="16"/>
          <w:lang w:val="es-EC" w:eastAsia="es-EC"/>
        </w:rPr>
        <w:t>Assessment</w:t>
      </w:r>
      <w:proofErr w:type="spellEnd"/>
      <w:r w:rsidRPr="00603BB4">
        <w:rPr>
          <w:i/>
          <w:sz w:val="16"/>
          <w:szCs w:val="16"/>
          <w:lang w:val="es-EC" w:eastAsia="es-EC"/>
        </w:rPr>
        <w:t>.</w:t>
      </w:r>
      <w:r w:rsidRPr="00603BB4">
        <w:rPr>
          <w:iCs/>
          <w:sz w:val="16"/>
          <w:szCs w:val="16"/>
          <w:lang w:val="es-EC" w:eastAsia="es-EC"/>
        </w:rPr>
        <w:t xml:space="preserve"> </w:t>
      </w:r>
    </w:p>
    <w:p w14:paraId="614C91FA" w14:textId="77777777" w:rsidR="00603BB4" w:rsidRPr="00603BB4" w:rsidRDefault="00603BB4" w:rsidP="00603BB4">
      <w:pPr>
        <w:spacing w:line="360" w:lineRule="auto"/>
        <w:jc w:val="center"/>
        <w:rPr>
          <w:i/>
          <w:lang w:val="es-EC" w:eastAsia="es-EC"/>
        </w:rPr>
      </w:pPr>
    </w:p>
    <w:p w14:paraId="51890D9E" w14:textId="77777777" w:rsidR="00603BB4" w:rsidRPr="00603BB4" w:rsidRDefault="00603BB4" w:rsidP="00603BB4">
      <w:pPr>
        <w:spacing w:line="360" w:lineRule="auto"/>
        <w:ind w:left="6"/>
        <w:jc w:val="both"/>
        <w:rPr>
          <w:lang w:val="es-EC" w:eastAsia="es-EC"/>
        </w:rPr>
      </w:pPr>
    </w:p>
    <w:p w14:paraId="30CFF317" w14:textId="77777777" w:rsidR="00603BB4" w:rsidRPr="00603BB4" w:rsidRDefault="00603BB4" w:rsidP="00603BB4">
      <w:pPr>
        <w:spacing w:line="360" w:lineRule="auto"/>
        <w:jc w:val="center"/>
        <w:rPr>
          <w:b/>
          <w:bCs/>
          <w:iCs/>
          <w:sz w:val="32"/>
          <w:szCs w:val="32"/>
          <w:lang w:val="es-EC" w:eastAsia="es-EC"/>
        </w:rPr>
      </w:pPr>
      <w:r w:rsidRPr="00603BB4">
        <w:rPr>
          <w:b/>
          <w:bCs/>
          <w:iCs/>
          <w:sz w:val="32"/>
          <w:szCs w:val="32"/>
          <w:lang w:val="es-EC" w:eastAsia="es-EC"/>
        </w:rPr>
        <w:t>DISCUSIÓN</w:t>
      </w:r>
    </w:p>
    <w:p w14:paraId="34AD9644"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Las mujeres predominaron en la serie, lo cual coincide con la guía práctica de la medicina de la obesidad del año </w:t>
      </w:r>
      <w:proofErr w:type="gramStart"/>
      <w:r w:rsidRPr="00603BB4">
        <w:rPr>
          <w:lang w:val="es-EC" w:eastAsia="es-EC"/>
        </w:rPr>
        <w:t>2019.</w:t>
      </w:r>
      <w:r w:rsidRPr="00603BB4">
        <w:rPr>
          <w:vertAlign w:val="superscript"/>
          <w:lang w:val="es-EC" w:eastAsia="es-EC"/>
        </w:rPr>
        <w:t>(</w:t>
      </w:r>
      <w:proofErr w:type="gramEnd"/>
      <w:r w:rsidRPr="00603BB4">
        <w:rPr>
          <w:vertAlign w:val="superscript"/>
          <w:lang w:val="es-EC" w:eastAsia="es-EC"/>
        </w:rPr>
        <w:t>14,15,16,17)</w:t>
      </w:r>
      <w:r w:rsidRPr="00603BB4">
        <w:rPr>
          <w:lang w:val="es-EC" w:eastAsia="es-EC"/>
        </w:rPr>
        <w:t xml:space="preserve"> Se refiere a la incidencia en relación con el sexo, que varía con la edad, de tal modo que antes de los 40 años dicha relación es de 3:1 a favor de la mujer; sin embargo, después de los 40 años de edad es tan frecuente en el sexo masculino como en el femenino.</w:t>
      </w:r>
      <w:r w:rsidRPr="00603BB4">
        <w:rPr>
          <w:vertAlign w:val="superscript"/>
          <w:lang w:val="es-EC" w:eastAsia="es-EC"/>
        </w:rPr>
        <w:t xml:space="preserve"> </w:t>
      </w:r>
    </w:p>
    <w:p w14:paraId="026A918A" w14:textId="77777777" w:rsidR="00603BB4" w:rsidRPr="00603BB4" w:rsidRDefault="00603BB4" w:rsidP="00603BB4">
      <w:pPr>
        <w:spacing w:line="360" w:lineRule="auto"/>
        <w:jc w:val="both"/>
        <w:rPr>
          <w:vertAlign w:val="superscript"/>
          <w:lang w:val="es-EC" w:eastAsia="es-EC"/>
        </w:rPr>
      </w:pPr>
      <w:r w:rsidRPr="00603BB4">
        <w:rPr>
          <w:lang w:val="es-EC" w:eastAsia="es-EC"/>
        </w:rPr>
        <w:t>La obesidad varía tanto para la edad, como para el sexo (</w:t>
      </w:r>
      <w:proofErr w:type="spellStart"/>
      <w:r w:rsidRPr="00603BB4">
        <w:rPr>
          <w:lang w:val="es-EC" w:eastAsia="es-EC"/>
        </w:rPr>
        <w:t>tabla1</w:t>
      </w:r>
      <w:proofErr w:type="spellEnd"/>
      <w:r w:rsidRPr="00603BB4">
        <w:rPr>
          <w:lang w:val="es-EC" w:eastAsia="es-EC"/>
        </w:rPr>
        <w:t>). En el informe la UNICEF de Estrategias del gobierno de 1992-</w:t>
      </w:r>
      <w:proofErr w:type="gramStart"/>
      <w:r w:rsidRPr="00603BB4">
        <w:rPr>
          <w:lang w:val="es-EC" w:eastAsia="es-EC"/>
        </w:rPr>
        <w:t>2020,</w:t>
      </w:r>
      <w:r w:rsidRPr="00603BB4">
        <w:rPr>
          <w:vertAlign w:val="superscript"/>
          <w:lang w:val="es-EC" w:eastAsia="es-EC"/>
        </w:rPr>
        <w:t>(</w:t>
      </w:r>
      <w:proofErr w:type="gramEnd"/>
      <w:r w:rsidRPr="00603BB4">
        <w:rPr>
          <w:vertAlign w:val="superscript"/>
          <w:lang w:val="es-EC" w:eastAsia="es-EC"/>
        </w:rPr>
        <w:t xml:space="preserve">7) </w:t>
      </w:r>
      <w:r w:rsidRPr="00603BB4">
        <w:rPr>
          <w:lang w:val="es-EC" w:eastAsia="es-EC"/>
        </w:rPr>
        <w:t xml:space="preserve">la prevalencia de sobrepeso y la obesidad varió por edad, con altas tasas en grupos de edad avanzada. En la encuesta de bienestar y salud social de Pernambuco, </w:t>
      </w:r>
      <w:proofErr w:type="gramStart"/>
      <w:r w:rsidRPr="00603BB4">
        <w:rPr>
          <w:lang w:val="es-EC" w:eastAsia="es-EC"/>
        </w:rPr>
        <w:t>Brasil,</w:t>
      </w:r>
      <w:r w:rsidRPr="00603BB4">
        <w:rPr>
          <w:vertAlign w:val="superscript"/>
          <w:lang w:val="es-EC" w:eastAsia="es-EC"/>
        </w:rPr>
        <w:t>(</w:t>
      </w:r>
      <w:proofErr w:type="gramEnd"/>
      <w:r w:rsidRPr="00603BB4">
        <w:rPr>
          <w:vertAlign w:val="superscript"/>
          <w:lang w:val="es-EC" w:eastAsia="es-EC"/>
        </w:rPr>
        <w:t>18)</w:t>
      </w:r>
      <w:r w:rsidRPr="00603BB4">
        <w:rPr>
          <w:lang w:val="es-EC" w:eastAsia="es-EC"/>
        </w:rPr>
        <w:t xml:space="preserve"> la obesidad (IMC&gt; 30 kg/</w:t>
      </w:r>
      <w:proofErr w:type="spellStart"/>
      <w:r w:rsidRPr="00603BB4">
        <w:rPr>
          <w:lang w:val="es-EC" w:eastAsia="es-EC"/>
        </w:rPr>
        <w:t>m</w:t>
      </w:r>
      <w:r w:rsidRPr="00603BB4">
        <w:rPr>
          <w:vertAlign w:val="superscript"/>
          <w:lang w:val="es-EC" w:eastAsia="es-EC"/>
        </w:rPr>
        <w:t>2</w:t>
      </w:r>
      <w:proofErr w:type="spellEnd"/>
      <w:r w:rsidRPr="00603BB4">
        <w:rPr>
          <w:lang w:val="es-EC" w:eastAsia="es-EC"/>
        </w:rPr>
        <w:t>) fue más frecuente entre los de 35 y 64 años de edad.</w:t>
      </w:r>
      <w:r w:rsidRPr="00603BB4">
        <w:rPr>
          <w:vertAlign w:val="superscript"/>
          <w:lang w:val="es-EC" w:eastAsia="es-EC"/>
        </w:rPr>
        <w:t xml:space="preserve"> </w:t>
      </w:r>
    </w:p>
    <w:p w14:paraId="4D5DFEA6"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En la casuística, predominó el grupo de 51 a 60 años, lo cual supera ligeramente los resultados encontrados en los estudios </w:t>
      </w:r>
      <w:proofErr w:type="gramStart"/>
      <w:r w:rsidRPr="00603BB4">
        <w:rPr>
          <w:lang w:val="es-EC" w:eastAsia="es-EC"/>
        </w:rPr>
        <w:t>revisados,</w:t>
      </w:r>
      <w:r w:rsidRPr="00603BB4">
        <w:rPr>
          <w:vertAlign w:val="superscript"/>
          <w:lang w:val="es-EC" w:eastAsia="es-EC"/>
        </w:rPr>
        <w:t>(</w:t>
      </w:r>
      <w:proofErr w:type="gramEnd"/>
      <w:r w:rsidRPr="00603BB4">
        <w:rPr>
          <w:vertAlign w:val="superscript"/>
          <w:lang w:val="es-EC" w:eastAsia="es-EC"/>
        </w:rPr>
        <w:t>1,3,18)</w:t>
      </w:r>
      <w:r w:rsidRPr="00603BB4">
        <w:rPr>
          <w:lang w:val="es-EC" w:eastAsia="es-EC"/>
        </w:rPr>
        <w:t xml:space="preserve"> en los que se plantea que la obesidad constituye, por su frecuencia, una entidad clínica muy importante que se encuentra difundida en todas las áreas geográficas y puede aparecer a cualquier edad, aunque es más frecuente en la cuarta y quinta décadas de la vida.</w:t>
      </w:r>
      <w:r w:rsidRPr="00603BB4">
        <w:rPr>
          <w:vertAlign w:val="superscript"/>
          <w:lang w:val="es-EC" w:eastAsia="es-EC"/>
        </w:rPr>
        <w:t xml:space="preserve"> </w:t>
      </w:r>
    </w:p>
    <w:p w14:paraId="29FF03E5" w14:textId="77777777" w:rsidR="00603BB4" w:rsidRPr="00603BB4" w:rsidRDefault="00603BB4" w:rsidP="00603BB4">
      <w:pPr>
        <w:spacing w:line="360" w:lineRule="auto"/>
        <w:jc w:val="both"/>
        <w:rPr>
          <w:lang w:val="es-EC" w:eastAsia="es-EC"/>
        </w:rPr>
      </w:pPr>
      <w:r w:rsidRPr="00603BB4">
        <w:rPr>
          <w:lang w:val="es-EC" w:eastAsia="es-EC"/>
        </w:rPr>
        <w:lastRenderedPageBreak/>
        <w:t xml:space="preserve">Los resultados encontrados en el estudio fueron significativos el peso y el IMC a los 3 meses de la intervención. Aunque no era el objetivo a alcanzar el rango de </w:t>
      </w:r>
      <w:proofErr w:type="spellStart"/>
      <w:r w:rsidRPr="00603BB4">
        <w:rPr>
          <w:lang w:val="es-EC" w:eastAsia="es-EC"/>
        </w:rPr>
        <w:t>normopeso</w:t>
      </w:r>
      <w:proofErr w:type="spellEnd"/>
      <w:r w:rsidRPr="00603BB4">
        <w:rPr>
          <w:lang w:val="es-EC" w:eastAsia="es-EC"/>
        </w:rPr>
        <w:t xml:space="preserve"> según la Organización Mundial de la Salud (OMS</w:t>
      </w:r>
      <w:proofErr w:type="gramStart"/>
      <w:r w:rsidRPr="00603BB4">
        <w:rPr>
          <w:lang w:val="es-EC" w:eastAsia="es-EC"/>
        </w:rPr>
        <w:t>)</w:t>
      </w:r>
      <w:r w:rsidRPr="00603BB4">
        <w:rPr>
          <w:vertAlign w:val="superscript"/>
          <w:lang w:val="es-EC" w:eastAsia="es-EC"/>
        </w:rPr>
        <w:t>(</w:t>
      </w:r>
      <w:proofErr w:type="gramEnd"/>
      <w:r w:rsidRPr="00603BB4">
        <w:rPr>
          <w:vertAlign w:val="superscript"/>
          <w:lang w:val="es-EC" w:eastAsia="es-EC"/>
        </w:rPr>
        <w:t>10)</w:t>
      </w:r>
      <w:r w:rsidRPr="00603BB4">
        <w:rPr>
          <w:lang w:val="es-EC" w:eastAsia="es-EC"/>
        </w:rPr>
        <w:t xml:space="preserve"> a un índice de 24 kg/</w:t>
      </w:r>
      <w:proofErr w:type="spellStart"/>
      <w:r w:rsidRPr="00603BB4">
        <w:rPr>
          <w:lang w:val="es-EC" w:eastAsia="es-EC"/>
        </w:rPr>
        <w:t>m</w:t>
      </w:r>
      <w:r w:rsidRPr="00603BB4">
        <w:rPr>
          <w:vertAlign w:val="superscript"/>
          <w:lang w:val="es-EC" w:eastAsia="es-EC"/>
        </w:rPr>
        <w:t>2</w:t>
      </w:r>
      <w:proofErr w:type="spellEnd"/>
      <w:r w:rsidRPr="00603BB4">
        <w:rPr>
          <w:lang w:val="es-EC" w:eastAsia="es-EC"/>
        </w:rPr>
        <w:t>, los pacientes alcanzaron   la clasificación de Obeso grado II y III.</w:t>
      </w:r>
      <w:r w:rsidRPr="00603BB4">
        <w:rPr>
          <w:vertAlign w:val="superscript"/>
          <w:lang w:val="es-EC" w:eastAsia="es-EC"/>
        </w:rPr>
        <w:t>(5)</w:t>
      </w:r>
    </w:p>
    <w:p w14:paraId="37452DA7"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La circunferencia abdominal y braquial es una medida antropométrica de importancia. Sus usos son múltiples y efectivos en la valoración tanto de condiciones de desnutrición como de exceso de peso. La simplicidad en su medición y el mínimo coste de su realización la hacen de amplia aplicabilidad en medicina asistencial. El IMC es un reconocido parámetro para la clasificación nutricional de los pacientes, extendido ampliamente su uso a todos los niveles de la práctica médica. Estas mejoraron, aunque no fue significativo porque se necesita un mayor tiempo para alcanzar una evolución más satisfactoria en los </w:t>
      </w:r>
      <w:proofErr w:type="gramStart"/>
      <w:r w:rsidRPr="00603BB4">
        <w:rPr>
          <w:lang w:val="es-EC" w:eastAsia="es-EC"/>
        </w:rPr>
        <w:t>pacientes.</w:t>
      </w:r>
      <w:r w:rsidRPr="00603BB4">
        <w:rPr>
          <w:vertAlign w:val="superscript"/>
          <w:lang w:val="es-EC" w:eastAsia="es-EC"/>
        </w:rPr>
        <w:t>(</w:t>
      </w:r>
      <w:proofErr w:type="gramEnd"/>
      <w:r w:rsidRPr="00603BB4">
        <w:rPr>
          <w:vertAlign w:val="superscript"/>
          <w:lang w:val="es-EC" w:eastAsia="es-EC"/>
        </w:rPr>
        <w:t>5,10,13)</w:t>
      </w:r>
    </w:p>
    <w:p w14:paraId="73F521C0" w14:textId="77777777" w:rsidR="00603BB4" w:rsidRPr="00603BB4" w:rsidRDefault="00603BB4" w:rsidP="00603BB4">
      <w:pPr>
        <w:spacing w:line="360" w:lineRule="auto"/>
        <w:jc w:val="both"/>
        <w:rPr>
          <w:lang w:val="es-EC" w:eastAsia="es-EC"/>
        </w:rPr>
      </w:pPr>
      <w:r w:rsidRPr="00603BB4">
        <w:rPr>
          <w:lang w:val="es-EC" w:eastAsia="es-EC"/>
        </w:rPr>
        <w:t xml:space="preserve">La tensión arterial es un parámetro de gran valor para prevenir el riesgo cardiovascular. Por cada kilogramo de peso corporal perdido disminuye a 5 mmHg. Fue significativa la disminución de sus niveles en los pacientes con obesidad; se logró normalizar sus cifras (tabla 2). Cuando se emplea la dieta de 1500 kcal, el ejercicio físico y el uso de la metformina (1 g/día) se tiene estos efectos positivos en la pérdida de peso. La gran mayoría de los estudios más reconocidos, dirigidos a pacientes diabéticos son: el </w:t>
      </w:r>
      <w:r w:rsidRPr="00603BB4">
        <w:rPr>
          <w:i/>
          <w:iCs/>
          <w:lang w:val="es-EC" w:eastAsia="es-EC"/>
        </w:rPr>
        <w:t xml:space="preserve">Diabetes </w:t>
      </w:r>
      <w:proofErr w:type="spellStart"/>
      <w:r w:rsidRPr="00603BB4">
        <w:rPr>
          <w:i/>
          <w:iCs/>
          <w:lang w:val="es-EC" w:eastAsia="es-EC"/>
        </w:rPr>
        <w:t>Prevention</w:t>
      </w:r>
      <w:proofErr w:type="spellEnd"/>
      <w:r w:rsidRPr="00603BB4">
        <w:rPr>
          <w:i/>
          <w:iCs/>
          <w:lang w:val="es-EC" w:eastAsia="es-EC"/>
        </w:rPr>
        <w:t xml:space="preserve"> </w:t>
      </w:r>
      <w:proofErr w:type="spellStart"/>
      <w:r w:rsidRPr="00603BB4">
        <w:rPr>
          <w:i/>
          <w:iCs/>
          <w:lang w:val="es-EC" w:eastAsia="es-EC"/>
        </w:rPr>
        <w:t>Program</w:t>
      </w:r>
      <w:proofErr w:type="spellEnd"/>
      <w:r w:rsidRPr="00603BB4">
        <w:rPr>
          <w:lang w:val="es-EC" w:eastAsia="es-EC"/>
        </w:rPr>
        <w:t xml:space="preserve"> (</w:t>
      </w:r>
      <w:proofErr w:type="spellStart"/>
      <w:r w:rsidRPr="00603BB4">
        <w:rPr>
          <w:lang w:val="es-EC" w:eastAsia="es-EC"/>
        </w:rPr>
        <w:t>DPP</w:t>
      </w:r>
      <w:proofErr w:type="spellEnd"/>
      <w:r w:rsidRPr="00603BB4">
        <w:rPr>
          <w:lang w:val="es-EC" w:eastAsia="es-EC"/>
        </w:rPr>
        <w:t xml:space="preserve">) y el estudio </w:t>
      </w:r>
      <w:proofErr w:type="spellStart"/>
      <w:r w:rsidRPr="00603BB4">
        <w:rPr>
          <w:i/>
          <w:iCs/>
          <w:lang w:val="es-EC" w:eastAsia="es-EC"/>
        </w:rPr>
        <w:t>Action</w:t>
      </w:r>
      <w:proofErr w:type="spellEnd"/>
      <w:r w:rsidRPr="00603BB4">
        <w:rPr>
          <w:i/>
          <w:iCs/>
          <w:lang w:val="es-EC" w:eastAsia="es-EC"/>
        </w:rPr>
        <w:t xml:space="preserve"> </w:t>
      </w:r>
      <w:proofErr w:type="spellStart"/>
      <w:r w:rsidRPr="00603BB4">
        <w:rPr>
          <w:i/>
          <w:iCs/>
          <w:lang w:val="es-EC" w:eastAsia="es-EC"/>
        </w:rPr>
        <w:t>for</w:t>
      </w:r>
      <w:proofErr w:type="spellEnd"/>
      <w:r w:rsidRPr="00603BB4">
        <w:rPr>
          <w:i/>
          <w:iCs/>
          <w:lang w:val="es-EC" w:eastAsia="es-EC"/>
        </w:rPr>
        <w:t xml:space="preserve"> </w:t>
      </w:r>
      <w:proofErr w:type="spellStart"/>
      <w:r w:rsidRPr="00603BB4">
        <w:rPr>
          <w:i/>
          <w:iCs/>
          <w:lang w:val="es-EC" w:eastAsia="es-EC"/>
        </w:rPr>
        <w:t>Health</w:t>
      </w:r>
      <w:proofErr w:type="spellEnd"/>
      <w:r w:rsidRPr="00603BB4">
        <w:rPr>
          <w:i/>
          <w:iCs/>
          <w:lang w:val="es-EC" w:eastAsia="es-EC"/>
        </w:rPr>
        <w:t xml:space="preserve"> in Diabetes</w:t>
      </w:r>
      <w:r w:rsidRPr="00603BB4">
        <w:rPr>
          <w:lang w:val="es-EC" w:eastAsia="es-EC"/>
        </w:rPr>
        <w:t xml:space="preserve"> (LOOK </w:t>
      </w:r>
      <w:proofErr w:type="spellStart"/>
      <w:r w:rsidRPr="00603BB4">
        <w:rPr>
          <w:lang w:val="es-EC" w:eastAsia="es-EC"/>
        </w:rPr>
        <w:t>AHEAD</w:t>
      </w:r>
      <w:proofErr w:type="spellEnd"/>
      <w:r w:rsidRPr="00603BB4">
        <w:rPr>
          <w:lang w:val="es-EC" w:eastAsia="es-EC"/>
        </w:rPr>
        <w:t xml:space="preserve">), demuestran la reducción de peso y el IMC, además de mejorar el perfil metabólico. En general, observaron que los mejores resultados se alcanzan cuanto mayor es la reducción de estos parámetros. Del mismo modo, </w:t>
      </w:r>
      <w:r w:rsidRPr="00603BB4">
        <w:rPr>
          <w:i/>
          <w:iCs/>
          <w:lang w:val="es-EC" w:eastAsia="es-EC"/>
        </w:rPr>
        <w:t xml:space="preserve">Hidalgo Villareal </w:t>
      </w:r>
      <w:r w:rsidRPr="00603BB4">
        <w:rPr>
          <w:lang w:val="es-EC" w:eastAsia="es-EC"/>
        </w:rPr>
        <w:t xml:space="preserve">y </w:t>
      </w:r>
      <w:proofErr w:type="gramStart"/>
      <w:r w:rsidRPr="00603BB4">
        <w:rPr>
          <w:lang w:val="es-EC" w:eastAsia="es-EC"/>
        </w:rPr>
        <w:t>otros</w:t>
      </w:r>
      <w:r w:rsidRPr="00603BB4">
        <w:rPr>
          <w:vertAlign w:val="superscript"/>
          <w:lang w:val="es-EC" w:eastAsia="es-EC"/>
        </w:rPr>
        <w:t>(</w:t>
      </w:r>
      <w:proofErr w:type="gramEnd"/>
      <w:r w:rsidRPr="00603BB4">
        <w:rPr>
          <w:vertAlign w:val="superscript"/>
          <w:lang w:val="es-EC" w:eastAsia="es-EC"/>
        </w:rPr>
        <w:t xml:space="preserve">19) </w:t>
      </w:r>
      <w:r w:rsidRPr="00603BB4">
        <w:rPr>
          <w:lang w:val="es-EC" w:eastAsia="es-EC"/>
        </w:rPr>
        <w:t>y</w:t>
      </w:r>
      <w:r w:rsidRPr="00603BB4">
        <w:rPr>
          <w:i/>
          <w:vertAlign w:val="superscript"/>
          <w:lang w:val="es-EC" w:eastAsia="es-EC"/>
        </w:rPr>
        <w:t xml:space="preserve"> </w:t>
      </w:r>
      <w:r w:rsidRPr="00603BB4">
        <w:rPr>
          <w:i/>
          <w:lang w:val="es-EC" w:eastAsia="es-EC"/>
        </w:rPr>
        <w:t xml:space="preserve">Oliveira </w:t>
      </w:r>
      <w:proofErr w:type="spellStart"/>
      <w:r w:rsidRPr="00603BB4">
        <w:rPr>
          <w:i/>
          <w:lang w:val="es-EC" w:eastAsia="es-EC"/>
        </w:rPr>
        <w:t>Siqueira</w:t>
      </w:r>
      <w:proofErr w:type="spellEnd"/>
      <w:r w:rsidRPr="00603BB4">
        <w:rPr>
          <w:iCs/>
          <w:lang w:val="es-EC" w:eastAsia="es-EC"/>
        </w:rPr>
        <w:t xml:space="preserve"> y otros</w:t>
      </w:r>
      <w:r w:rsidRPr="00603BB4">
        <w:rPr>
          <w:iCs/>
          <w:vertAlign w:val="superscript"/>
          <w:lang w:val="es-EC" w:eastAsia="es-EC"/>
        </w:rPr>
        <w:t>(</w:t>
      </w:r>
      <w:r w:rsidRPr="00603BB4">
        <w:rPr>
          <w:vertAlign w:val="superscript"/>
          <w:lang w:val="es-EC" w:eastAsia="es-EC"/>
        </w:rPr>
        <w:t xml:space="preserve">20) </w:t>
      </w:r>
      <w:r w:rsidRPr="00603BB4">
        <w:rPr>
          <w:lang w:val="es-EC" w:eastAsia="es-EC"/>
        </w:rPr>
        <w:t xml:space="preserve">muestran reducción del peso y el índice de masa corporal y tendencia a mejorar el perfil metabólico con su consumo; además, esta pérdida es limitada para reducir la obesidad. El estudio que realizaron </w:t>
      </w:r>
      <w:r w:rsidRPr="00603BB4">
        <w:rPr>
          <w:i/>
          <w:lang w:val="es-EC" w:eastAsia="es-EC"/>
        </w:rPr>
        <w:t xml:space="preserve">Pereira </w:t>
      </w:r>
      <w:proofErr w:type="spellStart"/>
      <w:r w:rsidRPr="00603BB4">
        <w:rPr>
          <w:i/>
          <w:lang w:val="es-EC" w:eastAsia="es-EC"/>
        </w:rPr>
        <w:t>Despaigne</w:t>
      </w:r>
      <w:proofErr w:type="spellEnd"/>
      <w:r w:rsidRPr="00603BB4">
        <w:rPr>
          <w:i/>
          <w:lang w:val="es-EC" w:eastAsia="es-EC"/>
        </w:rPr>
        <w:t xml:space="preserve"> </w:t>
      </w:r>
      <w:r w:rsidRPr="00603BB4">
        <w:rPr>
          <w:iCs/>
          <w:lang w:val="es-EC" w:eastAsia="es-EC"/>
        </w:rPr>
        <w:t xml:space="preserve">y </w:t>
      </w:r>
      <w:proofErr w:type="gramStart"/>
      <w:r w:rsidRPr="00603BB4">
        <w:rPr>
          <w:iCs/>
          <w:lang w:val="es-EC" w:eastAsia="es-EC"/>
        </w:rPr>
        <w:t>otros,</w:t>
      </w:r>
      <w:r w:rsidRPr="00603BB4">
        <w:rPr>
          <w:vertAlign w:val="superscript"/>
          <w:lang w:val="es-EC" w:eastAsia="es-EC"/>
        </w:rPr>
        <w:t>(</w:t>
      </w:r>
      <w:proofErr w:type="gramEnd"/>
      <w:r w:rsidRPr="00603BB4">
        <w:rPr>
          <w:vertAlign w:val="superscript"/>
          <w:lang w:val="es-EC" w:eastAsia="es-EC"/>
        </w:rPr>
        <w:t xml:space="preserve">21) </w:t>
      </w:r>
      <w:r w:rsidRPr="00603BB4">
        <w:rPr>
          <w:lang w:val="es-EC" w:eastAsia="es-EC"/>
        </w:rPr>
        <w:t>en el 2015, demuestra una reducción de peso constante y significativo con el uso de la metformina, así como de la circunferencia de la cintura, la circunferencia de la cadera y los factores de riesgo cardiovascular.</w:t>
      </w:r>
    </w:p>
    <w:p w14:paraId="1E1CCAE6"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La metformina es un </w:t>
      </w:r>
      <w:proofErr w:type="spellStart"/>
      <w:r w:rsidRPr="00603BB4">
        <w:rPr>
          <w:lang w:val="es-EC" w:eastAsia="es-EC"/>
        </w:rPr>
        <w:t>antihiperglucemiante</w:t>
      </w:r>
      <w:proofErr w:type="spellEnd"/>
      <w:r w:rsidRPr="00603BB4">
        <w:rPr>
          <w:lang w:val="es-EC" w:eastAsia="es-EC"/>
        </w:rPr>
        <w:t xml:space="preserve"> oral, aprobado por la </w:t>
      </w:r>
      <w:proofErr w:type="spellStart"/>
      <w:r w:rsidRPr="00603BB4">
        <w:rPr>
          <w:i/>
          <w:iCs/>
          <w:lang w:val="es-EC" w:eastAsia="es-EC"/>
        </w:rPr>
        <w:t>Food</w:t>
      </w:r>
      <w:proofErr w:type="spellEnd"/>
      <w:r w:rsidRPr="00603BB4">
        <w:rPr>
          <w:i/>
          <w:iCs/>
          <w:lang w:val="es-EC" w:eastAsia="es-EC"/>
        </w:rPr>
        <w:t xml:space="preserve"> and </w:t>
      </w:r>
      <w:proofErr w:type="spellStart"/>
      <w:r w:rsidRPr="00603BB4">
        <w:rPr>
          <w:i/>
          <w:iCs/>
          <w:lang w:val="es-EC" w:eastAsia="es-EC"/>
        </w:rPr>
        <w:t>Drug</w:t>
      </w:r>
      <w:proofErr w:type="spellEnd"/>
      <w:r w:rsidRPr="00603BB4">
        <w:rPr>
          <w:i/>
          <w:iCs/>
          <w:lang w:val="es-EC" w:eastAsia="es-EC"/>
        </w:rPr>
        <w:t xml:space="preserve"> </w:t>
      </w:r>
      <w:proofErr w:type="spellStart"/>
      <w:r w:rsidRPr="00603BB4">
        <w:rPr>
          <w:i/>
          <w:iCs/>
          <w:lang w:val="es-EC" w:eastAsia="es-EC"/>
        </w:rPr>
        <w:t>Administrartion</w:t>
      </w:r>
      <w:proofErr w:type="spellEnd"/>
      <w:r w:rsidRPr="00603BB4">
        <w:rPr>
          <w:i/>
          <w:iCs/>
          <w:lang w:val="es-EC" w:eastAsia="es-EC"/>
        </w:rPr>
        <w:t xml:space="preserve"> </w:t>
      </w:r>
      <w:r w:rsidRPr="00603BB4">
        <w:rPr>
          <w:lang w:val="es-EC" w:eastAsia="es-EC"/>
        </w:rPr>
        <w:t xml:space="preserve">(FDA) para tratar la diabetes mellitus tipo 2 en adultos y niños mayores de 10 años; es considerado un agente de primera línea para tal enfermedad por la Agencia Europea de Medicamentos. La pérdida significativa de peso inducida por la metformina, se ha demostrado en múltiples estudios en pacientes adultos con </w:t>
      </w:r>
      <w:r w:rsidRPr="00603BB4">
        <w:rPr>
          <w:lang w:val="es-EC" w:eastAsia="es-EC"/>
        </w:rPr>
        <w:lastRenderedPageBreak/>
        <w:t xml:space="preserve">sobrepeso/obesidad, con diabetes mellitus tipo 2 o sin ella; así como una disminución en el perfil de riesgo cardiovascular y en biomarcadores </w:t>
      </w:r>
      <w:proofErr w:type="gramStart"/>
      <w:r w:rsidRPr="00603BB4">
        <w:rPr>
          <w:lang w:val="es-EC" w:eastAsia="es-EC"/>
        </w:rPr>
        <w:t>inflamatorios.</w:t>
      </w:r>
      <w:r w:rsidRPr="00603BB4">
        <w:rPr>
          <w:vertAlign w:val="superscript"/>
          <w:lang w:val="es-EC" w:eastAsia="es-EC"/>
        </w:rPr>
        <w:t>(</w:t>
      </w:r>
      <w:proofErr w:type="gramEnd"/>
      <w:r w:rsidRPr="00603BB4">
        <w:rPr>
          <w:vertAlign w:val="superscript"/>
          <w:lang w:val="es-EC" w:eastAsia="es-EC"/>
        </w:rPr>
        <w:t>22,23)</w:t>
      </w:r>
    </w:p>
    <w:p w14:paraId="51A08EAE"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Varios estudios multidisciplinarios como el de </w:t>
      </w:r>
      <w:proofErr w:type="spellStart"/>
      <w:proofErr w:type="gramStart"/>
      <w:r w:rsidRPr="00603BB4">
        <w:rPr>
          <w:i/>
          <w:lang w:val="es-EC" w:eastAsia="es-EC"/>
        </w:rPr>
        <w:t>Vanini</w:t>
      </w:r>
      <w:proofErr w:type="spellEnd"/>
      <w:r w:rsidRPr="00603BB4">
        <w:rPr>
          <w:vertAlign w:val="superscript"/>
          <w:lang w:val="es-EC" w:eastAsia="es-EC"/>
        </w:rPr>
        <w:t>(</w:t>
      </w:r>
      <w:proofErr w:type="gramEnd"/>
      <w:r w:rsidRPr="00603BB4">
        <w:rPr>
          <w:vertAlign w:val="superscript"/>
          <w:lang w:val="es-EC" w:eastAsia="es-EC"/>
        </w:rPr>
        <w:t>12)</w:t>
      </w:r>
      <w:r w:rsidRPr="00603BB4">
        <w:rPr>
          <w:lang w:val="es-EC" w:eastAsia="es-EC"/>
        </w:rPr>
        <w:t xml:space="preserve"> </w:t>
      </w:r>
      <w:r w:rsidRPr="00603BB4">
        <w:rPr>
          <w:i/>
          <w:lang w:val="es-EC" w:eastAsia="es-EC"/>
        </w:rPr>
        <w:t xml:space="preserve">Alarcón-Sotelo </w:t>
      </w:r>
      <w:r w:rsidRPr="00603BB4">
        <w:rPr>
          <w:iCs/>
          <w:lang w:val="es-EC" w:eastAsia="es-EC"/>
        </w:rPr>
        <w:t>y otros</w:t>
      </w:r>
      <w:r w:rsidRPr="00603BB4">
        <w:rPr>
          <w:vertAlign w:val="superscript"/>
          <w:lang w:val="es-EC" w:eastAsia="es-EC"/>
        </w:rPr>
        <w:t xml:space="preserve">(24) </w:t>
      </w:r>
      <w:r w:rsidRPr="00603BB4">
        <w:rPr>
          <w:lang w:val="es-EC" w:eastAsia="es-EC"/>
        </w:rPr>
        <w:t>han realizado actualizaciones de los efectos de la metformina (1000-2000 mg/día durante 3-6 meses) en pacientes obesos, con resultados prometedores.</w:t>
      </w:r>
      <w:r w:rsidRPr="00603BB4">
        <w:rPr>
          <w:vertAlign w:val="superscript"/>
          <w:lang w:val="es-EC" w:eastAsia="es-EC"/>
        </w:rPr>
        <w:t>(20,21,24)</w:t>
      </w:r>
    </w:p>
    <w:p w14:paraId="178E7ABC"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En la tabla 3 las variables bioquímicas: glucemia, insulinemia, triglicéridos, colesterol e índice de </w:t>
      </w:r>
      <w:proofErr w:type="spellStart"/>
      <w:r w:rsidRPr="00603BB4">
        <w:rPr>
          <w:lang w:val="es-EC" w:eastAsia="es-EC"/>
        </w:rPr>
        <w:t>HOMA</w:t>
      </w:r>
      <w:proofErr w:type="spellEnd"/>
      <w:r w:rsidRPr="00603BB4">
        <w:rPr>
          <w:lang w:val="es-EC" w:eastAsia="es-EC"/>
        </w:rPr>
        <w:t xml:space="preserve"> mejoraron significativamente. Esto corresponde con lo planteado por la </w:t>
      </w:r>
      <w:proofErr w:type="gramStart"/>
      <w:r w:rsidRPr="00603BB4">
        <w:rPr>
          <w:lang w:val="es-EC" w:eastAsia="es-EC"/>
        </w:rPr>
        <w:t>OMS,</w:t>
      </w:r>
      <w:r w:rsidRPr="00603BB4">
        <w:rPr>
          <w:vertAlign w:val="superscript"/>
          <w:lang w:val="es-EC" w:eastAsia="es-EC"/>
        </w:rPr>
        <w:t>(</w:t>
      </w:r>
      <w:proofErr w:type="gramEnd"/>
      <w:r w:rsidRPr="00603BB4">
        <w:rPr>
          <w:vertAlign w:val="superscript"/>
          <w:lang w:val="es-EC" w:eastAsia="es-EC"/>
        </w:rPr>
        <w:t xml:space="preserve">2,10) </w:t>
      </w:r>
      <w:r w:rsidRPr="00603BB4">
        <w:rPr>
          <w:lang w:val="es-EC" w:eastAsia="es-EC"/>
        </w:rPr>
        <w:t>el grupo europeo del síndrome de insulinorresistencia (</w:t>
      </w:r>
      <w:proofErr w:type="spellStart"/>
      <w:r w:rsidRPr="00603BB4">
        <w:rPr>
          <w:lang w:val="es-EC" w:eastAsia="es-EC"/>
        </w:rPr>
        <w:t>EGIR</w:t>
      </w:r>
      <w:proofErr w:type="spellEnd"/>
      <w:r w:rsidRPr="00603BB4">
        <w:rPr>
          <w:lang w:val="es-EC" w:eastAsia="es-EC"/>
        </w:rPr>
        <w:t>)</w:t>
      </w:r>
      <w:r w:rsidRPr="00603BB4">
        <w:rPr>
          <w:vertAlign w:val="superscript"/>
          <w:lang w:val="es-EC" w:eastAsia="es-EC"/>
        </w:rPr>
        <w:t>(25)</w:t>
      </w:r>
      <w:r w:rsidRPr="00603BB4">
        <w:rPr>
          <w:lang w:val="es-EC" w:eastAsia="es-EC"/>
        </w:rPr>
        <w:t xml:space="preserve"> y el Panel de tratamiento para adultos (ATP III)</w:t>
      </w:r>
      <w:r w:rsidRPr="00603BB4">
        <w:rPr>
          <w:vertAlign w:val="superscript"/>
          <w:lang w:val="es-EC" w:eastAsia="es-EC"/>
        </w:rPr>
        <w:t xml:space="preserve"> </w:t>
      </w:r>
      <w:r w:rsidRPr="00603BB4">
        <w:rPr>
          <w:lang w:val="es-EC" w:eastAsia="es-EC"/>
        </w:rPr>
        <w:t xml:space="preserve">plantean, que, al mejorar la resistencia de la insulina con dieta, cambio de estilo de vida y metformina mejoran la glucemia, insulinemia, índice de </w:t>
      </w:r>
      <w:proofErr w:type="spellStart"/>
      <w:r w:rsidRPr="00603BB4">
        <w:rPr>
          <w:lang w:val="es-EC" w:eastAsia="es-EC"/>
        </w:rPr>
        <w:t>HOMA</w:t>
      </w:r>
      <w:proofErr w:type="spellEnd"/>
      <w:r w:rsidRPr="00603BB4">
        <w:rPr>
          <w:lang w:val="es-EC" w:eastAsia="es-EC"/>
        </w:rPr>
        <w:t xml:space="preserve"> y el perfil lipídico. La hiperuricemia es otro parámetro planteado en el síndrome de insulinorresistencia por la </w:t>
      </w:r>
      <w:proofErr w:type="spellStart"/>
      <w:r w:rsidRPr="00603BB4">
        <w:rPr>
          <w:lang w:val="es-EC" w:eastAsia="es-EC"/>
        </w:rPr>
        <w:t>EGIR</w:t>
      </w:r>
      <w:proofErr w:type="spellEnd"/>
      <w:r w:rsidRPr="00603BB4">
        <w:rPr>
          <w:lang w:val="es-EC" w:eastAsia="es-EC"/>
        </w:rPr>
        <w:t xml:space="preserve">, que mejora, sin la necesidad de emplear medicamentos específicos, como el alopurinol y se comporta de esta forma en los pacientes con obesidad mórbida.  </w:t>
      </w:r>
    </w:p>
    <w:p w14:paraId="500749C0" w14:textId="77777777" w:rsidR="00603BB4" w:rsidRPr="00603BB4" w:rsidRDefault="00603BB4" w:rsidP="00603BB4">
      <w:pPr>
        <w:spacing w:line="360" w:lineRule="auto"/>
        <w:jc w:val="both"/>
        <w:rPr>
          <w:vertAlign w:val="superscript"/>
          <w:lang w:val="es-EC" w:eastAsia="es-EC"/>
        </w:rPr>
      </w:pPr>
      <w:r w:rsidRPr="00603BB4">
        <w:rPr>
          <w:lang w:val="es-EC" w:eastAsia="es-EC"/>
        </w:rPr>
        <w:t xml:space="preserve">Se hace necesario establecer políticas de salud que implementen grupos multidisciplinarios, para apoyar a este tipo de pacientes en la mantención de la reducción de peso y, más aún, en la implementación de medidas enfocadas a la prevención de la </w:t>
      </w:r>
      <w:proofErr w:type="gramStart"/>
      <w:r w:rsidRPr="00603BB4">
        <w:rPr>
          <w:lang w:val="es-EC" w:eastAsia="es-EC"/>
        </w:rPr>
        <w:t>obesidad.</w:t>
      </w:r>
      <w:r w:rsidRPr="00603BB4">
        <w:rPr>
          <w:vertAlign w:val="superscript"/>
          <w:lang w:val="es-EC" w:eastAsia="es-EC"/>
        </w:rPr>
        <w:t>(</w:t>
      </w:r>
      <w:proofErr w:type="gramEnd"/>
      <w:r w:rsidRPr="00603BB4">
        <w:rPr>
          <w:vertAlign w:val="superscript"/>
          <w:lang w:val="es-EC" w:eastAsia="es-EC"/>
        </w:rPr>
        <w:t>12,13,14,15,16)</w:t>
      </w:r>
    </w:p>
    <w:p w14:paraId="42A52138" w14:textId="77777777" w:rsidR="00603BB4" w:rsidRPr="00603BB4" w:rsidRDefault="00603BB4" w:rsidP="00603BB4">
      <w:pPr>
        <w:spacing w:line="360" w:lineRule="auto"/>
        <w:jc w:val="both"/>
        <w:rPr>
          <w:lang w:val="es-EC" w:eastAsia="es-EC"/>
        </w:rPr>
      </w:pPr>
      <w:r w:rsidRPr="00603BB4">
        <w:rPr>
          <w:lang w:val="es-EC" w:eastAsia="es-EC"/>
        </w:rPr>
        <w:t>Los pacientes con obesidad mórbida después del tratamiento con cambios en el estilo de vida y metformina, durante un período de 4 meses, mejoran los parámetros clínicos y bioquímicos.</w:t>
      </w:r>
    </w:p>
    <w:p w14:paraId="53F82C59" w14:textId="77777777" w:rsidR="00603BB4" w:rsidRPr="00603BB4" w:rsidRDefault="00603BB4" w:rsidP="00603BB4">
      <w:pPr>
        <w:spacing w:line="360" w:lineRule="auto"/>
        <w:rPr>
          <w:lang w:val="es-EC" w:eastAsia="es-EC"/>
        </w:rPr>
      </w:pPr>
    </w:p>
    <w:p w14:paraId="72CA255A" w14:textId="77777777" w:rsidR="00603BB4" w:rsidRPr="00603BB4" w:rsidRDefault="00603BB4" w:rsidP="00603BB4">
      <w:pPr>
        <w:spacing w:line="360" w:lineRule="auto"/>
        <w:rPr>
          <w:lang w:val="es-EC" w:eastAsia="es-EC"/>
        </w:rPr>
      </w:pPr>
    </w:p>
    <w:p w14:paraId="5007D16D" w14:textId="77777777" w:rsidR="00603BB4" w:rsidRPr="00603BB4" w:rsidRDefault="00603BB4" w:rsidP="00603BB4">
      <w:pPr>
        <w:keepNext/>
        <w:keepLines/>
        <w:spacing w:line="360" w:lineRule="auto"/>
        <w:jc w:val="center"/>
        <w:outlineLvl w:val="0"/>
        <w:rPr>
          <w:b/>
          <w:sz w:val="32"/>
          <w:szCs w:val="32"/>
          <w:lang w:val="es-EC" w:eastAsia="es-EC"/>
        </w:rPr>
      </w:pPr>
      <w:r w:rsidRPr="00603BB4">
        <w:rPr>
          <w:b/>
          <w:sz w:val="32"/>
          <w:szCs w:val="32"/>
          <w:lang w:val="es-EC" w:eastAsia="es-EC"/>
        </w:rPr>
        <w:t>REFERENCIAS BIBLIOGRÁFICAS</w:t>
      </w:r>
    </w:p>
    <w:p w14:paraId="56FA1372"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1. Weaver J. Guía práctica de la medicina de la obesidad. London: Elsevier; 2019.</w:t>
      </w:r>
    </w:p>
    <w:p w14:paraId="52C8D5E1"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2. Organización Mundial de la Salud. </w:t>
      </w:r>
      <w:r w:rsidRPr="00603BB4">
        <w:rPr>
          <w:rFonts w:eastAsia="Calibri"/>
          <w:lang w:val="en-US" w:eastAsia="es-EC"/>
        </w:rPr>
        <w:t>Obesity and overweight. Ginebra: OMS; 2021 [</w:t>
      </w:r>
      <w:proofErr w:type="spellStart"/>
      <w:r w:rsidRPr="00603BB4">
        <w:rPr>
          <w:rFonts w:eastAsia="Calibri"/>
          <w:lang w:val="en-US" w:eastAsia="es-EC"/>
        </w:rPr>
        <w:t>acceso</w:t>
      </w:r>
      <w:proofErr w:type="spellEnd"/>
      <w:r w:rsidRPr="00603BB4">
        <w:rPr>
          <w:rFonts w:eastAsia="Calibri"/>
          <w:lang w:val="en-US" w:eastAsia="es-EC"/>
        </w:rPr>
        <w:t xml:space="preserve">: 05/11/2022]. </w:t>
      </w:r>
      <w:r w:rsidRPr="00603BB4">
        <w:rPr>
          <w:rFonts w:eastAsia="Calibri"/>
          <w:lang w:val="es-EC" w:eastAsia="es-EC"/>
        </w:rPr>
        <w:t xml:space="preserve">Disponible en: </w:t>
      </w:r>
      <w:hyperlink r:id="rId14" w:history="1">
        <w:r w:rsidRPr="00603BB4">
          <w:rPr>
            <w:rFonts w:eastAsia="Calibri"/>
            <w:color w:val="0563C1"/>
            <w:lang w:val="es-EC" w:eastAsia="es-EC"/>
          </w:rPr>
          <w:t>https://www.who.int/es/news-room/fact-sheets/detail/obesity-and-overweight</w:t>
        </w:r>
      </w:hyperlink>
      <w:r w:rsidRPr="00603BB4">
        <w:rPr>
          <w:rFonts w:eastAsia="Calibri"/>
          <w:lang w:val="es-EC" w:eastAsia="es-EC"/>
        </w:rPr>
        <w:t xml:space="preserve"> </w:t>
      </w:r>
    </w:p>
    <w:p w14:paraId="7DC1EDEE"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3. </w:t>
      </w:r>
      <w:proofErr w:type="spellStart"/>
      <w:r w:rsidRPr="00603BB4">
        <w:rPr>
          <w:rFonts w:eastAsia="Calibri"/>
          <w:lang w:val="es-EC" w:eastAsia="es-EC"/>
        </w:rPr>
        <w:t>Rozman</w:t>
      </w:r>
      <w:proofErr w:type="spellEnd"/>
      <w:r w:rsidRPr="00603BB4">
        <w:rPr>
          <w:rFonts w:eastAsia="Calibri"/>
          <w:lang w:val="es-EC" w:eastAsia="es-EC"/>
        </w:rPr>
        <w:t xml:space="preserve"> C, </w:t>
      </w:r>
      <w:proofErr w:type="spellStart"/>
      <w:r w:rsidRPr="00603BB4">
        <w:rPr>
          <w:rFonts w:eastAsia="Calibri"/>
          <w:lang w:val="es-EC" w:eastAsia="es-EC"/>
        </w:rPr>
        <w:t>Cardellach</w:t>
      </w:r>
      <w:proofErr w:type="spellEnd"/>
      <w:r w:rsidRPr="00603BB4">
        <w:rPr>
          <w:rFonts w:eastAsia="Calibri"/>
          <w:lang w:val="es-EC" w:eastAsia="es-EC"/>
        </w:rPr>
        <w:t xml:space="preserve"> F. Obesidad. En: Farreras </w:t>
      </w:r>
      <w:proofErr w:type="spellStart"/>
      <w:r w:rsidRPr="00603BB4">
        <w:rPr>
          <w:rFonts w:eastAsia="Calibri"/>
          <w:lang w:val="es-EC" w:eastAsia="es-EC"/>
        </w:rPr>
        <w:t>Rozman</w:t>
      </w:r>
      <w:proofErr w:type="spellEnd"/>
      <w:r w:rsidRPr="00603BB4">
        <w:rPr>
          <w:rFonts w:eastAsia="Calibri"/>
          <w:lang w:val="es-EC" w:eastAsia="es-EC"/>
        </w:rPr>
        <w:t xml:space="preserve"> (ed.). Medicina Interna. 19 ed. Madrid: Elsevier; 2020. </w:t>
      </w:r>
      <w:proofErr w:type="spellStart"/>
      <w:r w:rsidRPr="00603BB4">
        <w:rPr>
          <w:rFonts w:eastAsia="Calibri"/>
          <w:lang w:val="es-EC" w:eastAsia="es-EC"/>
        </w:rPr>
        <w:t>p.1848</w:t>
      </w:r>
      <w:proofErr w:type="spellEnd"/>
      <w:r w:rsidRPr="00603BB4">
        <w:rPr>
          <w:rFonts w:eastAsia="Calibri"/>
          <w:lang w:val="es-EC" w:eastAsia="es-EC"/>
        </w:rPr>
        <w:t>-67.</w:t>
      </w:r>
    </w:p>
    <w:p w14:paraId="13D1B175"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lastRenderedPageBreak/>
        <w:t xml:space="preserve">4. Ministerio de Salud Pública. Anuario Estadístico de Salud 2019. Dirección de Registros Médicos y estadísticas de salud.  La Habana: MINSAP; 2020. [acceso: 05/11/2022].  Disponible en: </w:t>
      </w:r>
      <w:hyperlink r:id="rId15" w:history="1">
        <w:r w:rsidRPr="00603BB4">
          <w:rPr>
            <w:rFonts w:eastAsia="Calibri"/>
            <w:color w:val="0563C1"/>
            <w:lang w:val="es-EC" w:eastAsia="es-EC"/>
          </w:rPr>
          <w:t>https://files.sld.cu/bvscuba/files/2020/05/Anuario-Electr%c3%b3nico-Espa%c3%b1ol-2019-ed-2020.pdf</w:t>
        </w:r>
      </w:hyperlink>
      <w:r w:rsidRPr="00603BB4">
        <w:rPr>
          <w:rFonts w:eastAsia="Calibri"/>
          <w:lang w:val="es-EC" w:eastAsia="es-EC"/>
        </w:rPr>
        <w:t xml:space="preserve"> </w:t>
      </w:r>
    </w:p>
    <w:p w14:paraId="6E91A1DA"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5. Hernández Rodríguez J. Recomendaciones para el tratamiento médico de la obesidad exógena en el nivel primario de atención. </w:t>
      </w:r>
      <w:proofErr w:type="spellStart"/>
      <w:r w:rsidRPr="00603BB4">
        <w:rPr>
          <w:rFonts w:eastAsia="Calibri"/>
          <w:lang w:val="es-EC" w:eastAsia="es-EC"/>
        </w:rPr>
        <w:t>Rev</w:t>
      </w:r>
      <w:proofErr w:type="spellEnd"/>
      <w:r w:rsidRPr="00603BB4">
        <w:rPr>
          <w:rFonts w:eastAsia="Calibri"/>
          <w:lang w:val="es-EC" w:eastAsia="es-EC"/>
        </w:rPr>
        <w:t xml:space="preserve"> </w:t>
      </w:r>
      <w:proofErr w:type="gramStart"/>
      <w:r w:rsidRPr="00603BB4">
        <w:rPr>
          <w:rFonts w:eastAsia="Calibri"/>
          <w:lang w:val="es-EC" w:eastAsia="es-EC"/>
        </w:rPr>
        <w:t>Cubana</w:t>
      </w:r>
      <w:proofErr w:type="gramEnd"/>
      <w:r w:rsidRPr="00603BB4">
        <w:rPr>
          <w:rFonts w:eastAsia="Calibri"/>
          <w:lang w:val="es-EC" w:eastAsia="es-EC"/>
        </w:rPr>
        <w:t xml:space="preserve"> </w:t>
      </w:r>
      <w:proofErr w:type="spellStart"/>
      <w:r w:rsidRPr="00603BB4">
        <w:rPr>
          <w:rFonts w:eastAsia="Calibri"/>
          <w:lang w:val="es-EC" w:eastAsia="es-EC"/>
        </w:rPr>
        <w:t>Med</w:t>
      </w:r>
      <w:proofErr w:type="spellEnd"/>
      <w:r w:rsidRPr="00603BB4">
        <w:rPr>
          <w:rFonts w:eastAsia="Calibri"/>
          <w:lang w:val="es-EC" w:eastAsia="es-EC"/>
        </w:rPr>
        <w:t xml:space="preserve"> Gen </w:t>
      </w:r>
      <w:proofErr w:type="spellStart"/>
      <w:r w:rsidRPr="00603BB4">
        <w:rPr>
          <w:rFonts w:eastAsia="Calibri"/>
          <w:lang w:val="es-EC" w:eastAsia="es-EC"/>
        </w:rPr>
        <w:t>Integr</w:t>
      </w:r>
      <w:proofErr w:type="spellEnd"/>
      <w:r w:rsidRPr="00603BB4">
        <w:rPr>
          <w:rFonts w:eastAsia="Calibri"/>
          <w:lang w:val="es-EC" w:eastAsia="es-EC"/>
        </w:rPr>
        <w:t xml:space="preserve">. 2018 [acceso: 05/11/2022]; 34(3):123-144. Disponible en: </w:t>
      </w:r>
      <w:hyperlink r:id="rId16" w:history="1">
        <w:r w:rsidRPr="00603BB4">
          <w:rPr>
            <w:rFonts w:eastAsia="Calibri"/>
            <w:color w:val="0563C1"/>
            <w:lang w:val="es-EC" w:eastAsia="es-EC"/>
          </w:rPr>
          <w:t>http://scielo.sld.cu/scielo.php?script=sci_arttext&amp;pid=S0864-21252018000300013&amp;lng=es</w:t>
        </w:r>
      </w:hyperlink>
      <w:r w:rsidRPr="00603BB4">
        <w:rPr>
          <w:rFonts w:eastAsia="Calibri"/>
          <w:lang w:val="es-EC" w:eastAsia="es-EC"/>
        </w:rPr>
        <w:t xml:space="preserve"> </w:t>
      </w:r>
    </w:p>
    <w:p w14:paraId="63FB2BEB"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6. Varona-Pérez P, Gámez Sánchez D, Díaz Sánchez ME.  Impacto del sobrepeso y obesidad en la mortalidad por enfermedades no trasmisibles en Cuba. </w:t>
      </w:r>
      <w:proofErr w:type="spellStart"/>
      <w:r w:rsidRPr="00603BB4">
        <w:rPr>
          <w:rFonts w:eastAsia="Calibri"/>
          <w:lang w:val="es-EC" w:eastAsia="es-EC"/>
        </w:rPr>
        <w:t>Rev</w:t>
      </w:r>
      <w:proofErr w:type="spellEnd"/>
      <w:r w:rsidRPr="00603BB4">
        <w:rPr>
          <w:rFonts w:eastAsia="Calibri"/>
          <w:lang w:val="es-EC" w:eastAsia="es-EC"/>
        </w:rPr>
        <w:t xml:space="preserve"> </w:t>
      </w:r>
      <w:proofErr w:type="gramStart"/>
      <w:r w:rsidRPr="00603BB4">
        <w:rPr>
          <w:rFonts w:eastAsia="Calibri"/>
          <w:lang w:val="es-EC" w:eastAsia="es-EC"/>
        </w:rPr>
        <w:t>Cubana</w:t>
      </w:r>
      <w:proofErr w:type="gramEnd"/>
      <w:r w:rsidRPr="00603BB4">
        <w:rPr>
          <w:rFonts w:eastAsia="Calibri"/>
          <w:lang w:val="es-EC" w:eastAsia="es-EC"/>
        </w:rPr>
        <w:t xml:space="preserve"> </w:t>
      </w:r>
      <w:proofErr w:type="spellStart"/>
      <w:r w:rsidRPr="00603BB4">
        <w:rPr>
          <w:rFonts w:eastAsia="Calibri"/>
          <w:lang w:val="es-EC" w:eastAsia="es-EC"/>
        </w:rPr>
        <w:t>Med</w:t>
      </w:r>
      <w:proofErr w:type="spellEnd"/>
      <w:r w:rsidRPr="00603BB4">
        <w:rPr>
          <w:rFonts w:eastAsia="Calibri"/>
          <w:lang w:val="es-EC" w:eastAsia="es-EC"/>
        </w:rPr>
        <w:t xml:space="preserve"> Gen </w:t>
      </w:r>
      <w:proofErr w:type="spellStart"/>
      <w:r w:rsidRPr="00603BB4">
        <w:rPr>
          <w:rFonts w:eastAsia="Calibri"/>
          <w:lang w:val="es-EC" w:eastAsia="es-EC"/>
        </w:rPr>
        <w:t>Integr</w:t>
      </w:r>
      <w:proofErr w:type="spellEnd"/>
      <w:r w:rsidRPr="00603BB4">
        <w:rPr>
          <w:rFonts w:eastAsia="Calibri"/>
          <w:lang w:val="es-EC" w:eastAsia="es-EC"/>
        </w:rPr>
        <w:t xml:space="preserve">. 2018 [acceso: 06/11/2022]; 34(3):71-81. Disponible en: </w:t>
      </w:r>
      <w:hyperlink r:id="rId17" w:history="1">
        <w:r w:rsidRPr="00603BB4">
          <w:rPr>
            <w:rFonts w:eastAsia="Calibri"/>
            <w:color w:val="0563C1"/>
            <w:lang w:val="es-EC" w:eastAsia="es-EC"/>
          </w:rPr>
          <w:t>http://scielo.sld.cu/scielo.php?script=sci_arttext&amp;pid=S0864-21252018000300009&amp;lng=es</w:t>
        </w:r>
      </w:hyperlink>
      <w:r w:rsidRPr="00603BB4">
        <w:rPr>
          <w:rFonts w:eastAsia="Calibri"/>
          <w:lang w:val="es-EC" w:eastAsia="es-EC"/>
        </w:rPr>
        <w:t xml:space="preserve"> </w:t>
      </w:r>
    </w:p>
    <w:p w14:paraId="35D0BCCD"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7. UNICEF. Dirección de Registros Médicos y Estadísticas de Salud. Encuesta de Indicadores Múltiples por Conglomerados 2019. Informe de resultados de la encuesta. La Habana: MINSAP; 2020.</w:t>
      </w:r>
    </w:p>
    <w:p w14:paraId="23E7C390"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8. Centro de Estudios de Población y Desarrollo. III Encuesta de Factores de Riesgo para la Salud y Enfermedades no Transmisibles. La Habana: Oficina Nacional de Estadísticas; 2020.</w:t>
      </w:r>
    </w:p>
    <w:p w14:paraId="0D4642E8"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9. </w:t>
      </w:r>
      <w:proofErr w:type="spellStart"/>
      <w:r w:rsidRPr="00603BB4">
        <w:rPr>
          <w:rFonts w:eastAsia="Calibri"/>
          <w:lang w:val="es-EC" w:eastAsia="es-EC"/>
        </w:rPr>
        <w:t>Caixàs</w:t>
      </w:r>
      <w:proofErr w:type="spellEnd"/>
      <w:r w:rsidRPr="00603BB4">
        <w:rPr>
          <w:rFonts w:eastAsia="Calibri"/>
          <w:lang w:val="es-EC" w:eastAsia="es-EC"/>
        </w:rPr>
        <w:t xml:space="preserve"> A, </w:t>
      </w:r>
      <w:proofErr w:type="spellStart"/>
      <w:r w:rsidRPr="00603BB4">
        <w:rPr>
          <w:rFonts w:eastAsia="Calibri"/>
          <w:lang w:val="es-EC" w:eastAsia="es-EC"/>
        </w:rPr>
        <w:t>Villaró</w:t>
      </w:r>
      <w:proofErr w:type="spellEnd"/>
      <w:r w:rsidRPr="00603BB4">
        <w:rPr>
          <w:rFonts w:eastAsia="Calibri"/>
          <w:lang w:val="es-EC" w:eastAsia="es-EC"/>
        </w:rPr>
        <w:t xml:space="preserve"> M, </w:t>
      </w:r>
      <w:proofErr w:type="spellStart"/>
      <w:r w:rsidRPr="00603BB4">
        <w:rPr>
          <w:rFonts w:eastAsia="Calibri"/>
          <w:lang w:val="es-EC" w:eastAsia="es-EC"/>
        </w:rPr>
        <w:t>Arraiza</w:t>
      </w:r>
      <w:proofErr w:type="spellEnd"/>
      <w:r w:rsidRPr="00603BB4">
        <w:rPr>
          <w:rFonts w:eastAsia="Calibri"/>
          <w:lang w:val="es-EC" w:eastAsia="es-EC"/>
        </w:rPr>
        <w:t xml:space="preserve"> C, </w:t>
      </w:r>
      <w:proofErr w:type="spellStart"/>
      <w:r w:rsidRPr="00603BB4">
        <w:rPr>
          <w:rFonts w:eastAsia="Calibri"/>
          <w:lang w:val="es-EC" w:eastAsia="es-EC"/>
        </w:rPr>
        <w:t>Montalvá</w:t>
      </w:r>
      <w:proofErr w:type="spellEnd"/>
      <w:r w:rsidRPr="00603BB4">
        <w:rPr>
          <w:rFonts w:eastAsia="Calibri"/>
          <w:lang w:val="es-EC" w:eastAsia="es-EC"/>
        </w:rPr>
        <w:t xml:space="preserve"> </w:t>
      </w:r>
      <w:proofErr w:type="spellStart"/>
      <w:r w:rsidRPr="00603BB4">
        <w:rPr>
          <w:rFonts w:eastAsia="Calibri"/>
          <w:lang w:val="es-EC" w:eastAsia="es-EC"/>
        </w:rPr>
        <w:t>JC</w:t>
      </w:r>
      <w:proofErr w:type="spellEnd"/>
      <w:r w:rsidRPr="00603BB4">
        <w:rPr>
          <w:rFonts w:eastAsia="Calibri"/>
          <w:lang w:val="es-EC" w:eastAsia="es-EC"/>
        </w:rPr>
        <w:t xml:space="preserve">, </w:t>
      </w:r>
      <w:proofErr w:type="spellStart"/>
      <w:r w:rsidRPr="00603BB4">
        <w:rPr>
          <w:rFonts w:eastAsia="Calibri"/>
          <w:lang w:val="es-EC" w:eastAsia="es-EC"/>
        </w:rPr>
        <w:t>Lecube</w:t>
      </w:r>
      <w:proofErr w:type="spellEnd"/>
      <w:r w:rsidRPr="00603BB4">
        <w:rPr>
          <w:rFonts w:eastAsia="Calibri"/>
          <w:lang w:val="es-EC" w:eastAsia="es-EC"/>
        </w:rPr>
        <w:t xml:space="preserve"> A, Fernández-García </w:t>
      </w:r>
      <w:proofErr w:type="spellStart"/>
      <w:r w:rsidRPr="00603BB4">
        <w:rPr>
          <w:rFonts w:eastAsia="Calibri"/>
          <w:lang w:val="es-EC" w:eastAsia="es-EC"/>
        </w:rPr>
        <w:t>JM</w:t>
      </w:r>
      <w:proofErr w:type="spellEnd"/>
      <w:r w:rsidRPr="00603BB4">
        <w:rPr>
          <w:rFonts w:eastAsia="Calibri"/>
          <w:lang w:val="es-EC" w:eastAsia="es-EC"/>
        </w:rPr>
        <w:t>, et al. Documento de consenso de la Sociedad Española de Obesidad (</w:t>
      </w:r>
      <w:proofErr w:type="spellStart"/>
      <w:r w:rsidRPr="00603BB4">
        <w:rPr>
          <w:rFonts w:eastAsia="Calibri"/>
          <w:lang w:val="es-EC" w:eastAsia="es-EC"/>
        </w:rPr>
        <w:t>SEEDO</w:t>
      </w:r>
      <w:proofErr w:type="spellEnd"/>
      <w:r w:rsidRPr="00603BB4">
        <w:rPr>
          <w:rFonts w:eastAsia="Calibri"/>
          <w:lang w:val="es-EC" w:eastAsia="es-EC"/>
        </w:rPr>
        <w:t>) y de la Sociedad Española de Médicos de Atención Primaria (</w:t>
      </w:r>
      <w:proofErr w:type="spellStart"/>
      <w:r w:rsidRPr="00603BB4">
        <w:rPr>
          <w:rFonts w:eastAsia="Calibri"/>
          <w:lang w:val="es-EC" w:eastAsia="es-EC"/>
        </w:rPr>
        <w:t>SEMERGEN</w:t>
      </w:r>
      <w:proofErr w:type="spellEnd"/>
      <w:r w:rsidRPr="00603BB4">
        <w:rPr>
          <w:rFonts w:eastAsia="Calibri"/>
          <w:lang w:val="es-EC" w:eastAsia="es-EC"/>
        </w:rPr>
        <w:t>) sobre la continuidad asistencial en obesidad entre Atención Primaria y Unidades Especializadas Hospitalarias. Medicina Clínica. 2020 [acceso: 06/11/2022]; 155(6):267-</w:t>
      </w:r>
      <w:proofErr w:type="spellStart"/>
      <w:r w:rsidRPr="00603BB4">
        <w:rPr>
          <w:rFonts w:eastAsia="Calibri"/>
          <w:lang w:val="es-EC" w:eastAsia="es-EC"/>
        </w:rPr>
        <w:t>e1</w:t>
      </w:r>
      <w:proofErr w:type="spellEnd"/>
      <w:r w:rsidRPr="00603BB4">
        <w:rPr>
          <w:rFonts w:eastAsia="Calibri"/>
          <w:lang w:val="es-EC" w:eastAsia="es-EC"/>
        </w:rPr>
        <w:t xml:space="preserve">. Disponible en: </w:t>
      </w:r>
      <w:hyperlink r:id="rId18" w:history="1">
        <w:r w:rsidRPr="00603BB4">
          <w:rPr>
            <w:rFonts w:eastAsia="Calibri"/>
            <w:color w:val="0563C1"/>
            <w:lang w:val="es-EC" w:eastAsia="es-EC"/>
          </w:rPr>
          <w:t>https://www.seedo.es/images/site/documentos_interes/2020_Consenso_SEEDO-SEMERGEN.pdf</w:t>
        </w:r>
      </w:hyperlink>
      <w:r w:rsidRPr="00603BB4">
        <w:rPr>
          <w:rFonts w:eastAsia="Calibri"/>
          <w:lang w:val="es-EC" w:eastAsia="es-EC"/>
        </w:rPr>
        <w:t xml:space="preserve"> </w:t>
      </w:r>
    </w:p>
    <w:p w14:paraId="5B817EB8"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10. Organización Mundial de la Salud. Obesidad y sobrepeso. Datos y cifras. Ginebra: OMS; 2021 [acceso: 05/11/2022]. Disponible en: </w:t>
      </w:r>
      <w:hyperlink r:id="rId19" w:history="1">
        <w:r w:rsidRPr="00603BB4">
          <w:rPr>
            <w:rFonts w:eastAsia="Calibri"/>
            <w:color w:val="0563C1"/>
            <w:lang w:val="es-EC" w:eastAsia="es-EC"/>
          </w:rPr>
          <w:t>https://www.who.int/es/news-room/fact-sheets/detail/obesity-and-overweight</w:t>
        </w:r>
      </w:hyperlink>
      <w:r w:rsidRPr="00603BB4">
        <w:rPr>
          <w:rFonts w:eastAsia="Calibri"/>
          <w:lang w:val="es-EC" w:eastAsia="es-EC"/>
        </w:rPr>
        <w:t xml:space="preserve"> </w:t>
      </w:r>
    </w:p>
    <w:p w14:paraId="11E73AC7"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11. Zúñiga Cruz CA, Calzada Mendoza C, Miranda Mondragón ID, Bustamante </w:t>
      </w:r>
      <w:proofErr w:type="spellStart"/>
      <w:r w:rsidRPr="00603BB4">
        <w:rPr>
          <w:rFonts w:eastAsia="Calibri"/>
          <w:lang w:val="es-EC" w:eastAsia="es-EC"/>
        </w:rPr>
        <w:t>Bacame</w:t>
      </w:r>
      <w:proofErr w:type="spellEnd"/>
      <w:r w:rsidRPr="00603BB4">
        <w:rPr>
          <w:rFonts w:eastAsia="Calibri"/>
          <w:lang w:val="es-EC" w:eastAsia="es-EC"/>
        </w:rPr>
        <w:t xml:space="preserve"> A, Portilla Robertson J, </w:t>
      </w:r>
      <w:proofErr w:type="spellStart"/>
      <w:r w:rsidRPr="00603BB4">
        <w:rPr>
          <w:rFonts w:eastAsia="Calibri"/>
          <w:lang w:val="es-EC" w:eastAsia="es-EC"/>
        </w:rPr>
        <w:t>Ocharán</w:t>
      </w:r>
      <w:proofErr w:type="spellEnd"/>
      <w:r w:rsidRPr="00603BB4">
        <w:rPr>
          <w:rFonts w:eastAsia="Calibri"/>
          <w:lang w:val="es-EC" w:eastAsia="es-EC"/>
        </w:rPr>
        <w:t xml:space="preserve"> Hernández E, et al. Efecto del manejo de la obesidad clase I con metformina sobre actividad de metaloproteinasas en pacientes con periodontitis crónica. </w:t>
      </w:r>
      <w:proofErr w:type="spellStart"/>
      <w:r w:rsidRPr="00603BB4">
        <w:rPr>
          <w:rFonts w:eastAsia="Calibri"/>
          <w:lang w:val="es-EC" w:eastAsia="es-EC"/>
        </w:rPr>
        <w:t>NutrHosp</w:t>
      </w:r>
      <w:proofErr w:type="spellEnd"/>
      <w:r w:rsidRPr="00603BB4">
        <w:rPr>
          <w:rFonts w:eastAsia="Calibri"/>
          <w:lang w:val="es-EC" w:eastAsia="es-EC"/>
        </w:rPr>
        <w:t xml:space="preserve">. 2019 [acceso: </w:t>
      </w:r>
      <w:r w:rsidRPr="00603BB4">
        <w:rPr>
          <w:rFonts w:eastAsia="Calibri"/>
          <w:lang w:val="es-EC" w:eastAsia="es-EC"/>
        </w:rPr>
        <w:lastRenderedPageBreak/>
        <w:t xml:space="preserve">08/11/2022]; 36(5):1095-1100. Disponible en: </w:t>
      </w:r>
      <w:hyperlink r:id="rId20" w:history="1">
        <w:r w:rsidRPr="00603BB4">
          <w:rPr>
            <w:rFonts w:eastAsia="Calibri"/>
            <w:color w:val="0563C1"/>
            <w:lang w:val="es-EC" w:eastAsia="es-EC"/>
          </w:rPr>
          <w:t>http://scielo.isciii.es/scielo.php?script=sci_arttext&amp;pid=S0212-16112019000500015&amp;lng=es</w:t>
        </w:r>
      </w:hyperlink>
      <w:r w:rsidRPr="00603BB4">
        <w:rPr>
          <w:rFonts w:eastAsia="Calibri"/>
          <w:lang w:val="es-EC" w:eastAsia="es-EC"/>
        </w:rPr>
        <w:t xml:space="preserve"> </w:t>
      </w:r>
    </w:p>
    <w:p w14:paraId="6EC6A747"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12. </w:t>
      </w:r>
      <w:proofErr w:type="spellStart"/>
      <w:r w:rsidRPr="00603BB4">
        <w:rPr>
          <w:rFonts w:eastAsia="Calibri"/>
          <w:lang w:val="es-EC" w:eastAsia="es-EC"/>
        </w:rPr>
        <w:t>Vanini</w:t>
      </w:r>
      <w:proofErr w:type="spellEnd"/>
      <w:r w:rsidRPr="00603BB4">
        <w:rPr>
          <w:rFonts w:eastAsia="Calibri"/>
          <w:lang w:val="es-EC" w:eastAsia="es-EC"/>
        </w:rPr>
        <w:t xml:space="preserve"> G. Tratamiento multidisciplinario de la obesidad. Tendencias Medicina. 2020 [acceso: 08/11/2022]; 12(3):12-16. Disponible en: </w:t>
      </w:r>
      <w:hyperlink r:id="rId21" w:history="1">
        <w:r w:rsidRPr="00603BB4">
          <w:rPr>
            <w:rFonts w:eastAsia="Calibri"/>
            <w:color w:val="0563C1"/>
            <w:lang w:val="es-EC" w:eastAsia="es-EC"/>
          </w:rPr>
          <w:t>http://tendenciasenmedicina.com/Imagenes/imagenes05p/art_16.pdf</w:t>
        </w:r>
      </w:hyperlink>
      <w:r w:rsidRPr="00603BB4">
        <w:rPr>
          <w:rFonts w:eastAsia="Calibri"/>
          <w:lang w:val="es-EC" w:eastAsia="es-EC"/>
        </w:rPr>
        <w:t xml:space="preserve"> </w:t>
      </w:r>
    </w:p>
    <w:p w14:paraId="560C3777"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13. Velasco-Estrada A, Orozco-González CN, Zúñiga-Torres G. Asociación de calidad de dieta y obesidad. </w:t>
      </w:r>
      <w:proofErr w:type="spellStart"/>
      <w:r w:rsidRPr="00603BB4">
        <w:rPr>
          <w:rFonts w:eastAsia="Calibri"/>
          <w:lang w:val="es-EC" w:eastAsia="es-EC"/>
        </w:rPr>
        <w:t>PSM</w:t>
      </w:r>
      <w:proofErr w:type="spellEnd"/>
      <w:r w:rsidRPr="00603BB4">
        <w:rPr>
          <w:rFonts w:eastAsia="Calibri"/>
          <w:lang w:val="es-EC" w:eastAsia="es-EC"/>
        </w:rPr>
        <w:t xml:space="preserve">. 2018 [acceso: 08/11/2022]; 16(1):132-151. Disponible en: </w:t>
      </w:r>
      <w:hyperlink r:id="rId22" w:history="1">
        <w:r w:rsidRPr="00603BB4">
          <w:rPr>
            <w:rFonts w:eastAsia="Calibri"/>
            <w:color w:val="0563C1"/>
            <w:lang w:val="es-EC" w:eastAsia="es-EC"/>
          </w:rPr>
          <w:t>http://www.scielo.sa.cr/scielo.php?script=sci_arttext&amp;pid=S1659-02012018000200006&amp;lng=en</w:t>
        </w:r>
      </w:hyperlink>
      <w:r w:rsidRPr="00603BB4">
        <w:rPr>
          <w:rFonts w:eastAsia="Calibri"/>
          <w:lang w:val="es-EC" w:eastAsia="es-EC"/>
        </w:rPr>
        <w:t xml:space="preserve"> </w:t>
      </w:r>
    </w:p>
    <w:p w14:paraId="2DB8C6FE"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14. Madrona Marcos F, </w:t>
      </w:r>
      <w:proofErr w:type="spellStart"/>
      <w:r w:rsidRPr="00603BB4">
        <w:rPr>
          <w:rFonts w:eastAsia="Calibri"/>
          <w:lang w:val="es-EC" w:eastAsia="es-EC"/>
        </w:rPr>
        <w:t>Panisello</w:t>
      </w:r>
      <w:proofErr w:type="spellEnd"/>
      <w:r w:rsidRPr="00603BB4">
        <w:rPr>
          <w:rFonts w:eastAsia="Calibri"/>
          <w:lang w:val="es-EC" w:eastAsia="es-EC"/>
        </w:rPr>
        <w:t xml:space="preserve"> Royo </w:t>
      </w:r>
      <w:proofErr w:type="spellStart"/>
      <w:r w:rsidRPr="00603BB4">
        <w:rPr>
          <w:rFonts w:eastAsia="Calibri"/>
          <w:lang w:val="es-EC" w:eastAsia="es-EC"/>
        </w:rPr>
        <w:t>JM</w:t>
      </w:r>
      <w:proofErr w:type="spellEnd"/>
      <w:r w:rsidRPr="00603BB4">
        <w:rPr>
          <w:rFonts w:eastAsia="Calibri"/>
          <w:lang w:val="es-EC" w:eastAsia="es-EC"/>
        </w:rPr>
        <w:t xml:space="preserve">, Carbayo Herencia JA, </w:t>
      </w:r>
      <w:proofErr w:type="spellStart"/>
      <w:r w:rsidRPr="00603BB4">
        <w:rPr>
          <w:rFonts w:eastAsia="Calibri"/>
          <w:lang w:val="es-EC" w:eastAsia="es-EC"/>
        </w:rPr>
        <w:t>Alins</w:t>
      </w:r>
      <w:proofErr w:type="spellEnd"/>
      <w:r w:rsidRPr="00603BB4">
        <w:rPr>
          <w:rFonts w:eastAsia="Calibri"/>
          <w:lang w:val="es-EC" w:eastAsia="es-EC"/>
        </w:rPr>
        <w:t xml:space="preserve"> J, Tárraga Marcos L, Castell </w:t>
      </w:r>
      <w:proofErr w:type="spellStart"/>
      <w:r w:rsidRPr="00603BB4">
        <w:rPr>
          <w:rFonts w:eastAsia="Calibri"/>
          <w:lang w:val="es-EC" w:eastAsia="es-EC"/>
        </w:rPr>
        <w:t>Panisello</w:t>
      </w:r>
      <w:proofErr w:type="spellEnd"/>
      <w:r w:rsidRPr="00603BB4">
        <w:rPr>
          <w:rFonts w:eastAsia="Calibri"/>
          <w:lang w:val="es-EC" w:eastAsia="es-EC"/>
        </w:rPr>
        <w:t xml:space="preserve"> E, et al. Intervención motivacional de la obesidad en Atención Primaria mediante un programa de actividad física. </w:t>
      </w:r>
      <w:proofErr w:type="spellStart"/>
      <w:r w:rsidRPr="00603BB4">
        <w:rPr>
          <w:rFonts w:eastAsia="Calibri"/>
          <w:lang w:val="es-EC" w:eastAsia="es-EC"/>
        </w:rPr>
        <w:t>Nutr</w:t>
      </w:r>
      <w:proofErr w:type="spellEnd"/>
      <w:r w:rsidRPr="00603BB4">
        <w:rPr>
          <w:rFonts w:eastAsia="Calibri"/>
          <w:lang w:val="es-EC" w:eastAsia="es-EC"/>
        </w:rPr>
        <w:t xml:space="preserve"> </w:t>
      </w:r>
      <w:proofErr w:type="spellStart"/>
      <w:r w:rsidRPr="00603BB4">
        <w:rPr>
          <w:rFonts w:eastAsia="Calibri"/>
          <w:lang w:val="es-EC" w:eastAsia="es-EC"/>
        </w:rPr>
        <w:t>Hosp</w:t>
      </w:r>
      <w:proofErr w:type="spellEnd"/>
      <w:r w:rsidRPr="00603BB4">
        <w:rPr>
          <w:rFonts w:eastAsia="Calibri"/>
          <w:lang w:val="es-EC" w:eastAsia="es-EC"/>
        </w:rPr>
        <w:t xml:space="preserve">. 2020 [acceso: 12/11/2022]; 37(2):275-84. Disponible en: </w:t>
      </w:r>
      <w:hyperlink r:id="rId23" w:history="1">
        <w:r w:rsidRPr="00603BB4">
          <w:rPr>
            <w:rFonts w:eastAsia="Calibri"/>
            <w:color w:val="0563C1"/>
            <w:lang w:val="es-EC" w:eastAsia="es-EC"/>
          </w:rPr>
          <w:t>http://scielo.isciii.es/scielo.php?script=sci_arttext&amp;pid=S0212-16112020000300008&amp;lng=es</w:t>
        </w:r>
      </w:hyperlink>
      <w:r w:rsidRPr="00603BB4">
        <w:rPr>
          <w:rFonts w:eastAsia="Calibri"/>
          <w:lang w:val="es-EC" w:eastAsia="es-EC"/>
        </w:rPr>
        <w:t xml:space="preserve"> </w:t>
      </w:r>
    </w:p>
    <w:p w14:paraId="24B6D44B"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15. Rodrigo Cano S, Soriano del Castillo </w:t>
      </w:r>
      <w:proofErr w:type="spellStart"/>
      <w:r w:rsidRPr="00603BB4">
        <w:rPr>
          <w:rFonts w:eastAsia="Calibri"/>
          <w:lang w:val="es-EC" w:eastAsia="es-EC"/>
        </w:rPr>
        <w:t>JM</w:t>
      </w:r>
      <w:proofErr w:type="spellEnd"/>
      <w:r w:rsidRPr="00603BB4">
        <w:rPr>
          <w:rFonts w:eastAsia="Calibri"/>
          <w:lang w:val="es-EC" w:eastAsia="es-EC"/>
        </w:rPr>
        <w:t xml:space="preserve">, Merino Torres </w:t>
      </w:r>
      <w:proofErr w:type="spellStart"/>
      <w:r w:rsidRPr="00603BB4">
        <w:rPr>
          <w:rFonts w:eastAsia="Calibri"/>
          <w:lang w:val="es-EC" w:eastAsia="es-EC"/>
        </w:rPr>
        <w:t>JF</w:t>
      </w:r>
      <w:proofErr w:type="spellEnd"/>
      <w:r w:rsidRPr="00603BB4">
        <w:rPr>
          <w:rFonts w:eastAsia="Calibri"/>
          <w:lang w:val="es-EC" w:eastAsia="es-EC"/>
        </w:rPr>
        <w:t xml:space="preserve">. Causas y tratamiento de la obesidad. </w:t>
      </w:r>
      <w:proofErr w:type="spellStart"/>
      <w:r w:rsidRPr="00603BB4">
        <w:rPr>
          <w:rFonts w:eastAsia="Calibri"/>
          <w:lang w:val="es-EC" w:eastAsia="es-EC"/>
        </w:rPr>
        <w:t>Nutr</w:t>
      </w:r>
      <w:proofErr w:type="spellEnd"/>
      <w:r w:rsidRPr="00603BB4">
        <w:rPr>
          <w:rFonts w:eastAsia="Calibri"/>
          <w:lang w:val="es-EC" w:eastAsia="es-EC"/>
        </w:rPr>
        <w:t xml:space="preserve"> </w:t>
      </w:r>
      <w:proofErr w:type="spellStart"/>
      <w:r w:rsidRPr="00603BB4">
        <w:rPr>
          <w:rFonts w:eastAsia="Calibri"/>
          <w:lang w:val="es-EC" w:eastAsia="es-EC"/>
        </w:rPr>
        <w:t>clín</w:t>
      </w:r>
      <w:proofErr w:type="spellEnd"/>
      <w:r w:rsidRPr="00603BB4">
        <w:rPr>
          <w:rFonts w:eastAsia="Calibri"/>
          <w:lang w:val="es-EC" w:eastAsia="es-EC"/>
        </w:rPr>
        <w:t xml:space="preserve"> </w:t>
      </w:r>
      <w:proofErr w:type="spellStart"/>
      <w:r w:rsidRPr="00603BB4">
        <w:rPr>
          <w:rFonts w:eastAsia="Calibri"/>
          <w:lang w:val="es-EC" w:eastAsia="es-EC"/>
        </w:rPr>
        <w:t>diet</w:t>
      </w:r>
      <w:proofErr w:type="spellEnd"/>
      <w:r w:rsidRPr="00603BB4">
        <w:rPr>
          <w:rFonts w:eastAsia="Calibri"/>
          <w:lang w:val="es-EC" w:eastAsia="es-EC"/>
        </w:rPr>
        <w:t xml:space="preserve"> </w:t>
      </w:r>
      <w:proofErr w:type="spellStart"/>
      <w:r w:rsidRPr="00603BB4">
        <w:rPr>
          <w:rFonts w:eastAsia="Calibri"/>
          <w:lang w:val="es-EC" w:eastAsia="es-EC"/>
        </w:rPr>
        <w:t>hosp</w:t>
      </w:r>
      <w:proofErr w:type="spellEnd"/>
      <w:r w:rsidRPr="00603BB4">
        <w:rPr>
          <w:rFonts w:eastAsia="Calibri"/>
          <w:lang w:val="es-EC" w:eastAsia="es-EC"/>
        </w:rPr>
        <w:t xml:space="preserve">. 2017 [acceso: 20/12/2022]; 37(4):87-92. Disponible en: </w:t>
      </w:r>
      <w:hyperlink r:id="rId24" w:history="1">
        <w:r w:rsidRPr="00603BB4">
          <w:rPr>
            <w:rFonts w:eastAsia="Calibri"/>
            <w:color w:val="0563C1"/>
            <w:lang w:val="es-EC" w:eastAsia="es-EC"/>
          </w:rPr>
          <w:t>https://revista.nutricion.org/PDF/RCANO.pdf</w:t>
        </w:r>
      </w:hyperlink>
      <w:r w:rsidRPr="00603BB4">
        <w:rPr>
          <w:rFonts w:eastAsia="Calibri"/>
          <w:lang w:val="es-EC" w:eastAsia="es-EC"/>
        </w:rPr>
        <w:t xml:space="preserve"> </w:t>
      </w:r>
    </w:p>
    <w:p w14:paraId="14FB08CE"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16. Mellado-Orellana R, Salinas-Lezama E, Sánchez-Herrera D, Guajardo-Lozano J, Díaz-Greene </w:t>
      </w:r>
      <w:proofErr w:type="spellStart"/>
      <w:r w:rsidRPr="00603BB4">
        <w:rPr>
          <w:rFonts w:eastAsia="Calibri"/>
          <w:lang w:val="es-EC" w:eastAsia="es-EC"/>
        </w:rPr>
        <w:t>EJ</w:t>
      </w:r>
      <w:proofErr w:type="spellEnd"/>
      <w:r w:rsidRPr="00603BB4">
        <w:rPr>
          <w:rFonts w:eastAsia="Calibri"/>
          <w:lang w:val="es-EC" w:eastAsia="es-EC"/>
        </w:rPr>
        <w:t xml:space="preserve">, Rodríguez-Weber </w:t>
      </w:r>
      <w:proofErr w:type="spellStart"/>
      <w:r w:rsidRPr="00603BB4">
        <w:rPr>
          <w:rFonts w:eastAsia="Calibri"/>
          <w:lang w:val="es-EC" w:eastAsia="es-EC"/>
        </w:rPr>
        <w:t>FL</w:t>
      </w:r>
      <w:proofErr w:type="spellEnd"/>
      <w:r w:rsidRPr="00603BB4">
        <w:rPr>
          <w:rFonts w:eastAsia="Calibri"/>
          <w:lang w:val="es-EC" w:eastAsia="es-EC"/>
        </w:rPr>
        <w:t xml:space="preserve">, et al. Tratamiento farmacológico de la diabetes mellitus tipo 2 dirigido a pacientes con sobrepeso y obesidad. </w:t>
      </w:r>
      <w:proofErr w:type="spellStart"/>
      <w:r w:rsidRPr="00603BB4">
        <w:rPr>
          <w:rFonts w:eastAsia="Calibri"/>
          <w:lang w:val="es-EC" w:eastAsia="es-EC"/>
        </w:rPr>
        <w:t>Med</w:t>
      </w:r>
      <w:proofErr w:type="spellEnd"/>
      <w:r w:rsidRPr="00603BB4">
        <w:rPr>
          <w:rFonts w:eastAsia="Calibri"/>
          <w:lang w:val="es-EC" w:eastAsia="es-EC"/>
        </w:rPr>
        <w:t xml:space="preserve"> interna Méx. 2019 [acceso: 18/11/2022</w:t>
      </w:r>
      <w:proofErr w:type="gramStart"/>
      <w:r w:rsidRPr="00603BB4">
        <w:rPr>
          <w:rFonts w:eastAsia="Calibri"/>
          <w:lang w:val="es-EC" w:eastAsia="es-EC"/>
        </w:rPr>
        <w:t>];  35</w:t>
      </w:r>
      <w:proofErr w:type="gramEnd"/>
      <w:r w:rsidRPr="00603BB4">
        <w:rPr>
          <w:rFonts w:eastAsia="Calibri"/>
          <w:lang w:val="es-EC" w:eastAsia="es-EC"/>
        </w:rPr>
        <w:t xml:space="preserve">(4):525-36. Disponible en: </w:t>
      </w:r>
      <w:hyperlink r:id="rId25" w:history="1">
        <w:r w:rsidRPr="00603BB4">
          <w:rPr>
            <w:rFonts w:eastAsia="Calibri"/>
            <w:color w:val="0563C1"/>
            <w:lang w:val="es-EC" w:eastAsia="es-EC"/>
          </w:rPr>
          <w:t>http://www.scielo.org.mx/scielo.php?script=sci_arttext&amp;pid=S0186-48662019000400525&amp;lng=es</w:t>
        </w:r>
      </w:hyperlink>
      <w:r w:rsidRPr="00603BB4">
        <w:rPr>
          <w:rFonts w:eastAsia="Calibri"/>
          <w:lang w:val="es-EC" w:eastAsia="es-EC"/>
        </w:rPr>
        <w:t xml:space="preserve"> </w:t>
      </w:r>
    </w:p>
    <w:p w14:paraId="7D8D8C37"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17. </w:t>
      </w:r>
      <w:proofErr w:type="spellStart"/>
      <w:r w:rsidRPr="00603BB4">
        <w:rPr>
          <w:rFonts w:eastAsia="Calibri"/>
          <w:lang w:val="es-EC" w:eastAsia="es-EC"/>
        </w:rPr>
        <w:t>Darroman</w:t>
      </w:r>
      <w:proofErr w:type="spellEnd"/>
      <w:r w:rsidRPr="00603BB4">
        <w:rPr>
          <w:rFonts w:eastAsia="Calibri"/>
          <w:lang w:val="es-EC" w:eastAsia="es-EC"/>
        </w:rPr>
        <w:t xml:space="preserve"> Hall C, Acosta Gaibor M, Bustamante Cruz R, Moran Calderón J. Auriculoterapia y ejercicio físico: incidencia en el control y disminución de la obesidad exógena. </w:t>
      </w:r>
      <w:proofErr w:type="spellStart"/>
      <w:r w:rsidRPr="00603BB4">
        <w:rPr>
          <w:rFonts w:eastAsia="Calibri"/>
          <w:lang w:val="es-EC" w:eastAsia="es-EC"/>
        </w:rPr>
        <w:t>Journal</w:t>
      </w:r>
      <w:proofErr w:type="spellEnd"/>
      <w:r w:rsidRPr="00603BB4">
        <w:rPr>
          <w:rFonts w:eastAsia="Calibri"/>
          <w:lang w:val="es-EC" w:eastAsia="es-EC"/>
        </w:rPr>
        <w:t xml:space="preserve"> </w:t>
      </w:r>
      <w:proofErr w:type="spellStart"/>
      <w:r w:rsidRPr="00603BB4">
        <w:rPr>
          <w:rFonts w:eastAsia="Calibri"/>
          <w:lang w:val="es-EC" w:eastAsia="es-EC"/>
        </w:rPr>
        <w:t>of</w:t>
      </w:r>
      <w:proofErr w:type="spellEnd"/>
      <w:r w:rsidRPr="00603BB4">
        <w:rPr>
          <w:rFonts w:eastAsia="Calibri"/>
          <w:lang w:val="es-EC" w:eastAsia="es-EC"/>
        </w:rPr>
        <w:t xml:space="preserve"> </w:t>
      </w:r>
      <w:proofErr w:type="spellStart"/>
      <w:r w:rsidRPr="00603BB4">
        <w:rPr>
          <w:rFonts w:eastAsia="Calibri"/>
          <w:lang w:val="es-EC" w:eastAsia="es-EC"/>
        </w:rPr>
        <w:t>Science</w:t>
      </w:r>
      <w:proofErr w:type="spellEnd"/>
      <w:r w:rsidRPr="00603BB4">
        <w:rPr>
          <w:rFonts w:eastAsia="Calibri"/>
          <w:lang w:val="es-EC" w:eastAsia="es-EC"/>
        </w:rPr>
        <w:t xml:space="preserve"> and </w:t>
      </w:r>
      <w:proofErr w:type="spellStart"/>
      <w:r w:rsidRPr="00603BB4">
        <w:rPr>
          <w:rFonts w:eastAsia="Calibri"/>
          <w:lang w:val="es-EC" w:eastAsia="es-EC"/>
        </w:rPr>
        <w:t>Research</w:t>
      </w:r>
      <w:proofErr w:type="spellEnd"/>
      <w:r w:rsidRPr="00603BB4">
        <w:rPr>
          <w:rFonts w:eastAsia="Calibri"/>
          <w:lang w:val="es-EC" w:eastAsia="es-EC"/>
        </w:rPr>
        <w:t xml:space="preserve">: Revista Ciencia e Investigación. 2021 [acceso: 12/11/2022]; 6(1):1-17. Disponible en: </w:t>
      </w:r>
      <w:hyperlink r:id="rId26" w:history="1">
        <w:r w:rsidRPr="00603BB4">
          <w:rPr>
            <w:rFonts w:eastAsia="Calibri"/>
            <w:color w:val="0563C1"/>
            <w:lang w:val="es-EC" w:eastAsia="es-EC"/>
          </w:rPr>
          <w:t>https://revistas.utb.edu.ec/index.php/sr/article/view/739</w:t>
        </w:r>
      </w:hyperlink>
      <w:r w:rsidRPr="00603BB4">
        <w:rPr>
          <w:rFonts w:eastAsia="Calibri"/>
          <w:lang w:val="es-EC" w:eastAsia="es-EC"/>
        </w:rPr>
        <w:t xml:space="preserve"> </w:t>
      </w:r>
    </w:p>
    <w:p w14:paraId="3A4921D3"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18. Noa </w:t>
      </w:r>
      <w:proofErr w:type="spellStart"/>
      <w:r w:rsidRPr="00603BB4">
        <w:rPr>
          <w:rFonts w:eastAsia="Calibri"/>
          <w:lang w:val="es-EC" w:eastAsia="es-EC"/>
        </w:rPr>
        <w:t>Paumier</w:t>
      </w:r>
      <w:proofErr w:type="spellEnd"/>
      <w:r w:rsidRPr="00603BB4">
        <w:rPr>
          <w:rFonts w:eastAsia="Calibri"/>
          <w:lang w:val="es-EC" w:eastAsia="es-EC"/>
        </w:rPr>
        <w:t xml:space="preserve"> D, Salas Ferrer H, Navarro </w:t>
      </w:r>
      <w:proofErr w:type="spellStart"/>
      <w:r w:rsidRPr="00603BB4">
        <w:rPr>
          <w:rFonts w:eastAsia="Calibri"/>
          <w:lang w:val="es-EC" w:eastAsia="es-EC"/>
        </w:rPr>
        <w:t>Caboverde</w:t>
      </w:r>
      <w:proofErr w:type="spellEnd"/>
      <w:r w:rsidRPr="00603BB4">
        <w:rPr>
          <w:rFonts w:eastAsia="Calibri"/>
          <w:lang w:val="es-EC" w:eastAsia="es-EC"/>
        </w:rPr>
        <w:t xml:space="preserve"> Y, Reyes </w:t>
      </w:r>
      <w:proofErr w:type="spellStart"/>
      <w:r w:rsidRPr="00603BB4">
        <w:rPr>
          <w:rFonts w:eastAsia="Calibri"/>
          <w:lang w:val="es-EC" w:eastAsia="es-EC"/>
        </w:rPr>
        <w:t>Sanamé</w:t>
      </w:r>
      <w:proofErr w:type="spellEnd"/>
      <w:r w:rsidRPr="00603BB4">
        <w:rPr>
          <w:rFonts w:eastAsia="Calibri"/>
          <w:lang w:val="es-EC" w:eastAsia="es-EC"/>
        </w:rPr>
        <w:t xml:space="preserve"> FA, Alba Tejeda MA. Caracterización clínica, epidemiológica y antropométrica de mujeres con obesidad del municipio Holguín. </w:t>
      </w:r>
      <w:proofErr w:type="spellStart"/>
      <w:r w:rsidRPr="00603BB4">
        <w:rPr>
          <w:rFonts w:eastAsia="Calibri"/>
          <w:lang w:val="es-EC" w:eastAsia="es-EC"/>
        </w:rPr>
        <w:t>CCM</w:t>
      </w:r>
      <w:proofErr w:type="spellEnd"/>
      <w:r w:rsidRPr="00603BB4">
        <w:rPr>
          <w:rFonts w:eastAsia="Calibri"/>
          <w:lang w:val="es-EC" w:eastAsia="es-EC"/>
        </w:rPr>
        <w:t>. 2021 [acceso: 12/11/2022]; 25(2</w:t>
      </w:r>
      <w:proofErr w:type="gramStart"/>
      <w:r w:rsidRPr="00603BB4">
        <w:rPr>
          <w:rFonts w:eastAsia="Calibri"/>
          <w:lang w:val="es-EC" w:eastAsia="es-EC"/>
        </w:rPr>
        <w:t>):[</w:t>
      </w:r>
      <w:proofErr w:type="gramEnd"/>
      <w:r w:rsidRPr="00603BB4">
        <w:rPr>
          <w:rFonts w:eastAsia="Calibri"/>
          <w:lang w:val="es-EC" w:eastAsia="es-EC"/>
        </w:rPr>
        <w:t xml:space="preserve">aprox. 23. p.]. Disponible en: </w:t>
      </w:r>
      <w:hyperlink r:id="rId27" w:history="1">
        <w:r w:rsidRPr="00603BB4">
          <w:rPr>
            <w:rFonts w:eastAsia="Calibri"/>
            <w:color w:val="0563C1"/>
            <w:lang w:val="es-EC" w:eastAsia="es-EC"/>
          </w:rPr>
          <w:t>http://revcocmed.sld.cu/index.php/cocmed/article/view/3659</w:t>
        </w:r>
      </w:hyperlink>
      <w:r w:rsidRPr="00603BB4">
        <w:rPr>
          <w:rFonts w:eastAsia="Calibri"/>
          <w:lang w:val="es-EC" w:eastAsia="es-EC"/>
        </w:rPr>
        <w:t xml:space="preserve"> </w:t>
      </w:r>
    </w:p>
    <w:p w14:paraId="22A381A2"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lastRenderedPageBreak/>
        <w:t xml:space="preserve">19. Hidalgo Villarreal VI, Cabral PC, Batista </w:t>
      </w:r>
      <w:proofErr w:type="spellStart"/>
      <w:r w:rsidRPr="00603BB4">
        <w:rPr>
          <w:rFonts w:eastAsia="Calibri"/>
          <w:lang w:val="es-EC" w:eastAsia="es-EC"/>
        </w:rPr>
        <w:t>Filho</w:t>
      </w:r>
      <w:proofErr w:type="spellEnd"/>
      <w:r w:rsidRPr="00603BB4">
        <w:rPr>
          <w:rFonts w:eastAsia="Calibri"/>
          <w:lang w:val="es-EC" w:eastAsia="es-EC"/>
        </w:rPr>
        <w:t xml:space="preserve"> M, Sequeira-de-A LA, </w:t>
      </w:r>
      <w:proofErr w:type="spellStart"/>
      <w:r w:rsidRPr="00603BB4">
        <w:rPr>
          <w:rFonts w:eastAsia="Calibri"/>
          <w:lang w:val="es-EC" w:eastAsia="es-EC"/>
        </w:rPr>
        <w:t>Arruda</w:t>
      </w:r>
      <w:proofErr w:type="spellEnd"/>
      <w:r w:rsidRPr="00603BB4">
        <w:rPr>
          <w:rFonts w:eastAsia="Calibri"/>
          <w:lang w:val="es-EC" w:eastAsia="es-EC"/>
        </w:rPr>
        <w:t xml:space="preserve"> IK, Silva CS, et al. Obesidad abdominal en adultos del estado de Pernambuco, Brasil: un estudio epidemiológico de tipo transversal. Revista Española Nutrición Humana y Dietética. 2020 [acceso: 12/11/2022]; 24(3):190–202. Disponible en: </w:t>
      </w:r>
      <w:hyperlink r:id="rId28" w:history="1">
        <w:r w:rsidRPr="00603BB4">
          <w:rPr>
            <w:rFonts w:eastAsia="Calibri"/>
            <w:color w:val="0563C1"/>
            <w:lang w:val="es-EC" w:eastAsia="es-EC"/>
          </w:rPr>
          <w:t>https://renhyd.org/index.php/renhyd/article/view/849</w:t>
        </w:r>
      </w:hyperlink>
      <w:r w:rsidRPr="00603BB4">
        <w:rPr>
          <w:rFonts w:eastAsia="Calibri"/>
          <w:lang w:val="es-EC" w:eastAsia="es-EC"/>
        </w:rPr>
        <w:t xml:space="preserve"> </w:t>
      </w:r>
    </w:p>
    <w:p w14:paraId="75B0DF7E"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20. Oliveira </w:t>
      </w:r>
      <w:proofErr w:type="spellStart"/>
      <w:r w:rsidRPr="00603BB4">
        <w:rPr>
          <w:rFonts w:eastAsia="Calibri"/>
          <w:lang w:val="es-EC" w:eastAsia="es-EC"/>
        </w:rPr>
        <w:t>Siqueira</w:t>
      </w:r>
      <w:proofErr w:type="spellEnd"/>
      <w:r w:rsidRPr="00603BB4">
        <w:rPr>
          <w:rFonts w:eastAsia="Calibri"/>
          <w:lang w:val="es-EC" w:eastAsia="es-EC"/>
        </w:rPr>
        <w:t xml:space="preserve"> L, Cristine </w:t>
      </w:r>
      <w:proofErr w:type="spellStart"/>
      <w:r w:rsidRPr="00603BB4">
        <w:rPr>
          <w:rFonts w:eastAsia="Calibri"/>
          <w:lang w:val="es-EC" w:eastAsia="es-EC"/>
        </w:rPr>
        <w:t>Frigeri</w:t>
      </w:r>
      <w:proofErr w:type="spellEnd"/>
      <w:r w:rsidRPr="00603BB4">
        <w:rPr>
          <w:rFonts w:eastAsia="Calibri"/>
          <w:lang w:val="es-EC" w:eastAsia="es-EC"/>
        </w:rPr>
        <w:t xml:space="preserve"> F. Uso da metformina como agente </w:t>
      </w:r>
      <w:proofErr w:type="spellStart"/>
      <w:r w:rsidRPr="00603BB4">
        <w:rPr>
          <w:rFonts w:eastAsia="Calibri"/>
          <w:lang w:val="es-EC" w:eastAsia="es-EC"/>
        </w:rPr>
        <w:t>emagrecedor</w:t>
      </w:r>
      <w:proofErr w:type="spellEnd"/>
      <w:r w:rsidRPr="00603BB4">
        <w:rPr>
          <w:rFonts w:eastAsia="Calibri"/>
          <w:lang w:val="es-EC" w:eastAsia="es-EC"/>
        </w:rPr>
        <w:t xml:space="preserve">. </w:t>
      </w:r>
      <w:proofErr w:type="spellStart"/>
      <w:r w:rsidRPr="00603BB4">
        <w:rPr>
          <w:rFonts w:eastAsia="Calibri"/>
          <w:lang w:val="es-EC" w:eastAsia="es-EC"/>
        </w:rPr>
        <w:t>Rev</w:t>
      </w:r>
      <w:proofErr w:type="spellEnd"/>
      <w:r w:rsidRPr="00603BB4">
        <w:rPr>
          <w:rFonts w:eastAsia="Calibri"/>
          <w:lang w:val="es-EC" w:eastAsia="es-EC"/>
        </w:rPr>
        <w:t xml:space="preserve"> Brasileira </w:t>
      </w:r>
      <w:proofErr w:type="spellStart"/>
      <w:r w:rsidRPr="00603BB4">
        <w:rPr>
          <w:rFonts w:eastAsia="Calibri"/>
          <w:lang w:val="es-EC" w:eastAsia="es-EC"/>
        </w:rPr>
        <w:t>Obesidade</w:t>
      </w:r>
      <w:proofErr w:type="spellEnd"/>
      <w:r w:rsidRPr="00603BB4">
        <w:rPr>
          <w:rFonts w:eastAsia="Calibri"/>
          <w:lang w:val="es-EC" w:eastAsia="es-EC"/>
        </w:rPr>
        <w:t xml:space="preserve">, </w:t>
      </w:r>
      <w:proofErr w:type="spellStart"/>
      <w:r w:rsidRPr="00603BB4">
        <w:rPr>
          <w:rFonts w:eastAsia="Calibri"/>
          <w:lang w:val="es-EC" w:eastAsia="es-EC"/>
        </w:rPr>
        <w:t>Nutrição</w:t>
      </w:r>
      <w:proofErr w:type="spellEnd"/>
      <w:r w:rsidRPr="00603BB4">
        <w:rPr>
          <w:rFonts w:eastAsia="Calibri"/>
          <w:lang w:val="es-EC" w:eastAsia="es-EC"/>
        </w:rPr>
        <w:t xml:space="preserve"> e </w:t>
      </w:r>
      <w:proofErr w:type="spellStart"/>
      <w:r w:rsidRPr="00603BB4">
        <w:rPr>
          <w:rFonts w:eastAsia="Calibri"/>
          <w:lang w:val="es-EC" w:eastAsia="es-EC"/>
        </w:rPr>
        <w:t>Emagrecimento</w:t>
      </w:r>
      <w:proofErr w:type="spellEnd"/>
      <w:r w:rsidRPr="00603BB4">
        <w:rPr>
          <w:rFonts w:eastAsia="Calibri"/>
          <w:lang w:val="es-EC" w:eastAsia="es-EC"/>
        </w:rPr>
        <w:t xml:space="preserve">. 2018 [acceso: 12/11/2022]; 12(71):285-92. Disponible en: </w:t>
      </w:r>
      <w:hyperlink r:id="rId29" w:history="1">
        <w:r w:rsidRPr="00603BB4">
          <w:rPr>
            <w:rFonts w:eastAsia="Calibri"/>
            <w:color w:val="0563C1"/>
            <w:lang w:val="es-EC" w:eastAsia="es-EC"/>
          </w:rPr>
          <w:t>https://dialnet.unirioja.es/descarga/articulo/6985443.pdf</w:t>
        </w:r>
      </w:hyperlink>
      <w:r w:rsidRPr="00603BB4">
        <w:rPr>
          <w:rFonts w:eastAsia="Calibri"/>
          <w:lang w:val="es-EC" w:eastAsia="es-EC"/>
        </w:rPr>
        <w:t xml:space="preserve"> </w:t>
      </w:r>
    </w:p>
    <w:p w14:paraId="1D7AD518"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21. Pereira </w:t>
      </w:r>
      <w:proofErr w:type="spellStart"/>
      <w:r w:rsidRPr="00603BB4">
        <w:rPr>
          <w:rFonts w:eastAsia="Calibri"/>
          <w:lang w:val="es-EC" w:eastAsia="es-EC"/>
        </w:rPr>
        <w:t>Despaigne</w:t>
      </w:r>
      <w:proofErr w:type="spellEnd"/>
      <w:r w:rsidRPr="00603BB4">
        <w:rPr>
          <w:rFonts w:eastAsia="Calibri"/>
          <w:lang w:val="es-EC" w:eastAsia="es-EC"/>
        </w:rPr>
        <w:t xml:space="preserve"> </w:t>
      </w:r>
      <w:proofErr w:type="spellStart"/>
      <w:r w:rsidRPr="00603BB4">
        <w:rPr>
          <w:rFonts w:eastAsia="Calibri"/>
          <w:lang w:val="es-EC" w:eastAsia="es-EC"/>
        </w:rPr>
        <w:t>OL</w:t>
      </w:r>
      <w:proofErr w:type="spellEnd"/>
      <w:r w:rsidRPr="00603BB4">
        <w:rPr>
          <w:rFonts w:eastAsia="Calibri"/>
          <w:lang w:val="es-EC" w:eastAsia="es-EC"/>
        </w:rPr>
        <w:t xml:space="preserve">, Palay </w:t>
      </w:r>
      <w:proofErr w:type="spellStart"/>
      <w:r w:rsidRPr="00603BB4">
        <w:rPr>
          <w:rFonts w:eastAsia="Calibri"/>
          <w:lang w:val="es-EC" w:eastAsia="es-EC"/>
        </w:rPr>
        <w:t>Despaigne</w:t>
      </w:r>
      <w:proofErr w:type="spellEnd"/>
      <w:r w:rsidRPr="00603BB4">
        <w:rPr>
          <w:rFonts w:eastAsia="Calibri"/>
          <w:lang w:val="es-EC" w:eastAsia="es-EC"/>
        </w:rPr>
        <w:t xml:space="preserve"> MS. Eficacia de la metformina en pacientes con obesidad exógena. </w:t>
      </w:r>
      <w:proofErr w:type="spellStart"/>
      <w:r w:rsidRPr="00603BB4">
        <w:rPr>
          <w:rFonts w:eastAsia="Calibri"/>
          <w:lang w:val="es-EC" w:eastAsia="es-EC"/>
        </w:rPr>
        <w:t>MEDISAN</w:t>
      </w:r>
      <w:proofErr w:type="spellEnd"/>
      <w:r w:rsidRPr="00603BB4">
        <w:rPr>
          <w:rFonts w:eastAsia="Calibri"/>
          <w:lang w:val="es-EC" w:eastAsia="es-EC"/>
        </w:rPr>
        <w:t xml:space="preserve">. 2015 [acceso: 12/11/2022]; 19(2):215-22. Disponible en: </w:t>
      </w:r>
      <w:hyperlink r:id="rId30" w:history="1">
        <w:r w:rsidRPr="00603BB4">
          <w:rPr>
            <w:rFonts w:eastAsia="Calibri"/>
            <w:color w:val="0563C1"/>
            <w:lang w:val="es-EC" w:eastAsia="es-EC"/>
          </w:rPr>
          <w:t>http://scielo.sld.cu/scielo.php?script=sci_arttext&amp;pid=S1029-30192015000200010&amp;lng=es</w:t>
        </w:r>
      </w:hyperlink>
      <w:r w:rsidRPr="00603BB4">
        <w:rPr>
          <w:rFonts w:eastAsia="Calibri"/>
          <w:lang w:val="es-EC" w:eastAsia="es-EC"/>
        </w:rPr>
        <w:t xml:space="preserve"> </w:t>
      </w:r>
    </w:p>
    <w:p w14:paraId="0C4DB7FD" w14:textId="77777777" w:rsidR="00603BB4" w:rsidRPr="00603BB4" w:rsidRDefault="00603BB4" w:rsidP="00603BB4">
      <w:pPr>
        <w:spacing w:line="360" w:lineRule="auto"/>
        <w:contextualSpacing/>
        <w:rPr>
          <w:rFonts w:eastAsia="Calibri"/>
          <w:lang w:val="es-EC" w:eastAsia="es-EC"/>
        </w:rPr>
      </w:pPr>
      <w:r w:rsidRPr="00603BB4">
        <w:rPr>
          <w:rFonts w:eastAsia="Calibri"/>
          <w:lang w:val="en-US" w:eastAsia="es-EC"/>
        </w:rPr>
        <w:t xml:space="preserve">22. Pascale A, Marchesi N, </w:t>
      </w:r>
      <w:proofErr w:type="spellStart"/>
      <w:r w:rsidRPr="00603BB4">
        <w:rPr>
          <w:rFonts w:eastAsia="Calibri"/>
          <w:lang w:val="en-US" w:eastAsia="es-EC"/>
        </w:rPr>
        <w:t>Govoni</w:t>
      </w:r>
      <w:proofErr w:type="spellEnd"/>
      <w:r w:rsidRPr="00603BB4">
        <w:rPr>
          <w:rFonts w:eastAsia="Calibri"/>
          <w:lang w:val="en-US" w:eastAsia="es-EC"/>
        </w:rPr>
        <w:t xml:space="preserve"> S, Coppola A, </w:t>
      </w:r>
      <w:proofErr w:type="spellStart"/>
      <w:r w:rsidRPr="00603BB4">
        <w:rPr>
          <w:rFonts w:eastAsia="Calibri"/>
          <w:lang w:val="en-US" w:eastAsia="es-EC"/>
        </w:rPr>
        <w:t>Gazzaruso</w:t>
      </w:r>
      <w:proofErr w:type="spellEnd"/>
      <w:r w:rsidRPr="00603BB4">
        <w:rPr>
          <w:rFonts w:eastAsia="Calibri"/>
          <w:lang w:val="en-US" w:eastAsia="es-EC"/>
        </w:rPr>
        <w:t xml:space="preserve"> C. The role of gut microbiota in obesity, diabetes mellitus, and effect of metformin: new insights into old diseases. </w:t>
      </w:r>
      <w:proofErr w:type="spellStart"/>
      <w:r w:rsidRPr="00603BB4">
        <w:rPr>
          <w:rFonts w:eastAsia="Calibri"/>
          <w:lang w:val="es-EC" w:eastAsia="es-EC"/>
        </w:rPr>
        <w:t>Curr</w:t>
      </w:r>
      <w:proofErr w:type="spellEnd"/>
      <w:r w:rsidRPr="00603BB4">
        <w:rPr>
          <w:rFonts w:eastAsia="Calibri"/>
          <w:lang w:val="es-EC" w:eastAsia="es-EC"/>
        </w:rPr>
        <w:t xml:space="preserve"> </w:t>
      </w:r>
      <w:proofErr w:type="spellStart"/>
      <w:r w:rsidRPr="00603BB4">
        <w:rPr>
          <w:rFonts w:eastAsia="Calibri"/>
          <w:lang w:val="es-EC" w:eastAsia="es-EC"/>
        </w:rPr>
        <w:t>Opin</w:t>
      </w:r>
      <w:proofErr w:type="spellEnd"/>
      <w:r w:rsidRPr="00603BB4">
        <w:rPr>
          <w:rFonts w:eastAsia="Calibri"/>
          <w:lang w:val="es-EC" w:eastAsia="es-EC"/>
        </w:rPr>
        <w:t xml:space="preserve"> </w:t>
      </w:r>
      <w:proofErr w:type="spellStart"/>
      <w:r w:rsidRPr="00603BB4">
        <w:rPr>
          <w:rFonts w:eastAsia="Calibri"/>
          <w:lang w:val="es-EC" w:eastAsia="es-EC"/>
        </w:rPr>
        <w:t>Pharmacol</w:t>
      </w:r>
      <w:proofErr w:type="spellEnd"/>
      <w:r w:rsidRPr="00603BB4">
        <w:rPr>
          <w:rFonts w:eastAsia="Calibri"/>
          <w:lang w:val="es-EC" w:eastAsia="es-EC"/>
        </w:rPr>
        <w:t xml:space="preserve">. 2019 [acceso: 12/11/2022]; 49:1-5. Disponible en: </w:t>
      </w:r>
      <w:hyperlink r:id="rId31" w:history="1">
        <w:r w:rsidRPr="00603BB4">
          <w:rPr>
            <w:rFonts w:eastAsia="Calibri"/>
            <w:color w:val="0563C1"/>
            <w:lang w:val="es-EC" w:eastAsia="es-EC"/>
          </w:rPr>
          <w:t>https://www.sciencedirect.com/science/article/abs/pii/S147148921830153X</w:t>
        </w:r>
      </w:hyperlink>
      <w:r w:rsidRPr="00603BB4">
        <w:rPr>
          <w:rFonts w:eastAsia="Calibri"/>
          <w:lang w:val="es-EC" w:eastAsia="es-EC"/>
        </w:rPr>
        <w:t xml:space="preserve"> </w:t>
      </w:r>
    </w:p>
    <w:p w14:paraId="1C981637" w14:textId="77777777" w:rsidR="00603BB4" w:rsidRPr="00603BB4" w:rsidRDefault="00603BB4" w:rsidP="00603BB4">
      <w:pPr>
        <w:spacing w:line="360" w:lineRule="auto"/>
        <w:contextualSpacing/>
        <w:rPr>
          <w:rFonts w:eastAsia="Calibri"/>
          <w:lang w:val="es-EC" w:eastAsia="es-EC"/>
        </w:rPr>
      </w:pPr>
      <w:r w:rsidRPr="00603BB4">
        <w:rPr>
          <w:rFonts w:eastAsia="Calibri"/>
          <w:lang w:val="en-US" w:eastAsia="es-EC"/>
        </w:rPr>
        <w:t xml:space="preserve">23. Cohen JB, Gadde KM. Weight Loss Medications in the Treatment of Obesity and Hypertension. </w:t>
      </w:r>
      <w:proofErr w:type="spellStart"/>
      <w:r w:rsidRPr="00603BB4">
        <w:rPr>
          <w:rFonts w:eastAsia="Calibri"/>
          <w:lang w:val="es-CU" w:eastAsia="es-EC"/>
        </w:rPr>
        <w:t>Curr</w:t>
      </w:r>
      <w:proofErr w:type="spellEnd"/>
      <w:r w:rsidRPr="00603BB4">
        <w:rPr>
          <w:rFonts w:eastAsia="Calibri"/>
          <w:lang w:val="es-CU" w:eastAsia="es-EC"/>
        </w:rPr>
        <w:t xml:space="preserve"> </w:t>
      </w:r>
      <w:proofErr w:type="spellStart"/>
      <w:r w:rsidRPr="00603BB4">
        <w:rPr>
          <w:rFonts w:eastAsia="Calibri"/>
          <w:lang w:val="es-CU" w:eastAsia="es-EC"/>
        </w:rPr>
        <w:t>Hypertens</w:t>
      </w:r>
      <w:proofErr w:type="spellEnd"/>
      <w:r w:rsidRPr="00603BB4">
        <w:rPr>
          <w:rFonts w:eastAsia="Calibri"/>
          <w:lang w:val="es-CU" w:eastAsia="es-EC"/>
        </w:rPr>
        <w:t xml:space="preserve"> Rep. 2019 Feb 12 [acceso: 12/11/2022]; 21(2):16. </w:t>
      </w:r>
      <w:r w:rsidRPr="00603BB4">
        <w:rPr>
          <w:rFonts w:eastAsia="Calibri"/>
          <w:lang w:val="es-EC" w:eastAsia="es-EC"/>
        </w:rPr>
        <w:t xml:space="preserve">Disponible en: </w:t>
      </w:r>
      <w:hyperlink r:id="rId32" w:history="1">
        <w:r w:rsidRPr="00603BB4">
          <w:rPr>
            <w:rFonts w:eastAsia="Calibri"/>
            <w:color w:val="0563C1"/>
            <w:lang w:val="es-EC" w:eastAsia="es-EC"/>
          </w:rPr>
          <w:t>https://link.springer.com/article/10.1007%2Fs11906-019-0915-1</w:t>
        </w:r>
      </w:hyperlink>
      <w:r w:rsidRPr="00603BB4">
        <w:rPr>
          <w:rFonts w:eastAsia="Calibri"/>
          <w:lang w:val="es-EC" w:eastAsia="es-EC"/>
        </w:rPr>
        <w:t xml:space="preserve"> </w:t>
      </w:r>
    </w:p>
    <w:p w14:paraId="11990364"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24. Alarcón-Sotelo A, Gómez-Romero P, Regules-Silva S, Pardinas-Llergo </w:t>
      </w:r>
      <w:proofErr w:type="spellStart"/>
      <w:r w:rsidRPr="00603BB4">
        <w:rPr>
          <w:rFonts w:eastAsia="Calibri"/>
          <w:lang w:val="es-EC" w:eastAsia="es-EC"/>
        </w:rPr>
        <w:t>MJ</w:t>
      </w:r>
      <w:proofErr w:type="spellEnd"/>
      <w:r w:rsidRPr="00603BB4">
        <w:rPr>
          <w:rFonts w:eastAsia="Calibri"/>
          <w:lang w:val="es-EC" w:eastAsia="es-EC"/>
        </w:rPr>
        <w:t xml:space="preserve">, Rodríguez-Weber </w:t>
      </w:r>
      <w:proofErr w:type="spellStart"/>
      <w:r w:rsidRPr="00603BB4">
        <w:rPr>
          <w:rFonts w:eastAsia="Calibri"/>
          <w:lang w:val="es-EC" w:eastAsia="es-EC"/>
        </w:rPr>
        <w:t>FL</w:t>
      </w:r>
      <w:proofErr w:type="spellEnd"/>
      <w:r w:rsidRPr="00603BB4">
        <w:rPr>
          <w:rFonts w:eastAsia="Calibri"/>
          <w:lang w:val="es-EC" w:eastAsia="es-EC"/>
        </w:rPr>
        <w:t xml:space="preserve">, Díaz-Greene </w:t>
      </w:r>
      <w:proofErr w:type="spellStart"/>
      <w:r w:rsidRPr="00603BB4">
        <w:rPr>
          <w:rFonts w:eastAsia="Calibri"/>
          <w:lang w:val="es-EC" w:eastAsia="es-EC"/>
        </w:rPr>
        <w:t>EJ</w:t>
      </w:r>
      <w:proofErr w:type="spellEnd"/>
      <w:r w:rsidRPr="00603BB4">
        <w:rPr>
          <w:rFonts w:eastAsia="Calibri"/>
          <w:lang w:val="es-EC" w:eastAsia="es-EC"/>
        </w:rPr>
        <w:t xml:space="preserve">, et al. Actualidades en el tratamiento farmacológico a largo plazo de la obesidad. ¿Una opción terapéutica? </w:t>
      </w:r>
      <w:proofErr w:type="spellStart"/>
      <w:r w:rsidRPr="00603BB4">
        <w:rPr>
          <w:rFonts w:eastAsia="Calibri"/>
          <w:lang w:val="es-EC" w:eastAsia="es-EC"/>
        </w:rPr>
        <w:t>Med</w:t>
      </w:r>
      <w:proofErr w:type="spellEnd"/>
      <w:r w:rsidRPr="00603BB4">
        <w:rPr>
          <w:rFonts w:eastAsia="Calibri"/>
          <w:lang w:val="es-EC" w:eastAsia="es-EC"/>
        </w:rPr>
        <w:t xml:space="preserve"> interna Méx. 2018 [acceso: 12/11/2022]; 34(6):946-58. Disponible en: </w:t>
      </w:r>
      <w:hyperlink r:id="rId33" w:history="1">
        <w:r w:rsidRPr="00603BB4">
          <w:rPr>
            <w:rFonts w:eastAsia="Calibri"/>
            <w:color w:val="0563C1"/>
            <w:lang w:val="es-EC" w:eastAsia="es-EC"/>
          </w:rPr>
          <w:t>http://www.scielo.org.mx/scielo.php?script=sci_arttext&amp;pid=S0186-48662018000600013&amp;lng=es</w:t>
        </w:r>
      </w:hyperlink>
      <w:r w:rsidRPr="00603BB4">
        <w:rPr>
          <w:rFonts w:eastAsia="Calibri"/>
          <w:lang w:val="es-EC" w:eastAsia="es-EC"/>
        </w:rPr>
        <w:t xml:space="preserve"> </w:t>
      </w:r>
    </w:p>
    <w:p w14:paraId="3623CAC7" w14:textId="77777777" w:rsidR="00603BB4" w:rsidRPr="00603BB4" w:rsidRDefault="00603BB4" w:rsidP="00603BB4">
      <w:pPr>
        <w:spacing w:line="360" w:lineRule="auto"/>
        <w:contextualSpacing/>
        <w:rPr>
          <w:rFonts w:eastAsia="Calibri"/>
          <w:lang w:val="es-EC" w:eastAsia="es-EC"/>
        </w:rPr>
      </w:pPr>
      <w:r w:rsidRPr="00603BB4">
        <w:rPr>
          <w:rFonts w:eastAsia="Calibri"/>
          <w:lang w:val="es-EC" w:eastAsia="es-EC"/>
        </w:rPr>
        <w:t xml:space="preserve">25. Artavia MA. Prevalencia de Síndrome Metabólico en un grupo de mujeres con Síndrome de Ovario Poliquístico [Tesis de Maestría]. Querétaro: Universidad Autónoma de Querétaro, Facultad de Ciencias Naturales; 2023. [acceso: 20/03/2023]; Disponible en: </w:t>
      </w:r>
      <w:hyperlink r:id="rId34" w:history="1">
        <w:r w:rsidRPr="00603BB4">
          <w:rPr>
            <w:rFonts w:eastAsia="Calibri"/>
            <w:color w:val="0563C1"/>
            <w:lang w:val="es-EC" w:eastAsia="es-EC"/>
          </w:rPr>
          <w:t>https://ri-ng.uaq.mx/bitstream/123456789/4351/1/CNMAC-300589-0123-123-Melissa%20de%20los%20%c3%81ngeles%20Vargas%20Artavia.pdf</w:t>
        </w:r>
      </w:hyperlink>
      <w:r w:rsidRPr="00603BB4">
        <w:rPr>
          <w:rFonts w:eastAsia="Calibri"/>
          <w:lang w:val="es-EC" w:eastAsia="es-EC"/>
        </w:rPr>
        <w:t xml:space="preserve"> </w:t>
      </w:r>
    </w:p>
    <w:p w14:paraId="1626F7A8" w14:textId="77777777" w:rsidR="00603BB4" w:rsidRPr="00603BB4" w:rsidRDefault="00603BB4" w:rsidP="00603BB4">
      <w:pPr>
        <w:spacing w:line="360" w:lineRule="auto"/>
        <w:ind w:left="360"/>
        <w:contextualSpacing/>
        <w:jc w:val="both"/>
        <w:rPr>
          <w:rFonts w:eastAsia="Calibri"/>
          <w:lang w:val="es-ES" w:eastAsia="en-US"/>
        </w:rPr>
      </w:pPr>
    </w:p>
    <w:p w14:paraId="6FF7A6D2" w14:textId="77777777" w:rsidR="00603BB4" w:rsidRPr="00603BB4" w:rsidRDefault="00603BB4" w:rsidP="00603BB4">
      <w:pPr>
        <w:spacing w:line="360" w:lineRule="auto"/>
        <w:ind w:left="360"/>
        <w:contextualSpacing/>
        <w:jc w:val="center"/>
        <w:rPr>
          <w:rFonts w:eastAsia="Calibri"/>
          <w:b/>
          <w:bCs/>
          <w:lang w:val="es-ES" w:eastAsia="en-US"/>
        </w:rPr>
      </w:pPr>
    </w:p>
    <w:p w14:paraId="0AC7A860" w14:textId="77777777" w:rsidR="00603BB4" w:rsidRPr="00603BB4" w:rsidRDefault="00603BB4" w:rsidP="00603BB4">
      <w:pPr>
        <w:spacing w:line="360" w:lineRule="auto"/>
        <w:ind w:left="360"/>
        <w:contextualSpacing/>
        <w:jc w:val="center"/>
        <w:rPr>
          <w:rFonts w:eastAsia="Calibri"/>
          <w:b/>
          <w:bCs/>
          <w:lang w:val="es-ES" w:eastAsia="en-US"/>
        </w:rPr>
      </w:pPr>
      <w:r w:rsidRPr="00603BB4">
        <w:rPr>
          <w:rFonts w:eastAsia="Calibri"/>
          <w:b/>
          <w:bCs/>
          <w:lang w:val="es-ES" w:eastAsia="en-US"/>
        </w:rPr>
        <w:lastRenderedPageBreak/>
        <w:t>Conflictos de interés</w:t>
      </w:r>
    </w:p>
    <w:p w14:paraId="28931583" w14:textId="77777777" w:rsidR="00603BB4" w:rsidRPr="00603BB4" w:rsidRDefault="00603BB4" w:rsidP="00603BB4">
      <w:pPr>
        <w:spacing w:line="360" w:lineRule="auto"/>
        <w:ind w:left="360"/>
        <w:contextualSpacing/>
        <w:jc w:val="both"/>
        <w:rPr>
          <w:rFonts w:eastAsia="Calibri"/>
          <w:lang w:val="es-EC" w:eastAsia="es-EC"/>
        </w:rPr>
      </w:pPr>
      <w:r w:rsidRPr="00603BB4">
        <w:rPr>
          <w:rFonts w:eastAsia="Calibri"/>
          <w:lang w:val="es-ES" w:eastAsia="en-US"/>
        </w:rPr>
        <w:t>No se declaran conflictos de interés por los autores de esta investigación.</w:t>
      </w:r>
    </w:p>
    <w:p w14:paraId="2DAD03A1" w14:textId="77777777" w:rsidR="00603BB4" w:rsidRPr="00603BB4" w:rsidRDefault="00603BB4" w:rsidP="00603BB4">
      <w:pPr>
        <w:spacing w:line="360" w:lineRule="auto"/>
        <w:jc w:val="center"/>
        <w:rPr>
          <w:b/>
          <w:bCs/>
          <w:iCs/>
          <w:lang w:val="es-ES" w:eastAsia="es-ES"/>
        </w:rPr>
      </w:pPr>
    </w:p>
    <w:p w14:paraId="61710470" w14:textId="77777777" w:rsidR="00603BB4" w:rsidRPr="00603BB4" w:rsidRDefault="00603BB4" w:rsidP="00603BB4">
      <w:pPr>
        <w:spacing w:line="360" w:lineRule="auto"/>
        <w:jc w:val="center"/>
        <w:rPr>
          <w:lang w:val="es-ES" w:eastAsia="es-ES"/>
        </w:rPr>
      </w:pPr>
      <w:r w:rsidRPr="00603BB4">
        <w:rPr>
          <w:b/>
          <w:bCs/>
          <w:iCs/>
          <w:lang w:val="es-ES" w:eastAsia="es-ES"/>
        </w:rPr>
        <w:t>Contribuciones de los autores</w:t>
      </w:r>
    </w:p>
    <w:p w14:paraId="47C42B6E" w14:textId="77777777" w:rsidR="00603BB4" w:rsidRPr="00603BB4" w:rsidRDefault="00603BB4" w:rsidP="00603BB4">
      <w:pPr>
        <w:spacing w:line="360" w:lineRule="auto"/>
        <w:jc w:val="both"/>
        <w:rPr>
          <w:i/>
          <w:lang w:val="es-EC" w:eastAsia="es-EC"/>
        </w:rPr>
      </w:pPr>
      <w:r w:rsidRPr="00603BB4">
        <w:rPr>
          <w:lang w:val="es-EC" w:eastAsia="es-EC"/>
        </w:rPr>
        <w:t xml:space="preserve">Conceptualización: </w:t>
      </w:r>
      <w:proofErr w:type="spellStart"/>
      <w:r w:rsidRPr="00603BB4">
        <w:rPr>
          <w:i/>
          <w:lang w:val="es-EC" w:eastAsia="es-EC"/>
        </w:rPr>
        <w:t>Norileiny</w:t>
      </w:r>
      <w:proofErr w:type="spellEnd"/>
      <w:r w:rsidRPr="00603BB4">
        <w:rPr>
          <w:i/>
          <w:lang w:val="es-EC" w:eastAsia="es-EC"/>
        </w:rPr>
        <w:t xml:space="preserve"> Lugones Clavero, Teresa María Pedroso Garriga.</w:t>
      </w:r>
    </w:p>
    <w:p w14:paraId="4BC306A2" w14:textId="77777777" w:rsidR="00603BB4" w:rsidRPr="00603BB4" w:rsidRDefault="00603BB4" w:rsidP="00603BB4">
      <w:pPr>
        <w:spacing w:line="360" w:lineRule="auto"/>
        <w:jc w:val="both"/>
        <w:rPr>
          <w:i/>
          <w:lang w:val="es-EC" w:eastAsia="es-EC"/>
        </w:rPr>
      </w:pPr>
      <w:r w:rsidRPr="00603BB4">
        <w:rPr>
          <w:lang w:val="es-EC" w:eastAsia="es-EC"/>
        </w:rPr>
        <w:t xml:space="preserve">Curación de datos: </w:t>
      </w:r>
      <w:proofErr w:type="spellStart"/>
      <w:r w:rsidRPr="00603BB4">
        <w:rPr>
          <w:i/>
          <w:lang w:val="es-EC" w:eastAsia="es-EC"/>
        </w:rPr>
        <w:t>Norileiny</w:t>
      </w:r>
      <w:proofErr w:type="spellEnd"/>
      <w:r w:rsidRPr="00603BB4">
        <w:rPr>
          <w:i/>
          <w:lang w:val="es-EC" w:eastAsia="es-EC"/>
        </w:rPr>
        <w:t xml:space="preserve"> Lugones Clavero, Juliet de la C. Brito Bejerano.</w:t>
      </w:r>
    </w:p>
    <w:p w14:paraId="13E24F5E" w14:textId="77777777" w:rsidR="00603BB4" w:rsidRPr="00603BB4" w:rsidRDefault="00603BB4" w:rsidP="00603BB4">
      <w:pPr>
        <w:spacing w:line="360" w:lineRule="auto"/>
        <w:jc w:val="both"/>
        <w:rPr>
          <w:i/>
          <w:lang w:val="es-EC" w:eastAsia="es-EC"/>
        </w:rPr>
      </w:pPr>
      <w:r w:rsidRPr="00603BB4">
        <w:rPr>
          <w:lang w:val="es-EC" w:eastAsia="es-EC"/>
        </w:rPr>
        <w:t xml:space="preserve">Investigación: </w:t>
      </w:r>
      <w:proofErr w:type="spellStart"/>
      <w:r w:rsidRPr="00603BB4">
        <w:rPr>
          <w:i/>
          <w:lang w:val="es-EC" w:eastAsia="es-EC"/>
        </w:rPr>
        <w:t>Norileiny</w:t>
      </w:r>
      <w:proofErr w:type="spellEnd"/>
      <w:r w:rsidRPr="00603BB4">
        <w:rPr>
          <w:i/>
          <w:lang w:val="es-EC" w:eastAsia="es-EC"/>
        </w:rPr>
        <w:t xml:space="preserve"> Lugones Clavero, Juliet de la C. Brito Bejerano, Amaury </w:t>
      </w:r>
      <w:proofErr w:type="spellStart"/>
      <w:r w:rsidRPr="00603BB4">
        <w:rPr>
          <w:i/>
          <w:lang w:val="es-EC" w:eastAsia="es-EC"/>
        </w:rPr>
        <w:t>Ledón</w:t>
      </w:r>
      <w:proofErr w:type="spellEnd"/>
      <w:r w:rsidRPr="00603BB4">
        <w:rPr>
          <w:i/>
          <w:lang w:val="es-EC" w:eastAsia="es-EC"/>
        </w:rPr>
        <w:t xml:space="preserve"> Casals.</w:t>
      </w:r>
    </w:p>
    <w:p w14:paraId="6C0B8CCE" w14:textId="77777777" w:rsidR="00603BB4" w:rsidRPr="00603BB4" w:rsidRDefault="00603BB4" w:rsidP="00603BB4">
      <w:pPr>
        <w:spacing w:line="360" w:lineRule="auto"/>
        <w:jc w:val="both"/>
        <w:rPr>
          <w:i/>
          <w:lang w:val="es-EC" w:eastAsia="es-EC"/>
        </w:rPr>
      </w:pPr>
      <w:r w:rsidRPr="00603BB4">
        <w:rPr>
          <w:lang w:val="es-EC" w:eastAsia="es-EC"/>
        </w:rPr>
        <w:t xml:space="preserve">Metodología: </w:t>
      </w:r>
      <w:proofErr w:type="spellStart"/>
      <w:r w:rsidRPr="00603BB4">
        <w:rPr>
          <w:i/>
          <w:lang w:val="es-EC" w:eastAsia="es-EC"/>
        </w:rPr>
        <w:t>Norileiny</w:t>
      </w:r>
      <w:proofErr w:type="spellEnd"/>
      <w:r w:rsidRPr="00603BB4">
        <w:rPr>
          <w:i/>
          <w:lang w:val="es-EC" w:eastAsia="es-EC"/>
        </w:rPr>
        <w:t xml:space="preserve"> Lugones Clavero, Juliet de la C. Brito Bejerano, Amaury </w:t>
      </w:r>
      <w:proofErr w:type="spellStart"/>
      <w:r w:rsidRPr="00603BB4">
        <w:rPr>
          <w:i/>
          <w:lang w:val="es-EC" w:eastAsia="es-EC"/>
        </w:rPr>
        <w:t>Ledón</w:t>
      </w:r>
      <w:proofErr w:type="spellEnd"/>
      <w:r w:rsidRPr="00603BB4">
        <w:rPr>
          <w:i/>
          <w:lang w:val="es-EC" w:eastAsia="es-EC"/>
        </w:rPr>
        <w:t xml:space="preserve"> Casals.</w:t>
      </w:r>
    </w:p>
    <w:p w14:paraId="1225BBDE" w14:textId="77777777" w:rsidR="00603BB4" w:rsidRPr="00603BB4" w:rsidRDefault="00603BB4" w:rsidP="00603BB4">
      <w:pPr>
        <w:spacing w:line="360" w:lineRule="auto"/>
        <w:jc w:val="both"/>
        <w:rPr>
          <w:i/>
          <w:lang w:val="es-EC" w:eastAsia="es-EC"/>
        </w:rPr>
      </w:pPr>
      <w:r w:rsidRPr="00603BB4">
        <w:rPr>
          <w:lang w:val="es-EC" w:eastAsia="es-EC"/>
        </w:rPr>
        <w:t xml:space="preserve">Administración del proyecto: </w:t>
      </w:r>
      <w:proofErr w:type="spellStart"/>
      <w:r w:rsidRPr="00603BB4">
        <w:rPr>
          <w:i/>
          <w:lang w:val="es-EC" w:eastAsia="es-EC"/>
        </w:rPr>
        <w:t>Norileiny</w:t>
      </w:r>
      <w:proofErr w:type="spellEnd"/>
      <w:r w:rsidRPr="00603BB4">
        <w:rPr>
          <w:i/>
          <w:lang w:val="es-EC" w:eastAsia="es-EC"/>
        </w:rPr>
        <w:t xml:space="preserve"> Lugones Clavero.</w:t>
      </w:r>
    </w:p>
    <w:p w14:paraId="4CA4DF08" w14:textId="77777777" w:rsidR="00603BB4" w:rsidRPr="00603BB4" w:rsidRDefault="00603BB4" w:rsidP="00603BB4">
      <w:pPr>
        <w:spacing w:line="360" w:lineRule="auto"/>
        <w:jc w:val="both"/>
        <w:rPr>
          <w:i/>
          <w:lang w:val="es-EC" w:eastAsia="es-EC"/>
        </w:rPr>
      </w:pPr>
      <w:r w:rsidRPr="00603BB4">
        <w:rPr>
          <w:lang w:val="es-EC" w:eastAsia="es-EC"/>
        </w:rPr>
        <w:t xml:space="preserve">Recursos: </w:t>
      </w:r>
      <w:r w:rsidRPr="00603BB4">
        <w:rPr>
          <w:i/>
          <w:lang w:val="es-EC" w:eastAsia="es-EC"/>
        </w:rPr>
        <w:t>Teresa María Pedroso Garriga.</w:t>
      </w:r>
    </w:p>
    <w:p w14:paraId="6C0D1643" w14:textId="77777777" w:rsidR="00603BB4" w:rsidRPr="00603BB4" w:rsidRDefault="00603BB4" w:rsidP="00603BB4">
      <w:pPr>
        <w:spacing w:line="360" w:lineRule="auto"/>
        <w:jc w:val="both"/>
        <w:rPr>
          <w:i/>
          <w:lang w:val="es-EC" w:eastAsia="es-EC"/>
        </w:rPr>
      </w:pPr>
      <w:r w:rsidRPr="00603BB4">
        <w:rPr>
          <w:lang w:val="es-EC" w:eastAsia="es-EC"/>
        </w:rPr>
        <w:t xml:space="preserve">Software: </w:t>
      </w:r>
      <w:proofErr w:type="spellStart"/>
      <w:r w:rsidRPr="00603BB4">
        <w:rPr>
          <w:i/>
          <w:lang w:val="es-EC" w:eastAsia="es-EC"/>
        </w:rPr>
        <w:t>Madelayne</w:t>
      </w:r>
      <w:proofErr w:type="spellEnd"/>
      <w:r w:rsidRPr="00603BB4">
        <w:rPr>
          <w:i/>
          <w:lang w:val="es-EC" w:eastAsia="es-EC"/>
        </w:rPr>
        <w:t xml:space="preserve"> Cruz Valle.</w:t>
      </w:r>
    </w:p>
    <w:p w14:paraId="4D1BF8CF" w14:textId="77777777" w:rsidR="00603BB4" w:rsidRPr="00603BB4" w:rsidRDefault="00603BB4" w:rsidP="00603BB4">
      <w:pPr>
        <w:spacing w:line="360" w:lineRule="auto"/>
        <w:jc w:val="both"/>
        <w:rPr>
          <w:lang w:val="es-EC" w:eastAsia="es-EC"/>
        </w:rPr>
      </w:pPr>
      <w:r w:rsidRPr="00603BB4">
        <w:rPr>
          <w:lang w:val="es-EC" w:eastAsia="es-EC"/>
        </w:rPr>
        <w:t xml:space="preserve">Supervisión: </w:t>
      </w:r>
      <w:proofErr w:type="spellStart"/>
      <w:r w:rsidRPr="00603BB4">
        <w:rPr>
          <w:i/>
          <w:lang w:val="es-EC" w:eastAsia="es-EC"/>
        </w:rPr>
        <w:t>Madelayne</w:t>
      </w:r>
      <w:proofErr w:type="spellEnd"/>
      <w:r w:rsidRPr="00603BB4">
        <w:rPr>
          <w:i/>
          <w:lang w:val="es-EC" w:eastAsia="es-EC"/>
        </w:rPr>
        <w:t xml:space="preserve"> Cruz Valle.</w:t>
      </w:r>
    </w:p>
    <w:p w14:paraId="4524E967" w14:textId="77777777" w:rsidR="00603BB4" w:rsidRPr="00603BB4" w:rsidRDefault="00603BB4" w:rsidP="00603BB4">
      <w:pPr>
        <w:spacing w:line="360" w:lineRule="auto"/>
        <w:jc w:val="both"/>
        <w:rPr>
          <w:i/>
          <w:lang w:val="es-EC" w:eastAsia="es-EC"/>
        </w:rPr>
      </w:pPr>
      <w:r w:rsidRPr="00603BB4">
        <w:rPr>
          <w:lang w:val="es-EC" w:eastAsia="es-EC"/>
        </w:rPr>
        <w:t xml:space="preserve">Redacción – borrador original: </w:t>
      </w:r>
      <w:proofErr w:type="spellStart"/>
      <w:r w:rsidRPr="00603BB4">
        <w:rPr>
          <w:i/>
          <w:lang w:val="es-EC" w:eastAsia="es-EC"/>
        </w:rPr>
        <w:t>Norileiny</w:t>
      </w:r>
      <w:proofErr w:type="spellEnd"/>
      <w:r w:rsidRPr="00603BB4">
        <w:rPr>
          <w:i/>
          <w:lang w:val="es-EC" w:eastAsia="es-EC"/>
        </w:rPr>
        <w:t xml:space="preserve"> Lugones Clavero, </w:t>
      </w:r>
      <w:proofErr w:type="spellStart"/>
      <w:r w:rsidRPr="00603BB4">
        <w:rPr>
          <w:i/>
          <w:lang w:val="es-EC" w:eastAsia="es-EC"/>
        </w:rPr>
        <w:t>Mayulin</w:t>
      </w:r>
      <w:proofErr w:type="spellEnd"/>
      <w:r w:rsidRPr="00603BB4">
        <w:rPr>
          <w:i/>
          <w:lang w:val="es-EC" w:eastAsia="es-EC"/>
        </w:rPr>
        <w:t xml:space="preserve"> Bárbara Argote Molina.</w:t>
      </w:r>
    </w:p>
    <w:p w14:paraId="341AE3D8" w14:textId="77777777" w:rsidR="00603BB4" w:rsidRPr="00603BB4" w:rsidRDefault="00603BB4" w:rsidP="00603BB4">
      <w:pPr>
        <w:spacing w:line="360" w:lineRule="auto"/>
        <w:jc w:val="both"/>
        <w:rPr>
          <w:i/>
          <w:lang w:val="es-EC" w:eastAsia="es-EC"/>
        </w:rPr>
      </w:pPr>
      <w:r w:rsidRPr="00603BB4">
        <w:rPr>
          <w:lang w:val="es-EC" w:eastAsia="es-EC"/>
        </w:rPr>
        <w:t xml:space="preserve">Redacción – revisión y edición: </w:t>
      </w:r>
      <w:proofErr w:type="spellStart"/>
      <w:r w:rsidRPr="00603BB4">
        <w:rPr>
          <w:i/>
          <w:lang w:val="es-EC" w:eastAsia="es-EC"/>
        </w:rPr>
        <w:t>Madelayne</w:t>
      </w:r>
      <w:proofErr w:type="spellEnd"/>
      <w:r w:rsidRPr="00603BB4">
        <w:rPr>
          <w:i/>
          <w:lang w:val="es-EC" w:eastAsia="es-EC"/>
        </w:rPr>
        <w:t xml:space="preserve"> Cruz Valle.</w:t>
      </w:r>
    </w:p>
    <w:p w14:paraId="06A39DA1" w14:textId="77777777" w:rsidR="00603BB4" w:rsidRPr="00603BB4" w:rsidRDefault="00603BB4" w:rsidP="00603BB4">
      <w:pPr>
        <w:spacing w:line="360" w:lineRule="auto"/>
        <w:ind w:left="720"/>
        <w:contextualSpacing/>
        <w:jc w:val="both"/>
        <w:rPr>
          <w:lang w:val="es-EC" w:eastAsia="es-EC"/>
        </w:rPr>
      </w:pPr>
    </w:p>
    <w:p w14:paraId="416CB839" w14:textId="77777777" w:rsidR="00675476" w:rsidRPr="00603BB4" w:rsidRDefault="00675476" w:rsidP="00EA1FEF">
      <w:pPr>
        <w:pStyle w:val="PDFRevista"/>
        <w:rPr>
          <w:lang w:val="es-EC"/>
        </w:rPr>
      </w:pPr>
    </w:p>
    <w:sectPr w:rsidR="00675476" w:rsidRPr="00603BB4" w:rsidSect="00FD3DF8">
      <w:headerReference w:type="default" r:id="rId35"/>
      <w:footerReference w:type="even" r:id="rId36"/>
      <w:footerReference w:type="default" r:id="rId3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459D" w14:textId="77777777" w:rsidR="00AE3BBD" w:rsidRDefault="00AE3BBD">
      <w:r>
        <w:separator/>
      </w:r>
    </w:p>
  </w:endnote>
  <w:endnote w:type="continuationSeparator" w:id="0">
    <w:p w14:paraId="3211286F" w14:textId="77777777" w:rsidR="00AE3BBD" w:rsidRDefault="00AE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92FE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50126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674B" w14:textId="6AE26DCE" w:rsidR="000F3690" w:rsidRPr="00AE044C" w:rsidRDefault="00603BB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F5E27FB" wp14:editId="00B996FF">
              <wp:simplePos x="0" y="0"/>
              <wp:positionH relativeFrom="column">
                <wp:posOffset>3810</wp:posOffset>
              </wp:positionH>
              <wp:positionV relativeFrom="paragraph">
                <wp:posOffset>50165</wp:posOffset>
              </wp:positionV>
              <wp:extent cx="6286500" cy="19050"/>
              <wp:effectExtent l="19050" t="19050" r="0" b="0"/>
              <wp:wrapNone/>
              <wp:docPr id="154674475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C35618"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0979066"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18B5F1E"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ACCAF02" w14:textId="50C331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03BB4" w:rsidRPr="00603BB4">
      <w:rPr>
        <w:rFonts w:ascii="Verdana" w:hAnsi="Verdana"/>
        <w:noProof/>
        <w:sz w:val="18"/>
        <w:szCs w:val="18"/>
        <w:lang w:val="en-US" w:eastAsia="en-US"/>
      </w:rPr>
      <w:drawing>
        <wp:inline distT="0" distB="0" distL="0" distR="0" wp14:anchorId="0A30B13D" wp14:editId="47097465">
          <wp:extent cx="638175" cy="152400"/>
          <wp:effectExtent l="0" t="0" r="0" b="0"/>
          <wp:docPr id="146043968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2C7D" w14:textId="77777777" w:rsidR="00AE3BBD" w:rsidRDefault="00AE3BBD">
      <w:r>
        <w:separator/>
      </w:r>
    </w:p>
  </w:footnote>
  <w:footnote w:type="continuationSeparator" w:id="0">
    <w:p w14:paraId="32EE468D" w14:textId="77777777" w:rsidR="00AE3BBD" w:rsidRDefault="00AE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3CA4" w14:textId="3C1831B6" w:rsidR="00CC376A" w:rsidRPr="00AE044C" w:rsidRDefault="00603BB4"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02302691</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FA9253D" wp14:editId="23CAF4A5">
          <wp:simplePos x="0" y="0"/>
          <wp:positionH relativeFrom="column">
            <wp:posOffset>2540</wp:posOffset>
          </wp:positionH>
          <wp:positionV relativeFrom="paragraph">
            <wp:posOffset>-598805</wp:posOffset>
          </wp:positionV>
          <wp:extent cx="6333490" cy="593725"/>
          <wp:effectExtent l="0" t="0" r="0" b="0"/>
          <wp:wrapNone/>
          <wp:docPr id="24457984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656DD" w14:textId="3065C00B" w:rsidR="00A477DE" w:rsidRDefault="00603BB4">
    <w:r>
      <w:rPr>
        <w:noProof/>
      </w:rPr>
      <mc:AlternateContent>
        <mc:Choice Requires="wps">
          <w:drawing>
            <wp:anchor distT="0" distB="0" distL="114300" distR="114300" simplePos="0" relativeHeight="251654144" behindDoc="0" locked="0" layoutInCell="1" allowOverlap="1" wp14:anchorId="17067FB6" wp14:editId="134A9C95">
              <wp:simplePos x="0" y="0"/>
              <wp:positionH relativeFrom="column">
                <wp:posOffset>635</wp:posOffset>
              </wp:positionH>
              <wp:positionV relativeFrom="paragraph">
                <wp:posOffset>42545</wp:posOffset>
              </wp:positionV>
              <wp:extent cx="6307455" cy="28575"/>
              <wp:effectExtent l="19050" t="19050" r="17145" b="9525"/>
              <wp:wrapNone/>
              <wp:docPr id="199987382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B44039"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33D8"/>
    <w:multiLevelType w:val="multilevel"/>
    <w:tmpl w:val="49D6208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45A0"/>
    <w:multiLevelType w:val="hybridMultilevel"/>
    <w:tmpl w:val="810AE1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514E1E"/>
    <w:multiLevelType w:val="hybridMultilevel"/>
    <w:tmpl w:val="BED6B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2B0C8F"/>
    <w:multiLevelType w:val="hybridMultilevel"/>
    <w:tmpl w:val="17928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9C5058"/>
    <w:multiLevelType w:val="hybridMultilevel"/>
    <w:tmpl w:val="5A04B77E"/>
    <w:lvl w:ilvl="0" w:tplc="0C0A0001">
      <w:numFmt w:val="bullet"/>
      <w:lvlText w:val=""/>
      <w:lvlJc w:val="left"/>
      <w:pPr>
        <w:ind w:left="360" w:hanging="360"/>
      </w:pPr>
      <w:rPr>
        <w:rFonts w:ascii="Symbol" w:eastAsia="Times New Roman" w:hAnsi="Symbol"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BB645AA"/>
    <w:multiLevelType w:val="hybridMultilevel"/>
    <w:tmpl w:val="AC3E3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CFC2BA5"/>
    <w:multiLevelType w:val="hybridMultilevel"/>
    <w:tmpl w:val="D2C6B41A"/>
    <w:lvl w:ilvl="0" w:tplc="5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BE6935"/>
    <w:multiLevelType w:val="hybridMultilevel"/>
    <w:tmpl w:val="8F54303C"/>
    <w:lvl w:ilvl="0" w:tplc="5C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C8E4B76"/>
    <w:multiLevelType w:val="hybridMultilevel"/>
    <w:tmpl w:val="82D4615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4727B6B"/>
    <w:multiLevelType w:val="hybridMultilevel"/>
    <w:tmpl w:val="BC709A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A2FC5"/>
    <w:multiLevelType w:val="hybridMultilevel"/>
    <w:tmpl w:val="CE646E5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54087851"/>
    <w:multiLevelType w:val="hybridMultilevel"/>
    <w:tmpl w:val="8EF25186"/>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0D5F9B"/>
    <w:multiLevelType w:val="multilevel"/>
    <w:tmpl w:val="0C546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6E5C58"/>
    <w:multiLevelType w:val="hybridMultilevel"/>
    <w:tmpl w:val="BF826C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7C71F2"/>
    <w:multiLevelType w:val="multilevel"/>
    <w:tmpl w:val="1C98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D28D3"/>
    <w:multiLevelType w:val="hybridMultilevel"/>
    <w:tmpl w:val="C5B42EF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45C56B3"/>
    <w:multiLevelType w:val="hybridMultilevel"/>
    <w:tmpl w:val="B798CBDE"/>
    <w:lvl w:ilvl="0" w:tplc="5C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C6EB7"/>
    <w:multiLevelType w:val="hybridMultilevel"/>
    <w:tmpl w:val="6890D2BA"/>
    <w:lvl w:ilvl="0" w:tplc="0C0A0001">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9" w15:restartNumberingAfterBreak="0">
    <w:nsid w:val="6C2A4989"/>
    <w:multiLevelType w:val="hybridMultilevel"/>
    <w:tmpl w:val="934082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0052FEE"/>
    <w:multiLevelType w:val="hybridMultilevel"/>
    <w:tmpl w:val="19924A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700963D0"/>
    <w:multiLevelType w:val="hybridMultilevel"/>
    <w:tmpl w:val="5B3807B4"/>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A038AB"/>
    <w:multiLevelType w:val="hybridMultilevel"/>
    <w:tmpl w:val="62D4CB8A"/>
    <w:lvl w:ilvl="0" w:tplc="09288FA0">
      <w:start w:val="1"/>
      <w:numFmt w:val="decimal"/>
      <w:lvlText w:val="%1."/>
      <w:lvlJc w:val="left"/>
      <w:pPr>
        <w:ind w:left="360" w:hanging="360"/>
      </w:pPr>
      <w:rPr>
        <w:rFonts w:ascii="Arial" w:hAnsi="Arial" w:cs="Arial" w:hint="default"/>
        <w:color w:val="auto"/>
        <w:sz w:val="24"/>
        <w:szCs w:val="24"/>
        <w:lang w:val="es-EC"/>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7B1C2C85"/>
    <w:multiLevelType w:val="hybridMultilevel"/>
    <w:tmpl w:val="693EF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0291865">
    <w:abstractNumId w:val="11"/>
  </w:num>
  <w:num w:numId="2" w16cid:durableId="1071267430">
    <w:abstractNumId w:val="4"/>
  </w:num>
  <w:num w:numId="3" w16cid:durableId="548690801">
    <w:abstractNumId w:val="21"/>
  </w:num>
  <w:num w:numId="4" w16cid:durableId="982076829">
    <w:abstractNumId w:val="0"/>
  </w:num>
  <w:num w:numId="5" w16cid:durableId="907112610">
    <w:abstractNumId w:val="15"/>
  </w:num>
  <w:num w:numId="6" w16cid:durableId="918294123">
    <w:abstractNumId w:val="18"/>
  </w:num>
  <w:num w:numId="7" w16cid:durableId="1522278538">
    <w:abstractNumId w:val="22"/>
  </w:num>
  <w:num w:numId="8" w16cid:durableId="334037250">
    <w:abstractNumId w:val="10"/>
  </w:num>
  <w:num w:numId="9" w16cid:durableId="1242175373">
    <w:abstractNumId w:val="23"/>
  </w:num>
  <w:num w:numId="10" w16cid:durableId="785193705">
    <w:abstractNumId w:val="3"/>
  </w:num>
  <w:num w:numId="11" w16cid:durableId="446780497">
    <w:abstractNumId w:val="2"/>
  </w:num>
  <w:num w:numId="12" w16cid:durableId="1624965864">
    <w:abstractNumId w:val="14"/>
  </w:num>
  <w:num w:numId="13" w16cid:durableId="653066730">
    <w:abstractNumId w:val="1"/>
  </w:num>
  <w:num w:numId="14" w16cid:durableId="290285497">
    <w:abstractNumId w:val="5"/>
  </w:num>
  <w:num w:numId="15" w16cid:durableId="1808665226">
    <w:abstractNumId w:val="20"/>
  </w:num>
  <w:num w:numId="16" w16cid:durableId="216012206">
    <w:abstractNumId w:val="19"/>
  </w:num>
  <w:num w:numId="17" w16cid:durableId="1849053359">
    <w:abstractNumId w:val="16"/>
  </w:num>
  <w:num w:numId="18" w16cid:durableId="185293181">
    <w:abstractNumId w:val="13"/>
  </w:num>
  <w:num w:numId="19" w16cid:durableId="1568421297">
    <w:abstractNumId w:val="6"/>
  </w:num>
  <w:num w:numId="20" w16cid:durableId="1997953111">
    <w:abstractNumId w:val="8"/>
  </w:num>
  <w:num w:numId="21" w16cid:durableId="1180126533">
    <w:abstractNumId w:val="7"/>
  </w:num>
  <w:num w:numId="22" w16cid:durableId="215817079">
    <w:abstractNumId w:val="17"/>
  </w:num>
  <w:num w:numId="23" w16cid:durableId="1842550789">
    <w:abstractNumId w:val="9"/>
  </w:num>
  <w:num w:numId="24" w16cid:durableId="805659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B4"/>
    <w:rsid w:val="00057F45"/>
    <w:rsid w:val="00074F34"/>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03BB4"/>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E044C"/>
    <w:rsid w:val="00AE3BBD"/>
    <w:rsid w:val="00B31971"/>
    <w:rsid w:val="00B4380A"/>
    <w:rsid w:val="00B66ECB"/>
    <w:rsid w:val="00C7523A"/>
    <w:rsid w:val="00CB1D61"/>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7E922"/>
  <w15:docId w15:val="{79633470-6F17-4601-AC0E-64D00FBE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603BB4"/>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603BB4"/>
    <w:pPr>
      <w:keepNext/>
      <w:spacing w:before="240" w:after="60"/>
      <w:outlineLvl w:val="1"/>
    </w:pPr>
    <w:rPr>
      <w:rFonts w:ascii="Calibri Light" w:hAnsi="Calibri Light"/>
      <w:b/>
      <w:bCs/>
      <w:color w:val="5B9BD5"/>
      <w:sz w:val="26"/>
      <w:szCs w:val="26"/>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paragraph" w:customStyle="1" w:styleId="Ttulo11">
    <w:name w:val="Título 11"/>
    <w:basedOn w:val="Normal"/>
    <w:next w:val="Normal"/>
    <w:link w:val="Ttulo1Car"/>
    <w:uiPriority w:val="9"/>
    <w:qFormat/>
    <w:rsid w:val="00603BB4"/>
    <w:pPr>
      <w:keepNext/>
      <w:keepLines/>
      <w:spacing w:before="240" w:line="276" w:lineRule="auto"/>
      <w:outlineLvl w:val="0"/>
    </w:pPr>
    <w:rPr>
      <w:rFonts w:ascii="Calibri Light" w:hAnsi="Calibri Light"/>
      <w:color w:val="2E74B5"/>
      <w:sz w:val="32"/>
      <w:szCs w:val="32"/>
      <w:lang w:val="es-EC" w:eastAsia="es-EC"/>
    </w:rPr>
  </w:style>
  <w:style w:type="paragraph" w:customStyle="1" w:styleId="Ttulo21">
    <w:name w:val="Título 21"/>
    <w:basedOn w:val="Normal"/>
    <w:next w:val="Normal"/>
    <w:uiPriority w:val="9"/>
    <w:unhideWhenUsed/>
    <w:qFormat/>
    <w:rsid w:val="00603BB4"/>
    <w:pPr>
      <w:keepNext/>
      <w:keepLines/>
      <w:spacing w:before="200" w:line="276" w:lineRule="auto"/>
      <w:outlineLvl w:val="1"/>
    </w:pPr>
    <w:rPr>
      <w:rFonts w:ascii="Calibri Light" w:hAnsi="Calibri Light"/>
      <w:b/>
      <w:bCs/>
      <w:color w:val="5B9BD5"/>
      <w:sz w:val="26"/>
      <w:szCs w:val="26"/>
      <w:lang w:val="es-EC" w:eastAsia="es-EC"/>
    </w:rPr>
  </w:style>
  <w:style w:type="numbering" w:customStyle="1" w:styleId="Sinlista1">
    <w:name w:val="Sin lista1"/>
    <w:next w:val="Sinlista"/>
    <w:uiPriority w:val="99"/>
    <w:semiHidden/>
    <w:unhideWhenUsed/>
    <w:rsid w:val="00603BB4"/>
  </w:style>
  <w:style w:type="character" w:customStyle="1" w:styleId="Ttulo1Car">
    <w:name w:val="Título 1 Car"/>
    <w:link w:val="Ttulo11"/>
    <w:uiPriority w:val="9"/>
    <w:rsid w:val="00603BB4"/>
    <w:rPr>
      <w:rFonts w:ascii="Calibri Light" w:eastAsia="Times New Roman" w:hAnsi="Calibri Light" w:cs="Times New Roman"/>
      <w:color w:val="2E74B5"/>
      <w:sz w:val="32"/>
      <w:szCs w:val="32"/>
      <w:lang w:val="es-EC" w:eastAsia="es-EC"/>
    </w:rPr>
  </w:style>
  <w:style w:type="character" w:customStyle="1" w:styleId="Ttulo2Car">
    <w:name w:val="Título 2 Car"/>
    <w:link w:val="Ttulo2"/>
    <w:uiPriority w:val="9"/>
    <w:rsid w:val="00603BB4"/>
    <w:rPr>
      <w:rFonts w:ascii="Calibri Light" w:eastAsia="Times New Roman" w:hAnsi="Calibri Light" w:cs="Times New Roman"/>
      <w:b/>
      <w:bCs/>
      <w:color w:val="5B9BD5"/>
      <w:sz w:val="26"/>
      <w:szCs w:val="26"/>
      <w:lang w:val="es-EC" w:eastAsia="es-EC"/>
    </w:rPr>
  </w:style>
  <w:style w:type="paragraph" w:styleId="Prrafodelista">
    <w:name w:val="List Paragraph"/>
    <w:basedOn w:val="Normal"/>
    <w:uiPriority w:val="34"/>
    <w:qFormat/>
    <w:rsid w:val="00603BB4"/>
    <w:pPr>
      <w:spacing w:after="200" w:line="276" w:lineRule="auto"/>
      <w:ind w:left="720"/>
      <w:contextualSpacing/>
    </w:pPr>
    <w:rPr>
      <w:rFonts w:ascii="Calibri" w:hAnsi="Calibri"/>
      <w:sz w:val="22"/>
      <w:szCs w:val="22"/>
      <w:lang w:val="es-EC" w:eastAsia="es-EC"/>
    </w:rPr>
  </w:style>
  <w:style w:type="table" w:customStyle="1" w:styleId="Tablaconcuadrcula1">
    <w:name w:val="Tabla con cuadrícula1"/>
    <w:basedOn w:val="Tablanormal"/>
    <w:next w:val="Tablaconcuadrcula"/>
    <w:uiPriority w:val="39"/>
    <w:rsid w:val="00603BB4"/>
    <w:rPr>
      <w:rFonts w:ascii="Calibri" w:eastAsia="Calibri" w:hAnsi="Calibri"/>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3BB4"/>
    <w:rPr>
      <w:rFonts w:ascii="Calibri" w:hAnsi="Calibri"/>
      <w:sz w:val="22"/>
      <w:szCs w:val="22"/>
      <w:lang w:val="es-EC" w:eastAsia="es-EC"/>
    </w:rPr>
  </w:style>
  <w:style w:type="character" w:customStyle="1" w:styleId="Ttulo1Car1">
    <w:name w:val="Título 1 Car1"/>
    <w:basedOn w:val="Fuentedeprrafopredeter"/>
    <w:link w:val="Ttulo1"/>
    <w:rsid w:val="00603BB4"/>
    <w:rPr>
      <w:rFonts w:asciiTheme="majorHAnsi" w:eastAsiaTheme="majorEastAsia" w:hAnsiTheme="majorHAnsi" w:cstheme="majorBidi"/>
      <w:b/>
      <w:bCs/>
      <w:kern w:val="32"/>
      <w:sz w:val="32"/>
      <w:szCs w:val="32"/>
      <w:lang w:val="es-ES_tradnl" w:eastAsia="es-ES_tradnl"/>
    </w:rPr>
  </w:style>
  <w:style w:type="paragraph" w:styleId="TtuloTDC">
    <w:name w:val="TOC Heading"/>
    <w:basedOn w:val="Ttulo1"/>
    <w:next w:val="Normal"/>
    <w:uiPriority w:val="39"/>
    <w:unhideWhenUsed/>
    <w:qFormat/>
    <w:rsid w:val="00603BB4"/>
    <w:pPr>
      <w:keepLines/>
      <w:spacing w:after="0" w:line="259" w:lineRule="auto"/>
      <w:outlineLvl w:val="9"/>
    </w:pPr>
    <w:rPr>
      <w:b w:val="0"/>
      <w:bCs w:val="0"/>
      <w:color w:val="2E74B5"/>
      <w:kern w:val="0"/>
      <w:lang w:val="es-ES" w:eastAsia="es-ES"/>
    </w:rPr>
  </w:style>
  <w:style w:type="paragraph" w:styleId="TDC1">
    <w:name w:val="toc 1"/>
    <w:basedOn w:val="Normal"/>
    <w:next w:val="Normal"/>
    <w:autoRedefine/>
    <w:uiPriority w:val="39"/>
    <w:unhideWhenUsed/>
    <w:rsid w:val="00603BB4"/>
    <w:pPr>
      <w:spacing w:after="100" w:line="276" w:lineRule="auto"/>
    </w:pPr>
    <w:rPr>
      <w:rFonts w:ascii="Calibri" w:hAnsi="Calibri"/>
      <w:sz w:val="22"/>
      <w:szCs w:val="22"/>
      <w:lang w:val="es-EC" w:eastAsia="es-EC"/>
    </w:rPr>
  </w:style>
  <w:style w:type="character" w:customStyle="1" w:styleId="elsevierstylelabel">
    <w:name w:val="elsevierstylelabel"/>
    <w:basedOn w:val="Fuentedeprrafopredeter"/>
    <w:rsid w:val="00603BB4"/>
  </w:style>
  <w:style w:type="paragraph" w:customStyle="1" w:styleId="elsevierstylepara">
    <w:name w:val="elsevierstylepara"/>
    <w:basedOn w:val="Normal"/>
    <w:rsid w:val="00603BB4"/>
    <w:pPr>
      <w:spacing w:before="100" w:beforeAutospacing="1" w:after="100" w:afterAutospacing="1"/>
    </w:pPr>
    <w:rPr>
      <w:lang w:val="es-ES" w:eastAsia="es-ES"/>
    </w:rPr>
  </w:style>
  <w:style w:type="character" w:customStyle="1" w:styleId="elsevierstylesup">
    <w:name w:val="elsevierstylesup"/>
    <w:basedOn w:val="Fuentedeprrafopredeter"/>
    <w:rsid w:val="00603BB4"/>
  </w:style>
  <w:style w:type="paragraph" w:customStyle="1" w:styleId="Pa211">
    <w:name w:val="Pa21+1"/>
    <w:basedOn w:val="Normal"/>
    <w:next w:val="Normal"/>
    <w:uiPriority w:val="99"/>
    <w:rsid w:val="00603BB4"/>
    <w:pPr>
      <w:autoSpaceDE w:val="0"/>
      <w:autoSpaceDN w:val="0"/>
      <w:adjustRightInd w:val="0"/>
      <w:spacing w:line="211" w:lineRule="atLeast"/>
    </w:pPr>
    <w:rPr>
      <w:rFonts w:ascii="Futura Book" w:eastAsia="Calibri" w:hAnsi="Futura Book"/>
      <w:lang w:val="es-ES" w:eastAsia="en-US"/>
    </w:rPr>
  </w:style>
  <w:style w:type="character" w:customStyle="1" w:styleId="A111">
    <w:name w:val="A11+1"/>
    <w:uiPriority w:val="99"/>
    <w:rsid w:val="00603BB4"/>
    <w:rPr>
      <w:rFonts w:cs="Futura Book"/>
      <w:color w:val="FFFFFF"/>
      <w:sz w:val="14"/>
      <w:szCs w:val="14"/>
    </w:rPr>
  </w:style>
  <w:style w:type="character" w:customStyle="1" w:styleId="A121">
    <w:name w:val="A12+1"/>
    <w:uiPriority w:val="99"/>
    <w:rsid w:val="00603BB4"/>
    <w:rPr>
      <w:rFonts w:cs="Futura Book"/>
      <w:b/>
      <w:bCs/>
      <w:color w:val="FFFFFF"/>
      <w:sz w:val="17"/>
      <w:szCs w:val="17"/>
    </w:rPr>
  </w:style>
  <w:style w:type="character" w:customStyle="1" w:styleId="A131">
    <w:name w:val="A13+1"/>
    <w:uiPriority w:val="99"/>
    <w:rsid w:val="00603BB4"/>
    <w:rPr>
      <w:rFonts w:cs="Futura Book"/>
      <w:color w:val="221E1F"/>
      <w:sz w:val="19"/>
      <w:szCs w:val="19"/>
    </w:rPr>
  </w:style>
  <w:style w:type="paragraph" w:customStyle="1" w:styleId="Pa231">
    <w:name w:val="Pa23+1"/>
    <w:basedOn w:val="Normal"/>
    <w:next w:val="Normal"/>
    <w:uiPriority w:val="99"/>
    <w:rsid w:val="00603BB4"/>
    <w:pPr>
      <w:autoSpaceDE w:val="0"/>
      <w:autoSpaceDN w:val="0"/>
      <w:adjustRightInd w:val="0"/>
      <w:spacing w:line="211" w:lineRule="atLeast"/>
    </w:pPr>
    <w:rPr>
      <w:rFonts w:ascii="Futura Book" w:eastAsia="Calibri" w:hAnsi="Futura Book"/>
      <w:lang w:val="es-ES" w:eastAsia="en-US"/>
    </w:rPr>
  </w:style>
  <w:style w:type="paragraph" w:customStyle="1" w:styleId="Pa331">
    <w:name w:val="Pa33+1"/>
    <w:basedOn w:val="Normal"/>
    <w:next w:val="Normal"/>
    <w:uiPriority w:val="99"/>
    <w:rsid w:val="00603BB4"/>
    <w:pPr>
      <w:autoSpaceDE w:val="0"/>
      <w:autoSpaceDN w:val="0"/>
      <w:adjustRightInd w:val="0"/>
      <w:spacing w:line="211" w:lineRule="atLeast"/>
    </w:pPr>
    <w:rPr>
      <w:rFonts w:ascii="Futura Book" w:eastAsia="Calibri" w:hAnsi="Futura Book"/>
      <w:lang w:val="es-ES" w:eastAsia="en-US"/>
    </w:rPr>
  </w:style>
  <w:style w:type="paragraph" w:customStyle="1" w:styleId="Pa241">
    <w:name w:val="Pa24+1"/>
    <w:basedOn w:val="Normal"/>
    <w:next w:val="Normal"/>
    <w:uiPriority w:val="99"/>
    <w:rsid w:val="00603BB4"/>
    <w:pPr>
      <w:autoSpaceDE w:val="0"/>
      <w:autoSpaceDN w:val="0"/>
      <w:adjustRightInd w:val="0"/>
      <w:spacing w:line="211" w:lineRule="atLeast"/>
    </w:pPr>
    <w:rPr>
      <w:rFonts w:ascii="Futura Book" w:eastAsia="Calibri" w:hAnsi="Futura Book"/>
      <w:lang w:val="es-ES" w:eastAsia="en-US"/>
    </w:rPr>
  </w:style>
  <w:style w:type="paragraph" w:customStyle="1" w:styleId="Pa221">
    <w:name w:val="Pa22+1"/>
    <w:basedOn w:val="Normal"/>
    <w:next w:val="Normal"/>
    <w:uiPriority w:val="99"/>
    <w:rsid w:val="00603BB4"/>
    <w:pPr>
      <w:autoSpaceDE w:val="0"/>
      <w:autoSpaceDN w:val="0"/>
      <w:adjustRightInd w:val="0"/>
      <w:spacing w:line="211" w:lineRule="atLeast"/>
    </w:pPr>
    <w:rPr>
      <w:rFonts w:ascii="Futura Book" w:eastAsia="Calibri" w:hAnsi="Futura Book"/>
      <w:lang w:val="es-ES" w:eastAsia="en-US"/>
    </w:rPr>
  </w:style>
  <w:style w:type="character" w:customStyle="1" w:styleId="A62">
    <w:name w:val="A6+2"/>
    <w:uiPriority w:val="99"/>
    <w:rsid w:val="00603BB4"/>
    <w:rPr>
      <w:rFonts w:cs="Futura Book"/>
      <w:color w:val="FFFFFF"/>
      <w:sz w:val="16"/>
      <w:szCs w:val="16"/>
    </w:rPr>
  </w:style>
  <w:style w:type="paragraph" w:customStyle="1" w:styleId="Pa191">
    <w:name w:val="Pa19+1"/>
    <w:basedOn w:val="Normal"/>
    <w:next w:val="Normal"/>
    <w:uiPriority w:val="99"/>
    <w:rsid w:val="00603BB4"/>
    <w:pPr>
      <w:autoSpaceDE w:val="0"/>
      <w:autoSpaceDN w:val="0"/>
      <w:adjustRightInd w:val="0"/>
      <w:spacing w:line="211" w:lineRule="atLeast"/>
    </w:pPr>
    <w:rPr>
      <w:rFonts w:ascii="Futura Book" w:eastAsia="Calibri" w:hAnsi="Futura Book"/>
      <w:lang w:val="es-ES" w:eastAsia="en-US"/>
    </w:rPr>
  </w:style>
  <w:style w:type="paragraph" w:customStyle="1" w:styleId="Pa181">
    <w:name w:val="Pa18+1"/>
    <w:basedOn w:val="Normal"/>
    <w:next w:val="Normal"/>
    <w:uiPriority w:val="99"/>
    <w:rsid w:val="00603BB4"/>
    <w:pPr>
      <w:autoSpaceDE w:val="0"/>
      <w:autoSpaceDN w:val="0"/>
      <w:adjustRightInd w:val="0"/>
      <w:spacing w:line="211" w:lineRule="atLeast"/>
    </w:pPr>
    <w:rPr>
      <w:rFonts w:ascii="Times" w:eastAsia="Calibri" w:hAnsi="Times"/>
      <w:lang w:val="es-ES" w:eastAsia="en-US"/>
    </w:rPr>
  </w:style>
  <w:style w:type="paragraph" w:customStyle="1" w:styleId="Pa101">
    <w:name w:val="Pa10+1"/>
    <w:basedOn w:val="Normal"/>
    <w:next w:val="Normal"/>
    <w:uiPriority w:val="99"/>
    <w:rsid w:val="00603BB4"/>
    <w:pPr>
      <w:autoSpaceDE w:val="0"/>
      <w:autoSpaceDN w:val="0"/>
      <w:adjustRightInd w:val="0"/>
      <w:spacing w:line="241" w:lineRule="atLeast"/>
    </w:pPr>
    <w:rPr>
      <w:rFonts w:ascii="Times" w:eastAsia="Calibri" w:hAnsi="Times"/>
      <w:lang w:val="es-ES" w:eastAsia="en-US"/>
    </w:rPr>
  </w:style>
  <w:style w:type="paragraph" w:customStyle="1" w:styleId="Pa301">
    <w:name w:val="Pa30+1"/>
    <w:basedOn w:val="Normal"/>
    <w:next w:val="Normal"/>
    <w:uiPriority w:val="99"/>
    <w:rsid w:val="00603BB4"/>
    <w:pPr>
      <w:autoSpaceDE w:val="0"/>
      <w:autoSpaceDN w:val="0"/>
      <w:adjustRightInd w:val="0"/>
      <w:spacing w:line="181" w:lineRule="atLeast"/>
    </w:pPr>
    <w:rPr>
      <w:rFonts w:ascii="Times" w:eastAsia="Calibri" w:hAnsi="Times"/>
      <w:lang w:val="es-ES" w:eastAsia="en-US"/>
    </w:rPr>
  </w:style>
  <w:style w:type="paragraph" w:customStyle="1" w:styleId="Pa311">
    <w:name w:val="Pa31+1"/>
    <w:basedOn w:val="Normal"/>
    <w:next w:val="Normal"/>
    <w:uiPriority w:val="99"/>
    <w:rsid w:val="00603BB4"/>
    <w:pPr>
      <w:autoSpaceDE w:val="0"/>
      <w:autoSpaceDN w:val="0"/>
      <w:adjustRightInd w:val="0"/>
      <w:spacing w:line="181" w:lineRule="atLeast"/>
    </w:pPr>
    <w:rPr>
      <w:rFonts w:ascii="Times" w:eastAsia="Calibri" w:hAnsi="Times"/>
      <w:lang w:val="es-ES" w:eastAsia="en-US"/>
    </w:rPr>
  </w:style>
  <w:style w:type="character" w:customStyle="1" w:styleId="rynqvb">
    <w:name w:val="rynqvb"/>
    <w:basedOn w:val="Fuentedeprrafopredeter"/>
    <w:rsid w:val="00603BB4"/>
  </w:style>
  <w:style w:type="character" w:styleId="Refdecomentario">
    <w:name w:val="annotation reference"/>
    <w:uiPriority w:val="99"/>
    <w:semiHidden/>
    <w:unhideWhenUsed/>
    <w:rsid w:val="00603BB4"/>
    <w:rPr>
      <w:sz w:val="16"/>
      <w:szCs w:val="16"/>
    </w:rPr>
  </w:style>
  <w:style w:type="paragraph" w:styleId="Textocomentario">
    <w:name w:val="annotation text"/>
    <w:basedOn w:val="Normal"/>
    <w:link w:val="TextocomentarioCar"/>
    <w:uiPriority w:val="99"/>
    <w:semiHidden/>
    <w:unhideWhenUsed/>
    <w:rsid w:val="00603BB4"/>
    <w:pPr>
      <w:spacing w:after="200"/>
    </w:pPr>
    <w:rPr>
      <w:rFonts w:ascii="Calibri" w:hAnsi="Calibri"/>
      <w:sz w:val="20"/>
      <w:szCs w:val="20"/>
      <w:lang w:val="es-EC" w:eastAsia="es-EC"/>
    </w:rPr>
  </w:style>
  <w:style w:type="character" w:customStyle="1" w:styleId="TextocomentarioCar">
    <w:name w:val="Texto comentario Car"/>
    <w:basedOn w:val="Fuentedeprrafopredeter"/>
    <w:link w:val="Textocomentario"/>
    <w:uiPriority w:val="99"/>
    <w:semiHidden/>
    <w:rsid w:val="00603BB4"/>
    <w:rPr>
      <w:rFonts w:ascii="Calibri" w:hAnsi="Calibri"/>
      <w:lang w:val="es-EC" w:eastAsia="es-EC"/>
    </w:rPr>
  </w:style>
  <w:style w:type="paragraph" w:styleId="Asuntodelcomentario">
    <w:name w:val="annotation subject"/>
    <w:basedOn w:val="Textocomentario"/>
    <w:next w:val="Textocomentario"/>
    <w:link w:val="AsuntodelcomentarioCar"/>
    <w:uiPriority w:val="99"/>
    <w:semiHidden/>
    <w:unhideWhenUsed/>
    <w:rsid w:val="00603BB4"/>
    <w:rPr>
      <w:b/>
      <w:bCs/>
    </w:rPr>
  </w:style>
  <w:style w:type="character" w:customStyle="1" w:styleId="AsuntodelcomentarioCar">
    <w:name w:val="Asunto del comentario Car"/>
    <w:basedOn w:val="TextocomentarioCar"/>
    <w:link w:val="Asuntodelcomentario"/>
    <w:uiPriority w:val="99"/>
    <w:semiHidden/>
    <w:rsid w:val="00603BB4"/>
    <w:rPr>
      <w:rFonts w:ascii="Calibri" w:hAnsi="Calibri"/>
      <w:b/>
      <w:bCs/>
      <w:lang w:val="es-EC" w:eastAsia="es-EC"/>
    </w:rPr>
  </w:style>
  <w:style w:type="paragraph" w:customStyle="1" w:styleId="style3">
    <w:name w:val="style3"/>
    <w:basedOn w:val="Normal"/>
    <w:rsid w:val="00603BB4"/>
    <w:pPr>
      <w:spacing w:before="100" w:beforeAutospacing="1" w:after="100" w:afterAutospacing="1"/>
    </w:pPr>
    <w:rPr>
      <w:lang w:val="es-ES" w:eastAsia="es-ES"/>
    </w:rPr>
  </w:style>
  <w:style w:type="character" w:styleId="Textoennegrita">
    <w:name w:val="Strong"/>
    <w:uiPriority w:val="22"/>
    <w:qFormat/>
    <w:rsid w:val="00603BB4"/>
    <w:rPr>
      <w:b/>
      <w:bCs/>
    </w:rPr>
  </w:style>
  <w:style w:type="character" w:customStyle="1" w:styleId="hwtze">
    <w:name w:val="hwtze"/>
    <w:basedOn w:val="Fuentedeprrafopredeter"/>
    <w:rsid w:val="00603BB4"/>
  </w:style>
  <w:style w:type="paragraph" w:customStyle="1" w:styleId="Lista1">
    <w:name w:val="Lista1"/>
    <w:basedOn w:val="Normal"/>
    <w:next w:val="Lista"/>
    <w:uiPriority w:val="99"/>
    <w:unhideWhenUsed/>
    <w:rsid w:val="00603BB4"/>
    <w:pPr>
      <w:spacing w:after="160" w:line="259" w:lineRule="auto"/>
      <w:ind w:left="283" w:hanging="283"/>
      <w:contextualSpacing/>
    </w:pPr>
    <w:rPr>
      <w:rFonts w:ascii="Calibri" w:eastAsia="Calibri" w:hAnsi="Calibri"/>
      <w:sz w:val="22"/>
      <w:szCs w:val="22"/>
      <w:lang w:val="es-ES" w:eastAsia="en-US"/>
    </w:rPr>
  </w:style>
  <w:style w:type="character" w:customStyle="1" w:styleId="hgkelc">
    <w:name w:val="hgkelc"/>
    <w:basedOn w:val="Fuentedeprrafopredeter"/>
    <w:rsid w:val="00603BB4"/>
  </w:style>
  <w:style w:type="paragraph" w:styleId="Revisin">
    <w:name w:val="Revision"/>
    <w:hidden/>
    <w:uiPriority w:val="99"/>
    <w:semiHidden/>
    <w:rsid w:val="00603BB4"/>
    <w:rPr>
      <w:rFonts w:ascii="Calibri" w:hAnsi="Calibri"/>
      <w:sz w:val="22"/>
      <w:szCs w:val="22"/>
      <w:lang w:val="es-EC" w:eastAsia="es-EC"/>
    </w:rPr>
  </w:style>
  <w:style w:type="character" w:customStyle="1" w:styleId="Mencinsinresolver1">
    <w:name w:val="Mención sin resolver1"/>
    <w:uiPriority w:val="99"/>
    <w:semiHidden/>
    <w:unhideWhenUsed/>
    <w:rsid w:val="00603BB4"/>
    <w:rPr>
      <w:color w:val="605E5C"/>
      <w:shd w:val="clear" w:color="auto" w:fill="E1DFDD"/>
    </w:rPr>
  </w:style>
  <w:style w:type="character" w:customStyle="1" w:styleId="Ttulo2Car1">
    <w:name w:val="Título 2 Car1"/>
    <w:basedOn w:val="Fuentedeprrafopredeter"/>
    <w:link w:val="Ttulo2"/>
    <w:semiHidden/>
    <w:rsid w:val="00603BB4"/>
    <w:rPr>
      <w:rFonts w:asciiTheme="majorHAnsi" w:eastAsiaTheme="majorEastAsia" w:hAnsiTheme="majorHAnsi" w:cstheme="majorBidi"/>
      <w:b/>
      <w:bCs/>
      <w:i/>
      <w:iCs/>
      <w:sz w:val="28"/>
      <w:szCs w:val="28"/>
      <w:lang w:val="es-ES_tradnl" w:eastAsia="es-ES_tradnl"/>
    </w:rPr>
  </w:style>
  <w:style w:type="paragraph" w:styleId="Lista">
    <w:name w:val="List"/>
    <w:basedOn w:val="Normal"/>
    <w:semiHidden/>
    <w:unhideWhenUsed/>
    <w:rsid w:val="00603BB4"/>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426-2568" TargetMode="External"/><Relationship Id="rId13" Type="http://schemas.openxmlformats.org/officeDocument/2006/relationships/hyperlink" Target="mailto:nory@infomed.sld.cu" TargetMode="External"/><Relationship Id="rId18" Type="http://schemas.openxmlformats.org/officeDocument/2006/relationships/hyperlink" Target="https://www.seedo.es/images/site/documentos_interes/2020_Consenso_SEEDO-SEMERGEN.pdf" TargetMode="External"/><Relationship Id="rId26" Type="http://schemas.openxmlformats.org/officeDocument/2006/relationships/hyperlink" Target="https://revistas.utb.edu.ec/index.php/sr/article/view/739"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tendenciasenmedicina.com/Imagenes/imagenes05p/art_16.pdf" TargetMode="External"/><Relationship Id="rId34" Type="http://schemas.openxmlformats.org/officeDocument/2006/relationships/hyperlink" Target="https://ri-ng.uaq.mx/bitstream/123456789/4351/1/CNMAC-300589-0123-123-Melissa%20de%20los%20%c3%81ngeles%20Vargas%20Artavia.pdf" TargetMode="External"/><Relationship Id="rId7" Type="http://schemas.openxmlformats.org/officeDocument/2006/relationships/hyperlink" Target="https://orcid.org/0000-0002-2356-4787" TargetMode="External"/><Relationship Id="rId12" Type="http://schemas.openxmlformats.org/officeDocument/2006/relationships/hyperlink" Target="https://orcid.org/0000-0003-3788-3698" TargetMode="External"/><Relationship Id="rId17" Type="http://schemas.openxmlformats.org/officeDocument/2006/relationships/hyperlink" Target="http://scielo.sld.cu/scielo.php?script=sci_arttext&amp;pid=S0864-21252018000300009&amp;lng=es" TargetMode="External"/><Relationship Id="rId25" Type="http://schemas.openxmlformats.org/officeDocument/2006/relationships/hyperlink" Target="http://www.scielo.org.mx/scielo.php?script=sci_arttext&amp;pid=S0186-48662019000400525&amp;lng=es" TargetMode="External"/><Relationship Id="rId33" Type="http://schemas.openxmlformats.org/officeDocument/2006/relationships/hyperlink" Target="http://www.scielo.org.mx/scielo.php?script=sci_arttext&amp;pid=S0186-48662018000600013&amp;lng=e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ielo.sld.cu/scielo.php?script=sci_arttext&amp;pid=S0864-21252018000300013&amp;lng=es" TargetMode="External"/><Relationship Id="rId20" Type="http://schemas.openxmlformats.org/officeDocument/2006/relationships/hyperlink" Target="http://scielo.isciii.es/scielo.php?script=sci_arttext&amp;pid=S0212-16112019000500015&amp;lng=es" TargetMode="External"/><Relationship Id="rId29" Type="http://schemas.openxmlformats.org/officeDocument/2006/relationships/hyperlink" Target="https://dialnet.unirioja.es/descarga/articulo/698544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991-6633" TargetMode="External"/><Relationship Id="rId24" Type="http://schemas.openxmlformats.org/officeDocument/2006/relationships/hyperlink" Target="https://revista.nutricion.org/PDF/RCANO.pdf" TargetMode="External"/><Relationship Id="rId32" Type="http://schemas.openxmlformats.org/officeDocument/2006/relationships/hyperlink" Target="https://link.springer.com/article/10.1007%2Fs11906-019-0915-1"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files.sld.cu/bvscuba/files/2020/05/Anuario-Electr%c3%b3nico-Espa%c3%b1ol-2019-ed-2020.pdf" TargetMode="External"/><Relationship Id="rId23" Type="http://schemas.openxmlformats.org/officeDocument/2006/relationships/hyperlink" Target="http://scielo.isciii.es/scielo.php?script=sci_arttext&amp;pid=S0212-16112020000300008&amp;lng=es" TargetMode="External"/><Relationship Id="rId28" Type="http://schemas.openxmlformats.org/officeDocument/2006/relationships/hyperlink" Target="https://renhyd.org/index.php/renhyd/article/view/849" TargetMode="External"/><Relationship Id="rId36" Type="http://schemas.openxmlformats.org/officeDocument/2006/relationships/footer" Target="footer1.xml"/><Relationship Id="rId10" Type="http://schemas.openxmlformats.org/officeDocument/2006/relationships/hyperlink" Target="https://orcid.org/0000-0002-7037-9912" TargetMode="External"/><Relationship Id="rId19" Type="http://schemas.openxmlformats.org/officeDocument/2006/relationships/hyperlink" Target="https://www.who.int/es/news-room/fact-sheets/detail/obesity-and-overweight" TargetMode="External"/><Relationship Id="rId31" Type="http://schemas.openxmlformats.org/officeDocument/2006/relationships/hyperlink" Target="https://www.sciencedirect.com/science/article/abs/pii/S147148921830153X" TargetMode="External"/><Relationship Id="rId4" Type="http://schemas.openxmlformats.org/officeDocument/2006/relationships/webSettings" Target="webSettings.xml"/><Relationship Id="rId9" Type="http://schemas.openxmlformats.org/officeDocument/2006/relationships/hyperlink" Target="https://orcid.org/0000-0002-8320-5364" TargetMode="External"/><Relationship Id="rId14" Type="http://schemas.openxmlformats.org/officeDocument/2006/relationships/hyperlink" Target="https://www.who.int/es/news-room/fact-sheets/detail/obesity-and-overweight" TargetMode="External"/><Relationship Id="rId22" Type="http://schemas.openxmlformats.org/officeDocument/2006/relationships/hyperlink" Target="http://www.scielo.sa.cr/scielo.php?script=sci_arttext&amp;pid=S1659-02012018000200006&amp;lng=en" TargetMode="External"/><Relationship Id="rId27" Type="http://schemas.openxmlformats.org/officeDocument/2006/relationships/hyperlink" Target="http://revcocmed.sld.cu/index.php/cocmed/article/view/3659" TargetMode="External"/><Relationship Id="rId30" Type="http://schemas.openxmlformats.org/officeDocument/2006/relationships/hyperlink" Target="http://scielo.sld.cu/scielo.php?script=sci_arttext&amp;pid=S1029-30192015000200010&amp;lng=es"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16</Pages>
  <Words>4742</Words>
  <Characters>27031</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31710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2010-09-13T21:29:00Z</cp:lastPrinted>
  <dcterms:created xsi:type="dcterms:W3CDTF">2023-08-09T22:32:00Z</dcterms:created>
  <dcterms:modified xsi:type="dcterms:W3CDTF">2023-08-09T22:34:00Z</dcterms:modified>
</cp:coreProperties>
</file>