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DC89" w14:textId="77777777" w:rsidR="00C46FEB" w:rsidRPr="00C46FEB" w:rsidRDefault="00C46FEB" w:rsidP="00C46FEB">
      <w:pPr>
        <w:pBdr>
          <w:top w:val="nil"/>
          <w:left w:val="nil"/>
          <w:bottom w:val="nil"/>
          <w:right w:val="nil"/>
          <w:between w:val="nil"/>
        </w:pBdr>
        <w:spacing w:line="360" w:lineRule="auto"/>
        <w:jc w:val="right"/>
        <w:rPr>
          <w:color w:val="000000"/>
          <w:sz w:val="20"/>
          <w:szCs w:val="20"/>
          <w:lang w:val="es-PE" w:eastAsia="es-PE"/>
        </w:rPr>
      </w:pPr>
      <w:r w:rsidRPr="00C46FEB">
        <w:rPr>
          <w:color w:val="000000"/>
          <w:sz w:val="20"/>
          <w:szCs w:val="20"/>
          <w:lang w:val="es-PE" w:eastAsia="es-PE"/>
        </w:rPr>
        <w:t>Artículo de investigación</w:t>
      </w:r>
    </w:p>
    <w:p w14:paraId="6EDA45E3" w14:textId="77777777" w:rsidR="00C46FEB" w:rsidRPr="00C46FEB" w:rsidRDefault="00C46FEB" w:rsidP="00C46FEB">
      <w:pPr>
        <w:pBdr>
          <w:top w:val="nil"/>
          <w:left w:val="nil"/>
          <w:bottom w:val="nil"/>
          <w:right w:val="nil"/>
          <w:between w:val="nil"/>
        </w:pBdr>
        <w:spacing w:line="360" w:lineRule="auto"/>
        <w:jc w:val="right"/>
        <w:rPr>
          <w:color w:val="000000"/>
          <w:sz w:val="20"/>
          <w:szCs w:val="20"/>
          <w:lang w:val="es-PE" w:eastAsia="es-PE"/>
        </w:rPr>
      </w:pPr>
    </w:p>
    <w:p w14:paraId="46B818AA" w14:textId="77777777" w:rsidR="00C46FEB" w:rsidRPr="00C46FEB" w:rsidRDefault="00C46FEB" w:rsidP="00C46FEB">
      <w:pPr>
        <w:spacing w:line="360" w:lineRule="auto"/>
        <w:jc w:val="center"/>
        <w:rPr>
          <w:b/>
          <w:sz w:val="28"/>
          <w:szCs w:val="28"/>
          <w:lang w:val="es-PE" w:eastAsia="es-PE"/>
        </w:rPr>
      </w:pPr>
      <w:r w:rsidRPr="00C46FEB">
        <w:rPr>
          <w:b/>
          <w:sz w:val="28"/>
          <w:szCs w:val="28"/>
          <w:lang w:val="es-PE" w:eastAsia="es-PE"/>
        </w:rPr>
        <w:t xml:space="preserve">Factores asociados a la mala adherencia al tratamiento antirretroviral en pacientes VIH positivo </w:t>
      </w:r>
    </w:p>
    <w:p w14:paraId="1F970DB2" w14:textId="77777777" w:rsidR="00C46FEB" w:rsidRPr="00C46FEB" w:rsidRDefault="00C46FEB" w:rsidP="00C46FEB">
      <w:pPr>
        <w:spacing w:line="360" w:lineRule="auto"/>
        <w:jc w:val="center"/>
        <w:rPr>
          <w:sz w:val="28"/>
          <w:szCs w:val="28"/>
          <w:lang w:val="en-GB" w:eastAsia="es-PE"/>
        </w:rPr>
      </w:pPr>
      <w:r w:rsidRPr="00C46FEB">
        <w:rPr>
          <w:sz w:val="28"/>
          <w:szCs w:val="28"/>
          <w:lang w:val="en-GB" w:eastAsia="es-PE"/>
        </w:rPr>
        <w:t xml:space="preserve">Factors associated with poor adherence to antiretroviral treatment in HIV-positive patients </w:t>
      </w:r>
    </w:p>
    <w:p w14:paraId="00F53AA3" w14:textId="77777777" w:rsidR="00C46FEB" w:rsidRPr="00C46FEB" w:rsidRDefault="00C46FEB" w:rsidP="00C46FEB">
      <w:pPr>
        <w:pBdr>
          <w:top w:val="nil"/>
          <w:left w:val="nil"/>
          <w:bottom w:val="nil"/>
          <w:right w:val="nil"/>
          <w:between w:val="nil"/>
        </w:pBdr>
        <w:spacing w:line="360" w:lineRule="auto"/>
        <w:jc w:val="both"/>
        <w:rPr>
          <w:color w:val="000000"/>
          <w:lang w:val="en-GB" w:eastAsia="es-PE"/>
        </w:rPr>
      </w:pPr>
    </w:p>
    <w:p w14:paraId="5AD731F1" w14:textId="77777777" w:rsidR="00C46FEB" w:rsidRPr="00C46FEB" w:rsidRDefault="00C46FEB" w:rsidP="00C46FEB">
      <w:pPr>
        <w:pBdr>
          <w:top w:val="nil"/>
          <w:left w:val="nil"/>
          <w:bottom w:val="nil"/>
          <w:right w:val="nil"/>
          <w:between w:val="nil"/>
        </w:pBdr>
        <w:spacing w:line="360" w:lineRule="auto"/>
        <w:rPr>
          <w:color w:val="000000"/>
          <w:vertAlign w:val="superscript"/>
          <w:lang w:val="en-GB" w:eastAsia="es-PE"/>
        </w:rPr>
      </w:pPr>
      <w:r w:rsidRPr="00C46FEB">
        <w:rPr>
          <w:color w:val="000000"/>
          <w:lang w:val="en-GB" w:eastAsia="es-PE"/>
        </w:rPr>
        <w:t xml:space="preserve">David Dali Vargas </w:t>
      </w:r>
      <w:proofErr w:type="spellStart"/>
      <w:r w:rsidRPr="00C46FEB">
        <w:rPr>
          <w:color w:val="000000"/>
          <w:lang w:val="en-GB" w:eastAsia="es-PE"/>
        </w:rPr>
        <w:t>Galindo</w:t>
      </w:r>
      <w:r w:rsidRPr="00C46FEB">
        <w:rPr>
          <w:color w:val="000000"/>
          <w:vertAlign w:val="superscript"/>
          <w:lang w:val="en-GB" w:eastAsia="es-PE"/>
        </w:rPr>
        <w:t>1</w:t>
      </w:r>
      <w:proofErr w:type="spellEnd"/>
      <w:r w:rsidRPr="00C46FEB">
        <w:rPr>
          <w:color w:val="000000"/>
          <w:vertAlign w:val="superscript"/>
          <w:lang w:val="en-GB" w:eastAsia="es-PE"/>
        </w:rPr>
        <w:t xml:space="preserve"> </w:t>
      </w:r>
      <w:hyperlink r:id="rId7">
        <w:r w:rsidRPr="00C46FEB">
          <w:rPr>
            <w:color w:val="0563C1"/>
            <w:lang w:val="en-GB" w:eastAsia="es-PE"/>
          </w:rPr>
          <w:t>https://orcid.org/0000-0002-0174-1930</w:t>
        </w:r>
      </w:hyperlink>
      <w:r w:rsidRPr="00C46FEB">
        <w:rPr>
          <w:color w:val="000000"/>
          <w:lang w:val="en-GB" w:eastAsia="es-PE"/>
        </w:rPr>
        <w:t xml:space="preserve"> </w:t>
      </w:r>
    </w:p>
    <w:p w14:paraId="0CA3C345" w14:textId="77777777" w:rsidR="00C46FEB" w:rsidRPr="00C46FEB" w:rsidRDefault="00C46FEB" w:rsidP="00C46FEB">
      <w:pPr>
        <w:pBdr>
          <w:top w:val="nil"/>
          <w:left w:val="nil"/>
          <w:bottom w:val="nil"/>
          <w:right w:val="nil"/>
          <w:between w:val="nil"/>
        </w:pBdr>
        <w:spacing w:line="360" w:lineRule="auto"/>
        <w:jc w:val="both"/>
        <w:rPr>
          <w:color w:val="000000"/>
          <w:vertAlign w:val="superscript"/>
          <w:lang w:val="es-PE" w:eastAsia="es-PE"/>
        </w:rPr>
      </w:pPr>
      <w:bookmarkStart w:id="0" w:name="_gjdgxs" w:colFirst="0" w:colLast="0"/>
      <w:bookmarkEnd w:id="0"/>
      <w:r w:rsidRPr="00C46FEB">
        <w:rPr>
          <w:color w:val="000000"/>
          <w:lang w:val="es-PE" w:eastAsia="es-PE"/>
        </w:rPr>
        <w:t xml:space="preserve">Joseph </w:t>
      </w:r>
      <w:proofErr w:type="spellStart"/>
      <w:r w:rsidRPr="00C46FEB">
        <w:rPr>
          <w:color w:val="000000"/>
          <w:lang w:val="es-PE" w:eastAsia="es-PE"/>
        </w:rPr>
        <w:t>Alburqueque-Melgarejo</w:t>
      </w:r>
      <w:r w:rsidRPr="00C46FEB">
        <w:rPr>
          <w:color w:val="000000"/>
          <w:vertAlign w:val="superscript"/>
          <w:lang w:val="es-PE" w:eastAsia="es-PE"/>
        </w:rPr>
        <w:t>1</w:t>
      </w:r>
      <w:proofErr w:type="spellEnd"/>
      <w:r w:rsidRPr="00C46FEB">
        <w:rPr>
          <w:color w:val="000000"/>
          <w:lang w:val="es-PE" w:eastAsia="es-PE"/>
        </w:rPr>
        <w:t xml:space="preserve">* </w:t>
      </w:r>
      <w:hyperlink r:id="rId8">
        <w:r w:rsidRPr="00C46FEB">
          <w:rPr>
            <w:color w:val="0563C1"/>
            <w:highlight w:val="white"/>
            <w:lang w:val="es-PE" w:eastAsia="es-PE"/>
          </w:rPr>
          <w:t>https://orcid.org/0000-0002-8846-8884</w:t>
        </w:r>
      </w:hyperlink>
    </w:p>
    <w:p w14:paraId="0186EF68" w14:textId="77777777" w:rsidR="00C46FEB" w:rsidRPr="00C46FEB" w:rsidRDefault="00C46FEB" w:rsidP="00C46FEB">
      <w:pPr>
        <w:pBdr>
          <w:top w:val="nil"/>
          <w:left w:val="nil"/>
          <w:bottom w:val="nil"/>
          <w:right w:val="nil"/>
          <w:between w:val="nil"/>
        </w:pBdr>
        <w:spacing w:line="360" w:lineRule="auto"/>
        <w:jc w:val="both"/>
        <w:rPr>
          <w:color w:val="000000"/>
          <w:lang w:val="es-PE" w:eastAsia="es-PE"/>
        </w:rPr>
      </w:pPr>
      <w:r w:rsidRPr="00C46FEB">
        <w:rPr>
          <w:color w:val="000000"/>
          <w:lang w:val="es-PE" w:eastAsia="es-PE"/>
        </w:rPr>
        <w:t>Juan Carlos Roque-</w:t>
      </w:r>
      <w:proofErr w:type="spellStart"/>
      <w:r w:rsidRPr="00C46FEB">
        <w:rPr>
          <w:color w:val="000000"/>
          <w:lang w:val="es-PE" w:eastAsia="es-PE"/>
        </w:rPr>
        <w:t>Quezada</w:t>
      </w:r>
      <w:r w:rsidRPr="00C46FEB">
        <w:rPr>
          <w:color w:val="000000"/>
          <w:vertAlign w:val="superscript"/>
          <w:lang w:val="es-PE" w:eastAsia="es-PE"/>
        </w:rPr>
        <w:t>2</w:t>
      </w:r>
      <w:proofErr w:type="spellEnd"/>
      <w:r w:rsidRPr="00C46FEB">
        <w:rPr>
          <w:color w:val="000000"/>
          <w:lang w:val="es-PE" w:eastAsia="es-PE"/>
        </w:rPr>
        <w:t xml:space="preserve"> </w:t>
      </w:r>
      <w:hyperlink r:id="rId9">
        <w:r w:rsidRPr="00C46FEB">
          <w:rPr>
            <w:color w:val="0563C1"/>
            <w:highlight w:val="white"/>
            <w:lang w:val="es-PE" w:eastAsia="es-PE"/>
          </w:rPr>
          <w:t>https://orcid.org/0000-0002-1886-0426</w:t>
        </w:r>
      </w:hyperlink>
    </w:p>
    <w:p w14:paraId="309B2B3E" w14:textId="77777777" w:rsidR="00C46FEB" w:rsidRPr="00C46FEB" w:rsidRDefault="00C46FEB" w:rsidP="00C46FEB">
      <w:pPr>
        <w:pBdr>
          <w:top w:val="nil"/>
          <w:left w:val="nil"/>
          <w:bottom w:val="nil"/>
          <w:right w:val="nil"/>
          <w:between w:val="nil"/>
        </w:pBdr>
        <w:spacing w:line="360" w:lineRule="auto"/>
        <w:jc w:val="both"/>
        <w:rPr>
          <w:color w:val="000000"/>
          <w:vertAlign w:val="superscript"/>
          <w:lang w:val="es-PE" w:eastAsia="es-PE"/>
        </w:rPr>
      </w:pPr>
      <w:r w:rsidRPr="00C46FEB">
        <w:rPr>
          <w:color w:val="000000"/>
          <w:lang w:val="es-PE" w:eastAsia="es-PE"/>
        </w:rPr>
        <w:t xml:space="preserve">Horus Michael Virú </w:t>
      </w:r>
      <w:proofErr w:type="spellStart"/>
      <w:r w:rsidRPr="00C46FEB">
        <w:rPr>
          <w:color w:val="000000"/>
          <w:lang w:val="es-PE" w:eastAsia="es-PE"/>
        </w:rPr>
        <w:t>Flores</w:t>
      </w:r>
      <w:r w:rsidRPr="00C46FEB">
        <w:rPr>
          <w:color w:val="000000"/>
          <w:vertAlign w:val="superscript"/>
          <w:lang w:val="es-PE" w:eastAsia="es-PE"/>
        </w:rPr>
        <w:t>2</w:t>
      </w:r>
      <w:proofErr w:type="spellEnd"/>
      <w:r w:rsidRPr="00C46FEB">
        <w:rPr>
          <w:color w:val="000000"/>
          <w:vertAlign w:val="superscript"/>
          <w:lang w:val="es-PE" w:eastAsia="es-PE"/>
        </w:rPr>
        <w:t xml:space="preserve"> </w:t>
      </w:r>
      <w:hyperlink r:id="rId10">
        <w:r w:rsidRPr="00C46FEB">
          <w:rPr>
            <w:color w:val="0563C1"/>
            <w:lang w:val="es-PE" w:eastAsia="es-PE"/>
          </w:rPr>
          <w:t>https://orcid.org/0000-0002-6685-9497</w:t>
        </w:r>
      </w:hyperlink>
    </w:p>
    <w:p w14:paraId="4BD6C7C9" w14:textId="77777777" w:rsidR="00C46FEB" w:rsidRPr="00C46FEB" w:rsidRDefault="00C46FEB" w:rsidP="00C46FEB">
      <w:pPr>
        <w:spacing w:line="360" w:lineRule="auto"/>
        <w:jc w:val="both"/>
        <w:rPr>
          <w:lang w:val="es-PE" w:eastAsia="es-PE"/>
        </w:rPr>
      </w:pPr>
      <w:r w:rsidRPr="00C46FEB">
        <w:rPr>
          <w:lang w:val="es-PE" w:eastAsia="es-PE"/>
        </w:rPr>
        <w:t xml:space="preserve">Emanuel Salcedo </w:t>
      </w:r>
      <w:proofErr w:type="spellStart"/>
      <w:r w:rsidRPr="00C46FEB">
        <w:rPr>
          <w:lang w:val="es-PE" w:eastAsia="es-PE"/>
        </w:rPr>
        <w:t>Davila</w:t>
      </w:r>
      <w:r w:rsidRPr="00C46FEB">
        <w:rPr>
          <w:vertAlign w:val="superscript"/>
          <w:lang w:val="es-PE" w:eastAsia="es-PE"/>
        </w:rPr>
        <w:t>1</w:t>
      </w:r>
      <w:proofErr w:type="spellEnd"/>
      <w:r w:rsidRPr="00C46FEB">
        <w:rPr>
          <w:lang w:val="es-PE" w:eastAsia="es-PE"/>
        </w:rPr>
        <w:t xml:space="preserve"> </w:t>
      </w:r>
      <w:hyperlink r:id="rId11">
        <w:r w:rsidRPr="00C46FEB">
          <w:rPr>
            <w:color w:val="0563C1"/>
            <w:lang w:val="es-PE" w:eastAsia="es-PE"/>
          </w:rPr>
          <w:t>https://orcid.org/0000-0002-0896-888X</w:t>
        </w:r>
      </w:hyperlink>
    </w:p>
    <w:p w14:paraId="09BB3C55" w14:textId="77777777" w:rsidR="00C46FEB" w:rsidRPr="00C46FEB" w:rsidRDefault="00C46FEB" w:rsidP="00C46FEB">
      <w:pPr>
        <w:spacing w:line="360" w:lineRule="auto"/>
        <w:jc w:val="both"/>
        <w:rPr>
          <w:lang w:val="es-PE" w:eastAsia="es-PE"/>
        </w:rPr>
      </w:pPr>
      <w:r w:rsidRPr="00C46FEB">
        <w:rPr>
          <w:lang w:val="es-PE" w:eastAsia="es-PE"/>
        </w:rPr>
        <w:t xml:space="preserve">Luis Enrique Nieves </w:t>
      </w:r>
      <w:proofErr w:type="spellStart"/>
      <w:r w:rsidRPr="00C46FEB">
        <w:rPr>
          <w:lang w:val="es-PE" w:eastAsia="es-PE"/>
        </w:rPr>
        <w:t>Cordova</w:t>
      </w:r>
      <w:r w:rsidRPr="00C46FEB">
        <w:rPr>
          <w:vertAlign w:val="superscript"/>
          <w:lang w:val="es-PE" w:eastAsia="es-PE"/>
        </w:rPr>
        <w:t>3</w:t>
      </w:r>
      <w:proofErr w:type="spellEnd"/>
      <w:r w:rsidRPr="00C46FEB">
        <w:rPr>
          <w:lang w:val="es-PE" w:eastAsia="es-PE"/>
        </w:rPr>
        <w:t xml:space="preserve"> </w:t>
      </w:r>
      <w:hyperlink r:id="rId12">
        <w:r w:rsidRPr="00C46FEB">
          <w:rPr>
            <w:color w:val="0563C1"/>
            <w:lang w:val="es-PE" w:eastAsia="es-PE"/>
          </w:rPr>
          <w:t>https://orcid.org/0000-0003-2128-7402</w:t>
        </w:r>
      </w:hyperlink>
    </w:p>
    <w:p w14:paraId="6F063DA0" w14:textId="77777777" w:rsidR="00C46FEB" w:rsidRPr="00C46FEB" w:rsidRDefault="00C46FEB" w:rsidP="00C46FEB">
      <w:pPr>
        <w:spacing w:line="360" w:lineRule="auto"/>
        <w:rPr>
          <w:b/>
          <w:sz w:val="22"/>
          <w:szCs w:val="22"/>
          <w:lang w:val="es-PE" w:eastAsia="es-PE"/>
        </w:rPr>
      </w:pPr>
    </w:p>
    <w:p w14:paraId="5D771E88" w14:textId="77777777" w:rsidR="00C46FEB" w:rsidRPr="00C46FEB" w:rsidRDefault="00C46FEB" w:rsidP="00C46FEB">
      <w:pPr>
        <w:spacing w:line="360" w:lineRule="auto"/>
        <w:rPr>
          <w:lang w:val="es-PE" w:eastAsia="es-PE"/>
        </w:rPr>
      </w:pPr>
      <w:proofErr w:type="spellStart"/>
      <w:r w:rsidRPr="00C46FEB">
        <w:rPr>
          <w:vertAlign w:val="superscript"/>
          <w:lang w:val="es-PE" w:eastAsia="es-PE"/>
        </w:rPr>
        <w:t>1</w:t>
      </w:r>
      <w:r w:rsidRPr="00C46FEB">
        <w:rPr>
          <w:lang w:val="es-PE" w:eastAsia="es-PE"/>
        </w:rPr>
        <w:t>Universidad</w:t>
      </w:r>
      <w:proofErr w:type="spellEnd"/>
      <w:r w:rsidRPr="00C46FEB">
        <w:rPr>
          <w:lang w:val="es-PE" w:eastAsia="es-PE"/>
        </w:rPr>
        <w:t xml:space="preserve"> Ricardo Palma. Instituto de Ciencias Biomédicas. Facultad de Medicina Humana. Lima, Perú.</w:t>
      </w:r>
    </w:p>
    <w:p w14:paraId="3DDB278A" w14:textId="77777777" w:rsidR="00C46FEB" w:rsidRPr="00C46FEB" w:rsidRDefault="00C46FEB" w:rsidP="00C46FEB">
      <w:pPr>
        <w:spacing w:line="360" w:lineRule="auto"/>
        <w:rPr>
          <w:lang w:val="es-PE" w:eastAsia="es-PE"/>
        </w:rPr>
      </w:pPr>
      <w:proofErr w:type="spellStart"/>
      <w:r w:rsidRPr="00C46FEB">
        <w:rPr>
          <w:vertAlign w:val="superscript"/>
          <w:lang w:val="es-PE" w:eastAsia="es-PE"/>
        </w:rPr>
        <w:t>2</w:t>
      </w:r>
      <w:r w:rsidRPr="00C46FEB">
        <w:rPr>
          <w:lang w:val="es-PE" w:eastAsia="es-PE"/>
        </w:rPr>
        <w:t>Universidad</w:t>
      </w:r>
      <w:proofErr w:type="spellEnd"/>
      <w:r w:rsidRPr="00C46FEB">
        <w:rPr>
          <w:lang w:val="es-PE" w:eastAsia="es-PE"/>
        </w:rPr>
        <w:t xml:space="preserve"> Privada San Juan Bautista. Facultad de Medicina Humana. Lima, Perú. </w:t>
      </w:r>
      <w:proofErr w:type="spellStart"/>
      <w:r w:rsidRPr="00C46FEB">
        <w:rPr>
          <w:vertAlign w:val="superscript"/>
          <w:lang w:val="es-PE" w:eastAsia="es-PE"/>
        </w:rPr>
        <w:t>3</w:t>
      </w:r>
      <w:r w:rsidRPr="00C46FEB">
        <w:rPr>
          <w:lang w:val="es-PE" w:eastAsia="es-PE"/>
        </w:rPr>
        <w:t>Hospital</w:t>
      </w:r>
      <w:proofErr w:type="spellEnd"/>
      <w:r w:rsidRPr="00C46FEB">
        <w:rPr>
          <w:lang w:val="es-PE" w:eastAsia="es-PE"/>
        </w:rPr>
        <w:t xml:space="preserve"> Centro Médico Naval. Lima, Perú.</w:t>
      </w:r>
    </w:p>
    <w:p w14:paraId="1B88B4B3" w14:textId="77777777" w:rsidR="00C46FEB" w:rsidRPr="00C46FEB" w:rsidRDefault="00C46FEB" w:rsidP="00C46FEB">
      <w:pPr>
        <w:spacing w:line="360" w:lineRule="auto"/>
        <w:rPr>
          <w:lang w:val="es-PE" w:eastAsia="es-PE"/>
        </w:rPr>
      </w:pPr>
    </w:p>
    <w:p w14:paraId="6688E927" w14:textId="77777777" w:rsidR="00C46FEB" w:rsidRPr="00C46FEB" w:rsidRDefault="00C46FEB" w:rsidP="00C46FEB">
      <w:pPr>
        <w:spacing w:line="360" w:lineRule="auto"/>
        <w:jc w:val="both"/>
        <w:rPr>
          <w:lang w:val="es-PE" w:eastAsia="es-PE"/>
        </w:rPr>
      </w:pPr>
      <w:r w:rsidRPr="00C46FEB">
        <w:rPr>
          <w:lang w:val="es-PE" w:eastAsia="es-PE"/>
        </w:rPr>
        <w:t xml:space="preserve">*Autor para la correspondencia. Correo electrónico: </w:t>
      </w:r>
      <w:hyperlink r:id="rId13">
        <w:r w:rsidRPr="00C46FEB">
          <w:rPr>
            <w:color w:val="0563C1"/>
            <w:lang w:val="es-PE" w:eastAsia="es-PE"/>
          </w:rPr>
          <w:t>joseph.alburqueque@urp.edu.pe</w:t>
        </w:r>
      </w:hyperlink>
    </w:p>
    <w:p w14:paraId="2D656ADD" w14:textId="77777777" w:rsidR="00C46FEB" w:rsidRPr="00C46FEB" w:rsidRDefault="00C46FEB" w:rsidP="00C46FEB">
      <w:pPr>
        <w:spacing w:line="360" w:lineRule="auto"/>
        <w:jc w:val="both"/>
        <w:rPr>
          <w:b/>
          <w:lang w:val="es-PE" w:eastAsia="es-PE"/>
        </w:rPr>
      </w:pPr>
    </w:p>
    <w:p w14:paraId="26C17721" w14:textId="77777777" w:rsidR="00C46FEB" w:rsidRPr="00C46FEB" w:rsidRDefault="00C46FEB" w:rsidP="00C46FEB">
      <w:pPr>
        <w:spacing w:line="360" w:lineRule="auto"/>
        <w:jc w:val="both"/>
        <w:rPr>
          <w:b/>
          <w:lang w:val="es-PE" w:eastAsia="es-PE"/>
        </w:rPr>
      </w:pPr>
      <w:r w:rsidRPr="00C46FEB">
        <w:rPr>
          <w:b/>
          <w:lang w:val="es-PE" w:eastAsia="es-PE"/>
        </w:rPr>
        <w:t>RESUMEN</w:t>
      </w:r>
    </w:p>
    <w:p w14:paraId="6703F478" w14:textId="77777777" w:rsidR="00C46FEB" w:rsidRPr="00C46FEB" w:rsidRDefault="00C46FEB" w:rsidP="00C46FEB">
      <w:pPr>
        <w:spacing w:line="360" w:lineRule="auto"/>
        <w:jc w:val="both"/>
        <w:rPr>
          <w:lang w:val="es-PE" w:eastAsia="es-PE"/>
        </w:rPr>
      </w:pPr>
      <w:r w:rsidRPr="00C46FEB">
        <w:rPr>
          <w:b/>
          <w:lang w:val="es-PE" w:eastAsia="es-PE"/>
        </w:rPr>
        <w:t>Introducción:</w:t>
      </w:r>
      <w:r w:rsidRPr="00C46FEB">
        <w:rPr>
          <w:lang w:val="es-PE" w:eastAsia="es-PE"/>
        </w:rPr>
        <w:t xml:space="preserve"> La infección por el virus de inmunodeficiencia humana representa un problema de salud pública en el mundo. La adherencia a la terapia antirretroviral es necesaria para alcanzar un estado de supresión viral máxima y disminuir la tasa de infecciones oportunistas. Sin embargo, diversos son los factores que pueden influir en la adherencia terapéutica.</w:t>
      </w:r>
    </w:p>
    <w:p w14:paraId="1DC68460" w14:textId="77777777" w:rsidR="00C46FEB" w:rsidRPr="00C46FEB" w:rsidRDefault="00C46FEB" w:rsidP="00C46FEB">
      <w:pPr>
        <w:spacing w:line="360" w:lineRule="auto"/>
        <w:jc w:val="both"/>
        <w:rPr>
          <w:lang w:val="es-PE" w:eastAsia="es-PE"/>
        </w:rPr>
      </w:pPr>
      <w:r w:rsidRPr="00C46FEB">
        <w:rPr>
          <w:b/>
          <w:lang w:val="es-PE" w:eastAsia="es-PE"/>
        </w:rPr>
        <w:t>Objetivo:</w:t>
      </w:r>
      <w:r w:rsidRPr="00C46FEB">
        <w:rPr>
          <w:lang w:val="es-PE" w:eastAsia="es-PE"/>
        </w:rPr>
        <w:t xml:space="preserve"> Identificar los factores de riesgo asociados a la mala adherencia a la terapia antirretroviral en pacientes con el virus de inmunodeficiencia humana.</w:t>
      </w:r>
    </w:p>
    <w:p w14:paraId="63D1161D" w14:textId="77777777" w:rsidR="00C46FEB" w:rsidRPr="00C46FEB" w:rsidRDefault="00C46FEB" w:rsidP="00C46FEB">
      <w:pPr>
        <w:spacing w:line="360" w:lineRule="auto"/>
        <w:jc w:val="both"/>
        <w:rPr>
          <w:lang w:val="es-PE" w:eastAsia="es-PE"/>
        </w:rPr>
      </w:pPr>
      <w:r w:rsidRPr="00C46FEB">
        <w:rPr>
          <w:b/>
          <w:lang w:val="es-PE" w:eastAsia="es-PE"/>
        </w:rPr>
        <w:lastRenderedPageBreak/>
        <w:t>Métodos:</w:t>
      </w:r>
      <w:r w:rsidRPr="00C46FEB">
        <w:rPr>
          <w:lang w:val="es-PE" w:eastAsia="es-PE"/>
        </w:rPr>
        <w:t xml:space="preserve"> Se empleó un estudio con diseño observacional, analítico, de tipo casos y controles. El tamaño muestral fue de 276, a partir del cual 138 fueron casos y 138 controles. Los datos recolectados fueron analizados utilizando métodos de estadística descriptiva y estadística inferencial.</w:t>
      </w:r>
    </w:p>
    <w:p w14:paraId="674A3C10" w14:textId="4186F023" w:rsidR="00C46FEB" w:rsidRPr="00C46FEB" w:rsidRDefault="00C46FEB" w:rsidP="00C46FEB">
      <w:pPr>
        <w:spacing w:line="360" w:lineRule="auto"/>
        <w:jc w:val="both"/>
        <w:rPr>
          <w:lang w:val="es-PE" w:eastAsia="es-PE"/>
        </w:rPr>
      </w:pPr>
      <w:r w:rsidRPr="00C46FEB">
        <w:rPr>
          <w:b/>
          <w:lang w:val="es-PE" w:eastAsia="es-PE"/>
        </w:rPr>
        <w:t>Resultados:</w:t>
      </w:r>
      <w:r w:rsidRPr="00C46FEB">
        <w:rPr>
          <w:lang w:val="es-PE" w:eastAsia="es-PE"/>
        </w:rPr>
        <w:t xml:space="preserve"> El análisis multivariado determinó una asociación estadísticamente significativa entre la variable adherencia al tratamiento antirretroviral y las variables depresión (</w:t>
      </w:r>
      <w:proofErr w:type="spellStart"/>
      <w:r w:rsidR="00D4310E">
        <w:rPr>
          <w:i/>
          <w:lang w:val="es-PE" w:eastAsia="es-PE"/>
        </w:rPr>
        <w:t>o</w:t>
      </w:r>
      <w:r w:rsidRPr="00C46FEB">
        <w:rPr>
          <w:i/>
          <w:lang w:val="es-PE" w:eastAsia="es-PE"/>
        </w:rPr>
        <w:t>dds</w:t>
      </w:r>
      <w:proofErr w:type="spellEnd"/>
      <w:r w:rsidRPr="00C46FEB">
        <w:rPr>
          <w:i/>
          <w:lang w:val="es-PE" w:eastAsia="es-PE"/>
        </w:rPr>
        <w:t xml:space="preserve"> ratio</w:t>
      </w:r>
      <w:r w:rsidRPr="00C46FEB">
        <w:rPr>
          <w:lang w:val="es-PE" w:eastAsia="es-PE"/>
        </w:rPr>
        <w:t xml:space="preserve"> </w:t>
      </w:r>
      <w:proofErr w:type="spellStart"/>
      <w:r w:rsidRPr="00C46FEB">
        <w:rPr>
          <w:lang w:val="es-PE" w:eastAsia="es-PE"/>
        </w:rPr>
        <w:t>OR</w:t>
      </w:r>
      <w:proofErr w:type="spellEnd"/>
      <w:r w:rsidRPr="00C46FEB">
        <w:rPr>
          <w:lang w:val="es-PE" w:eastAsia="es-PE"/>
        </w:rPr>
        <w:t xml:space="preserve"> ajustado=</w:t>
      </w:r>
      <w:r w:rsidR="00514966">
        <w:rPr>
          <w:lang w:val="es-PE" w:eastAsia="es-PE"/>
        </w:rPr>
        <w:t> </w:t>
      </w:r>
      <w:r w:rsidRPr="00C46FEB">
        <w:rPr>
          <w:lang w:val="es-PE" w:eastAsia="es-PE"/>
        </w:rPr>
        <w:t>2,15), esquema de terapia antirretroviral alternativo (</w:t>
      </w:r>
      <w:proofErr w:type="spellStart"/>
      <w:r w:rsidRPr="00C46FEB">
        <w:rPr>
          <w:lang w:val="es-PE" w:eastAsia="es-PE"/>
        </w:rPr>
        <w:t>OR</w:t>
      </w:r>
      <w:proofErr w:type="spellEnd"/>
      <w:r w:rsidRPr="00C46FEB">
        <w:rPr>
          <w:lang w:val="es-PE" w:eastAsia="es-PE"/>
        </w:rPr>
        <w:t xml:space="preserve"> ajustado= 2,40), efectos secundarios (</w:t>
      </w:r>
      <w:proofErr w:type="spellStart"/>
      <w:r w:rsidRPr="00C46FEB">
        <w:rPr>
          <w:lang w:val="es-PE" w:eastAsia="es-PE"/>
        </w:rPr>
        <w:t>OR</w:t>
      </w:r>
      <w:proofErr w:type="spellEnd"/>
      <w:r w:rsidRPr="00C46FEB">
        <w:rPr>
          <w:lang w:val="es-PE" w:eastAsia="es-PE"/>
        </w:rPr>
        <w:t xml:space="preserve"> ajustado= 4,24) y cambio en la adherencia durante el estado de emergencia (</w:t>
      </w:r>
      <w:proofErr w:type="spellStart"/>
      <w:r w:rsidRPr="00C46FEB">
        <w:rPr>
          <w:lang w:val="es-PE" w:eastAsia="es-PE"/>
        </w:rPr>
        <w:t>OR</w:t>
      </w:r>
      <w:proofErr w:type="spellEnd"/>
      <w:r w:rsidRPr="00C46FEB">
        <w:rPr>
          <w:lang w:val="es-PE" w:eastAsia="es-PE"/>
        </w:rPr>
        <w:t xml:space="preserve"> ajustado= 5,67), independientemente de las otras variables intervinientes.</w:t>
      </w:r>
    </w:p>
    <w:p w14:paraId="25EF1060" w14:textId="77777777" w:rsidR="00C46FEB" w:rsidRPr="00C46FEB" w:rsidRDefault="00C46FEB" w:rsidP="00C46FEB">
      <w:pPr>
        <w:spacing w:line="360" w:lineRule="auto"/>
        <w:jc w:val="both"/>
        <w:rPr>
          <w:lang w:val="es-PE" w:eastAsia="es-PE"/>
        </w:rPr>
      </w:pPr>
      <w:r w:rsidRPr="00C46FEB">
        <w:rPr>
          <w:b/>
          <w:lang w:val="es-PE" w:eastAsia="es-PE"/>
        </w:rPr>
        <w:t>Conclusiones:</w:t>
      </w:r>
      <w:r w:rsidRPr="00C46FEB">
        <w:rPr>
          <w:lang w:val="es-PE" w:eastAsia="es-PE"/>
        </w:rPr>
        <w:t xml:space="preserve"> La depresión, el uso del esquema de terapia antirretroviral alternativo, la presencia de efectos secundarios a terapia antirretroviral y el cambio en la adherencia durante el estado de emergencia aumentan el riesgo de mala adherencia a la terapia antirretroviral.</w:t>
      </w:r>
    </w:p>
    <w:p w14:paraId="320C0D1C" w14:textId="5234CAE1" w:rsidR="00C46FEB" w:rsidRPr="00C46FEB" w:rsidRDefault="00C46FEB" w:rsidP="00C46FEB">
      <w:pPr>
        <w:spacing w:line="360" w:lineRule="auto"/>
        <w:jc w:val="both"/>
        <w:rPr>
          <w:lang w:val="es-PE" w:eastAsia="es-PE"/>
        </w:rPr>
      </w:pPr>
      <w:r w:rsidRPr="00C46FEB">
        <w:rPr>
          <w:b/>
          <w:lang w:val="es-PE" w:eastAsia="es-PE"/>
        </w:rPr>
        <w:t xml:space="preserve">Palabras clave: </w:t>
      </w:r>
      <w:r w:rsidRPr="00C46FEB">
        <w:rPr>
          <w:lang w:val="es-PE" w:eastAsia="es-PE"/>
        </w:rPr>
        <w:t>VIH; síndrome de inmunodeficiencia adquirida; terapia antirretroviral altamente activa; COVID</w:t>
      </w:r>
      <w:r w:rsidR="00A06D3F">
        <w:rPr>
          <w:lang w:val="es-PE" w:eastAsia="es-PE"/>
        </w:rPr>
        <w:t>-</w:t>
      </w:r>
      <w:r w:rsidRPr="00C46FEB">
        <w:rPr>
          <w:lang w:val="es-PE" w:eastAsia="es-PE"/>
        </w:rPr>
        <w:t>19.</w:t>
      </w:r>
    </w:p>
    <w:p w14:paraId="135FAAA4" w14:textId="77777777" w:rsidR="00C46FEB" w:rsidRPr="00C46FEB" w:rsidRDefault="00C46FEB" w:rsidP="00C46FEB">
      <w:pPr>
        <w:spacing w:line="360" w:lineRule="auto"/>
        <w:jc w:val="both"/>
        <w:rPr>
          <w:lang w:val="es-PE" w:eastAsia="es-PE"/>
        </w:rPr>
      </w:pPr>
    </w:p>
    <w:p w14:paraId="58220349" w14:textId="77777777" w:rsidR="00C46FEB" w:rsidRPr="00C46FEB" w:rsidRDefault="00C46FEB" w:rsidP="00C46FEB">
      <w:pPr>
        <w:spacing w:line="360" w:lineRule="auto"/>
        <w:jc w:val="both"/>
        <w:rPr>
          <w:b/>
          <w:lang w:val="en-GB" w:eastAsia="es-PE"/>
        </w:rPr>
      </w:pPr>
      <w:r w:rsidRPr="00C46FEB">
        <w:rPr>
          <w:b/>
          <w:lang w:val="en-GB" w:eastAsia="es-PE"/>
        </w:rPr>
        <w:t>ABSTRACT</w:t>
      </w:r>
    </w:p>
    <w:p w14:paraId="2BE4D9B8" w14:textId="77777777" w:rsidR="00C46FEB" w:rsidRPr="00C46FEB" w:rsidRDefault="00C46FEB" w:rsidP="00C46FEB">
      <w:pPr>
        <w:spacing w:line="360" w:lineRule="auto"/>
        <w:jc w:val="both"/>
        <w:rPr>
          <w:b/>
          <w:lang w:val="en-GB" w:eastAsia="es-PE"/>
        </w:rPr>
      </w:pPr>
      <w:r w:rsidRPr="00C46FEB">
        <w:rPr>
          <w:b/>
          <w:lang w:val="en-GB" w:eastAsia="es-PE"/>
        </w:rPr>
        <w:t xml:space="preserve">Introduction: </w:t>
      </w:r>
      <w:r w:rsidRPr="00C46FEB">
        <w:rPr>
          <w:lang w:val="en-GB" w:eastAsia="es-PE"/>
        </w:rPr>
        <w:t>Human immunodeficiency virus infection represents a public health public problem in the world. Adherence to antiretroviral therapy is necessary to achieve a state of maximum viral suppression and decrease the rate of opportunistic infections. However, there are several factors that can influence therapeutic adherence.</w:t>
      </w:r>
    </w:p>
    <w:p w14:paraId="0581254A" w14:textId="77777777" w:rsidR="00C46FEB" w:rsidRPr="00C46FEB" w:rsidRDefault="00C46FEB" w:rsidP="00C46FEB">
      <w:pPr>
        <w:spacing w:line="360" w:lineRule="auto"/>
        <w:jc w:val="both"/>
        <w:rPr>
          <w:lang w:val="en-GB" w:eastAsia="es-PE"/>
        </w:rPr>
      </w:pPr>
      <w:r w:rsidRPr="00C46FEB">
        <w:rPr>
          <w:b/>
          <w:lang w:val="en-GB" w:eastAsia="es-PE"/>
        </w:rPr>
        <w:t xml:space="preserve">Objective: </w:t>
      </w:r>
      <w:r w:rsidRPr="00C46FEB">
        <w:rPr>
          <w:lang w:val="en-GB" w:eastAsia="es-PE"/>
        </w:rPr>
        <w:t>To identify the risk factors associated with poor adherence to antiretroviral therapy in patients with the human immunodeficiency virus.</w:t>
      </w:r>
    </w:p>
    <w:p w14:paraId="46803943" w14:textId="77777777" w:rsidR="00C46FEB" w:rsidRPr="00C46FEB" w:rsidRDefault="00C46FEB" w:rsidP="00C46FEB">
      <w:pPr>
        <w:spacing w:line="360" w:lineRule="auto"/>
        <w:jc w:val="both"/>
        <w:rPr>
          <w:b/>
          <w:lang w:val="en-GB" w:eastAsia="es-PE"/>
        </w:rPr>
      </w:pPr>
      <w:r w:rsidRPr="00C46FEB">
        <w:rPr>
          <w:b/>
          <w:lang w:val="en-GB" w:eastAsia="es-PE"/>
        </w:rPr>
        <w:t xml:space="preserve">Methods: </w:t>
      </w:r>
      <w:r w:rsidRPr="00C46FEB">
        <w:rPr>
          <w:lang w:val="en-GB" w:eastAsia="es-PE"/>
        </w:rPr>
        <w:t xml:space="preserve">A study with an observational, analytical, case-control type design was used. The sample size was 276, from which 138 were cases and 138 controls. The collected data was </w:t>
      </w:r>
      <w:proofErr w:type="spellStart"/>
      <w:r w:rsidRPr="00C46FEB">
        <w:rPr>
          <w:lang w:val="en-GB" w:eastAsia="es-PE"/>
        </w:rPr>
        <w:t>analyzed</w:t>
      </w:r>
      <w:proofErr w:type="spellEnd"/>
      <w:r w:rsidRPr="00C46FEB">
        <w:rPr>
          <w:lang w:val="en-GB" w:eastAsia="es-PE"/>
        </w:rPr>
        <w:t xml:space="preserve"> using methods of descriptive statistics and inferential statistics.</w:t>
      </w:r>
    </w:p>
    <w:p w14:paraId="40218DB7" w14:textId="77777777" w:rsidR="00C46FEB" w:rsidRPr="00C46FEB" w:rsidRDefault="00C46FEB" w:rsidP="00C46FEB">
      <w:pPr>
        <w:spacing w:line="360" w:lineRule="auto"/>
        <w:jc w:val="both"/>
        <w:rPr>
          <w:b/>
          <w:lang w:val="en-GB" w:eastAsia="es-PE"/>
        </w:rPr>
      </w:pPr>
      <w:r w:rsidRPr="00C46FEB">
        <w:rPr>
          <w:b/>
          <w:lang w:val="en-GB" w:eastAsia="es-PE"/>
        </w:rPr>
        <w:t xml:space="preserve">Results: </w:t>
      </w:r>
      <w:r w:rsidRPr="00C46FEB">
        <w:rPr>
          <w:lang w:val="en-GB" w:eastAsia="es-PE"/>
        </w:rPr>
        <w:t xml:space="preserve">The multivariate analysis determined a statistically significant association between the variable adherence to antiretroviral treatment and the variables depression (adjusted Odds Ratio OR = 2.15), alternative antiretroviral therapy scheme (adjusted OR= 2.40), side effects (adjusted OR= 4.24), and </w:t>
      </w:r>
      <w:r w:rsidRPr="00C46FEB">
        <w:rPr>
          <w:lang w:val="en-GB" w:eastAsia="es-PE"/>
        </w:rPr>
        <w:lastRenderedPageBreak/>
        <w:t>change in adherence during the state of emergency (adjusted OR= 5.67) independently of the other intervening variables.</w:t>
      </w:r>
    </w:p>
    <w:p w14:paraId="62467F2B" w14:textId="77777777" w:rsidR="00C46FEB" w:rsidRPr="00C46FEB" w:rsidRDefault="00C46FEB" w:rsidP="00C46FEB">
      <w:pPr>
        <w:spacing w:line="360" w:lineRule="auto"/>
        <w:jc w:val="both"/>
        <w:rPr>
          <w:b/>
          <w:lang w:val="en-GB" w:eastAsia="es-PE"/>
        </w:rPr>
      </w:pPr>
      <w:r w:rsidRPr="00C46FEB">
        <w:rPr>
          <w:b/>
          <w:lang w:val="en-GB" w:eastAsia="es-PE"/>
        </w:rPr>
        <w:t xml:space="preserve">Conclusions: </w:t>
      </w:r>
      <w:r w:rsidRPr="00C46FEB">
        <w:rPr>
          <w:lang w:val="en-GB" w:eastAsia="es-PE"/>
        </w:rPr>
        <w:t>Depression, the use of alternative antiretroviral therapy regimens, the presence of side effects to antiretroviral therapy, and the change in adherence during the state of emergency increase the risk of poor adherence to antiretroviral therapy.</w:t>
      </w:r>
    </w:p>
    <w:p w14:paraId="45897EB8" w14:textId="77777777" w:rsidR="00C46FEB" w:rsidRPr="00C46FEB" w:rsidRDefault="00C46FEB" w:rsidP="00C46FEB">
      <w:pPr>
        <w:spacing w:line="360" w:lineRule="auto"/>
        <w:jc w:val="both"/>
        <w:rPr>
          <w:lang w:val="en-GB" w:eastAsia="es-PE"/>
        </w:rPr>
      </w:pPr>
      <w:r w:rsidRPr="00C46FEB">
        <w:rPr>
          <w:b/>
          <w:lang w:val="en-GB" w:eastAsia="es-PE"/>
        </w:rPr>
        <w:t>Keywords:</w:t>
      </w:r>
      <w:r w:rsidRPr="00C46FEB">
        <w:rPr>
          <w:lang w:val="en-GB" w:eastAsia="es-PE"/>
        </w:rPr>
        <w:t xml:space="preserve"> HIV; acquired immunodeficiency syndrome; antiretroviral therapy; COVID-19.</w:t>
      </w:r>
    </w:p>
    <w:p w14:paraId="46CF3A7A" w14:textId="77777777" w:rsidR="00C46FEB" w:rsidRPr="00C46FEB" w:rsidRDefault="00C46FEB" w:rsidP="00C46FEB">
      <w:pPr>
        <w:spacing w:line="360" w:lineRule="auto"/>
        <w:jc w:val="both"/>
        <w:rPr>
          <w:lang w:val="en-GB" w:eastAsia="es-PE"/>
        </w:rPr>
      </w:pPr>
    </w:p>
    <w:p w14:paraId="170327CD" w14:textId="77777777" w:rsidR="00C46FEB" w:rsidRPr="00C46FEB" w:rsidRDefault="00C46FEB" w:rsidP="00C46FEB">
      <w:pPr>
        <w:spacing w:line="360" w:lineRule="auto"/>
        <w:jc w:val="both"/>
        <w:rPr>
          <w:lang w:val="en-GB" w:eastAsia="es-PE"/>
        </w:rPr>
      </w:pPr>
    </w:p>
    <w:p w14:paraId="6F1A8FE7" w14:textId="77777777" w:rsidR="00C46FEB" w:rsidRPr="00C46FEB" w:rsidRDefault="00C46FEB" w:rsidP="00C46FEB">
      <w:pPr>
        <w:spacing w:line="360" w:lineRule="auto"/>
        <w:jc w:val="both"/>
        <w:rPr>
          <w:lang w:val="es-PE" w:eastAsia="es-PE"/>
        </w:rPr>
      </w:pPr>
      <w:r w:rsidRPr="00C46FEB">
        <w:rPr>
          <w:lang w:val="es-PE" w:eastAsia="es-PE"/>
        </w:rPr>
        <w:t>Recibido: 30/01/2023</w:t>
      </w:r>
    </w:p>
    <w:p w14:paraId="690F861B" w14:textId="77777777" w:rsidR="00C46FEB" w:rsidRPr="00C46FEB" w:rsidRDefault="00C46FEB" w:rsidP="00C46FEB">
      <w:pPr>
        <w:spacing w:line="360" w:lineRule="auto"/>
        <w:jc w:val="both"/>
        <w:rPr>
          <w:lang w:val="es-PE" w:eastAsia="es-PE"/>
        </w:rPr>
      </w:pPr>
      <w:r w:rsidRPr="00C46FEB">
        <w:rPr>
          <w:lang w:val="es-PE" w:eastAsia="es-PE"/>
        </w:rPr>
        <w:t>Aprobado: 23/09/2023</w:t>
      </w:r>
    </w:p>
    <w:p w14:paraId="139896F3" w14:textId="77777777" w:rsidR="00C46FEB" w:rsidRPr="00C46FEB" w:rsidRDefault="00C46FEB" w:rsidP="00C46FEB">
      <w:pPr>
        <w:spacing w:line="360" w:lineRule="auto"/>
        <w:jc w:val="both"/>
        <w:rPr>
          <w:b/>
          <w:lang w:val="es-PE" w:eastAsia="es-PE"/>
        </w:rPr>
      </w:pPr>
    </w:p>
    <w:p w14:paraId="5FE39349" w14:textId="77777777" w:rsidR="00C46FEB" w:rsidRPr="00C46FEB" w:rsidRDefault="00C46FEB" w:rsidP="00C46FEB">
      <w:pPr>
        <w:spacing w:line="360" w:lineRule="auto"/>
        <w:jc w:val="center"/>
        <w:rPr>
          <w:b/>
          <w:sz w:val="32"/>
          <w:szCs w:val="32"/>
          <w:lang w:val="es-PE" w:eastAsia="es-PE"/>
        </w:rPr>
      </w:pPr>
    </w:p>
    <w:p w14:paraId="38963B66" w14:textId="77777777" w:rsidR="00C46FEB" w:rsidRPr="00C46FEB" w:rsidRDefault="00C46FEB" w:rsidP="00C46FEB">
      <w:pPr>
        <w:spacing w:line="360" w:lineRule="auto"/>
        <w:jc w:val="center"/>
        <w:rPr>
          <w:b/>
          <w:sz w:val="32"/>
          <w:szCs w:val="32"/>
          <w:lang w:val="es-PE" w:eastAsia="es-PE"/>
        </w:rPr>
      </w:pPr>
      <w:r w:rsidRPr="00C46FEB">
        <w:rPr>
          <w:b/>
          <w:sz w:val="32"/>
          <w:szCs w:val="32"/>
          <w:lang w:val="es-PE" w:eastAsia="es-PE"/>
        </w:rPr>
        <w:t>INTRODUCCIÓN</w:t>
      </w:r>
    </w:p>
    <w:p w14:paraId="767196C3" w14:textId="77777777" w:rsidR="00C46FEB" w:rsidRPr="00C46FEB" w:rsidRDefault="00C46FEB" w:rsidP="00C46FEB">
      <w:pPr>
        <w:spacing w:line="360" w:lineRule="auto"/>
        <w:jc w:val="both"/>
        <w:rPr>
          <w:lang w:val="es-PE" w:eastAsia="es-PE"/>
        </w:rPr>
      </w:pPr>
      <w:r w:rsidRPr="00C46FEB">
        <w:rPr>
          <w:lang w:val="es-PE" w:eastAsia="es-PE"/>
        </w:rPr>
        <w:t>La infección por el virus de inmunodeficiencia humana (VIH) representa un problema de salud pública en el mundo, que afecta aproximadamente a 40,1 millones de individuos.</w:t>
      </w:r>
      <w:r w:rsidRPr="00C46FEB">
        <w:rPr>
          <w:vertAlign w:val="superscript"/>
          <w:lang w:val="es-PE" w:eastAsia="es-PE"/>
        </w:rPr>
        <w:t>(1,2,3)</w:t>
      </w:r>
      <w:r w:rsidRPr="00C46FEB">
        <w:rPr>
          <w:lang w:val="es-PE" w:eastAsia="es-PE"/>
        </w:rPr>
        <w:t xml:space="preserve"> La infección por VIH no tratada produce una disminución progresiva en el recuento de linfocitos T </w:t>
      </w:r>
      <w:proofErr w:type="spellStart"/>
      <w:r w:rsidRPr="00C46FEB">
        <w:rPr>
          <w:lang w:val="es-PE" w:eastAsia="es-PE"/>
        </w:rPr>
        <w:t>CD4</w:t>
      </w:r>
      <w:proofErr w:type="spellEnd"/>
      <w:r w:rsidRPr="00C46FEB">
        <w:rPr>
          <w:lang w:val="es-PE" w:eastAsia="es-PE"/>
        </w:rPr>
        <w:t>+ lo que conlleva a un estado de inmunosupresión, que predispone a complicaciones infecciosas y oncológicas.</w:t>
      </w:r>
      <w:r w:rsidRPr="00C46FEB">
        <w:rPr>
          <w:vertAlign w:val="superscript"/>
          <w:lang w:val="es-PE" w:eastAsia="es-PE"/>
        </w:rPr>
        <w:t>(3)</w:t>
      </w:r>
      <w:r w:rsidRPr="00C46FEB">
        <w:rPr>
          <w:lang w:val="es-PE" w:eastAsia="es-PE"/>
        </w:rPr>
        <w:t xml:space="preserve"> De acuerdo con la Organización Mundial de la Salud (OMS),</w:t>
      </w:r>
      <w:r w:rsidRPr="00C46FEB">
        <w:rPr>
          <w:vertAlign w:val="superscript"/>
          <w:lang w:val="es-PE" w:eastAsia="es-PE"/>
        </w:rPr>
        <w:t>(1)</w:t>
      </w:r>
      <w:r w:rsidRPr="00C46FEB">
        <w:rPr>
          <w:lang w:val="es-PE" w:eastAsia="es-PE"/>
        </w:rPr>
        <w:t xml:space="preserve"> se estima que para fines del año 2021, aproximadamente 38,4 millones de individuos estaban infectados.</w:t>
      </w:r>
      <w:r w:rsidRPr="00C46FEB">
        <w:rPr>
          <w:vertAlign w:val="superscript"/>
          <w:lang w:val="es-PE" w:eastAsia="es-PE"/>
        </w:rPr>
        <w:t xml:space="preserve"> </w:t>
      </w:r>
      <w:r w:rsidRPr="00C46FEB">
        <w:rPr>
          <w:lang w:val="es-PE" w:eastAsia="es-PE"/>
        </w:rPr>
        <w:t>En Perú, de acuerdo con el Centro Nacional de Epidemiología, Prevención y Control de Enfermedades, se reporta un total de 143 732 casos de pacientes con VIH, para septiembre del año 2021, de los cuales 46 641 se encontraban en el estadio de síndrome de inmunodeficiencia adquirida (sida). Asimismo, se ha reportado una disminución en la incidencia entre los años 2020 y 2021; sin embargo, esta tendencia podría verse explicada por un subregistro debido al contexto de la pandemia por la COVID-19.</w:t>
      </w:r>
      <w:r w:rsidRPr="00C46FEB">
        <w:rPr>
          <w:vertAlign w:val="superscript"/>
          <w:lang w:val="es-PE" w:eastAsia="es-PE"/>
        </w:rPr>
        <w:t>(4)</w:t>
      </w:r>
      <w:r w:rsidRPr="00C46FEB">
        <w:rPr>
          <w:lang w:val="es-PE" w:eastAsia="es-PE"/>
        </w:rPr>
        <w:t xml:space="preserve"> Aunque no existe una cura definitiva para esta enfermedad, las estrategias de prevención, el acceso a programas enfocados al tratamiento y el cuidado de pacientes con VIH ha logrado un aumento en la sobrevida de los pacientes.</w:t>
      </w:r>
      <w:r w:rsidRPr="00C46FEB">
        <w:rPr>
          <w:vertAlign w:val="superscript"/>
          <w:lang w:val="es-PE" w:eastAsia="es-PE"/>
        </w:rPr>
        <w:t>(1,2,5)</w:t>
      </w:r>
      <w:r w:rsidRPr="00C46FEB">
        <w:rPr>
          <w:lang w:val="es-PE" w:eastAsia="es-PE"/>
        </w:rPr>
        <w:t xml:space="preserve"> En particular, </w:t>
      </w:r>
      <w:r w:rsidRPr="00C46FEB">
        <w:rPr>
          <w:lang w:val="es-PE" w:eastAsia="es-PE"/>
        </w:rPr>
        <w:lastRenderedPageBreak/>
        <w:t>la terapia antirretroviral (</w:t>
      </w:r>
      <w:proofErr w:type="spellStart"/>
      <w:r w:rsidRPr="00C46FEB">
        <w:rPr>
          <w:lang w:val="es-PE" w:eastAsia="es-PE"/>
        </w:rPr>
        <w:t>TAR</w:t>
      </w:r>
      <w:proofErr w:type="spellEnd"/>
      <w:r w:rsidRPr="00C46FEB">
        <w:rPr>
          <w:lang w:val="es-PE" w:eastAsia="es-PE"/>
        </w:rPr>
        <w:t>) ha desempeñado un rol importante en la mejora del pronóstico y la calidad de vida.</w:t>
      </w:r>
      <w:r w:rsidRPr="00C46FEB">
        <w:rPr>
          <w:vertAlign w:val="superscript"/>
          <w:lang w:val="es-PE" w:eastAsia="es-PE"/>
        </w:rPr>
        <w:t>(6)</w:t>
      </w:r>
    </w:p>
    <w:p w14:paraId="7EB1A774" w14:textId="77777777" w:rsidR="00C46FEB" w:rsidRPr="00C46FEB" w:rsidRDefault="00C46FEB" w:rsidP="00C46FEB">
      <w:pPr>
        <w:spacing w:line="360" w:lineRule="auto"/>
        <w:jc w:val="both"/>
        <w:rPr>
          <w:vertAlign w:val="superscript"/>
          <w:lang w:val="es-PE" w:eastAsia="es-PE"/>
        </w:rPr>
      </w:pPr>
      <w:bookmarkStart w:id="1" w:name="_30j0zll" w:colFirst="0" w:colLast="0"/>
      <w:bookmarkEnd w:id="1"/>
      <w:r w:rsidRPr="00C46FEB">
        <w:rPr>
          <w:lang w:val="es-PE" w:eastAsia="es-PE"/>
        </w:rPr>
        <w:t xml:space="preserve">La adherencia a la terapia antirretroviral es necesaria para alcanzar un estado de supresión viral máxima y disminuir la tasa de infecciones </w:t>
      </w:r>
      <w:proofErr w:type="gramStart"/>
      <w:r w:rsidRPr="00C46FEB">
        <w:rPr>
          <w:lang w:val="es-PE" w:eastAsia="es-PE"/>
        </w:rPr>
        <w:t>oportunistas.</w:t>
      </w:r>
      <w:r w:rsidRPr="00C46FEB">
        <w:rPr>
          <w:vertAlign w:val="superscript"/>
          <w:lang w:val="es-PE" w:eastAsia="es-PE"/>
        </w:rPr>
        <w:t>(</w:t>
      </w:r>
      <w:proofErr w:type="gramEnd"/>
      <w:r w:rsidRPr="00C46FEB">
        <w:rPr>
          <w:vertAlign w:val="superscript"/>
          <w:lang w:val="es-PE" w:eastAsia="es-PE"/>
        </w:rPr>
        <w:t>6,7)</w:t>
      </w:r>
      <w:r w:rsidRPr="00C46FEB">
        <w:rPr>
          <w:lang w:val="es-PE" w:eastAsia="es-PE"/>
        </w:rPr>
        <w:t xml:space="preserve"> Sin embargo, mantener una adherencia adecuada durante toda la vida del individuo es una tarea difícil. Muchos factores pueden influir en la adherencia al tratamiento en pacientes con VIH, dentro de estos, se destaca el conocimiento y actitud hacia la </w:t>
      </w:r>
      <w:proofErr w:type="spellStart"/>
      <w:r w:rsidRPr="00C46FEB">
        <w:rPr>
          <w:lang w:val="es-PE" w:eastAsia="es-PE"/>
        </w:rPr>
        <w:t>TAR</w:t>
      </w:r>
      <w:proofErr w:type="spellEnd"/>
      <w:r w:rsidRPr="00C46FEB">
        <w:rPr>
          <w:lang w:val="es-PE" w:eastAsia="es-PE"/>
        </w:rPr>
        <w:t>, efectos secundarios de los fármacos, problemas económicos, factores relacionados con los sistemas de salud, discriminación, estigma, incapacidad para determinar el estado serológico respecto al VIH y factores socioculturales.</w:t>
      </w:r>
      <w:r w:rsidRPr="00C46FEB">
        <w:rPr>
          <w:vertAlign w:val="superscript"/>
          <w:lang w:val="es-PE" w:eastAsia="es-PE"/>
        </w:rPr>
        <w:t>(7)</w:t>
      </w:r>
      <w:r w:rsidRPr="00C46FEB">
        <w:rPr>
          <w:lang w:val="es-PE" w:eastAsia="es-PE"/>
        </w:rPr>
        <w:t xml:space="preserve"> La mala adherencia al tratamiento se ha relacionado con el desarrollo de resistencia al</w:t>
      </w:r>
      <w:r w:rsidRPr="00C46FEB">
        <w:rPr>
          <w:color w:val="FF0000"/>
          <w:lang w:val="es-PE" w:eastAsia="es-PE"/>
        </w:rPr>
        <w:t xml:space="preserve"> </w:t>
      </w:r>
      <w:proofErr w:type="spellStart"/>
      <w:r w:rsidRPr="00C46FEB">
        <w:rPr>
          <w:lang w:val="es-PE" w:eastAsia="es-PE"/>
        </w:rPr>
        <w:t>TAR</w:t>
      </w:r>
      <w:proofErr w:type="spellEnd"/>
      <w:r w:rsidRPr="00C46FEB">
        <w:rPr>
          <w:lang w:val="es-PE" w:eastAsia="es-PE"/>
        </w:rPr>
        <w:t>, progresión de la enfermedad al estadio sida, aumento de la tasa de hospitalización, aumento de los costos en salud, rupturas familiares y de comunidades y aumento de la mortalidad, sobre todo en países de ingresos medianos y bajos.</w:t>
      </w:r>
      <w:r w:rsidRPr="00C46FEB">
        <w:rPr>
          <w:vertAlign w:val="superscript"/>
          <w:lang w:val="es-PE" w:eastAsia="es-PE"/>
        </w:rPr>
        <w:t xml:space="preserve">(8,9,10) </w:t>
      </w:r>
    </w:p>
    <w:p w14:paraId="00720DA6" w14:textId="77777777" w:rsidR="00C46FEB" w:rsidRPr="00C46FEB" w:rsidRDefault="00C46FEB" w:rsidP="00C46FEB">
      <w:pPr>
        <w:spacing w:line="360" w:lineRule="auto"/>
        <w:jc w:val="both"/>
        <w:rPr>
          <w:lang w:val="es-PE" w:eastAsia="es-PE"/>
        </w:rPr>
      </w:pPr>
      <w:r w:rsidRPr="00C46FEB">
        <w:rPr>
          <w:lang w:val="es-PE" w:eastAsia="es-PE"/>
        </w:rPr>
        <w:t>El presente estudio tiene como objetivo identificar los factores de riesgo asociados a la mala adherencia a la terapia antirretroviral en pacientes que viven con VIH.</w:t>
      </w:r>
    </w:p>
    <w:p w14:paraId="32823A33" w14:textId="77777777" w:rsidR="00C46FEB" w:rsidRPr="00C46FEB" w:rsidRDefault="00C46FEB" w:rsidP="00C46FEB">
      <w:pPr>
        <w:spacing w:line="360" w:lineRule="auto"/>
        <w:jc w:val="both"/>
        <w:rPr>
          <w:lang w:val="es-PE" w:eastAsia="es-PE"/>
        </w:rPr>
      </w:pPr>
    </w:p>
    <w:p w14:paraId="48FF8667" w14:textId="77777777" w:rsidR="00C46FEB" w:rsidRPr="00C46FEB" w:rsidRDefault="00C46FEB" w:rsidP="00C46FEB">
      <w:pPr>
        <w:spacing w:line="360" w:lineRule="auto"/>
        <w:jc w:val="both"/>
        <w:rPr>
          <w:lang w:val="es-PE" w:eastAsia="es-PE"/>
        </w:rPr>
      </w:pPr>
    </w:p>
    <w:p w14:paraId="0DD3F487" w14:textId="77777777" w:rsidR="00C46FEB" w:rsidRPr="00C46FEB" w:rsidRDefault="00C46FEB" w:rsidP="00C46FEB">
      <w:pPr>
        <w:spacing w:line="360" w:lineRule="auto"/>
        <w:jc w:val="center"/>
        <w:rPr>
          <w:b/>
          <w:sz w:val="32"/>
          <w:szCs w:val="32"/>
          <w:lang w:val="es-PE" w:eastAsia="es-PE"/>
        </w:rPr>
      </w:pPr>
      <w:r w:rsidRPr="00C46FEB">
        <w:rPr>
          <w:b/>
          <w:sz w:val="32"/>
          <w:szCs w:val="32"/>
          <w:lang w:val="es-PE" w:eastAsia="es-PE"/>
        </w:rPr>
        <w:t>MÉTODOS</w:t>
      </w:r>
    </w:p>
    <w:p w14:paraId="17588569" w14:textId="77777777" w:rsidR="00C46FEB" w:rsidRPr="00C46FEB" w:rsidRDefault="00C46FEB" w:rsidP="00C46FEB">
      <w:pPr>
        <w:spacing w:line="360" w:lineRule="auto"/>
        <w:jc w:val="center"/>
        <w:rPr>
          <w:rFonts w:eastAsia="Calibri"/>
          <w:sz w:val="22"/>
          <w:szCs w:val="22"/>
          <w:lang w:val="es-PE" w:eastAsia="es-PE"/>
        </w:rPr>
      </w:pPr>
      <w:r w:rsidRPr="00C46FEB">
        <w:rPr>
          <w:b/>
          <w:sz w:val="28"/>
          <w:szCs w:val="28"/>
          <w:lang w:val="es-PE" w:eastAsia="es-PE"/>
        </w:rPr>
        <w:t>Diseño de estudio</w:t>
      </w:r>
    </w:p>
    <w:p w14:paraId="3A02C09F" w14:textId="77777777" w:rsidR="00C46FEB" w:rsidRPr="00C46FEB" w:rsidRDefault="00C46FEB" w:rsidP="00C46FEB">
      <w:pPr>
        <w:spacing w:line="360" w:lineRule="auto"/>
        <w:jc w:val="both"/>
        <w:rPr>
          <w:sz w:val="22"/>
          <w:szCs w:val="22"/>
          <w:lang w:val="es-PE" w:eastAsia="es-PE"/>
        </w:rPr>
      </w:pPr>
      <w:r w:rsidRPr="00C46FEB">
        <w:rPr>
          <w:lang w:val="es-PE" w:eastAsia="es-PE"/>
        </w:rPr>
        <w:t>El presente estudio empleó un diseño observacional, analítico, de tipo casos y controles.</w:t>
      </w:r>
      <w:r w:rsidRPr="00C46FEB">
        <w:rPr>
          <w:sz w:val="22"/>
          <w:szCs w:val="22"/>
          <w:lang w:val="es-PE" w:eastAsia="es-PE"/>
        </w:rPr>
        <w:t xml:space="preserve"> </w:t>
      </w:r>
    </w:p>
    <w:p w14:paraId="16A46570" w14:textId="77777777" w:rsidR="00C46FEB" w:rsidRPr="00C46FEB" w:rsidRDefault="00C46FEB" w:rsidP="00C46FEB">
      <w:pPr>
        <w:spacing w:line="360" w:lineRule="auto"/>
        <w:jc w:val="center"/>
        <w:rPr>
          <w:rFonts w:eastAsia="Calibri"/>
          <w:sz w:val="22"/>
          <w:szCs w:val="22"/>
          <w:lang w:val="es-PE" w:eastAsia="es-PE"/>
        </w:rPr>
      </w:pPr>
      <w:r w:rsidRPr="00C46FEB">
        <w:rPr>
          <w:b/>
          <w:sz w:val="28"/>
          <w:szCs w:val="28"/>
          <w:lang w:val="es-PE" w:eastAsia="es-PE"/>
        </w:rPr>
        <w:t>Sujetos</w:t>
      </w:r>
    </w:p>
    <w:p w14:paraId="3BD42CB7" w14:textId="77777777" w:rsidR="00C46FEB" w:rsidRPr="00C46FEB" w:rsidRDefault="00C46FEB" w:rsidP="00C46FEB">
      <w:pPr>
        <w:spacing w:line="360" w:lineRule="auto"/>
        <w:jc w:val="both"/>
        <w:rPr>
          <w:lang w:val="es-PE" w:eastAsia="es-PE"/>
        </w:rPr>
      </w:pPr>
      <w:r w:rsidRPr="00C46FEB">
        <w:rPr>
          <w:lang w:val="es-PE" w:eastAsia="es-PE"/>
        </w:rPr>
        <w:t>Población: estuvo conformada por pacientes VIH positivo, de 18 a 60 años, en terapia antirretroviral, en el Hospital Nacional “Sergio Bernales”, del Perú, en el periodo desde enero del 2019 hasta diciembre del 2021.</w:t>
      </w:r>
    </w:p>
    <w:p w14:paraId="55C436B4" w14:textId="77777777" w:rsidR="00C46FEB" w:rsidRPr="00C46FEB" w:rsidRDefault="00C46FEB" w:rsidP="00C46FEB">
      <w:pPr>
        <w:spacing w:line="360" w:lineRule="auto"/>
        <w:jc w:val="both"/>
        <w:rPr>
          <w:lang w:val="es-PE" w:eastAsia="es-PE"/>
        </w:rPr>
      </w:pPr>
      <w:r w:rsidRPr="00C46FEB">
        <w:rPr>
          <w:lang w:val="es-PE" w:eastAsia="es-PE"/>
        </w:rPr>
        <w:t xml:space="preserve">Criterios de inclusión para los casos: pacientes mayores de 18 años sin enfermedad activa, que estuvieran recibiendo terapia antirretroviral en el Hospital “Sergio Bernales”, durante el periodo de estudio, con mala adherencia a la terapia antirretroviral. </w:t>
      </w:r>
    </w:p>
    <w:p w14:paraId="63738981" w14:textId="77777777" w:rsidR="00C46FEB" w:rsidRPr="00C46FEB" w:rsidRDefault="00C46FEB" w:rsidP="00C46FEB">
      <w:pPr>
        <w:spacing w:line="360" w:lineRule="auto"/>
        <w:jc w:val="both"/>
        <w:rPr>
          <w:lang w:val="es-PE" w:eastAsia="es-PE"/>
        </w:rPr>
      </w:pPr>
      <w:r w:rsidRPr="00C46FEB">
        <w:rPr>
          <w:lang w:val="es-PE" w:eastAsia="es-PE"/>
        </w:rPr>
        <w:lastRenderedPageBreak/>
        <w:t>Los criterios de inclusión para los controles fueron: pacientes mayores de 18 años, sin enfermedad activa, que estén recibiendo terapia antirretroviral en el Hospital Sergio Bernales, durante el periodo del estudio, con buena adherencia a la terapia antirretroviral.</w:t>
      </w:r>
    </w:p>
    <w:p w14:paraId="626F0C34" w14:textId="77777777" w:rsidR="00C46FEB" w:rsidRPr="00C46FEB" w:rsidRDefault="00C46FEB" w:rsidP="00C46FEB">
      <w:pPr>
        <w:spacing w:line="360" w:lineRule="auto"/>
        <w:jc w:val="both"/>
        <w:rPr>
          <w:lang w:val="es-PE" w:eastAsia="es-PE"/>
        </w:rPr>
      </w:pPr>
      <w:r w:rsidRPr="00C46FEB">
        <w:rPr>
          <w:lang w:val="es-PE" w:eastAsia="es-PE"/>
        </w:rPr>
        <w:t>Criterios de exclusión:  pacientes en estadio sida, gestantes, con diagnóstico de tuberculosis, con historias clínicas incompletas o inaccesibles.</w:t>
      </w:r>
    </w:p>
    <w:p w14:paraId="593407C6" w14:textId="77777777" w:rsidR="00C46FEB" w:rsidRPr="00C46FEB" w:rsidRDefault="00C46FEB" w:rsidP="00C46FEB">
      <w:pPr>
        <w:spacing w:line="360" w:lineRule="auto"/>
        <w:jc w:val="center"/>
        <w:rPr>
          <w:rFonts w:eastAsia="Calibri"/>
          <w:b/>
          <w:sz w:val="28"/>
          <w:szCs w:val="28"/>
          <w:lang w:val="es-PE" w:eastAsia="es-PE"/>
        </w:rPr>
      </w:pPr>
      <w:r w:rsidRPr="00C46FEB">
        <w:rPr>
          <w:b/>
          <w:sz w:val="28"/>
          <w:szCs w:val="28"/>
          <w:lang w:val="es-PE" w:eastAsia="es-PE"/>
        </w:rPr>
        <w:t>Muestra</w:t>
      </w:r>
    </w:p>
    <w:p w14:paraId="3C1B0B73" w14:textId="77777777" w:rsidR="00C46FEB" w:rsidRPr="00C46FEB" w:rsidRDefault="00C46FEB" w:rsidP="00C46FEB">
      <w:pPr>
        <w:spacing w:line="360" w:lineRule="auto"/>
        <w:jc w:val="both"/>
        <w:rPr>
          <w:rFonts w:eastAsia="Calibri"/>
          <w:sz w:val="22"/>
          <w:szCs w:val="22"/>
          <w:lang w:val="es-PE" w:eastAsia="es-PE"/>
        </w:rPr>
      </w:pPr>
      <w:r w:rsidRPr="00C46FEB">
        <w:rPr>
          <w:lang w:val="es-PE" w:eastAsia="es-PE"/>
        </w:rPr>
        <w:t>Tipo de muestreo: se realizó un muestreo probabilístico de tipo aleatorio simple, sin reposición. Los sujetos fueron seleccionados de manera aleatoria a partir de los criterios de inclusión mencionados, tanto para casos como los controles.</w:t>
      </w:r>
    </w:p>
    <w:p w14:paraId="7493106B" w14:textId="77777777" w:rsidR="00C46FEB" w:rsidRPr="00C46FEB" w:rsidRDefault="00C46FEB" w:rsidP="00C46FEB">
      <w:pPr>
        <w:spacing w:line="360" w:lineRule="auto"/>
        <w:jc w:val="both"/>
        <w:rPr>
          <w:lang w:val="es-PE" w:eastAsia="es-PE"/>
        </w:rPr>
      </w:pPr>
      <w:r w:rsidRPr="00C46FEB">
        <w:rPr>
          <w:lang w:val="es-PE" w:eastAsia="es-PE"/>
        </w:rPr>
        <w:t xml:space="preserve">Cálculo de tamaño muestral: se calculó un tamaño muestral a partir de una frecuencia de exposición de controles de 8 % con un </w:t>
      </w:r>
      <w:proofErr w:type="spellStart"/>
      <w:r w:rsidRPr="00C46FEB">
        <w:rPr>
          <w:i/>
          <w:lang w:val="es-PE" w:eastAsia="es-PE"/>
        </w:rPr>
        <w:t>odds</w:t>
      </w:r>
      <w:proofErr w:type="spellEnd"/>
      <w:r w:rsidRPr="00C46FEB">
        <w:rPr>
          <w:i/>
          <w:lang w:val="es-PE" w:eastAsia="es-PE"/>
        </w:rPr>
        <w:t xml:space="preserve"> ratio</w:t>
      </w:r>
      <w:r w:rsidRPr="00C46FEB">
        <w:rPr>
          <w:lang w:val="es-PE" w:eastAsia="es-PE"/>
        </w:rPr>
        <w:t xml:space="preserve"> (</w:t>
      </w:r>
      <w:proofErr w:type="spellStart"/>
      <w:r w:rsidRPr="00C46FEB">
        <w:rPr>
          <w:lang w:val="es-PE" w:eastAsia="es-PE"/>
        </w:rPr>
        <w:t>OR</w:t>
      </w:r>
      <w:proofErr w:type="spellEnd"/>
      <w:r w:rsidRPr="00C46FEB">
        <w:rPr>
          <w:lang w:val="es-PE" w:eastAsia="es-PE"/>
        </w:rPr>
        <w:t xml:space="preserve">) de 2,8 tomado del estudio de </w:t>
      </w:r>
      <w:r w:rsidRPr="00C46FEB">
        <w:rPr>
          <w:i/>
          <w:lang w:val="es-PE" w:eastAsia="es-PE"/>
        </w:rPr>
        <w:t xml:space="preserve">Matute </w:t>
      </w:r>
      <w:proofErr w:type="gramStart"/>
      <w:r w:rsidRPr="00C46FEB">
        <w:rPr>
          <w:i/>
          <w:lang w:val="es-PE" w:eastAsia="es-PE"/>
        </w:rPr>
        <w:t>Salazar</w:t>
      </w:r>
      <w:r w:rsidRPr="00C46FEB">
        <w:rPr>
          <w:vertAlign w:val="superscript"/>
          <w:lang w:val="es-PE" w:eastAsia="es-PE"/>
        </w:rPr>
        <w:t>(</w:t>
      </w:r>
      <w:proofErr w:type="gramEnd"/>
      <w:r w:rsidRPr="00C46FEB">
        <w:rPr>
          <w:vertAlign w:val="superscript"/>
          <w:lang w:val="es-PE" w:eastAsia="es-PE"/>
        </w:rPr>
        <w:t>11)</w:t>
      </w:r>
      <w:r w:rsidRPr="00C46FEB">
        <w:rPr>
          <w:lang w:val="es-PE" w:eastAsia="es-PE"/>
        </w:rPr>
        <w:t xml:space="preserve"> con intervalo de confianza al 95 %, un poder estadístico del 80 % y un error del 5 %. La relación de controles por caso fue de 1 a 1. Se obtuvo un tamaño muestral de 138 para los casos y 138 para los controles.</w:t>
      </w:r>
    </w:p>
    <w:p w14:paraId="48E9CA50" w14:textId="77777777" w:rsidR="00C46FEB" w:rsidRPr="00C46FEB" w:rsidRDefault="00C46FEB" w:rsidP="00C46FEB">
      <w:pPr>
        <w:spacing w:line="360" w:lineRule="auto"/>
        <w:jc w:val="center"/>
        <w:rPr>
          <w:rFonts w:eastAsia="Calibri"/>
          <w:sz w:val="22"/>
          <w:szCs w:val="22"/>
          <w:lang w:val="es-PE" w:eastAsia="es-PE"/>
        </w:rPr>
      </w:pPr>
      <w:r w:rsidRPr="00C46FEB">
        <w:rPr>
          <w:b/>
          <w:sz w:val="28"/>
          <w:szCs w:val="28"/>
          <w:lang w:val="es-PE" w:eastAsia="es-PE"/>
        </w:rPr>
        <w:t>Variables</w:t>
      </w:r>
    </w:p>
    <w:p w14:paraId="4C033933" w14:textId="77777777" w:rsidR="00C46FEB" w:rsidRPr="00C46FEB" w:rsidRDefault="00C46FEB" w:rsidP="00C46FEB">
      <w:pPr>
        <w:spacing w:line="360" w:lineRule="auto"/>
        <w:jc w:val="both"/>
        <w:rPr>
          <w:lang w:val="es-PE" w:eastAsia="es-PE"/>
        </w:rPr>
      </w:pPr>
      <w:r w:rsidRPr="00C46FEB">
        <w:rPr>
          <w:lang w:val="es-PE" w:eastAsia="es-PE"/>
        </w:rPr>
        <w:t>La variable dependiente fue la adherencia al tratamiento antirretroviral (</w:t>
      </w:r>
      <w:proofErr w:type="spellStart"/>
      <w:r w:rsidRPr="00C46FEB">
        <w:rPr>
          <w:lang w:val="es-PE" w:eastAsia="es-PE"/>
        </w:rPr>
        <w:t>TAR</w:t>
      </w:r>
      <w:proofErr w:type="spellEnd"/>
      <w:r w:rsidRPr="00C46FEB">
        <w:rPr>
          <w:lang w:val="es-PE" w:eastAsia="es-PE"/>
        </w:rPr>
        <w:t xml:space="preserve">), mientras que las variables de exposición fueron: depresión, orientación sexual, esquema de </w:t>
      </w:r>
      <w:proofErr w:type="spellStart"/>
      <w:r w:rsidRPr="00C46FEB">
        <w:rPr>
          <w:lang w:val="es-PE" w:eastAsia="es-PE"/>
        </w:rPr>
        <w:t>TAR</w:t>
      </w:r>
      <w:proofErr w:type="spellEnd"/>
      <w:r w:rsidRPr="00C46FEB">
        <w:rPr>
          <w:lang w:val="es-PE" w:eastAsia="es-PE"/>
        </w:rPr>
        <w:t>, efectos adversos y recibir tratamiento durante el estado de emergencia sanitaria.</w:t>
      </w:r>
    </w:p>
    <w:p w14:paraId="32B64713" w14:textId="77777777" w:rsidR="00C46FEB" w:rsidRPr="00C46FEB" w:rsidRDefault="00C46FEB" w:rsidP="00C46FEB">
      <w:pPr>
        <w:spacing w:line="360" w:lineRule="auto"/>
        <w:jc w:val="both"/>
        <w:rPr>
          <w:vertAlign w:val="superscript"/>
          <w:lang w:val="es-PE" w:eastAsia="es-PE"/>
        </w:rPr>
      </w:pPr>
      <w:r w:rsidRPr="00C46FEB">
        <w:rPr>
          <w:lang w:val="es-PE" w:eastAsia="es-PE"/>
        </w:rPr>
        <w:t>La variable adherencia al tratamiento antirretroviral (</w:t>
      </w:r>
      <w:proofErr w:type="spellStart"/>
      <w:r w:rsidRPr="00C46FEB">
        <w:rPr>
          <w:lang w:val="es-PE" w:eastAsia="es-PE"/>
        </w:rPr>
        <w:t>TAR</w:t>
      </w:r>
      <w:proofErr w:type="spellEnd"/>
      <w:r w:rsidRPr="00C46FEB">
        <w:rPr>
          <w:lang w:val="es-PE" w:eastAsia="es-PE"/>
        </w:rPr>
        <w:t xml:space="preserve">) fue evaluada como una variable cualitativa dicotómica con base a una buena o mala adherencia. La adherencia se constató en la historia clínica del paciente, por medio del porcentaje de registro de dispensación de farmacia. Se consideró como buena adherencia si el valor era de 95 % y mayor y mala adherencia si el valor fuese inferior a 95 %. Dicho punto de corte ha sido establecido en diversos estudios, además de formar parte de las normativas del área de llenado de historias clínicas para pacientes con esquema </w:t>
      </w:r>
      <w:proofErr w:type="spellStart"/>
      <w:proofErr w:type="gramStart"/>
      <w:r w:rsidRPr="00C46FEB">
        <w:rPr>
          <w:lang w:val="es-PE" w:eastAsia="es-PE"/>
        </w:rPr>
        <w:t>TAR</w:t>
      </w:r>
      <w:proofErr w:type="spellEnd"/>
      <w:r w:rsidRPr="00C46FEB">
        <w:rPr>
          <w:lang w:val="es-PE" w:eastAsia="es-PE"/>
        </w:rPr>
        <w:t>.</w:t>
      </w:r>
      <w:r w:rsidRPr="00C46FEB">
        <w:rPr>
          <w:vertAlign w:val="superscript"/>
          <w:lang w:val="es-PE" w:eastAsia="es-PE"/>
        </w:rPr>
        <w:t>(</w:t>
      </w:r>
      <w:proofErr w:type="gramEnd"/>
      <w:r w:rsidRPr="00C46FEB">
        <w:rPr>
          <w:vertAlign w:val="superscript"/>
          <w:lang w:val="es-PE" w:eastAsia="es-PE"/>
        </w:rPr>
        <w:t xml:space="preserve">12) </w:t>
      </w:r>
    </w:p>
    <w:p w14:paraId="15D16CCF" w14:textId="77777777" w:rsidR="00C46FEB" w:rsidRPr="00C46FEB" w:rsidRDefault="00C46FEB" w:rsidP="00C46FEB">
      <w:pPr>
        <w:spacing w:line="360" w:lineRule="auto"/>
        <w:jc w:val="both"/>
        <w:rPr>
          <w:lang w:val="es-PE" w:eastAsia="es-PE"/>
        </w:rPr>
      </w:pPr>
      <w:r w:rsidRPr="00C46FEB">
        <w:rPr>
          <w:lang w:val="es-PE" w:eastAsia="es-PE"/>
        </w:rPr>
        <w:t xml:space="preserve">Los datos de las demás variables fueron recolectados a través de una ficha de recolección de datos que contenía las variables sexo, estado civil, depresión, orientación sexual, esquema </w:t>
      </w:r>
      <w:proofErr w:type="spellStart"/>
      <w:r w:rsidRPr="00C46FEB">
        <w:rPr>
          <w:lang w:val="es-PE" w:eastAsia="es-PE"/>
        </w:rPr>
        <w:t>TAR</w:t>
      </w:r>
      <w:proofErr w:type="spellEnd"/>
      <w:r w:rsidRPr="00C46FEB">
        <w:rPr>
          <w:lang w:val="es-PE" w:eastAsia="es-PE"/>
        </w:rPr>
        <w:t>, efectos adversos y estado de emergencia sanitaria.</w:t>
      </w:r>
    </w:p>
    <w:p w14:paraId="1E4810ED" w14:textId="77777777" w:rsidR="00C46FEB" w:rsidRPr="00C46FEB" w:rsidRDefault="00C46FEB" w:rsidP="00C46FEB">
      <w:pPr>
        <w:spacing w:line="360" w:lineRule="auto"/>
        <w:jc w:val="both"/>
        <w:rPr>
          <w:lang w:val="es-PE" w:eastAsia="es-PE"/>
        </w:rPr>
      </w:pPr>
      <w:r w:rsidRPr="00C46FEB">
        <w:rPr>
          <w:lang w:val="es-PE" w:eastAsia="es-PE"/>
        </w:rPr>
        <w:t xml:space="preserve">La variable estado civil fue evaluada como una variable cualitativa dicotómica (soltero y casado), la variable depresión fue evaluada como una variable cualitativa dicotómica de acuerdo con si presentaba </w:t>
      </w:r>
      <w:r w:rsidRPr="00C46FEB">
        <w:rPr>
          <w:lang w:val="es-PE" w:eastAsia="es-PE"/>
        </w:rPr>
        <w:lastRenderedPageBreak/>
        <w:t xml:space="preserve">o no el diagnóstico de depresión en la historia clínica (Sí/No). La variable orientación sexual fue evaluada como una variable cualitativa dicotómica (heterosexual y homosexual). Los esquemas </w:t>
      </w:r>
      <w:proofErr w:type="spellStart"/>
      <w:r w:rsidRPr="00C46FEB">
        <w:rPr>
          <w:lang w:val="es-PE" w:eastAsia="es-PE"/>
        </w:rPr>
        <w:t>TAR</w:t>
      </w:r>
      <w:proofErr w:type="spellEnd"/>
      <w:r w:rsidRPr="00C46FEB">
        <w:rPr>
          <w:lang w:val="es-PE" w:eastAsia="es-PE"/>
        </w:rPr>
        <w:t xml:space="preserve"> se clasificaron conforme a si los pacientes recibían el esquema principal (</w:t>
      </w:r>
      <w:proofErr w:type="spellStart"/>
      <w:r w:rsidRPr="00C46FEB">
        <w:rPr>
          <w:lang w:val="es-PE" w:eastAsia="es-PE"/>
        </w:rPr>
        <w:t>tenofovir</w:t>
      </w:r>
      <w:proofErr w:type="spellEnd"/>
      <w:r w:rsidRPr="00C46FEB">
        <w:rPr>
          <w:lang w:val="es-PE" w:eastAsia="es-PE"/>
        </w:rPr>
        <w:t xml:space="preserve"> 300 mg, </w:t>
      </w:r>
      <w:proofErr w:type="spellStart"/>
      <w:r w:rsidRPr="00C46FEB">
        <w:rPr>
          <w:lang w:val="es-PE" w:eastAsia="es-PE"/>
        </w:rPr>
        <w:t>emtricitabina</w:t>
      </w:r>
      <w:proofErr w:type="spellEnd"/>
      <w:r w:rsidRPr="00C46FEB">
        <w:rPr>
          <w:lang w:val="es-PE" w:eastAsia="es-PE"/>
        </w:rPr>
        <w:t xml:space="preserve"> 200 mg, </w:t>
      </w:r>
      <w:proofErr w:type="spellStart"/>
      <w:r w:rsidRPr="00C46FEB">
        <w:rPr>
          <w:lang w:val="es-PE" w:eastAsia="es-PE"/>
        </w:rPr>
        <w:t>efavirenz</w:t>
      </w:r>
      <w:proofErr w:type="spellEnd"/>
      <w:r w:rsidRPr="00C46FEB">
        <w:rPr>
          <w:lang w:val="es-PE" w:eastAsia="es-PE"/>
        </w:rPr>
        <w:t xml:space="preserve"> 600 mg) o un esquema alternativo. </w:t>
      </w:r>
    </w:p>
    <w:p w14:paraId="4DBE11C3" w14:textId="77777777" w:rsidR="00C46FEB" w:rsidRPr="00C46FEB" w:rsidRDefault="00C46FEB" w:rsidP="00C46FEB">
      <w:pPr>
        <w:spacing w:line="360" w:lineRule="auto"/>
        <w:jc w:val="both"/>
        <w:rPr>
          <w:lang w:val="es-PE" w:eastAsia="es-PE"/>
        </w:rPr>
      </w:pPr>
      <w:r w:rsidRPr="00C46FEB">
        <w:rPr>
          <w:lang w:val="es-PE" w:eastAsia="es-PE"/>
        </w:rPr>
        <w:t xml:space="preserve">Los efectos secundarios fueron evaluados según si se reportaban o no estos efectos en las historias clínicas (Sí y No). Finalmente, la variable estado de emergencia sanitaria fue evaluada de teniendo en cuenta si el paciente presentó o no algún cambio en la adherencia al </w:t>
      </w:r>
      <w:proofErr w:type="spellStart"/>
      <w:r w:rsidRPr="00C46FEB">
        <w:rPr>
          <w:lang w:val="es-PE" w:eastAsia="es-PE"/>
        </w:rPr>
        <w:t>TAR</w:t>
      </w:r>
      <w:proofErr w:type="spellEnd"/>
      <w:r w:rsidRPr="00C46FEB">
        <w:rPr>
          <w:lang w:val="es-PE" w:eastAsia="es-PE"/>
        </w:rPr>
        <w:t xml:space="preserve"> durante el estado de emergencia.</w:t>
      </w:r>
    </w:p>
    <w:p w14:paraId="0FBC527D" w14:textId="77777777" w:rsidR="00C46FEB" w:rsidRPr="00C46FEB" w:rsidRDefault="00C46FEB" w:rsidP="00C46FEB">
      <w:pPr>
        <w:spacing w:line="360" w:lineRule="auto"/>
        <w:jc w:val="center"/>
        <w:rPr>
          <w:rFonts w:eastAsia="Calibri"/>
          <w:sz w:val="28"/>
          <w:szCs w:val="28"/>
          <w:lang w:val="es-PE" w:eastAsia="es-PE"/>
        </w:rPr>
      </w:pPr>
      <w:r w:rsidRPr="00C46FEB">
        <w:rPr>
          <w:b/>
          <w:sz w:val="28"/>
          <w:szCs w:val="28"/>
          <w:lang w:val="es-PE" w:eastAsia="es-PE"/>
        </w:rPr>
        <w:t>Procedimientos</w:t>
      </w:r>
    </w:p>
    <w:p w14:paraId="46B5476C" w14:textId="77777777" w:rsidR="00C46FEB" w:rsidRPr="00C46FEB" w:rsidRDefault="00C46FEB" w:rsidP="00C46FEB">
      <w:pPr>
        <w:spacing w:line="360" w:lineRule="auto"/>
        <w:jc w:val="both"/>
        <w:rPr>
          <w:lang w:val="es-PE" w:eastAsia="es-PE"/>
        </w:rPr>
      </w:pPr>
      <w:r w:rsidRPr="00C46FEB">
        <w:rPr>
          <w:lang w:val="es-PE" w:eastAsia="es-PE"/>
        </w:rPr>
        <w:t>Se empleó una ficha de recolección de datos que contenían las variables para recolectar los datos a partir de las historias clínicas de los pacientes que cumplían con los criterios de selección. Los datos fueron ingresados a un archivo en el formato *.</w:t>
      </w:r>
      <w:proofErr w:type="spellStart"/>
      <w:r w:rsidRPr="00C46FEB">
        <w:rPr>
          <w:lang w:val="es-PE" w:eastAsia="es-PE"/>
        </w:rPr>
        <w:t>sav</w:t>
      </w:r>
      <w:proofErr w:type="spellEnd"/>
      <w:r w:rsidRPr="00C46FEB">
        <w:rPr>
          <w:lang w:val="es-PE" w:eastAsia="es-PE"/>
        </w:rPr>
        <w:t xml:space="preserve"> del paquete estadístico SPSS versión 26.</w:t>
      </w:r>
    </w:p>
    <w:p w14:paraId="3381D50C" w14:textId="77777777" w:rsidR="00C46FEB" w:rsidRPr="00C46FEB" w:rsidRDefault="00C46FEB" w:rsidP="00C46FEB">
      <w:pPr>
        <w:spacing w:line="360" w:lineRule="auto"/>
        <w:jc w:val="center"/>
        <w:rPr>
          <w:rFonts w:eastAsia="Calibri"/>
          <w:sz w:val="22"/>
          <w:szCs w:val="22"/>
          <w:lang w:val="es-PE" w:eastAsia="es-PE"/>
        </w:rPr>
      </w:pPr>
      <w:r w:rsidRPr="00C46FEB">
        <w:rPr>
          <w:b/>
          <w:sz w:val="28"/>
          <w:szCs w:val="28"/>
          <w:lang w:val="es-PE" w:eastAsia="es-PE"/>
        </w:rPr>
        <w:t>Procesamiento</w:t>
      </w:r>
    </w:p>
    <w:p w14:paraId="16D70CE5" w14:textId="77777777" w:rsidR="00C46FEB" w:rsidRPr="00C46FEB" w:rsidRDefault="00C46FEB" w:rsidP="00C46FEB">
      <w:pPr>
        <w:spacing w:line="360" w:lineRule="auto"/>
        <w:jc w:val="both"/>
        <w:rPr>
          <w:lang w:val="es-PE" w:eastAsia="es-PE"/>
        </w:rPr>
      </w:pPr>
      <w:r w:rsidRPr="00C46FEB">
        <w:rPr>
          <w:lang w:val="es-PE" w:eastAsia="es-PE"/>
        </w:rPr>
        <w:t xml:space="preserve">Los datos recolectados fueron analizados con métodos de estadística descriptiva (medidas de tendencia central y frecuencias) y estadística inferencial (prueba de </w:t>
      </w:r>
      <w:r w:rsidRPr="00C46FEB">
        <w:rPr>
          <w:i/>
          <w:lang w:val="es-PE" w:eastAsia="es-PE"/>
        </w:rPr>
        <w:t>ji</w:t>
      </w:r>
      <w:r w:rsidRPr="00C46FEB">
        <w:rPr>
          <w:lang w:val="es-PE" w:eastAsia="es-PE"/>
        </w:rPr>
        <w:t xml:space="preserve"> cuadrado). Se empleó el </w:t>
      </w:r>
      <w:r w:rsidRPr="00C46FEB">
        <w:rPr>
          <w:i/>
          <w:lang w:val="es-PE" w:eastAsia="es-PE"/>
        </w:rPr>
        <w:t>software</w:t>
      </w:r>
      <w:r w:rsidRPr="00C46FEB">
        <w:rPr>
          <w:lang w:val="es-PE" w:eastAsia="es-PE"/>
        </w:rPr>
        <w:t xml:space="preserve"> estadístico SPSS versión 26.  </w:t>
      </w:r>
    </w:p>
    <w:p w14:paraId="5316775F" w14:textId="77777777" w:rsidR="00C46FEB" w:rsidRPr="00C46FEB" w:rsidRDefault="00C46FEB" w:rsidP="00C46FEB">
      <w:pPr>
        <w:spacing w:line="360" w:lineRule="auto"/>
        <w:jc w:val="both"/>
        <w:rPr>
          <w:lang w:val="es-PE" w:eastAsia="es-PE"/>
        </w:rPr>
      </w:pPr>
      <w:r w:rsidRPr="00C46FEB">
        <w:rPr>
          <w:lang w:val="es-PE" w:eastAsia="es-PE"/>
        </w:rPr>
        <w:t xml:space="preserve">Se realizó una tabla de frecuencias para las variables sociodemográficas y se reportaron las frecuencias absolutas y relativas. Para el análisis estadístico de tipo inferencial se empleó la prueba de </w:t>
      </w:r>
      <w:r w:rsidRPr="00C46FEB">
        <w:rPr>
          <w:i/>
          <w:lang w:val="es-PE" w:eastAsia="es-PE"/>
        </w:rPr>
        <w:t>ji</w:t>
      </w:r>
      <w:r w:rsidRPr="00C46FEB">
        <w:rPr>
          <w:lang w:val="es-PE" w:eastAsia="es-PE"/>
        </w:rPr>
        <w:t xml:space="preserve"> cuadrado, para evaluar si existía una relación entre las variables depresión, orientación sexual, esquema </w:t>
      </w:r>
      <w:proofErr w:type="spellStart"/>
      <w:r w:rsidRPr="00C46FEB">
        <w:rPr>
          <w:lang w:val="es-PE" w:eastAsia="es-PE"/>
        </w:rPr>
        <w:t>TAR</w:t>
      </w:r>
      <w:proofErr w:type="spellEnd"/>
      <w:r w:rsidRPr="00C46FEB">
        <w:rPr>
          <w:lang w:val="es-PE" w:eastAsia="es-PE"/>
        </w:rPr>
        <w:t xml:space="preserve">, efectos secundarios y estado de emergencia y la variable adherencia al tratamiento. Se consideró a las variables que mostraban valores inferiores al alfa crítico de 0,5 como estadísticamente significativas, en relación con la variable dependiente. Posteriormente se empleó un modelo de regresión logística simple, para calcular el </w:t>
      </w:r>
      <w:proofErr w:type="spellStart"/>
      <w:r w:rsidRPr="00C46FEB">
        <w:rPr>
          <w:lang w:val="es-PE" w:eastAsia="es-PE"/>
        </w:rPr>
        <w:t>OR</w:t>
      </w:r>
      <w:proofErr w:type="spellEnd"/>
      <w:r w:rsidRPr="00C46FEB">
        <w:rPr>
          <w:sz w:val="16"/>
          <w:szCs w:val="16"/>
          <w:lang w:val="es-PE" w:eastAsia="es-PE"/>
        </w:rPr>
        <w:t xml:space="preserve"> </w:t>
      </w:r>
      <w:r w:rsidRPr="00C46FEB">
        <w:rPr>
          <w:lang w:val="es-PE" w:eastAsia="es-PE"/>
        </w:rPr>
        <w:t>crudo (</w:t>
      </w:r>
      <w:proofErr w:type="spellStart"/>
      <w:r w:rsidRPr="00C46FEB">
        <w:rPr>
          <w:lang w:val="es-PE" w:eastAsia="es-PE"/>
        </w:rPr>
        <w:t>ORc</w:t>
      </w:r>
      <w:proofErr w:type="spellEnd"/>
      <w:r w:rsidRPr="00C46FEB">
        <w:rPr>
          <w:lang w:val="es-PE" w:eastAsia="es-PE"/>
        </w:rPr>
        <w:t>) y ajustado (</w:t>
      </w:r>
      <w:proofErr w:type="spellStart"/>
      <w:r w:rsidRPr="00C46FEB">
        <w:rPr>
          <w:lang w:val="es-PE" w:eastAsia="es-PE"/>
        </w:rPr>
        <w:t>ORa</w:t>
      </w:r>
      <w:proofErr w:type="spellEnd"/>
      <w:r w:rsidRPr="00C46FEB">
        <w:rPr>
          <w:lang w:val="es-PE" w:eastAsia="es-PE"/>
        </w:rPr>
        <w:t>) con el correspondiente intervalo de confianza (95 %) para las variables independientes.</w:t>
      </w:r>
    </w:p>
    <w:p w14:paraId="1FEE4A9C" w14:textId="77777777" w:rsidR="00C46FEB" w:rsidRPr="00C46FEB" w:rsidRDefault="00C46FEB" w:rsidP="00C46FEB">
      <w:pPr>
        <w:pBdr>
          <w:top w:val="nil"/>
          <w:left w:val="nil"/>
          <w:bottom w:val="nil"/>
          <w:right w:val="nil"/>
          <w:between w:val="nil"/>
        </w:pBdr>
        <w:spacing w:line="360" w:lineRule="auto"/>
        <w:jc w:val="center"/>
        <w:rPr>
          <w:rFonts w:eastAsia="Calibri"/>
          <w:sz w:val="22"/>
          <w:szCs w:val="22"/>
          <w:lang w:val="es-PE" w:eastAsia="es-PE"/>
        </w:rPr>
      </w:pPr>
      <w:r w:rsidRPr="00C46FEB">
        <w:rPr>
          <w:b/>
          <w:color w:val="000000"/>
          <w:sz w:val="28"/>
          <w:szCs w:val="28"/>
          <w:lang w:val="es-PE" w:eastAsia="es-PE"/>
        </w:rPr>
        <w:t>Aspectos bioéticos</w:t>
      </w:r>
    </w:p>
    <w:p w14:paraId="13B10702" w14:textId="77777777" w:rsidR="00C46FEB" w:rsidRPr="00C46FEB" w:rsidRDefault="00C46FEB" w:rsidP="00C46FEB">
      <w:pPr>
        <w:pBdr>
          <w:top w:val="nil"/>
          <w:left w:val="nil"/>
          <w:bottom w:val="nil"/>
          <w:right w:val="nil"/>
          <w:between w:val="nil"/>
        </w:pBdr>
        <w:spacing w:line="360" w:lineRule="auto"/>
        <w:jc w:val="both"/>
        <w:rPr>
          <w:color w:val="000000"/>
          <w:lang w:val="es-PE" w:eastAsia="es-PE"/>
        </w:rPr>
      </w:pPr>
      <w:r w:rsidRPr="00C46FEB">
        <w:rPr>
          <w:color w:val="000000"/>
          <w:lang w:val="es-PE" w:eastAsia="es-PE"/>
        </w:rPr>
        <w:t>La presente investigación contó con la aprobación del Comité de Ética en Investigación del Hospital Nacional “Sergio E. Bernales” (</w:t>
      </w:r>
      <w:proofErr w:type="spellStart"/>
      <w:r w:rsidRPr="00C46FEB">
        <w:rPr>
          <w:color w:val="000000"/>
          <w:lang w:val="es-PE" w:eastAsia="es-PE"/>
        </w:rPr>
        <w:t>CIEI-HNSEB</w:t>
      </w:r>
      <w:proofErr w:type="spellEnd"/>
      <w:r w:rsidRPr="00C46FEB">
        <w:rPr>
          <w:color w:val="000000"/>
          <w:lang w:val="es-PE" w:eastAsia="es-PE"/>
        </w:rPr>
        <w:t xml:space="preserve">). La información recolectada se utilizó con fines de investigación, se preservó el anonimato de los sujetos participantes. </w:t>
      </w:r>
    </w:p>
    <w:p w14:paraId="0966A462" w14:textId="77777777" w:rsidR="00C46FEB" w:rsidRPr="00C46FEB" w:rsidRDefault="00C46FEB" w:rsidP="00C46FEB">
      <w:pPr>
        <w:pBdr>
          <w:top w:val="nil"/>
          <w:left w:val="nil"/>
          <w:bottom w:val="nil"/>
          <w:right w:val="nil"/>
          <w:between w:val="nil"/>
        </w:pBdr>
        <w:spacing w:line="360" w:lineRule="auto"/>
        <w:jc w:val="both"/>
        <w:rPr>
          <w:color w:val="000000"/>
          <w:lang w:val="es-PE" w:eastAsia="es-PE"/>
        </w:rPr>
      </w:pPr>
    </w:p>
    <w:p w14:paraId="41BCF01C" w14:textId="77777777" w:rsidR="00C46FEB" w:rsidRPr="00C46FEB" w:rsidRDefault="00C46FEB" w:rsidP="00C46FEB">
      <w:pPr>
        <w:pBdr>
          <w:top w:val="nil"/>
          <w:left w:val="nil"/>
          <w:bottom w:val="nil"/>
          <w:right w:val="nil"/>
          <w:between w:val="nil"/>
        </w:pBdr>
        <w:spacing w:line="360" w:lineRule="auto"/>
        <w:jc w:val="both"/>
        <w:rPr>
          <w:color w:val="000000"/>
          <w:lang w:val="es-PE" w:eastAsia="es-PE"/>
        </w:rPr>
      </w:pPr>
    </w:p>
    <w:p w14:paraId="085437F8" w14:textId="77777777" w:rsidR="00C46FEB" w:rsidRPr="00C46FEB" w:rsidRDefault="00C46FEB" w:rsidP="00C46FEB">
      <w:pPr>
        <w:spacing w:line="360" w:lineRule="auto"/>
        <w:jc w:val="center"/>
        <w:rPr>
          <w:b/>
          <w:sz w:val="32"/>
          <w:szCs w:val="32"/>
          <w:lang w:val="es-PE" w:eastAsia="es-PE"/>
        </w:rPr>
      </w:pPr>
      <w:r w:rsidRPr="00C46FEB">
        <w:rPr>
          <w:b/>
          <w:sz w:val="32"/>
          <w:szCs w:val="32"/>
          <w:lang w:val="es-PE" w:eastAsia="es-PE"/>
        </w:rPr>
        <w:t>RESULTADOS</w:t>
      </w:r>
    </w:p>
    <w:p w14:paraId="21F3D7BF" w14:textId="2495C9F3" w:rsidR="00C46FEB" w:rsidRDefault="00C46FEB" w:rsidP="00C46FEB">
      <w:pPr>
        <w:spacing w:line="360" w:lineRule="auto"/>
        <w:jc w:val="both"/>
        <w:rPr>
          <w:lang w:val="es-PE" w:eastAsia="es-PE"/>
        </w:rPr>
      </w:pPr>
      <w:r w:rsidRPr="00C46FEB">
        <w:rPr>
          <w:lang w:val="es-PE" w:eastAsia="es-PE"/>
        </w:rPr>
        <w:t xml:space="preserve">Las características sociodemográficas se encuentran resumidas en la tabla 1. La mayoría de los participantes eran de sexo masculino (82,2 %). Con respecto al estado civil, el 91,5 % de la muestra estudiada reportó ser soltero. Un 35,5 % de los pacientes tenía el diagnóstico de depresión. Con respecto a la orientación sexual, el 81,2 % de los pacientes eran heterosexuales, mientras que el 18,8 % eran homosexuales. El esquema </w:t>
      </w:r>
      <w:proofErr w:type="spellStart"/>
      <w:r w:rsidRPr="00C46FEB">
        <w:rPr>
          <w:lang w:val="es-PE" w:eastAsia="es-PE"/>
        </w:rPr>
        <w:t>TAR</w:t>
      </w:r>
      <w:proofErr w:type="spellEnd"/>
      <w:r w:rsidRPr="00C46FEB">
        <w:rPr>
          <w:lang w:val="es-PE" w:eastAsia="es-PE"/>
        </w:rPr>
        <w:t xml:space="preserve"> más utilizado por los pacientes de la muestra seleccionada fue el </w:t>
      </w:r>
      <w:proofErr w:type="spellStart"/>
      <w:r w:rsidRPr="00C46FEB">
        <w:rPr>
          <w:lang w:val="es-PE" w:eastAsia="es-PE"/>
        </w:rPr>
        <w:t>TAR</w:t>
      </w:r>
      <w:proofErr w:type="spellEnd"/>
      <w:r w:rsidRPr="00C46FEB">
        <w:rPr>
          <w:lang w:val="es-PE" w:eastAsia="es-PE"/>
        </w:rPr>
        <w:t xml:space="preserve"> principal (76,4 %). Solo un 11,2 % reportó haber tenido efectos secundarios del </w:t>
      </w:r>
      <w:proofErr w:type="spellStart"/>
      <w:r w:rsidRPr="00C46FEB">
        <w:rPr>
          <w:lang w:val="es-PE" w:eastAsia="es-PE"/>
        </w:rPr>
        <w:t>TAR</w:t>
      </w:r>
      <w:proofErr w:type="spellEnd"/>
      <w:r w:rsidRPr="00C46FEB">
        <w:rPr>
          <w:lang w:val="es-PE" w:eastAsia="es-PE"/>
        </w:rPr>
        <w:t>. Asimismo, un 72,1</w:t>
      </w:r>
      <w:r w:rsidR="003A5F46">
        <w:rPr>
          <w:lang w:val="es-PE" w:eastAsia="es-PE"/>
        </w:rPr>
        <w:t> </w:t>
      </w:r>
      <w:r w:rsidRPr="00C46FEB">
        <w:rPr>
          <w:lang w:val="es-PE" w:eastAsia="es-PE"/>
        </w:rPr>
        <w:t>% de los pacientes reportó no haber tenido algún cambio en la adherencia al tratamiento durante el estado de emergencia sanitaria.</w:t>
      </w:r>
    </w:p>
    <w:p w14:paraId="274EAF41" w14:textId="77777777" w:rsidR="003A5F46" w:rsidRPr="00C46FEB" w:rsidRDefault="003A5F46" w:rsidP="003A5F46">
      <w:pPr>
        <w:spacing w:line="360" w:lineRule="auto"/>
        <w:jc w:val="both"/>
        <w:rPr>
          <w:lang w:val="es-PE" w:eastAsia="es-PE"/>
        </w:rPr>
      </w:pPr>
      <w:r w:rsidRPr="00C46FEB">
        <w:rPr>
          <w:lang w:val="es-PE" w:eastAsia="es-PE"/>
        </w:rPr>
        <w:t xml:space="preserve">El análisis bivariado mostró una asociación estadísticamente significativa entre la variable adherencia al </w:t>
      </w:r>
      <w:proofErr w:type="spellStart"/>
      <w:r w:rsidRPr="00C46FEB">
        <w:rPr>
          <w:lang w:val="es-PE" w:eastAsia="es-PE"/>
        </w:rPr>
        <w:t>TAR</w:t>
      </w:r>
      <w:proofErr w:type="spellEnd"/>
      <w:r w:rsidRPr="00C46FEB">
        <w:rPr>
          <w:lang w:val="es-PE" w:eastAsia="es-PE"/>
        </w:rPr>
        <w:t xml:space="preserve"> y las variables depresión (44,9 % casos vs. 26,1 % controles; p= 0,001), esquema </w:t>
      </w:r>
      <w:proofErr w:type="spellStart"/>
      <w:r w:rsidRPr="00C46FEB">
        <w:rPr>
          <w:lang w:val="es-PE" w:eastAsia="es-PE"/>
        </w:rPr>
        <w:t>TAR</w:t>
      </w:r>
      <w:proofErr w:type="spellEnd"/>
      <w:r w:rsidRPr="00C46FEB">
        <w:rPr>
          <w:lang w:val="es-PE" w:eastAsia="es-PE"/>
        </w:rPr>
        <w:t xml:space="preserve"> (31,2 % casos vs. 15,2 % controles; p= 0,002), efectos secundarios (17,4 % casos vs. 5,1 % controles; p= 0,001) y cambio en la adherencia durante el estado de emergencia (44,2 % casos vs. 11,6 % controles; p= 0,000) (tabla 2). </w:t>
      </w:r>
    </w:p>
    <w:p w14:paraId="103A4AA7" w14:textId="77777777" w:rsidR="003A5F46" w:rsidRPr="00C46FEB" w:rsidRDefault="003A5F46" w:rsidP="00C46FEB">
      <w:pPr>
        <w:spacing w:line="360" w:lineRule="auto"/>
        <w:jc w:val="both"/>
        <w:rPr>
          <w:lang w:val="es-PE" w:eastAsia="es-PE"/>
        </w:rPr>
      </w:pPr>
    </w:p>
    <w:p w14:paraId="22A88C23" w14:textId="77777777" w:rsidR="00C46FEB" w:rsidRPr="00C46FEB" w:rsidRDefault="00C46FEB" w:rsidP="00C46FEB">
      <w:pPr>
        <w:spacing w:line="360" w:lineRule="auto"/>
        <w:jc w:val="center"/>
        <w:rPr>
          <w:b/>
          <w:sz w:val="22"/>
          <w:szCs w:val="22"/>
          <w:lang w:val="es-PE" w:eastAsia="es-PE"/>
        </w:rPr>
      </w:pPr>
    </w:p>
    <w:p w14:paraId="503595D7" w14:textId="77777777" w:rsidR="00FC63DA" w:rsidRDefault="00FC63DA">
      <w:pPr>
        <w:rPr>
          <w:b/>
          <w:sz w:val="22"/>
          <w:szCs w:val="22"/>
          <w:lang w:val="es-PE" w:eastAsia="es-PE"/>
        </w:rPr>
      </w:pPr>
      <w:r>
        <w:rPr>
          <w:b/>
          <w:sz w:val="22"/>
          <w:szCs w:val="22"/>
          <w:lang w:val="es-PE" w:eastAsia="es-PE"/>
        </w:rPr>
        <w:br w:type="page"/>
      </w:r>
    </w:p>
    <w:p w14:paraId="3714D4B6" w14:textId="1630262F" w:rsidR="00C46FEB" w:rsidRPr="00C46FEB" w:rsidRDefault="00C46FEB" w:rsidP="00C46FEB">
      <w:pPr>
        <w:spacing w:line="360" w:lineRule="auto"/>
        <w:jc w:val="center"/>
        <w:rPr>
          <w:sz w:val="22"/>
          <w:szCs w:val="22"/>
          <w:lang w:val="es-PE" w:eastAsia="es-PE"/>
        </w:rPr>
      </w:pPr>
      <w:r w:rsidRPr="00C46FEB">
        <w:rPr>
          <w:b/>
          <w:sz w:val="22"/>
          <w:szCs w:val="22"/>
          <w:lang w:val="es-PE" w:eastAsia="es-PE"/>
        </w:rPr>
        <w:lastRenderedPageBreak/>
        <w:t xml:space="preserve">Tabla 1 - </w:t>
      </w:r>
      <w:r w:rsidRPr="00C46FEB">
        <w:rPr>
          <w:sz w:val="22"/>
          <w:szCs w:val="22"/>
          <w:lang w:val="es-PE" w:eastAsia="es-PE"/>
        </w:rPr>
        <w:t>Factores sociodemográficos y clínicos en los pacientes con mala adherencia a la terapia antirretroviral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129"/>
        <w:gridCol w:w="988"/>
        <w:gridCol w:w="10"/>
        <w:gridCol w:w="1124"/>
        <w:gridCol w:w="994"/>
        <w:gridCol w:w="10"/>
        <w:gridCol w:w="982"/>
        <w:gridCol w:w="1137"/>
      </w:tblGrid>
      <w:tr w:rsidR="00C46FEB" w:rsidRPr="00C46FEB" w14:paraId="2E8F8CCE" w14:textId="77777777" w:rsidTr="003A5F46">
        <w:trPr>
          <w:jc w:val="center"/>
        </w:trPr>
        <w:tc>
          <w:tcPr>
            <w:tcW w:w="2552" w:type="dxa"/>
            <w:vMerge w:val="restart"/>
            <w:vAlign w:val="center"/>
          </w:tcPr>
          <w:p w14:paraId="35311439" w14:textId="77777777" w:rsidR="00C46FEB" w:rsidRPr="00C46FEB" w:rsidRDefault="00C46FEB" w:rsidP="00FC63DA">
            <w:pPr>
              <w:spacing w:line="360" w:lineRule="auto"/>
              <w:ind w:left="113" w:right="-12"/>
              <w:jc w:val="center"/>
              <w:rPr>
                <w:b/>
                <w:sz w:val="18"/>
                <w:szCs w:val="18"/>
                <w:lang w:val="es-PE" w:eastAsia="es-PE"/>
              </w:rPr>
            </w:pPr>
            <w:r w:rsidRPr="00C46FEB">
              <w:rPr>
                <w:b/>
                <w:sz w:val="18"/>
                <w:szCs w:val="18"/>
                <w:lang w:val="es-PE" w:eastAsia="es-PE"/>
              </w:rPr>
              <w:t>Factores sociodemográficos</w:t>
            </w:r>
          </w:p>
          <w:p w14:paraId="36E19AD6" w14:textId="77777777" w:rsidR="00C46FEB" w:rsidRPr="00C46FEB" w:rsidRDefault="00C46FEB" w:rsidP="00FC63DA">
            <w:pPr>
              <w:spacing w:line="360" w:lineRule="auto"/>
              <w:ind w:left="113" w:right="-12"/>
              <w:jc w:val="center"/>
              <w:rPr>
                <w:rFonts w:eastAsia="Calibri"/>
                <w:sz w:val="18"/>
                <w:szCs w:val="18"/>
                <w:lang w:val="es-PE" w:eastAsia="es-PE"/>
              </w:rPr>
            </w:pPr>
            <w:r w:rsidRPr="00C46FEB">
              <w:rPr>
                <w:b/>
                <w:sz w:val="18"/>
                <w:szCs w:val="18"/>
                <w:lang w:val="es-PE" w:eastAsia="es-PE"/>
              </w:rPr>
              <w:t>y clínicos</w:t>
            </w:r>
          </w:p>
        </w:tc>
        <w:tc>
          <w:tcPr>
            <w:tcW w:w="6374" w:type="dxa"/>
            <w:gridSpan w:val="8"/>
            <w:vAlign w:val="center"/>
          </w:tcPr>
          <w:p w14:paraId="07FDCC34"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b/>
                <w:sz w:val="18"/>
                <w:szCs w:val="18"/>
                <w:lang w:val="es-PE" w:eastAsia="es-PE"/>
              </w:rPr>
              <w:t>Adherencia al tratamiento</w:t>
            </w:r>
          </w:p>
        </w:tc>
      </w:tr>
      <w:tr w:rsidR="00C46FEB" w:rsidRPr="00C46FEB" w14:paraId="074477D6" w14:textId="77777777" w:rsidTr="003A5F46">
        <w:trPr>
          <w:jc w:val="center"/>
        </w:trPr>
        <w:tc>
          <w:tcPr>
            <w:tcW w:w="2552" w:type="dxa"/>
            <w:vMerge/>
            <w:vAlign w:val="center"/>
          </w:tcPr>
          <w:p w14:paraId="5419913A" w14:textId="77777777" w:rsidR="00C46FEB" w:rsidRPr="00C46FEB" w:rsidRDefault="00C46FEB" w:rsidP="00FC63DA">
            <w:pPr>
              <w:pBdr>
                <w:top w:val="nil"/>
                <w:left w:val="nil"/>
                <w:bottom w:val="nil"/>
                <w:right w:val="nil"/>
                <w:between w:val="nil"/>
              </w:pBdr>
              <w:spacing w:line="360" w:lineRule="auto"/>
              <w:rPr>
                <w:b/>
                <w:sz w:val="18"/>
                <w:szCs w:val="18"/>
                <w:lang w:val="es-PE" w:eastAsia="es-PE"/>
              </w:rPr>
            </w:pPr>
          </w:p>
        </w:tc>
        <w:tc>
          <w:tcPr>
            <w:tcW w:w="2127" w:type="dxa"/>
            <w:gridSpan w:val="3"/>
            <w:vAlign w:val="center"/>
          </w:tcPr>
          <w:p w14:paraId="73E5487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b/>
                <w:sz w:val="18"/>
                <w:szCs w:val="18"/>
                <w:lang w:val="es-PE" w:eastAsia="es-PE"/>
              </w:rPr>
              <w:t>Controles</w:t>
            </w:r>
          </w:p>
        </w:tc>
        <w:tc>
          <w:tcPr>
            <w:tcW w:w="2128" w:type="dxa"/>
            <w:gridSpan w:val="3"/>
            <w:vAlign w:val="center"/>
          </w:tcPr>
          <w:p w14:paraId="3E19FABC"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b/>
                <w:sz w:val="18"/>
                <w:szCs w:val="18"/>
                <w:lang w:val="es-PE" w:eastAsia="es-PE"/>
              </w:rPr>
              <w:t>Casos</w:t>
            </w:r>
          </w:p>
        </w:tc>
        <w:tc>
          <w:tcPr>
            <w:tcW w:w="2119" w:type="dxa"/>
            <w:gridSpan w:val="2"/>
            <w:vAlign w:val="center"/>
          </w:tcPr>
          <w:p w14:paraId="05B4E1B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b/>
                <w:sz w:val="18"/>
                <w:szCs w:val="18"/>
                <w:lang w:val="es-PE" w:eastAsia="es-PE"/>
              </w:rPr>
              <w:t>Total</w:t>
            </w:r>
          </w:p>
        </w:tc>
      </w:tr>
      <w:tr w:rsidR="00C46FEB" w:rsidRPr="00C46FEB" w14:paraId="2A91E63D" w14:textId="77777777" w:rsidTr="003A5F46">
        <w:trPr>
          <w:jc w:val="center"/>
        </w:trPr>
        <w:tc>
          <w:tcPr>
            <w:tcW w:w="8926" w:type="dxa"/>
            <w:gridSpan w:val="9"/>
            <w:vAlign w:val="center"/>
          </w:tcPr>
          <w:p w14:paraId="68B6095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Sexo</w:t>
            </w:r>
          </w:p>
        </w:tc>
      </w:tr>
      <w:tr w:rsidR="00C46FEB" w:rsidRPr="00C46FEB" w14:paraId="20E5F964" w14:textId="77777777" w:rsidTr="003A5F46">
        <w:trPr>
          <w:jc w:val="center"/>
        </w:trPr>
        <w:tc>
          <w:tcPr>
            <w:tcW w:w="2552" w:type="dxa"/>
            <w:vAlign w:val="center"/>
          </w:tcPr>
          <w:p w14:paraId="3A3A8781"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Femenino</w:t>
            </w:r>
          </w:p>
        </w:tc>
        <w:tc>
          <w:tcPr>
            <w:tcW w:w="1129" w:type="dxa"/>
            <w:vAlign w:val="center"/>
          </w:tcPr>
          <w:p w14:paraId="726D356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30</w:t>
            </w:r>
          </w:p>
        </w:tc>
        <w:tc>
          <w:tcPr>
            <w:tcW w:w="988" w:type="dxa"/>
            <w:vAlign w:val="center"/>
          </w:tcPr>
          <w:p w14:paraId="62A7A76F"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61,2 %</w:t>
            </w:r>
          </w:p>
        </w:tc>
        <w:tc>
          <w:tcPr>
            <w:tcW w:w="1134" w:type="dxa"/>
            <w:gridSpan w:val="2"/>
            <w:vAlign w:val="center"/>
          </w:tcPr>
          <w:p w14:paraId="54CF2B82" w14:textId="77777777" w:rsidR="00C46FEB" w:rsidRPr="00C46FEB" w:rsidRDefault="00C46FEB" w:rsidP="00FC63DA">
            <w:pPr>
              <w:spacing w:line="360" w:lineRule="auto"/>
              <w:ind w:left="113" w:right="100"/>
              <w:jc w:val="center"/>
              <w:rPr>
                <w:rFonts w:eastAsia="Calibri"/>
                <w:sz w:val="18"/>
                <w:szCs w:val="18"/>
                <w:lang w:val="es-PE" w:eastAsia="es-PE"/>
              </w:rPr>
            </w:pPr>
            <w:r w:rsidRPr="00C46FEB">
              <w:rPr>
                <w:color w:val="000000"/>
                <w:sz w:val="18"/>
                <w:szCs w:val="18"/>
                <w:lang w:val="es-PE" w:eastAsia="es-PE"/>
              </w:rPr>
              <w:t>19</w:t>
            </w:r>
          </w:p>
        </w:tc>
        <w:tc>
          <w:tcPr>
            <w:tcW w:w="994" w:type="dxa"/>
            <w:vAlign w:val="center"/>
          </w:tcPr>
          <w:p w14:paraId="2AC5006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38,8 %</w:t>
            </w:r>
          </w:p>
        </w:tc>
        <w:tc>
          <w:tcPr>
            <w:tcW w:w="992" w:type="dxa"/>
            <w:gridSpan w:val="2"/>
            <w:vAlign w:val="center"/>
          </w:tcPr>
          <w:p w14:paraId="62AE4C82"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49</w:t>
            </w:r>
          </w:p>
        </w:tc>
        <w:tc>
          <w:tcPr>
            <w:tcW w:w="1137" w:type="dxa"/>
            <w:vAlign w:val="center"/>
          </w:tcPr>
          <w:p w14:paraId="53B9FB2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17,8</w:t>
            </w:r>
          </w:p>
        </w:tc>
      </w:tr>
      <w:tr w:rsidR="00C46FEB" w:rsidRPr="00C46FEB" w14:paraId="5EB0A4E5" w14:textId="77777777" w:rsidTr="003A5F46">
        <w:trPr>
          <w:jc w:val="center"/>
        </w:trPr>
        <w:tc>
          <w:tcPr>
            <w:tcW w:w="2552" w:type="dxa"/>
            <w:vAlign w:val="center"/>
          </w:tcPr>
          <w:p w14:paraId="319D3776"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Masculino</w:t>
            </w:r>
          </w:p>
        </w:tc>
        <w:tc>
          <w:tcPr>
            <w:tcW w:w="1129" w:type="dxa"/>
            <w:vAlign w:val="center"/>
          </w:tcPr>
          <w:p w14:paraId="7765844D"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108</w:t>
            </w:r>
          </w:p>
        </w:tc>
        <w:tc>
          <w:tcPr>
            <w:tcW w:w="988" w:type="dxa"/>
            <w:vAlign w:val="center"/>
          </w:tcPr>
          <w:p w14:paraId="0C918765"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47,6%</w:t>
            </w:r>
          </w:p>
        </w:tc>
        <w:tc>
          <w:tcPr>
            <w:tcW w:w="1134" w:type="dxa"/>
            <w:gridSpan w:val="2"/>
            <w:vAlign w:val="center"/>
          </w:tcPr>
          <w:p w14:paraId="4603E64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119</w:t>
            </w:r>
          </w:p>
        </w:tc>
        <w:tc>
          <w:tcPr>
            <w:tcW w:w="994" w:type="dxa"/>
            <w:vAlign w:val="center"/>
          </w:tcPr>
          <w:p w14:paraId="1EA57780"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52,4%</w:t>
            </w:r>
          </w:p>
        </w:tc>
        <w:tc>
          <w:tcPr>
            <w:tcW w:w="992" w:type="dxa"/>
            <w:gridSpan w:val="2"/>
            <w:vAlign w:val="center"/>
          </w:tcPr>
          <w:p w14:paraId="4CE6373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227</w:t>
            </w:r>
          </w:p>
        </w:tc>
        <w:tc>
          <w:tcPr>
            <w:tcW w:w="1137" w:type="dxa"/>
            <w:vAlign w:val="center"/>
          </w:tcPr>
          <w:p w14:paraId="36E0873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82,2</w:t>
            </w:r>
          </w:p>
        </w:tc>
      </w:tr>
      <w:tr w:rsidR="00C46FEB" w:rsidRPr="00C46FEB" w14:paraId="1A00FFF3" w14:textId="77777777" w:rsidTr="003A5F46">
        <w:trPr>
          <w:jc w:val="center"/>
        </w:trPr>
        <w:tc>
          <w:tcPr>
            <w:tcW w:w="8926" w:type="dxa"/>
            <w:gridSpan w:val="9"/>
            <w:vAlign w:val="center"/>
          </w:tcPr>
          <w:p w14:paraId="39B2C374"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Estado civil</w:t>
            </w:r>
          </w:p>
        </w:tc>
      </w:tr>
      <w:tr w:rsidR="00C46FEB" w:rsidRPr="00C46FEB" w14:paraId="02D27BA3" w14:textId="77777777" w:rsidTr="003A5F46">
        <w:trPr>
          <w:jc w:val="center"/>
        </w:trPr>
        <w:tc>
          <w:tcPr>
            <w:tcW w:w="2552" w:type="dxa"/>
            <w:vAlign w:val="center"/>
          </w:tcPr>
          <w:p w14:paraId="3367D9B5"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Soltero</w:t>
            </w:r>
          </w:p>
        </w:tc>
        <w:tc>
          <w:tcPr>
            <w:tcW w:w="1129" w:type="dxa"/>
            <w:vAlign w:val="center"/>
          </w:tcPr>
          <w:p w14:paraId="3217B2B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128</w:t>
            </w:r>
          </w:p>
        </w:tc>
        <w:tc>
          <w:tcPr>
            <w:tcW w:w="988" w:type="dxa"/>
            <w:vAlign w:val="center"/>
          </w:tcPr>
          <w:p w14:paraId="52301F00"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49,6%</w:t>
            </w:r>
          </w:p>
        </w:tc>
        <w:tc>
          <w:tcPr>
            <w:tcW w:w="1134" w:type="dxa"/>
            <w:gridSpan w:val="2"/>
            <w:vAlign w:val="center"/>
          </w:tcPr>
          <w:p w14:paraId="1B221AE5"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130</w:t>
            </w:r>
          </w:p>
        </w:tc>
        <w:tc>
          <w:tcPr>
            <w:tcW w:w="994" w:type="dxa"/>
            <w:vAlign w:val="center"/>
          </w:tcPr>
          <w:p w14:paraId="066E7925"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50,4 %</w:t>
            </w:r>
          </w:p>
        </w:tc>
        <w:tc>
          <w:tcPr>
            <w:tcW w:w="992" w:type="dxa"/>
            <w:gridSpan w:val="2"/>
            <w:vAlign w:val="center"/>
          </w:tcPr>
          <w:p w14:paraId="572A2B86"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258</w:t>
            </w:r>
          </w:p>
        </w:tc>
        <w:tc>
          <w:tcPr>
            <w:tcW w:w="1137" w:type="dxa"/>
            <w:vAlign w:val="center"/>
          </w:tcPr>
          <w:p w14:paraId="07D49E88"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91,5</w:t>
            </w:r>
          </w:p>
        </w:tc>
      </w:tr>
      <w:tr w:rsidR="00C46FEB" w:rsidRPr="00C46FEB" w14:paraId="28EDF2D0" w14:textId="77777777" w:rsidTr="003A5F46">
        <w:trPr>
          <w:jc w:val="center"/>
        </w:trPr>
        <w:tc>
          <w:tcPr>
            <w:tcW w:w="2552" w:type="dxa"/>
            <w:vAlign w:val="center"/>
          </w:tcPr>
          <w:p w14:paraId="5FDDC07B"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Casado</w:t>
            </w:r>
          </w:p>
        </w:tc>
        <w:tc>
          <w:tcPr>
            <w:tcW w:w="1129" w:type="dxa"/>
            <w:vAlign w:val="center"/>
          </w:tcPr>
          <w:p w14:paraId="592E053A"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10</w:t>
            </w:r>
          </w:p>
        </w:tc>
        <w:tc>
          <w:tcPr>
            <w:tcW w:w="988" w:type="dxa"/>
            <w:vAlign w:val="center"/>
          </w:tcPr>
          <w:p w14:paraId="558B6B0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55,6%</w:t>
            </w:r>
          </w:p>
        </w:tc>
        <w:tc>
          <w:tcPr>
            <w:tcW w:w="1134" w:type="dxa"/>
            <w:gridSpan w:val="2"/>
            <w:vAlign w:val="center"/>
          </w:tcPr>
          <w:p w14:paraId="60967131"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8</w:t>
            </w:r>
          </w:p>
        </w:tc>
        <w:tc>
          <w:tcPr>
            <w:tcW w:w="994" w:type="dxa"/>
            <w:vAlign w:val="center"/>
          </w:tcPr>
          <w:p w14:paraId="068149BC"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44,4 %</w:t>
            </w:r>
          </w:p>
        </w:tc>
        <w:tc>
          <w:tcPr>
            <w:tcW w:w="992" w:type="dxa"/>
            <w:gridSpan w:val="2"/>
            <w:vAlign w:val="center"/>
          </w:tcPr>
          <w:p w14:paraId="28F6581D"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18</w:t>
            </w:r>
          </w:p>
        </w:tc>
        <w:tc>
          <w:tcPr>
            <w:tcW w:w="1137" w:type="dxa"/>
            <w:vAlign w:val="center"/>
          </w:tcPr>
          <w:p w14:paraId="0D9F0776"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6,5</w:t>
            </w:r>
          </w:p>
        </w:tc>
      </w:tr>
      <w:tr w:rsidR="00C46FEB" w:rsidRPr="00C46FEB" w14:paraId="5F9A10FC" w14:textId="77777777" w:rsidTr="003A5F46">
        <w:trPr>
          <w:jc w:val="center"/>
        </w:trPr>
        <w:tc>
          <w:tcPr>
            <w:tcW w:w="8926" w:type="dxa"/>
            <w:gridSpan w:val="9"/>
            <w:vAlign w:val="center"/>
          </w:tcPr>
          <w:p w14:paraId="4B88F13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Depresión</w:t>
            </w:r>
          </w:p>
        </w:tc>
      </w:tr>
      <w:tr w:rsidR="00C46FEB" w:rsidRPr="00C46FEB" w14:paraId="00688D62" w14:textId="77777777" w:rsidTr="003A5F46">
        <w:trPr>
          <w:jc w:val="center"/>
        </w:trPr>
        <w:tc>
          <w:tcPr>
            <w:tcW w:w="2552" w:type="dxa"/>
            <w:vAlign w:val="center"/>
          </w:tcPr>
          <w:p w14:paraId="348A7D1F"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Sí</w:t>
            </w:r>
          </w:p>
        </w:tc>
        <w:tc>
          <w:tcPr>
            <w:tcW w:w="1129" w:type="dxa"/>
            <w:vAlign w:val="center"/>
          </w:tcPr>
          <w:p w14:paraId="3FEEE57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36</w:t>
            </w:r>
          </w:p>
        </w:tc>
        <w:tc>
          <w:tcPr>
            <w:tcW w:w="988" w:type="dxa"/>
            <w:vAlign w:val="center"/>
          </w:tcPr>
          <w:p w14:paraId="4AE663A5"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36,7 %</w:t>
            </w:r>
          </w:p>
        </w:tc>
        <w:tc>
          <w:tcPr>
            <w:tcW w:w="1134" w:type="dxa"/>
            <w:gridSpan w:val="2"/>
            <w:vAlign w:val="center"/>
          </w:tcPr>
          <w:p w14:paraId="0389811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62</w:t>
            </w:r>
          </w:p>
        </w:tc>
        <w:tc>
          <w:tcPr>
            <w:tcW w:w="994" w:type="dxa"/>
            <w:vAlign w:val="center"/>
          </w:tcPr>
          <w:p w14:paraId="4D2B1D0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63,3 %</w:t>
            </w:r>
          </w:p>
        </w:tc>
        <w:tc>
          <w:tcPr>
            <w:tcW w:w="992" w:type="dxa"/>
            <w:gridSpan w:val="2"/>
            <w:vAlign w:val="center"/>
          </w:tcPr>
          <w:p w14:paraId="0A04D00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98</w:t>
            </w:r>
          </w:p>
        </w:tc>
        <w:tc>
          <w:tcPr>
            <w:tcW w:w="1137" w:type="dxa"/>
            <w:vAlign w:val="center"/>
          </w:tcPr>
          <w:p w14:paraId="75ACC75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35,5</w:t>
            </w:r>
          </w:p>
        </w:tc>
      </w:tr>
      <w:tr w:rsidR="00C46FEB" w:rsidRPr="00C46FEB" w14:paraId="6F3F6DBD" w14:textId="77777777" w:rsidTr="003A5F46">
        <w:trPr>
          <w:jc w:val="center"/>
        </w:trPr>
        <w:tc>
          <w:tcPr>
            <w:tcW w:w="2552" w:type="dxa"/>
            <w:vAlign w:val="center"/>
          </w:tcPr>
          <w:p w14:paraId="46049961"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No</w:t>
            </w:r>
          </w:p>
        </w:tc>
        <w:tc>
          <w:tcPr>
            <w:tcW w:w="1129" w:type="dxa"/>
            <w:vAlign w:val="center"/>
          </w:tcPr>
          <w:p w14:paraId="397D0198"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102</w:t>
            </w:r>
          </w:p>
        </w:tc>
        <w:tc>
          <w:tcPr>
            <w:tcW w:w="988" w:type="dxa"/>
            <w:vAlign w:val="center"/>
          </w:tcPr>
          <w:p w14:paraId="0BB306E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57,3 %</w:t>
            </w:r>
          </w:p>
        </w:tc>
        <w:tc>
          <w:tcPr>
            <w:tcW w:w="1134" w:type="dxa"/>
            <w:gridSpan w:val="2"/>
            <w:vAlign w:val="center"/>
          </w:tcPr>
          <w:p w14:paraId="6E1C87DC"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76</w:t>
            </w:r>
          </w:p>
        </w:tc>
        <w:tc>
          <w:tcPr>
            <w:tcW w:w="994" w:type="dxa"/>
            <w:vAlign w:val="center"/>
          </w:tcPr>
          <w:p w14:paraId="5794E8C0"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42,7 %</w:t>
            </w:r>
          </w:p>
        </w:tc>
        <w:tc>
          <w:tcPr>
            <w:tcW w:w="992" w:type="dxa"/>
            <w:gridSpan w:val="2"/>
            <w:vAlign w:val="center"/>
          </w:tcPr>
          <w:p w14:paraId="06B1E1E6"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178</w:t>
            </w:r>
          </w:p>
        </w:tc>
        <w:tc>
          <w:tcPr>
            <w:tcW w:w="1137" w:type="dxa"/>
            <w:vAlign w:val="center"/>
          </w:tcPr>
          <w:p w14:paraId="7133E75A"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64,5</w:t>
            </w:r>
          </w:p>
        </w:tc>
      </w:tr>
      <w:tr w:rsidR="00C46FEB" w:rsidRPr="00C46FEB" w14:paraId="1A6311E1" w14:textId="77777777" w:rsidTr="003A5F46">
        <w:trPr>
          <w:jc w:val="center"/>
        </w:trPr>
        <w:tc>
          <w:tcPr>
            <w:tcW w:w="8926" w:type="dxa"/>
            <w:gridSpan w:val="9"/>
            <w:vAlign w:val="center"/>
          </w:tcPr>
          <w:p w14:paraId="6F61EA36"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Orientación sexual</w:t>
            </w:r>
          </w:p>
        </w:tc>
      </w:tr>
      <w:tr w:rsidR="00C46FEB" w:rsidRPr="00C46FEB" w14:paraId="4AB49F29" w14:textId="77777777" w:rsidTr="003A5F46">
        <w:trPr>
          <w:jc w:val="center"/>
        </w:trPr>
        <w:tc>
          <w:tcPr>
            <w:tcW w:w="2552" w:type="dxa"/>
            <w:vAlign w:val="center"/>
          </w:tcPr>
          <w:p w14:paraId="65B1ACBE"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Homosexual</w:t>
            </w:r>
          </w:p>
        </w:tc>
        <w:tc>
          <w:tcPr>
            <w:tcW w:w="1129" w:type="dxa"/>
            <w:vAlign w:val="center"/>
          </w:tcPr>
          <w:p w14:paraId="6C3CE43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25</w:t>
            </w:r>
          </w:p>
        </w:tc>
        <w:tc>
          <w:tcPr>
            <w:tcW w:w="988" w:type="dxa"/>
            <w:vAlign w:val="center"/>
          </w:tcPr>
          <w:p w14:paraId="770C011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48,1 %</w:t>
            </w:r>
          </w:p>
        </w:tc>
        <w:tc>
          <w:tcPr>
            <w:tcW w:w="1134" w:type="dxa"/>
            <w:gridSpan w:val="2"/>
            <w:vAlign w:val="center"/>
          </w:tcPr>
          <w:p w14:paraId="2293044F"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27</w:t>
            </w:r>
          </w:p>
        </w:tc>
        <w:tc>
          <w:tcPr>
            <w:tcW w:w="994" w:type="dxa"/>
            <w:vAlign w:val="center"/>
          </w:tcPr>
          <w:p w14:paraId="7D1917A6"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51,9 %</w:t>
            </w:r>
          </w:p>
        </w:tc>
        <w:tc>
          <w:tcPr>
            <w:tcW w:w="992" w:type="dxa"/>
            <w:gridSpan w:val="2"/>
            <w:vAlign w:val="center"/>
          </w:tcPr>
          <w:p w14:paraId="46AD2A0C"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52</w:t>
            </w:r>
          </w:p>
        </w:tc>
        <w:tc>
          <w:tcPr>
            <w:tcW w:w="1137" w:type="dxa"/>
            <w:vAlign w:val="center"/>
          </w:tcPr>
          <w:p w14:paraId="7C32FA2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18,8</w:t>
            </w:r>
          </w:p>
        </w:tc>
      </w:tr>
      <w:tr w:rsidR="00C46FEB" w:rsidRPr="00C46FEB" w14:paraId="3C780999" w14:textId="77777777" w:rsidTr="003A5F46">
        <w:trPr>
          <w:jc w:val="center"/>
        </w:trPr>
        <w:tc>
          <w:tcPr>
            <w:tcW w:w="2552" w:type="dxa"/>
            <w:vAlign w:val="center"/>
          </w:tcPr>
          <w:p w14:paraId="0E4AC9D4"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Heterosexual</w:t>
            </w:r>
          </w:p>
        </w:tc>
        <w:tc>
          <w:tcPr>
            <w:tcW w:w="1129" w:type="dxa"/>
            <w:vAlign w:val="center"/>
          </w:tcPr>
          <w:p w14:paraId="662D8D00"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113</w:t>
            </w:r>
          </w:p>
        </w:tc>
        <w:tc>
          <w:tcPr>
            <w:tcW w:w="988" w:type="dxa"/>
            <w:vAlign w:val="center"/>
          </w:tcPr>
          <w:p w14:paraId="7C8721AC"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50,4 %</w:t>
            </w:r>
          </w:p>
        </w:tc>
        <w:tc>
          <w:tcPr>
            <w:tcW w:w="1134" w:type="dxa"/>
            <w:gridSpan w:val="2"/>
            <w:vAlign w:val="center"/>
          </w:tcPr>
          <w:p w14:paraId="6723BA2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111</w:t>
            </w:r>
          </w:p>
        </w:tc>
        <w:tc>
          <w:tcPr>
            <w:tcW w:w="994" w:type="dxa"/>
            <w:vAlign w:val="center"/>
          </w:tcPr>
          <w:p w14:paraId="60A9F908"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49,6 %</w:t>
            </w:r>
          </w:p>
        </w:tc>
        <w:tc>
          <w:tcPr>
            <w:tcW w:w="992" w:type="dxa"/>
            <w:gridSpan w:val="2"/>
            <w:vAlign w:val="center"/>
          </w:tcPr>
          <w:p w14:paraId="73C399F2"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224</w:t>
            </w:r>
          </w:p>
        </w:tc>
        <w:tc>
          <w:tcPr>
            <w:tcW w:w="1137" w:type="dxa"/>
            <w:vAlign w:val="center"/>
          </w:tcPr>
          <w:p w14:paraId="31F5C44A"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81,2</w:t>
            </w:r>
          </w:p>
        </w:tc>
      </w:tr>
      <w:tr w:rsidR="00C46FEB" w:rsidRPr="00C46FEB" w14:paraId="16BB3AB6" w14:textId="77777777" w:rsidTr="003A5F46">
        <w:trPr>
          <w:jc w:val="center"/>
        </w:trPr>
        <w:tc>
          <w:tcPr>
            <w:tcW w:w="8926" w:type="dxa"/>
            <w:gridSpan w:val="9"/>
            <w:vAlign w:val="center"/>
          </w:tcPr>
          <w:p w14:paraId="64150DB1"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 xml:space="preserve">Esquema </w:t>
            </w:r>
            <w:proofErr w:type="spellStart"/>
            <w:r w:rsidRPr="00C46FEB">
              <w:rPr>
                <w:sz w:val="18"/>
                <w:szCs w:val="18"/>
                <w:lang w:val="es-PE" w:eastAsia="es-PE"/>
              </w:rPr>
              <w:t>TAR</w:t>
            </w:r>
            <w:proofErr w:type="spellEnd"/>
          </w:p>
        </w:tc>
      </w:tr>
      <w:tr w:rsidR="00C46FEB" w:rsidRPr="00C46FEB" w14:paraId="5302197E" w14:textId="77777777" w:rsidTr="003A5F46">
        <w:trPr>
          <w:jc w:val="center"/>
        </w:trPr>
        <w:tc>
          <w:tcPr>
            <w:tcW w:w="2552" w:type="dxa"/>
            <w:vAlign w:val="center"/>
          </w:tcPr>
          <w:p w14:paraId="27C811D0"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Alternativo</w:t>
            </w:r>
          </w:p>
        </w:tc>
        <w:tc>
          <w:tcPr>
            <w:tcW w:w="1129" w:type="dxa"/>
            <w:vAlign w:val="center"/>
          </w:tcPr>
          <w:p w14:paraId="41602D28"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21</w:t>
            </w:r>
          </w:p>
        </w:tc>
        <w:tc>
          <w:tcPr>
            <w:tcW w:w="988" w:type="dxa"/>
            <w:vAlign w:val="center"/>
          </w:tcPr>
          <w:p w14:paraId="21B13425"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32,8 %</w:t>
            </w:r>
          </w:p>
        </w:tc>
        <w:tc>
          <w:tcPr>
            <w:tcW w:w="1134" w:type="dxa"/>
            <w:gridSpan w:val="2"/>
            <w:vAlign w:val="center"/>
          </w:tcPr>
          <w:p w14:paraId="262A366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43</w:t>
            </w:r>
          </w:p>
        </w:tc>
        <w:tc>
          <w:tcPr>
            <w:tcW w:w="994" w:type="dxa"/>
            <w:vAlign w:val="center"/>
          </w:tcPr>
          <w:p w14:paraId="3C75C16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67,2 %</w:t>
            </w:r>
          </w:p>
        </w:tc>
        <w:tc>
          <w:tcPr>
            <w:tcW w:w="992" w:type="dxa"/>
            <w:gridSpan w:val="2"/>
            <w:vAlign w:val="center"/>
          </w:tcPr>
          <w:p w14:paraId="0C8A01F6"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64</w:t>
            </w:r>
          </w:p>
        </w:tc>
        <w:tc>
          <w:tcPr>
            <w:tcW w:w="1137" w:type="dxa"/>
            <w:vAlign w:val="center"/>
          </w:tcPr>
          <w:p w14:paraId="2579F6E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23,2</w:t>
            </w:r>
          </w:p>
        </w:tc>
      </w:tr>
      <w:tr w:rsidR="00C46FEB" w:rsidRPr="00C46FEB" w14:paraId="050B5CAC" w14:textId="77777777" w:rsidTr="003A5F46">
        <w:trPr>
          <w:jc w:val="center"/>
        </w:trPr>
        <w:tc>
          <w:tcPr>
            <w:tcW w:w="2552" w:type="dxa"/>
            <w:vAlign w:val="center"/>
          </w:tcPr>
          <w:p w14:paraId="1298D03E"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Principal</w:t>
            </w:r>
          </w:p>
        </w:tc>
        <w:tc>
          <w:tcPr>
            <w:tcW w:w="1129" w:type="dxa"/>
            <w:vAlign w:val="center"/>
          </w:tcPr>
          <w:p w14:paraId="0B79895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116</w:t>
            </w:r>
          </w:p>
        </w:tc>
        <w:tc>
          <w:tcPr>
            <w:tcW w:w="988" w:type="dxa"/>
            <w:vAlign w:val="center"/>
          </w:tcPr>
          <w:p w14:paraId="50972FB0"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55,0 %</w:t>
            </w:r>
          </w:p>
        </w:tc>
        <w:tc>
          <w:tcPr>
            <w:tcW w:w="1134" w:type="dxa"/>
            <w:gridSpan w:val="2"/>
            <w:vAlign w:val="center"/>
          </w:tcPr>
          <w:p w14:paraId="530D65A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95</w:t>
            </w:r>
          </w:p>
        </w:tc>
        <w:tc>
          <w:tcPr>
            <w:tcW w:w="994" w:type="dxa"/>
            <w:vAlign w:val="center"/>
          </w:tcPr>
          <w:p w14:paraId="4401950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45%</w:t>
            </w:r>
          </w:p>
        </w:tc>
        <w:tc>
          <w:tcPr>
            <w:tcW w:w="992" w:type="dxa"/>
            <w:gridSpan w:val="2"/>
            <w:vAlign w:val="center"/>
          </w:tcPr>
          <w:p w14:paraId="0BBF13D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211</w:t>
            </w:r>
          </w:p>
        </w:tc>
        <w:tc>
          <w:tcPr>
            <w:tcW w:w="1137" w:type="dxa"/>
            <w:vAlign w:val="center"/>
          </w:tcPr>
          <w:p w14:paraId="3C6836C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76,4</w:t>
            </w:r>
          </w:p>
        </w:tc>
      </w:tr>
      <w:tr w:rsidR="00C46FEB" w:rsidRPr="00C46FEB" w14:paraId="2CCD6AF6" w14:textId="77777777" w:rsidTr="003A5F46">
        <w:trPr>
          <w:jc w:val="center"/>
        </w:trPr>
        <w:tc>
          <w:tcPr>
            <w:tcW w:w="8926" w:type="dxa"/>
            <w:gridSpan w:val="9"/>
            <w:vAlign w:val="center"/>
          </w:tcPr>
          <w:p w14:paraId="1FEEF22D"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Efectos secundarios</w:t>
            </w:r>
          </w:p>
        </w:tc>
      </w:tr>
      <w:tr w:rsidR="00C46FEB" w:rsidRPr="00C46FEB" w14:paraId="1353DF4A" w14:textId="77777777" w:rsidTr="003A5F46">
        <w:trPr>
          <w:jc w:val="center"/>
        </w:trPr>
        <w:tc>
          <w:tcPr>
            <w:tcW w:w="2552" w:type="dxa"/>
            <w:vAlign w:val="center"/>
          </w:tcPr>
          <w:p w14:paraId="5F8D2533"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Sí</w:t>
            </w:r>
          </w:p>
        </w:tc>
        <w:tc>
          <w:tcPr>
            <w:tcW w:w="1129" w:type="dxa"/>
            <w:vAlign w:val="center"/>
          </w:tcPr>
          <w:p w14:paraId="44D8FA75"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7</w:t>
            </w:r>
          </w:p>
        </w:tc>
        <w:tc>
          <w:tcPr>
            <w:tcW w:w="988" w:type="dxa"/>
            <w:vAlign w:val="center"/>
          </w:tcPr>
          <w:p w14:paraId="530D27A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22,6 %</w:t>
            </w:r>
          </w:p>
        </w:tc>
        <w:tc>
          <w:tcPr>
            <w:tcW w:w="1134" w:type="dxa"/>
            <w:gridSpan w:val="2"/>
            <w:vAlign w:val="center"/>
          </w:tcPr>
          <w:p w14:paraId="3AB81B7F"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24</w:t>
            </w:r>
          </w:p>
        </w:tc>
        <w:tc>
          <w:tcPr>
            <w:tcW w:w="994" w:type="dxa"/>
            <w:vAlign w:val="center"/>
          </w:tcPr>
          <w:p w14:paraId="4403B672"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77,4 %</w:t>
            </w:r>
          </w:p>
        </w:tc>
        <w:tc>
          <w:tcPr>
            <w:tcW w:w="992" w:type="dxa"/>
            <w:gridSpan w:val="2"/>
            <w:vAlign w:val="center"/>
          </w:tcPr>
          <w:p w14:paraId="5D7B0F0D"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31</w:t>
            </w:r>
          </w:p>
        </w:tc>
        <w:tc>
          <w:tcPr>
            <w:tcW w:w="1137" w:type="dxa"/>
            <w:vAlign w:val="center"/>
          </w:tcPr>
          <w:p w14:paraId="54FD452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11,2</w:t>
            </w:r>
          </w:p>
        </w:tc>
      </w:tr>
      <w:tr w:rsidR="00C46FEB" w:rsidRPr="00C46FEB" w14:paraId="1381A39B" w14:textId="77777777" w:rsidTr="003A5F46">
        <w:trPr>
          <w:jc w:val="center"/>
        </w:trPr>
        <w:tc>
          <w:tcPr>
            <w:tcW w:w="2552" w:type="dxa"/>
            <w:vAlign w:val="center"/>
          </w:tcPr>
          <w:p w14:paraId="13A9CABD"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No</w:t>
            </w:r>
          </w:p>
        </w:tc>
        <w:tc>
          <w:tcPr>
            <w:tcW w:w="1129" w:type="dxa"/>
            <w:vAlign w:val="center"/>
          </w:tcPr>
          <w:p w14:paraId="73D3789E"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131</w:t>
            </w:r>
          </w:p>
        </w:tc>
        <w:tc>
          <w:tcPr>
            <w:tcW w:w="988" w:type="dxa"/>
            <w:vAlign w:val="center"/>
          </w:tcPr>
          <w:p w14:paraId="12C73BF0"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53,5 %</w:t>
            </w:r>
          </w:p>
        </w:tc>
        <w:tc>
          <w:tcPr>
            <w:tcW w:w="1134" w:type="dxa"/>
            <w:gridSpan w:val="2"/>
            <w:vAlign w:val="center"/>
          </w:tcPr>
          <w:p w14:paraId="00532774"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114</w:t>
            </w:r>
          </w:p>
        </w:tc>
        <w:tc>
          <w:tcPr>
            <w:tcW w:w="994" w:type="dxa"/>
            <w:vAlign w:val="center"/>
          </w:tcPr>
          <w:p w14:paraId="111D48A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46,5 %</w:t>
            </w:r>
          </w:p>
        </w:tc>
        <w:tc>
          <w:tcPr>
            <w:tcW w:w="992" w:type="dxa"/>
            <w:gridSpan w:val="2"/>
            <w:vAlign w:val="center"/>
          </w:tcPr>
          <w:p w14:paraId="2B78513C"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245</w:t>
            </w:r>
          </w:p>
        </w:tc>
        <w:tc>
          <w:tcPr>
            <w:tcW w:w="1137" w:type="dxa"/>
            <w:vAlign w:val="center"/>
          </w:tcPr>
          <w:p w14:paraId="41D13F9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88,8</w:t>
            </w:r>
          </w:p>
        </w:tc>
      </w:tr>
      <w:tr w:rsidR="00C46FEB" w:rsidRPr="00C46FEB" w14:paraId="7101739E" w14:textId="77777777" w:rsidTr="003A5F46">
        <w:trPr>
          <w:jc w:val="center"/>
        </w:trPr>
        <w:tc>
          <w:tcPr>
            <w:tcW w:w="8926" w:type="dxa"/>
            <w:gridSpan w:val="9"/>
            <w:vAlign w:val="center"/>
          </w:tcPr>
          <w:p w14:paraId="6F6E2EAC"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Estado de emergencia sanitaria</w:t>
            </w:r>
          </w:p>
        </w:tc>
      </w:tr>
      <w:tr w:rsidR="00C46FEB" w:rsidRPr="00C46FEB" w14:paraId="7AC90DC0" w14:textId="77777777" w:rsidTr="003A5F46">
        <w:trPr>
          <w:jc w:val="center"/>
        </w:trPr>
        <w:tc>
          <w:tcPr>
            <w:tcW w:w="2552" w:type="dxa"/>
            <w:vAlign w:val="center"/>
          </w:tcPr>
          <w:p w14:paraId="5FBD6D68"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Sí</w:t>
            </w:r>
          </w:p>
        </w:tc>
        <w:tc>
          <w:tcPr>
            <w:tcW w:w="1129" w:type="dxa"/>
            <w:vAlign w:val="center"/>
          </w:tcPr>
          <w:p w14:paraId="011B161D"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16</w:t>
            </w:r>
          </w:p>
        </w:tc>
        <w:tc>
          <w:tcPr>
            <w:tcW w:w="988" w:type="dxa"/>
            <w:vAlign w:val="center"/>
          </w:tcPr>
          <w:p w14:paraId="072BF62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20,8 %</w:t>
            </w:r>
          </w:p>
        </w:tc>
        <w:tc>
          <w:tcPr>
            <w:tcW w:w="1134" w:type="dxa"/>
            <w:gridSpan w:val="2"/>
            <w:vAlign w:val="center"/>
          </w:tcPr>
          <w:p w14:paraId="3C8F290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61</w:t>
            </w:r>
          </w:p>
        </w:tc>
        <w:tc>
          <w:tcPr>
            <w:tcW w:w="994" w:type="dxa"/>
            <w:vAlign w:val="center"/>
          </w:tcPr>
          <w:p w14:paraId="5B260EB4"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79,2 %</w:t>
            </w:r>
          </w:p>
        </w:tc>
        <w:tc>
          <w:tcPr>
            <w:tcW w:w="992" w:type="dxa"/>
            <w:gridSpan w:val="2"/>
            <w:vAlign w:val="center"/>
          </w:tcPr>
          <w:p w14:paraId="5E0EFC09"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77</w:t>
            </w:r>
          </w:p>
        </w:tc>
        <w:tc>
          <w:tcPr>
            <w:tcW w:w="1137" w:type="dxa"/>
            <w:vAlign w:val="center"/>
          </w:tcPr>
          <w:p w14:paraId="7FE7CDA4"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27,9</w:t>
            </w:r>
          </w:p>
        </w:tc>
      </w:tr>
      <w:tr w:rsidR="00C46FEB" w:rsidRPr="00C46FEB" w14:paraId="2A98F9BC" w14:textId="77777777" w:rsidTr="003A5F46">
        <w:trPr>
          <w:jc w:val="center"/>
        </w:trPr>
        <w:tc>
          <w:tcPr>
            <w:tcW w:w="2552" w:type="dxa"/>
            <w:vAlign w:val="center"/>
          </w:tcPr>
          <w:p w14:paraId="0E2184A6" w14:textId="77777777" w:rsidR="00C46FEB" w:rsidRPr="00C46FEB" w:rsidRDefault="00C46FEB" w:rsidP="00FC63DA">
            <w:pPr>
              <w:spacing w:line="360" w:lineRule="auto"/>
              <w:ind w:left="113" w:right="113"/>
              <w:rPr>
                <w:rFonts w:eastAsia="Calibri"/>
                <w:sz w:val="18"/>
                <w:szCs w:val="18"/>
                <w:lang w:val="es-PE" w:eastAsia="es-PE"/>
              </w:rPr>
            </w:pPr>
            <w:r w:rsidRPr="00C46FEB">
              <w:rPr>
                <w:sz w:val="18"/>
                <w:szCs w:val="18"/>
                <w:lang w:val="es-PE" w:eastAsia="es-PE"/>
              </w:rPr>
              <w:t>No</w:t>
            </w:r>
          </w:p>
        </w:tc>
        <w:tc>
          <w:tcPr>
            <w:tcW w:w="1129" w:type="dxa"/>
            <w:vAlign w:val="center"/>
          </w:tcPr>
          <w:p w14:paraId="36EA9E8F"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122</w:t>
            </w:r>
          </w:p>
        </w:tc>
        <w:tc>
          <w:tcPr>
            <w:tcW w:w="988" w:type="dxa"/>
            <w:vAlign w:val="center"/>
          </w:tcPr>
          <w:p w14:paraId="61D1AE03"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61,3 %</w:t>
            </w:r>
          </w:p>
        </w:tc>
        <w:tc>
          <w:tcPr>
            <w:tcW w:w="1134" w:type="dxa"/>
            <w:gridSpan w:val="2"/>
            <w:vAlign w:val="center"/>
          </w:tcPr>
          <w:p w14:paraId="440D8FAB"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77</w:t>
            </w:r>
          </w:p>
        </w:tc>
        <w:tc>
          <w:tcPr>
            <w:tcW w:w="994" w:type="dxa"/>
            <w:vAlign w:val="center"/>
          </w:tcPr>
          <w:p w14:paraId="574D6025"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color w:val="000000"/>
                <w:sz w:val="18"/>
                <w:szCs w:val="18"/>
                <w:lang w:val="es-PE" w:eastAsia="es-PE"/>
              </w:rPr>
              <w:t>38,7 %</w:t>
            </w:r>
          </w:p>
        </w:tc>
        <w:tc>
          <w:tcPr>
            <w:tcW w:w="992" w:type="dxa"/>
            <w:gridSpan w:val="2"/>
            <w:vAlign w:val="center"/>
          </w:tcPr>
          <w:p w14:paraId="4E6E612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199</w:t>
            </w:r>
          </w:p>
        </w:tc>
        <w:tc>
          <w:tcPr>
            <w:tcW w:w="1137" w:type="dxa"/>
            <w:vAlign w:val="center"/>
          </w:tcPr>
          <w:p w14:paraId="7B91FCB7" w14:textId="77777777" w:rsidR="00C46FEB" w:rsidRPr="00C46FEB" w:rsidRDefault="00C46FEB" w:rsidP="00FC63DA">
            <w:pPr>
              <w:spacing w:line="360" w:lineRule="auto"/>
              <w:ind w:left="113" w:right="113"/>
              <w:jc w:val="center"/>
              <w:rPr>
                <w:rFonts w:eastAsia="Calibri"/>
                <w:sz w:val="18"/>
                <w:szCs w:val="18"/>
                <w:lang w:val="es-PE" w:eastAsia="es-PE"/>
              </w:rPr>
            </w:pPr>
            <w:r w:rsidRPr="00C46FEB">
              <w:rPr>
                <w:sz w:val="18"/>
                <w:szCs w:val="18"/>
                <w:lang w:val="es-PE" w:eastAsia="es-PE"/>
              </w:rPr>
              <w:t>72,1</w:t>
            </w:r>
          </w:p>
        </w:tc>
      </w:tr>
    </w:tbl>
    <w:p w14:paraId="49B16183" w14:textId="77777777" w:rsidR="00C46FEB" w:rsidRPr="00C46FEB" w:rsidRDefault="00C46FEB" w:rsidP="00C46FEB">
      <w:pPr>
        <w:spacing w:line="360" w:lineRule="auto"/>
        <w:jc w:val="both"/>
        <w:rPr>
          <w:lang w:val="es-PE" w:eastAsia="es-PE"/>
        </w:rPr>
      </w:pPr>
    </w:p>
    <w:p w14:paraId="5E379D9E" w14:textId="77777777" w:rsidR="00C46FEB" w:rsidRPr="00C46FEB" w:rsidRDefault="00C46FEB" w:rsidP="00C46FEB">
      <w:pPr>
        <w:spacing w:line="360" w:lineRule="auto"/>
        <w:jc w:val="both"/>
        <w:rPr>
          <w:lang w:val="es-PE" w:eastAsia="es-PE"/>
        </w:rPr>
      </w:pPr>
    </w:p>
    <w:p w14:paraId="4D71D70E" w14:textId="77777777" w:rsidR="00500B3B" w:rsidRDefault="00500B3B">
      <w:pPr>
        <w:rPr>
          <w:b/>
          <w:sz w:val="22"/>
          <w:szCs w:val="22"/>
          <w:lang w:val="es-PE" w:eastAsia="es-PE"/>
        </w:rPr>
      </w:pPr>
      <w:r>
        <w:rPr>
          <w:b/>
          <w:sz w:val="22"/>
          <w:szCs w:val="22"/>
          <w:lang w:val="es-PE" w:eastAsia="es-PE"/>
        </w:rPr>
        <w:br w:type="page"/>
      </w:r>
    </w:p>
    <w:p w14:paraId="16A6B0FC" w14:textId="108EB2E6" w:rsidR="00C46FEB" w:rsidRPr="00C46FEB" w:rsidRDefault="00C46FEB" w:rsidP="00C46FEB">
      <w:pPr>
        <w:spacing w:after="160" w:line="259" w:lineRule="auto"/>
        <w:jc w:val="center"/>
        <w:rPr>
          <w:rFonts w:eastAsia="Calibri"/>
          <w:sz w:val="22"/>
          <w:szCs w:val="22"/>
          <w:lang w:val="es-PE" w:eastAsia="es-PE"/>
        </w:rPr>
      </w:pPr>
      <w:r w:rsidRPr="00C46FEB">
        <w:rPr>
          <w:b/>
          <w:sz w:val="22"/>
          <w:szCs w:val="22"/>
          <w:lang w:val="es-PE" w:eastAsia="es-PE"/>
        </w:rPr>
        <w:lastRenderedPageBreak/>
        <w:t xml:space="preserve">Tabla 2 - </w:t>
      </w:r>
      <w:r w:rsidRPr="00C46FEB">
        <w:rPr>
          <w:sz w:val="22"/>
          <w:szCs w:val="22"/>
          <w:lang w:val="es-PE" w:eastAsia="es-PE"/>
        </w:rPr>
        <w:t>Análisis bivariado de factores de riesgo asociados a la mala adherencia a la terapia antirretroviral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559"/>
        <w:gridCol w:w="1418"/>
        <w:gridCol w:w="911"/>
      </w:tblGrid>
      <w:tr w:rsidR="00C46FEB" w:rsidRPr="00C46FEB" w14:paraId="23CE97FD" w14:textId="77777777" w:rsidTr="00BF3365">
        <w:trPr>
          <w:trHeight w:val="289"/>
          <w:jc w:val="center"/>
        </w:trPr>
        <w:tc>
          <w:tcPr>
            <w:tcW w:w="5301" w:type="dxa"/>
            <w:gridSpan w:val="4"/>
            <w:vAlign w:val="center"/>
          </w:tcPr>
          <w:p w14:paraId="13E06D52" w14:textId="77777777" w:rsidR="00C46FEB" w:rsidRPr="00C46FEB" w:rsidRDefault="00C46FEB" w:rsidP="008C24DE">
            <w:pPr>
              <w:pBdr>
                <w:top w:val="nil"/>
                <w:left w:val="nil"/>
                <w:bottom w:val="nil"/>
                <w:right w:val="nil"/>
                <w:between w:val="nil"/>
              </w:pBdr>
              <w:spacing w:line="360" w:lineRule="auto"/>
              <w:ind w:left="-10"/>
              <w:jc w:val="center"/>
              <w:rPr>
                <w:b/>
                <w:color w:val="000000"/>
                <w:sz w:val="18"/>
                <w:szCs w:val="18"/>
                <w:lang w:val="es-PE" w:eastAsia="es-PE"/>
              </w:rPr>
            </w:pPr>
            <w:r w:rsidRPr="00C46FEB">
              <w:rPr>
                <w:b/>
                <w:color w:val="000000"/>
                <w:sz w:val="18"/>
                <w:szCs w:val="18"/>
                <w:lang w:val="es-PE" w:eastAsia="es-PE"/>
              </w:rPr>
              <w:t>Adherencia al tratamiento</w:t>
            </w:r>
          </w:p>
        </w:tc>
      </w:tr>
      <w:tr w:rsidR="00C46FEB" w:rsidRPr="00C46FEB" w14:paraId="215F04CF" w14:textId="77777777" w:rsidTr="00BF3365">
        <w:trPr>
          <w:trHeight w:val="289"/>
          <w:jc w:val="center"/>
        </w:trPr>
        <w:tc>
          <w:tcPr>
            <w:tcW w:w="1413" w:type="dxa"/>
            <w:vMerge w:val="restart"/>
            <w:vAlign w:val="center"/>
          </w:tcPr>
          <w:p w14:paraId="47A99D66"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b/>
                <w:color w:val="000000"/>
                <w:sz w:val="18"/>
                <w:szCs w:val="18"/>
                <w:lang w:val="es-PE" w:eastAsia="es-PE"/>
              </w:rPr>
              <w:t>Factores</w:t>
            </w:r>
          </w:p>
        </w:tc>
        <w:tc>
          <w:tcPr>
            <w:tcW w:w="1559" w:type="dxa"/>
            <w:vAlign w:val="center"/>
          </w:tcPr>
          <w:p w14:paraId="51083FC0"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b/>
                <w:color w:val="000000"/>
                <w:sz w:val="18"/>
                <w:szCs w:val="18"/>
                <w:lang w:val="es-PE" w:eastAsia="es-PE"/>
              </w:rPr>
              <w:t>Caso</w:t>
            </w:r>
          </w:p>
        </w:tc>
        <w:tc>
          <w:tcPr>
            <w:tcW w:w="1418" w:type="dxa"/>
            <w:vAlign w:val="center"/>
          </w:tcPr>
          <w:p w14:paraId="44827F98"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b/>
                <w:color w:val="000000"/>
                <w:sz w:val="18"/>
                <w:szCs w:val="18"/>
                <w:lang w:val="es-PE" w:eastAsia="es-PE"/>
              </w:rPr>
              <w:t>Control</w:t>
            </w:r>
          </w:p>
        </w:tc>
        <w:tc>
          <w:tcPr>
            <w:tcW w:w="909" w:type="dxa"/>
            <w:vMerge w:val="restart"/>
            <w:vAlign w:val="center"/>
          </w:tcPr>
          <w:p w14:paraId="5D65B1B3"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b/>
                <w:color w:val="000000"/>
                <w:sz w:val="18"/>
                <w:szCs w:val="18"/>
                <w:lang w:val="es-PE" w:eastAsia="es-PE"/>
              </w:rPr>
              <w:t>P</w:t>
            </w:r>
          </w:p>
        </w:tc>
      </w:tr>
      <w:tr w:rsidR="00C46FEB" w:rsidRPr="00C46FEB" w14:paraId="7EFE77F1" w14:textId="77777777" w:rsidTr="00BF3365">
        <w:trPr>
          <w:trHeight w:val="287"/>
          <w:jc w:val="center"/>
        </w:trPr>
        <w:tc>
          <w:tcPr>
            <w:tcW w:w="1413" w:type="dxa"/>
            <w:vMerge/>
            <w:vAlign w:val="center"/>
          </w:tcPr>
          <w:p w14:paraId="55483870" w14:textId="77777777" w:rsidR="00C46FEB" w:rsidRPr="00C46FEB" w:rsidRDefault="00C46FEB" w:rsidP="008C24DE">
            <w:pPr>
              <w:pBdr>
                <w:top w:val="nil"/>
                <w:left w:val="nil"/>
                <w:bottom w:val="nil"/>
                <w:right w:val="nil"/>
                <w:between w:val="nil"/>
              </w:pBdr>
              <w:spacing w:line="360" w:lineRule="auto"/>
              <w:rPr>
                <w:b/>
                <w:color w:val="000000"/>
                <w:sz w:val="18"/>
                <w:szCs w:val="18"/>
                <w:lang w:val="es-PE" w:eastAsia="es-PE"/>
              </w:rPr>
            </w:pPr>
          </w:p>
        </w:tc>
        <w:tc>
          <w:tcPr>
            <w:tcW w:w="1559" w:type="dxa"/>
            <w:vAlign w:val="center"/>
          </w:tcPr>
          <w:p w14:paraId="4EAA0637"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b/>
                <w:color w:val="000000"/>
                <w:sz w:val="18"/>
                <w:szCs w:val="18"/>
                <w:lang w:val="es-PE" w:eastAsia="es-PE"/>
              </w:rPr>
              <w:t>n (%)</w:t>
            </w:r>
          </w:p>
        </w:tc>
        <w:tc>
          <w:tcPr>
            <w:tcW w:w="1418" w:type="dxa"/>
            <w:vAlign w:val="center"/>
          </w:tcPr>
          <w:p w14:paraId="6BBD4A8A"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b/>
                <w:color w:val="000000"/>
                <w:sz w:val="18"/>
                <w:szCs w:val="18"/>
                <w:lang w:val="es-PE" w:eastAsia="es-PE"/>
              </w:rPr>
              <w:t>n (%)</w:t>
            </w:r>
          </w:p>
        </w:tc>
        <w:tc>
          <w:tcPr>
            <w:tcW w:w="909" w:type="dxa"/>
            <w:vMerge/>
            <w:vAlign w:val="center"/>
          </w:tcPr>
          <w:p w14:paraId="57E172D0" w14:textId="77777777" w:rsidR="00C46FEB" w:rsidRPr="00C46FEB" w:rsidRDefault="00C46FEB" w:rsidP="008C24DE">
            <w:pPr>
              <w:pBdr>
                <w:top w:val="nil"/>
                <w:left w:val="nil"/>
                <w:bottom w:val="nil"/>
                <w:right w:val="nil"/>
                <w:between w:val="nil"/>
              </w:pBdr>
              <w:spacing w:line="360" w:lineRule="auto"/>
              <w:jc w:val="center"/>
              <w:rPr>
                <w:rFonts w:eastAsia="Arial MT"/>
                <w:b/>
                <w:sz w:val="22"/>
                <w:szCs w:val="22"/>
                <w:lang w:val="es-PE" w:eastAsia="es-PE"/>
              </w:rPr>
            </w:pPr>
          </w:p>
        </w:tc>
      </w:tr>
      <w:tr w:rsidR="00C46FEB" w:rsidRPr="00C46FEB" w14:paraId="200D3748" w14:textId="77777777" w:rsidTr="00BF3365">
        <w:trPr>
          <w:trHeight w:val="276"/>
          <w:jc w:val="center"/>
        </w:trPr>
        <w:tc>
          <w:tcPr>
            <w:tcW w:w="5301" w:type="dxa"/>
            <w:gridSpan w:val="4"/>
            <w:vAlign w:val="center"/>
          </w:tcPr>
          <w:p w14:paraId="034C455A"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Depresión</w:t>
            </w:r>
          </w:p>
        </w:tc>
      </w:tr>
      <w:tr w:rsidR="00C46FEB" w:rsidRPr="00C46FEB" w14:paraId="5D2F4956" w14:textId="77777777" w:rsidTr="00BF3365">
        <w:trPr>
          <w:trHeight w:val="267"/>
          <w:jc w:val="center"/>
        </w:trPr>
        <w:tc>
          <w:tcPr>
            <w:tcW w:w="1413" w:type="dxa"/>
            <w:vAlign w:val="center"/>
          </w:tcPr>
          <w:p w14:paraId="360E97BB"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Sí</w:t>
            </w:r>
          </w:p>
        </w:tc>
        <w:tc>
          <w:tcPr>
            <w:tcW w:w="1559" w:type="dxa"/>
            <w:vAlign w:val="center"/>
          </w:tcPr>
          <w:p w14:paraId="68DFB1DB"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62 (44,9)</w:t>
            </w:r>
          </w:p>
        </w:tc>
        <w:tc>
          <w:tcPr>
            <w:tcW w:w="1418" w:type="dxa"/>
            <w:vAlign w:val="center"/>
          </w:tcPr>
          <w:p w14:paraId="68B6FEFD"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36 (26,1)</w:t>
            </w:r>
          </w:p>
        </w:tc>
        <w:tc>
          <w:tcPr>
            <w:tcW w:w="909" w:type="dxa"/>
            <w:vMerge w:val="restart"/>
            <w:vAlign w:val="center"/>
          </w:tcPr>
          <w:p w14:paraId="4F612758"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0,001</w:t>
            </w:r>
          </w:p>
        </w:tc>
      </w:tr>
      <w:tr w:rsidR="00C46FEB" w:rsidRPr="00C46FEB" w14:paraId="2C43E2E6" w14:textId="77777777" w:rsidTr="00BF3365">
        <w:trPr>
          <w:trHeight w:val="267"/>
          <w:jc w:val="center"/>
        </w:trPr>
        <w:tc>
          <w:tcPr>
            <w:tcW w:w="1413" w:type="dxa"/>
            <w:vAlign w:val="center"/>
          </w:tcPr>
          <w:p w14:paraId="7A1D576F"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No</w:t>
            </w:r>
          </w:p>
        </w:tc>
        <w:tc>
          <w:tcPr>
            <w:tcW w:w="1559" w:type="dxa"/>
            <w:vAlign w:val="center"/>
          </w:tcPr>
          <w:p w14:paraId="52B02C71"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76 (55,1)</w:t>
            </w:r>
          </w:p>
        </w:tc>
        <w:tc>
          <w:tcPr>
            <w:tcW w:w="1418" w:type="dxa"/>
            <w:vAlign w:val="center"/>
          </w:tcPr>
          <w:p w14:paraId="4BA5D347"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102 (73,9)</w:t>
            </w:r>
          </w:p>
        </w:tc>
        <w:tc>
          <w:tcPr>
            <w:tcW w:w="909" w:type="dxa"/>
            <w:vMerge/>
            <w:vAlign w:val="center"/>
          </w:tcPr>
          <w:p w14:paraId="33A717AC" w14:textId="77777777" w:rsidR="00C46FEB" w:rsidRPr="00C46FEB" w:rsidRDefault="00C46FEB" w:rsidP="008C24DE">
            <w:pPr>
              <w:pBdr>
                <w:top w:val="nil"/>
                <w:left w:val="nil"/>
                <w:bottom w:val="nil"/>
                <w:right w:val="nil"/>
                <w:between w:val="nil"/>
              </w:pBdr>
              <w:spacing w:line="360" w:lineRule="auto"/>
              <w:jc w:val="center"/>
              <w:rPr>
                <w:color w:val="000000"/>
                <w:sz w:val="18"/>
                <w:szCs w:val="18"/>
                <w:lang w:val="es-PE" w:eastAsia="es-PE"/>
              </w:rPr>
            </w:pPr>
          </w:p>
        </w:tc>
      </w:tr>
      <w:tr w:rsidR="00C46FEB" w:rsidRPr="00C46FEB" w14:paraId="7C034FAF" w14:textId="77777777" w:rsidTr="00BF3365">
        <w:trPr>
          <w:trHeight w:val="267"/>
          <w:jc w:val="center"/>
        </w:trPr>
        <w:tc>
          <w:tcPr>
            <w:tcW w:w="5301" w:type="dxa"/>
            <w:gridSpan w:val="4"/>
            <w:vAlign w:val="center"/>
          </w:tcPr>
          <w:p w14:paraId="43645AFC"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Orientación sexual</w:t>
            </w:r>
          </w:p>
        </w:tc>
      </w:tr>
      <w:tr w:rsidR="00C46FEB" w:rsidRPr="00C46FEB" w14:paraId="5B34D3C3" w14:textId="77777777" w:rsidTr="00BF3365">
        <w:trPr>
          <w:trHeight w:val="267"/>
          <w:jc w:val="center"/>
        </w:trPr>
        <w:tc>
          <w:tcPr>
            <w:tcW w:w="1413" w:type="dxa"/>
            <w:vAlign w:val="center"/>
          </w:tcPr>
          <w:p w14:paraId="2614DA1F"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Homosexual</w:t>
            </w:r>
          </w:p>
        </w:tc>
        <w:tc>
          <w:tcPr>
            <w:tcW w:w="1559" w:type="dxa"/>
            <w:vAlign w:val="center"/>
          </w:tcPr>
          <w:p w14:paraId="0900A052"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27 (19,6)</w:t>
            </w:r>
          </w:p>
        </w:tc>
        <w:tc>
          <w:tcPr>
            <w:tcW w:w="1418" w:type="dxa"/>
            <w:vAlign w:val="center"/>
          </w:tcPr>
          <w:p w14:paraId="78132115"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25 (18,1)</w:t>
            </w:r>
          </w:p>
        </w:tc>
        <w:tc>
          <w:tcPr>
            <w:tcW w:w="909" w:type="dxa"/>
            <w:vMerge w:val="restart"/>
            <w:vAlign w:val="center"/>
          </w:tcPr>
          <w:p w14:paraId="10E924C8"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0,758</w:t>
            </w:r>
          </w:p>
        </w:tc>
      </w:tr>
      <w:tr w:rsidR="00C46FEB" w:rsidRPr="00C46FEB" w14:paraId="5C0F45F8" w14:textId="77777777" w:rsidTr="00BF3365">
        <w:trPr>
          <w:trHeight w:val="267"/>
          <w:jc w:val="center"/>
        </w:trPr>
        <w:tc>
          <w:tcPr>
            <w:tcW w:w="1413" w:type="dxa"/>
            <w:vAlign w:val="center"/>
          </w:tcPr>
          <w:p w14:paraId="14ACC825"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Heterosexual</w:t>
            </w:r>
          </w:p>
        </w:tc>
        <w:tc>
          <w:tcPr>
            <w:tcW w:w="1559" w:type="dxa"/>
            <w:vAlign w:val="center"/>
          </w:tcPr>
          <w:p w14:paraId="4386E0EC"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111 (80,4)</w:t>
            </w:r>
          </w:p>
        </w:tc>
        <w:tc>
          <w:tcPr>
            <w:tcW w:w="1418" w:type="dxa"/>
            <w:vAlign w:val="center"/>
          </w:tcPr>
          <w:p w14:paraId="286FA164"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111 (81,9)</w:t>
            </w:r>
          </w:p>
        </w:tc>
        <w:tc>
          <w:tcPr>
            <w:tcW w:w="909" w:type="dxa"/>
            <w:vMerge/>
            <w:vAlign w:val="center"/>
          </w:tcPr>
          <w:p w14:paraId="5D8F4322" w14:textId="77777777" w:rsidR="00C46FEB" w:rsidRPr="00C46FEB" w:rsidRDefault="00C46FEB" w:rsidP="008C24DE">
            <w:pPr>
              <w:pBdr>
                <w:top w:val="nil"/>
                <w:left w:val="nil"/>
                <w:bottom w:val="nil"/>
                <w:right w:val="nil"/>
                <w:between w:val="nil"/>
              </w:pBdr>
              <w:spacing w:line="360" w:lineRule="auto"/>
              <w:jc w:val="center"/>
              <w:rPr>
                <w:color w:val="000000"/>
                <w:sz w:val="18"/>
                <w:szCs w:val="18"/>
                <w:lang w:val="es-PE" w:eastAsia="es-PE"/>
              </w:rPr>
            </w:pPr>
          </w:p>
        </w:tc>
      </w:tr>
      <w:tr w:rsidR="00C46FEB" w:rsidRPr="00C46FEB" w14:paraId="7199680C" w14:textId="77777777" w:rsidTr="00BF3365">
        <w:trPr>
          <w:trHeight w:val="267"/>
          <w:jc w:val="center"/>
        </w:trPr>
        <w:tc>
          <w:tcPr>
            <w:tcW w:w="5301" w:type="dxa"/>
            <w:gridSpan w:val="4"/>
            <w:vAlign w:val="center"/>
          </w:tcPr>
          <w:p w14:paraId="50FC1408"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Esquema de terapia antirretroviral</w:t>
            </w:r>
          </w:p>
        </w:tc>
      </w:tr>
      <w:tr w:rsidR="00C46FEB" w:rsidRPr="00C46FEB" w14:paraId="77F191EE" w14:textId="77777777" w:rsidTr="00BF3365">
        <w:trPr>
          <w:trHeight w:val="269"/>
          <w:jc w:val="center"/>
        </w:trPr>
        <w:tc>
          <w:tcPr>
            <w:tcW w:w="1413" w:type="dxa"/>
            <w:vAlign w:val="center"/>
          </w:tcPr>
          <w:p w14:paraId="253978D7"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Alternativo</w:t>
            </w:r>
          </w:p>
        </w:tc>
        <w:tc>
          <w:tcPr>
            <w:tcW w:w="1559" w:type="dxa"/>
            <w:vAlign w:val="center"/>
          </w:tcPr>
          <w:p w14:paraId="28DD99E9"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43 (31,2)</w:t>
            </w:r>
          </w:p>
        </w:tc>
        <w:tc>
          <w:tcPr>
            <w:tcW w:w="1418" w:type="dxa"/>
            <w:vAlign w:val="center"/>
          </w:tcPr>
          <w:p w14:paraId="58665643"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21 (15,2)</w:t>
            </w:r>
          </w:p>
        </w:tc>
        <w:tc>
          <w:tcPr>
            <w:tcW w:w="909" w:type="dxa"/>
            <w:vMerge w:val="restart"/>
            <w:vAlign w:val="center"/>
          </w:tcPr>
          <w:p w14:paraId="69082147"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0,002</w:t>
            </w:r>
          </w:p>
        </w:tc>
      </w:tr>
      <w:tr w:rsidR="00C46FEB" w:rsidRPr="00C46FEB" w14:paraId="319D0D17" w14:textId="77777777" w:rsidTr="00BF3365">
        <w:trPr>
          <w:trHeight w:val="269"/>
          <w:jc w:val="center"/>
        </w:trPr>
        <w:tc>
          <w:tcPr>
            <w:tcW w:w="1413" w:type="dxa"/>
            <w:vAlign w:val="center"/>
          </w:tcPr>
          <w:p w14:paraId="0978624F"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Principal</w:t>
            </w:r>
          </w:p>
        </w:tc>
        <w:tc>
          <w:tcPr>
            <w:tcW w:w="1559" w:type="dxa"/>
            <w:vAlign w:val="center"/>
          </w:tcPr>
          <w:p w14:paraId="6A601423"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95 (68,8)</w:t>
            </w:r>
          </w:p>
        </w:tc>
        <w:tc>
          <w:tcPr>
            <w:tcW w:w="1418" w:type="dxa"/>
            <w:vAlign w:val="center"/>
          </w:tcPr>
          <w:p w14:paraId="02F17FB3"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116 (84,1)</w:t>
            </w:r>
          </w:p>
        </w:tc>
        <w:tc>
          <w:tcPr>
            <w:tcW w:w="909" w:type="dxa"/>
            <w:vMerge/>
            <w:vAlign w:val="center"/>
          </w:tcPr>
          <w:p w14:paraId="05BCA89C" w14:textId="77777777" w:rsidR="00C46FEB" w:rsidRPr="00C46FEB" w:rsidRDefault="00C46FEB" w:rsidP="008C24DE">
            <w:pPr>
              <w:pBdr>
                <w:top w:val="nil"/>
                <w:left w:val="nil"/>
                <w:bottom w:val="nil"/>
                <w:right w:val="nil"/>
                <w:between w:val="nil"/>
              </w:pBdr>
              <w:spacing w:line="360" w:lineRule="auto"/>
              <w:jc w:val="center"/>
              <w:rPr>
                <w:color w:val="000000"/>
                <w:sz w:val="18"/>
                <w:szCs w:val="18"/>
                <w:lang w:val="es-PE" w:eastAsia="es-PE"/>
              </w:rPr>
            </w:pPr>
          </w:p>
        </w:tc>
      </w:tr>
      <w:tr w:rsidR="00C46FEB" w:rsidRPr="00C46FEB" w14:paraId="747AAD02" w14:textId="77777777" w:rsidTr="00BF3365">
        <w:trPr>
          <w:trHeight w:val="266"/>
          <w:jc w:val="center"/>
        </w:trPr>
        <w:tc>
          <w:tcPr>
            <w:tcW w:w="5301" w:type="dxa"/>
            <w:gridSpan w:val="4"/>
            <w:vAlign w:val="center"/>
          </w:tcPr>
          <w:p w14:paraId="710C0076"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Efectos secundarios</w:t>
            </w:r>
          </w:p>
        </w:tc>
      </w:tr>
      <w:tr w:rsidR="00C46FEB" w:rsidRPr="00C46FEB" w14:paraId="1B5DCCA2" w14:textId="77777777" w:rsidTr="00BF3365">
        <w:trPr>
          <w:trHeight w:val="284"/>
          <w:jc w:val="center"/>
        </w:trPr>
        <w:tc>
          <w:tcPr>
            <w:tcW w:w="1413" w:type="dxa"/>
            <w:vAlign w:val="center"/>
          </w:tcPr>
          <w:p w14:paraId="214C0ACF"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Sí</w:t>
            </w:r>
          </w:p>
        </w:tc>
        <w:tc>
          <w:tcPr>
            <w:tcW w:w="1559" w:type="dxa"/>
            <w:vAlign w:val="center"/>
          </w:tcPr>
          <w:p w14:paraId="7D475C05"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24 (17,4)</w:t>
            </w:r>
          </w:p>
        </w:tc>
        <w:tc>
          <w:tcPr>
            <w:tcW w:w="1418" w:type="dxa"/>
            <w:vAlign w:val="center"/>
          </w:tcPr>
          <w:p w14:paraId="35A22E31"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7 (5,1)</w:t>
            </w:r>
          </w:p>
        </w:tc>
        <w:tc>
          <w:tcPr>
            <w:tcW w:w="909" w:type="dxa"/>
            <w:vMerge w:val="restart"/>
            <w:vAlign w:val="center"/>
          </w:tcPr>
          <w:p w14:paraId="29D2E9BD"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0,001</w:t>
            </w:r>
          </w:p>
        </w:tc>
      </w:tr>
      <w:tr w:rsidR="00C46FEB" w:rsidRPr="00C46FEB" w14:paraId="1C19EB97" w14:textId="77777777" w:rsidTr="00BF3365">
        <w:trPr>
          <w:trHeight w:val="288"/>
          <w:jc w:val="center"/>
        </w:trPr>
        <w:tc>
          <w:tcPr>
            <w:tcW w:w="1413" w:type="dxa"/>
            <w:vAlign w:val="center"/>
          </w:tcPr>
          <w:p w14:paraId="78801593" w14:textId="77777777" w:rsidR="00C46FEB" w:rsidRPr="00C46FEB" w:rsidRDefault="00C46FEB" w:rsidP="008C24DE">
            <w:pPr>
              <w:pBdr>
                <w:top w:val="nil"/>
                <w:left w:val="nil"/>
                <w:bottom w:val="nil"/>
                <w:right w:val="nil"/>
                <w:between w:val="nil"/>
              </w:pBdr>
              <w:spacing w:line="360" w:lineRule="auto"/>
              <w:ind w:left="76"/>
              <w:rPr>
                <w:color w:val="000000"/>
                <w:sz w:val="18"/>
                <w:szCs w:val="18"/>
                <w:lang w:val="es-PE" w:eastAsia="es-PE"/>
              </w:rPr>
            </w:pPr>
            <w:r w:rsidRPr="00C46FEB">
              <w:rPr>
                <w:color w:val="000000"/>
                <w:sz w:val="18"/>
                <w:szCs w:val="18"/>
                <w:lang w:val="es-PE" w:eastAsia="es-PE"/>
              </w:rPr>
              <w:t>No</w:t>
            </w:r>
          </w:p>
        </w:tc>
        <w:tc>
          <w:tcPr>
            <w:tcW w:w="1559" w:type="dxa"/>
            <w:vAlign w:val="center"/>
          </w:tcPr>
          <w:p w14:paraId="64C8A77B"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114 (82,6)</w:t>
            </w:r>
          </w:p>
        </w:tc>
        <w:tc>
          <w:tcPr>
            <w:tcW w:w="1418" w:type="dxa"/>
            <w:vAlign w:val="center"/>
          </w:tcPr>
          <w:p w14:paraId="00CDF5ED"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131 (94,9)</w:t>
            </w:r>
          </w:p>
        </w:tc>
        <w:tc>
          <w:tcPr>
            <w:tcW w:w="909" w:type="dxa"/>
            <w:vMerge/>
            <w:vAlign w:val="center"/>
          </w:tcPr>
          <w:p w14:paraId="78602936" w14:textId="77777777" w:rsidR="00C46FEB" w:rsidRPr="00C46FEB" w:rsidRDefault="00C46FEB" w:rsidP="008C24DE">
            <w:pPr>
              <w:pBdr>
                <w:top w:val="nil"/>
                <w:left w:val="nil"/>
                <w:bottom w:val="nil"/>
                <w:right w:val="nil"/>
                <w:between w:val="nil"/>
              </w:pBdr>
              <w:spacing w:line="360" w:lineRule="auto"/>
              <w:jc w:val="center"/>
              <w:rPr>
                <w:color w:val="000000"/>
                <w:sz w:val="18"/>
                <w:szCs w:val="18"/>
                <w:lang w:val="es-PE" w:eastAsia="es-PE"/>
              </w:rPr>
            </w:pPr>
          </w:p>
        </w:tc>
      </w:tr>
      <w:tr w:rsidR="00C46FEB" w:rsidRPr="00C46FEB" w14:paraId="3F0B80DC" w14:textId="77777777" w:rsidTr="00BF3365">
        <w:trPr>
          <w:trHeight w:val="71"/>
          <w:jc w:val="center"/>
        </w:trPr>
        <w:tc>
          <w:tcPr>
            <w:tcW w:w="5301" w:type="dxa"/>
            <w:gridSpan w:val="4"/>
            <w:vAlign w:val="center"/>
          </w:tcPr>
          <w:p w14:paraId="296FBF52"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Estado de emergencia sanitaria</w:t>
            </w:r>
          </w:p>
        </w:tc>
      </w:tr>
      <w:tr w:rsidR="00C46FEB" w:rsidRPr="00C46FEB" w14:paraId="4D91B442" w14:textId="77777777" w:rsidTr="00BF3365">
        <w:trPr>
          <w:trHeight w:val="252"/>
          <w:jc w:val="center"/>
        </w:trPr>
        <w:tc>
          <w:tcPr>
            <w:tcW w:w="1413" w:type="dxa"/>
            <w:vAlign w:val="center"/>
          </w:tcPr>
          <w:p w14:paraId="375B4A1E" w14:textId="77777777" w:rsidR="00C46FEB" w:rsidRPr="00C46FEB" w:rsidRDefault="00C46FEB" w:rsidP="008C24DE">
            <w:pPr>
              <w:pBdr>
                <w:top w:val="nil"/>
                <w:left w:val="nil"/>
                <w:bottom w:val="nil"/>
                <w:right w:val="nil"/>
                <w:between w:val="nil"/>
              </w:pBdr>
              <w:spacing w:line="360" w:lineRule="auto"/>
              <w:ind w:left="76"/>
              <w:jc w:val="both"/>
              <w:rPr>
                <w:color w:val="000000"/>
                <w:sz w:val="18"/>
                <w:szCs w:val="18"/>
                <w:lang w:val="es-PE" w:eastAsia="es-PE"/>
              </w:rPr>
            </w:pPr>
            <w:r w:rsidRPr="00C46FEB">
              <w:rPr>
                <w:color w:val="000000"/>
                <w:sz w:val="18"/>
                <w:szCs w:val="18"/>
                <w:lang w:val="es-PE" w:eastAsia="es-PE"/>
              </w:rPr>
              <w:t>SÍ</w:t>
            </w:r>
          </w:p>
        </w:tc>
        <w:tc>
          <w:tcPr>
            <w:tcW w:w="1559" w:type="dxa"/>
            <w:vAlign w:val="center"/>
          </w:tcPr>
          <w:p w14:paraId="443744B4"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61 (44,2)</w:t>
            </w:r>
          </w:p>
        </w:tc>
        <w:tc>
          <w:tcPr>
            <w:tcW w:w="1418" w:type="dxa"/>
            <w:vAlign w:val="center"/>
          </w:tcPr>
          <w:p w14:paraId="17538522"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16 (11,6)</w:t>
            </w:r>
          </w:p>
        </w:tc>
        <w:tc>
          <w:tcPr>
            <w:tcW w:w="909" w:type="dxa"/>
            <w:vMerge w:val="restart"/>
            <w:vAlign w:val="center"/>
          </w:tcPr>
          <w:p w14:paraId="7A2737B9"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0,000</w:t>
            </w:r>
          </w:p>
        </w:tc>
      </w:tr>
      <w:tr w:rsidR="00C46FEB" w:rsidRPr="00C46FEB" w14:paraId="6BEF67C4" w14:textId="77777777" w:rsidTr="00BF3365">
        <w:trPr>
          <w:trHeight w:val="211"/>
          <w:jc w:val="center"/>
        </w:trPr>
        <w:tc>
          <w:tcPr>
            <w:tcW w:w="1413" w:type="dxa"/>
            <w:vAlign w:val="center"/>
          </w:tcPr>
          <w:p w14:paraId="69BD3226" w14:textId="781712F5" w:rsidR="00C46FEB" w:rsidRPr="00C46FEB" w:rsidRDefault="00C46FEB" w:rsidP="008C24DE">
            <w:pPr>
              <w:pBdr>
                <w:top w:val="nil"/>
                <w:left w:val="nil"/>
                <w:bottom w:val="nil"/>
                <w:right w:val="nil"/>
                <w:between w:val="nil"/>
              </w:pBdr>
              <w:spacing w:line="360" w:lineRule="auto"/>
              <w:ind w:left="76"/>
              <w:jc w:val="both"/>
              <w:rPr>
                <w:color w:val="000000"/>
                <w:sz w:val="18"/>
                <w:szCs w:val="18"/>
                <w:lang w:val="es-PE" w:eastAsia="es-PE"/>
              </w:rPr>
            </w:pPr>
            <w:r w:rsidRPr="00C46FEB">
              <w:rPr>
                <w:color w:val="000000"/>
                <w:sz w:val="18"/>
                <w:szCs w:val="18"/>
                <w:lang w:val="es-PE" w:eastAsia="es-PE"/>
              </w:rPr>
              <w:t>N</w:t>
            </w:r>
            <w:r w:rsidR="008C24DE">
              <w:rPr>
                <w:color w:val="000000"/>
                <w:sz w:val="18"/>
                <w:szCs w:val="18"/>
                <w:lang w:val="es-PE" w:eastAsia="es-PE"/>
              </w:rPr>
              <w:t>o</w:t>
            </w:r>
          </w:p>
        </w:tc>
        <w:tc>
          <w:tcPr>
            <w:tcW w:w="1559" w:type="dxa"/>
            <w:vAlign w:val="center"/>
          </w:tcPr>
          <w:p w14:paraId="1A39C468" w14:textId="77777777" w:rsidR="00C46FEB" w:rsidRPr="00C46FEB" w:rsidRDefault="00C46FEB" w:rsidP="008C24DE">
            <w:pPr>
              <w:pBdr>
                <w:top w:val="nil"/>
                <w:left w:val="nil"/>
                <w:bottom w:val="nil"/>
                <w:right w:val="nil"/>
                <w:between w:val="nil"/>
              </w:pBdr>
              <w:spacing w:line="360" w:lineRule="auto"/>
              <w:ind w:left="6" w:right="11"/>
              <w:jc w:val="center"/>
              <w:rPr>
                <w:rFonts w:eastAsia="Arial MT"/>
                <w:sz w:val="22"/>
                <w:szCs w:val="22"/>
                <w:lang w:val="es-PE" w:eastAsia="es-PE"/>
              </w:rPr>
            </w:pPr>
            <w:r w:rsidRPr="00C46FEB">
              <w:rPr>
                <w:color w:val="000000"/>
                <w:sz w:val="18"/>
                <w:szCs w:val="18"/>
                <w:lang w:val="es-PE" w:eastAsia="es-PE"/>
              </w:rPr>
              <w:t>77 (55,8)</w:t>
            </w:r>
          </w:p>
        </w:tc>
        <w:tc>
          <w:tcPr>
            <w:tcW w:w="1418" w:type="dxa"/>
            <w:vAlign w:val="center"/>
          </w:tcPr>
          <w:p w14:paraId="35309323" w14:textId="77777777" w:rsidR="00C46FEB" w:rsidRPr="00C46FEB" w:rsidRDefault="00C46FEB" w:rsidP="008C24DE">
            <w:pPr>
              <w:pBdr>
                <w:top w:val="nil"/>
                <w:left w:val="nil"/>
                <w:bottom w:val="nil"/>
                <w:right w:val="nil"/>
                <w:between w:val="nil"/>
              </w:pBdr>
              <w:spacing w:line="360" w:lineRule="auto"/>
              <w:jc w:val="center"/>
              <w:rPr>
                <w:rFonts w:eastAsia="Arial MT"/>
                <w:sz w:val="22"/>
                <w:szCs w:val="22"/>
                <w:lang w:val="es-PE" w:eastAsia="es-PE"/>
              </w:rPr>
            </w:pPr>
            <w:r w:rsidRPr="00C46FEB">
              <w:rPr>
                <w:color w:val="000000"/>
                <w:sz w:val="18"/>
                <w:szCs w:val="18"/>
                <w:lang w:val="es-PE" w:eastAsia="es-PE"/>
              </w:rPr>
              <w:t>122 (88,4)</w:t>
            </w:r>
          </w:p>
        </w:tc>
        <w:tc>
          <w:tcPr>
            <w:tcW w:w="909" w:type="dxa"/>
            <w:vMerge/>
            <w:vAlign w:val="center"/>
          </w:tcPr>
          <w:p w14:paraId="238978E3" w14:textId="77777777" w:rsidR="00C46FEB" w:rsidRPr="00C46FEB" w:rsidRDefault="00C46FEB" w:rsidP="008C24DE">
            <w:pPr>
              <w:pBdr>
                <w:top w:val="nil"/>
                <w:left w:val="nil"/>
                <w:bottom w:val="nil"/>
                <w:right w:val="nil"/>
                <w:between w:val="nil"/>
              </w:pBdr>
              <w:spacing w:line="360" w:lineRule="auto"/>
              <w:rPr>
                <w:color w:val="000000"/>
                <w:sz w:val="18"/>
                <w:szCs w:val="18"/>
                <w:lang w:val="es-PE" w:eastAsia="es-PE"/>
              </w:rPr>
            </w:pPr>
          </w:p>
        </w:tc>
      </w:tr>
    </w:tbl>
    <w:p w14:paraId="5A6CB919" w14:textId="77777777" w:rsidR="00C46FEB" w:rsidRPr="00C46FEB" w:rsidRDefault="00C46FEB" w:rsidP="00C46FEB">
      <w:pPr>
        <w:spacing w:line="360" w:lineRule="auto"/>
        <w:jc w:val="both"/>
        <w:rPr>
          <w:sz w:val="18"/>
          <w:szCs w:val="18"/>
          <w:lang w:val="es-PE" w:eastAsia="es-PE"/>
        </w:rPr>
      </w:pPr>
    </w:p>
    <w:p w14:paraId="524A10CB" w14:textId="00F7F0A7" w:rsidR="00C46FEB" w:rsidRDefault="00C46FEB" w:rsidP="00C46FEB">
      <w:pPr>
        <w:spacing w:line="360" w:lineRule="auto"/>
        <w:jc w:val="both"/>
        <w:rPr>
          <w:lang w:val="es-PE" w:eastAsia="es-PE"/>
        </w:rPr>
      </w:pPr>
      <w:r w:rsidRPr="00C46FEB">
        <w:rPr>
          <w:lang w:val="es-PE" w:eastAsia="es-PE"/>
        </w:rPr>
        <w:t xml:space="preserve">En el análisis multivariado se demostró una asociación estadísticamente significativa entre la variable adherencia al </w:t>
      </w:r>
      <w:proofErr w:type="spellStart"/>
      <w:r w:rsidRPr="00C46FEB">
        <w:rPr>
          <w:lang w:val="es-PE" w:eastAsia="es-PE"/>
        </w:rPr>
        <w:t>TAR</w:t>
      </w:r>
      <w:proofErr w:type="spellEnd"/>
      <w:r w:rsidRPr="00C46FEB">
        <w:rPr>
          <w:lang w:val="es-PE" w:eastAsia="es-PE"/>
        </w:rPr>
        <w:t xml:space="preserve"> y las variables depresión (</w:t>
      </w:r>
      <w:proofErr w:type="spellStart"/>
      <w:r w:rsidRPr="00C46FEB">
        <w:rPr>
          <w:lang w:val="es-PE" w:eastAsia="es-PE"/>
        </w:rPr>
        <w:t>ORa</w:t>
      </w:r>
      <w:proofErr w:type="spellEnd"/>
      <w:r w:rsidRPr="00C46FEB">
        <w:rPr>
          <w:lang w:val="es-PE" w:eastAsia="es-PE"/>
        </w:rPr>
        <w:t xml:space="preserve">= 2,15; IC 95 %: 1,22 – 3,78; p= 0,008), esquema </w:t>
      </w:r>
      <w:proofErr w:type="spellStart"/>
      <w:r w:rsidRPr="00C46FEB">
        <w:rPr>
          <w:lang w:val="es-PE" w:eastAsia="es-PE"/>
        </w:rPr>
        <w:t>TAR</w:t>
      </w:r>
      <w:proofErr w:type="spellEnd"/>
      <w:r w:rsidRPr="00C46FEB">
        <w:rPr>
          <w:lang w:val="es-PE" w:eastAsia="es-PE"/>
        </w:rPr>
        <w:t xml:space="preserve"> alternativo (</w:t>
      </w:r>
      <w:proofErr w:type="spellStart"/>
      <w:r w:rsidRPr="00C46FEB">
        <w:rPr>
          <w:lang w:val="es-PE" w:eastAsia="es-PE"/>
        </w:rPr>
        <w:t>ORa</w:t>
      </w:r>
      <w:proofErr w:type="spellEnd"/>
      <w:r w:rsidRPr="00C46FEB">
        <w:rPr>
          <w:lang w:val="es-PE" w:eastAsia="es-PE"/>
        </w:rPr>
        <w:t>= 2,40; IC 95 % de 1,25 – 4,61; p= 0,008), efectos secundarios (</w:t>
      </w:r>
      <w:proofErr w:type="spellStart"/>
      <w:r w:rsidRPr="00C46FEB">
        <w:rPr>
          <w:lang w:val="es-PE" w:eastAsia="es-PE"/>
        </w:rPr>
        <w:t>ORa</w:t>
      </w:r>
      <w:proofErr w:type="spellEnd"/>
      <w:r w:rsidRPr="00C46FEB">
        <w:rPr>
          <w:lang w:val="es-PE" w:eastAsia="es-PE"/>
        </w:rPr>
        <w:t>= 4,24; IC 95 %: 1,66 – 10,83; p= 0,002) y cambio en la adherencia durante el estado de emergencia (</w:t>
      </w:r>
      <w:proofErr w:type="spellStart"/>
      <w:r w:rsidRPr="00C46FEB">
        <w:rPr>
          <w:lang w:val="es-PE" w:eastAsia="es-PE"/>
        </w:rPr>
        <w:t>ORa</w:t>
      </w:r>
      <w:proofErr w:type="spellEnd"/>
      <w:r w:rsidRPr="00C46FEB">
        <w:rPr>
          <w:lang w:val="es-PE" w:eastAsia="es-PE"/>
        </w:rPr>
        <w:t>= 5,67; IC 95</w:t>
      </w:r>
      <w:r w:rsidR="006225CD">
        <w:rPr>
          <w:lang w:val="es-PE" w:eastAsia="es-PE"/>
        </w:rPr>
        <w:t> </w:t>
      </w:r>
      <w:r w:rsidRPr="00C46FEB">
        <w:rPr>
          <w:lang w:val="es-PE" w:eastAsia="es-PE"/>
        </w:rPr>
        <w:t>%: 2,98 -10,81; p= 0,000), independientemente de las otras variables intervinientes (tabla 3).</w:t>
      </w:r>
    </w:p>
    <w:p w14:paraId="6670FD0C" w14:textId="77777777" w:rsidR="006225CD" w:rsidRPr="00C46FEB" w:rsidRDefault="006225CD" w:rsidP="00C46FEB">
      <w:pPr>
        <w:spacing w:line="360" w:lineRule="auto"/>
        <w:jc w:val="both"/>
        <w:rPr>
          <w:lang w:val="es-PE" w:eastAsia="es-PE"/>
        </w:rPr>
      </w:pPr>
    </w:p>
    <w:p w14:paraId="3A5EF41F" w14:textId="77777777" w:rsidR="006225CD" w:rsidRDefault="006225CD">
      <w:pPr>
        <w:rPr>
          <w:b/>
          <w:sz w:val="22"/>
          <w:szCs w:val="22"/>
          <w:lang w:val="es-PE" w:eastAsia="es-PE"/>
        </w:rPr>
      </w:pPr>
      <w:r>
        <w:rPr>
          <w:b/>
          <w:sz w:val="22"/>
          <w:szCs w:val="22"/>
          <w:lang w:val="es-PE" w:eastAsia="es-PE"/>
        </w:rPr>
        <w:br w:type="page"/>
      </w:r>
    </w:p>
    <w:p w14:paraId="7E730F5D" w14:textId="17A89B6A" w:rsidR="00C46FEB" w:rsidRPr="00C46FEB" w:rsidRDefault="00C46FEB" w:rsidP="00C46FEB">
      <w:pPr>
        <w:spacing w:line="360" w:lineRule="auto"/>
        <w:jc w:val="center"/>
        <w:rPr>
          <w:sz w:val="22"/>
          <w:szCs w:val="22"/>
          <w:lang w:val="es-PE" w:eastAsia="es-PE"/>
        </w:rPr>
      </w:pPr>
      <w:r w:rsidRPr="00C46FEB">
        <w:rPr>
          <w:b/>
          <w:sz w:val="22"/>
          <w:szCs w:val="22"/>
          <w:lang w:val="es-PE" w:eastAsia="es-PE"/>
        </w:rPr>
        <w:lastRenderedPageBreak/>
        <w:t xml:space="preserve">Tabla 3 - </w:t>
      </w:r>
      <w:r w:rsidRPr="00C46FEB">
        <w:rPr>
          <w:sz w:val="22"/>
          <w:szCs w:val="22"/>
          <w:lang w:val="es-PE" w:eastAsia="es-PE"/>
        </w:rPr>
        <w:t>Análisis multivariado de factores de riesgo asociado a la mala adherencia a la terapia antirretroviral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905"/>
        <w:gridCol w:w="2070"/>
        <w:gridCol w:w="695"/>
        <w:gridCol w:w="1116"/>
        <w:gridCol w:w="1040"/>
        <w:gridCol w:w="834"/>
      </w:tblGrid>
      <w:tr w:rsidR="00C46FEB" w:rsidRPr="00C46FEB" w14:paraId="4050E0CA" w14:textId="77777777" w:rsidTr="00AF6060">
        <w:trPr>
          <w:jc w:val="center"/>
        </w:trPr>
        <w:tc>
          <w:tcPr>
            <w:tcW w:w="1415" w:type="dxa"/>
            <w:vAlign w:val="center"/>
          </w:tcPr>
          <w:p w14:paraId="1F2157E7" w14:textId="77777777" w:rsidR="00C46FEB" w:rsidRPr="00C46FEB" w:rsidRDefault="00C46FEB" w:rsidP="00AF6060">
            <w:pPr>
              <w:spacing w:line="360" w:lineRule="auto"/>
              <w:jc w:val="center"/>
              <w:rPr>
                <w:rFonts w:eastAsia="Calibri"/>
                <w:sz w:val="22"/>
                <w:szCs w:val="22"/>
                <w:lang w:val="es-PE" w:eastAsia="es-PE"/>
              </w:rPr>
            </w:pPr>
            <w:r w:rsidRPr="00C46FEB">
              <w:rPr>
                <w:b/>
                <w:color w:val="000000"/>
                <w:sz w:val="18"/>
                <w:szCs w:val="18"/>
                <w:lang w:val="es-PE" w:eastAsia="es-PE"/>
              </w:rPr>
              <w:t>Factores clínicos</w:t>
            </w:r>
          </w:p>
        </w:tc>
        <w:tc>
          <w:tcPr>
            <w:tcW w:w="905" w:type="dxa"/>
            <w:vAlign w:val="center"/>
          </w:tcPr>
          <w:p w14:paraId="5D35E8CC" w14:textId="77777777" w:rsidR="00C46FEB" w:rsidRPr="00C46FEB" w:rsidRDefault="00C46FEB" w:rsidP="00AF6060">
            <w:pPr>
              <w:spacing w:line="360" w:lineRule="auto"/>
              <w:jc w:val="center"/>
              <w:rPr>
                <w:b/>
                <w:color w:val="000000"/>
                <w:sz w:val="18"/>
                <w:szCs w:val="18"/>
                <w:lang w:val="es-PE" w:eastAsia="es-PE"/>
              </w:rPr>
            </w:pPr>
            <w:proofErr w:type="spellStart"/>
            <w:r w:rsidRPr="00C46FEB">
              <w:rPr>
                <w:b/>
                <w:color w:val="000000"/>
                <w:sz w:val="18"/>
                <w:szCs w:val="18"/>
                <w:lang w:val="es-PE" w:eastAsia="es-PE"/>
              </w:rPr>
              <w:t>OR</w:t>
            </w:r>
            <w:proofErr w:type="spellEnd"/>
            <w:r w:rsidRPr="00C46FEB">
              <w:rPr>
                <w:b/>
                <w:color w:val="000000"/>
                <w:sz w:val="18"/>
                <w:szCs w:val="18"/>
                <w:lang w:val="es-PE" w:eastAsia="es-PE"/>
              </w:rPr>
              <w:t xml:space="preserve"> crudo</w:t>
            </w:r>
          </w:p>
        </w:tc>
        <w:tc>
          <w:tcPr>
            <w:tcW w:w="2070" w:type="dxa"/>
            <w:vAlign w:val="center"/>
          </w:tcPr>
          <w:p w14:paraId="7830B691" w14:textId="77777777" w:rsidR="00C46FEB" w:rsidRPr="00C46FEB" w:rsidRDefault="00C46FEB" w:rsidP="00AF6060">
            <w:pPr>
              <w:spacing w:line="360" w:lineRule="auto"/>
              <w:jc w:val="center"/>
              <w:rPr>
                <w:b/>
                <w:color w:val="000000"/>
                <w:sz w:val="18"/>
                <w:szCs w:val="18"/>
                <w:lang w:val="es-PE" w:eastAsia="es-PE"/>
              </w:rPr>
            </w:pPr>
            <w:r w:rsidRPr="00C46FEB">
              <w:rPr>
                <w:b/>
                <w:color w:val="000000"/>
                <w:sz w:val="18"/>
                <w:szCs w:val="18"/>
                <w:lang w:val="es-PE" w:eastAsia="es-PE"/>
              </w:rPr>
              <w:t>IC 95 %</w:t>
            </w:r>
          </w:p>
        </w:tc>
        <w:tc>
          <w:tcPr>
            <w:tcW w:w="695" w:type="dxa"/>
            <w:vAlign w:val="center"/>
          </w:tcPr>
          <w:p w14:paraId="7FD8DE6B" w14:textId="77777777" w:rsidR="00C46FEB" w:rsidRPr="00C46FEB" w:rsidRDefault="00C46FEB" w:rsidP="00AF6060">
            <w:pPr>
              <w:spacing w:line="360" w:lineRule="auto"/>
              <w:jc w:val="center"/>
              <w:rPr>
                <w:b/>
                <w:color w:val="000000"/>
                <w:sz w:val="18"/>
                <w:szCs w:val="18"/>
                <w:lang w:val="es-PE" w:eastAsia="es-PE"/>
              </w:rPr>
            </w:pPr>
            <w:r w:rsidRPr="00C46FEB">
              <w:rPr>
                <w:b/>
                <w:color w:val="000000"/>
                <w:sz w:val="18"/>
                <w:szCs w:val="18"/>
                <w:lang w:val="es-PE" w:eastAsia="es-PE"/>
              </w:rPr>
              <w:t>P valor</w:t>
            </w:r>
          </w:p>
        </w:tc>
        <w:tc>
          <w:tcPr>
            <w:tcW w:w="1116" w:type="dxa"/>
            <w:vAlign w:val="center"/>
          </w:tcPr>
          <w:p w14:paraId="3DD9B7EA" w14:textId="77777777" w:rsidR="00C46FEB" w:rsidRPr="00C46FEB" w:rsidRDefault="00C46FEB" w:rsidP="00AF6060">
            <w:pPr>
              <w:spacing w:line="360" w:lineRule="auto"/>
              <w:jc w:val="center"/>
              <w:rPr>
                <w:b/>
                <w:color w:val="000000"/>
                <w:sz w:val="18"/>
                <w:szCs w:val="18"/>
                <w:lang w:val="es-PE" w:eastAsia="es-PE"/>
              </w:rPr>
            </w:pPr>
            <w:proofErr w:type="spellStart"/>
            <w:r w:rsidRPr="00C46FEB">
              <w:rPr>
                <w:b/>
                <w:color w:val="000000"/>
                <w:sz w:val="18"/>
                <w:szCs w:val="18"/>
                <w:lang w:val="es-PE" w:eastAsia="es-PE"/>
              </w:rPr>
              <w:t>OR</w:t>
            </w:r>
            <w:proofErr w:type="spellEnd"/>
            <w:r w:rsidRPr="00C46FEB">
              <w:rPr>
                <w:b/>
                <w:color w:val="000000"/>
                <w:sz w:val="18"/>
                <w:szCs w:val="18"/>
                <w:lang w:val="es-PE" w:eastAsia="es-PE"/>
              </w:rPr>
              <w:t xml:space="preserve"> ajustado</w:t>
            </w:r>
          </w:p>
        </w:tc>
        <w:tc>
          <w:tcPr>
            <w:tcW w:w="1040" w:type="dxa"/>
            <w:vAlign w:val="center"/>
          </w:tcPr>
          <w:p w14:paraId="64716E63" w14:textId="77777777" w:rsidR="00C46FEB" w:rsidRPr="00C46FEB" w:rsidRDefault="00C46FEB" w:rsidP="00AF6060">
            <w:pPr>
              <w:spacing w:line="360" w:lineRule="auto"/>
              <w:jc w:val="center"/>
              <w:rPr>
                <w:b/>
                <w:color w:val="000000"/>
                <w:sz w:val="18"/>
                <w:szCs w:val="18"/>
                <w:lang w:val="es-PE" w:eastAsia="es-PE"/>
              </w:rPr>
            </w:pPr>
            <w:r w:rsidRPr="00C46FEB">
              <w:rPr>
                <w:b/>
                <w:color w:val="000000"/>
                <w:sz w:val="18"/>
                <w:szCs w:val="18"/>
                <w:lang w:val="es-PE" w:eastAsia="es-PE"/>
              </w:rPr>
              <w:t>IC 95 %</w:t>
            </w:r>
          </w:p>
        </w:tc>
        <w:tc>
          <w:tcPr>
            <w:tcW w:w="834" w:type="dxa"/>
            <w:vAlign w:val="center"/>
          </w:tcPr>
          <w:p w14:paraId="6EA4B8C2" w14:textId="77777777" w:rsidR="00C46FEB" w:rsidRPr="00C46FEB" w:rsidRDefault="00C46FEB" w:rsidP="00AF6060">
            <w:pPr>
              <w:spacing w:line="360" w:lineRule="auto"/>
              <w:jc w:val="center"/>
              <w:rPr>
                <w:b/>
                <w:color w:val="000000"/>
                <w:sz w:val="18"/>
                <w:szCs w:val="18"/>
                <w:lang w:val="es-PE" w:eastAsia="es-PE"/>
              </w:rPr>
            </w:pPr>
            <w:r w:rsidRPr="00C46FEB">
              <w:rPr>
                <w:b/>
                <w:color w:val="000000"/>
                <w:sz w:val="18"/>
                <w:szCs w:val="18"/>
                <w:lang w:val="es-PE" w:eastAsia="es-PE"/>
              </w:rPr>
              <w:t>P valor</w:t>
            </w:r>
          </w:p>
        </w:tc>
      </w:tr>
      <w:tr w:rsidR="00C46FEB" w:rsidRPr="00C46FEB" w14:paraId="34258BCC" w14:textId="77777777" w:rsidTr="00AF6060">
        <w:trPr>
          <w:jc w:val="center"/>
        </w:trPr>
        <w:tc>
          <w:tcPr>
            <w:tcW w:w="8075" w:type="dxa"/>
            <w:gridSpan w:val="7"/>
            <w:vAlign w:val="center"/>
          </w:tcPr>
          <w:p w14:paraId="79CC7807"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Estado de emergencia sanitaria</w:t>
            </w:r>
          </w:p>
        </w:tc>
      </w:tr>
      <w:tr w:rsidR="00C46FEB" w:rsidRPr="00C46FEB" w14:paraId="4967F7B7" w14:textId="77777777" w:rsidTr="00AF6060">
        <w:trPr>
          <w:jc w:val="center"/>
        </w:trPr>
        <w:tc>
          <w:tcPr>
            <w:tcW w:w="1415" w:type="dxa"/>
            <w:vAlign w:val="center"/>
          </w:tcPr>
          <w:p w14:paraId="1F70D047"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Sí</w:t>
            </w:r>
          </w:p>
        </w:tc>
        <w:tc>
          <w:tcPr>
            <w:tcW w:w="905" w:type="dxa"/>
            <w:vAlign w:val="center"/>
          </w:tcPr>
          <w:p w14:paraId="45F2EBFD"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6,04</w:t>
            </w:r>
          </w:p>
        </w:tc>
        <w:tc>
          <w:tcPr>
            <w:tcW w:w="2070" w:type="dxa"/>
            <w:vAlign w:val="center"/>
          </w:tcPr>
          <w:p w14:paraId="13542B98"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3,24 – 11,2%</w:t>
            </w:r>
          </w:p>
        </w:tc>
        <w:tc>
          <w:tcPr>
            <w:tcW w:w="695" w:type="dxa"/>
            <w:vMerge w:val="restart"/>
            <w:vAlign w:val="center"/>
          </w:tcPr>
          <w:p w14:paraId="1F19222A"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0,000</w:t>
            </w:r>
          </w:p>
        </w:tc>
        <w:tc>
          <w:tcPr>
            <w:tcW w:w="1116" w:type="dxa"/>
            <w:vAlign w:val="center"/>
          </w:tcPr>
          <w:p w14:paraId="224064B9"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5,67</w:t>
            </w:r>
          </w:p>
        </w:tc>
        <w:tc>
          <w:tcPr>
            <w:tcW w:w="1040" w:type="dxa"/>
            <w:vAlign w:val="center"/>
          </w:tcPr>
          <w:p w14:paraId="1B64E147"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2,98 – 10,81</w:t>
            </w:r>
          </w:p>
        </w:tc>
        <w:tc>
          <w:tcPr>
            <w:tcW w:w="834" w:type="dxa"/>
            <w:vMerge w:val="restart"/>
            <w:vAlign w:val="center"/>
          </w:tcPr>
          <w:p w14:paraId="082332FE"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0,000</w:t>
            </w:r>
          </w:p>
        </w:tc>
      </w:tr>
      <w:tr w:rsidR="00C46FEB" w:rsidRPr="00C46FEB" w14:paraId="5904AD49" w14:textId="77777777" w:rsidTr="00AF6060">
        <w:trPr>
          <w:jc w:val="center"/>
        </w:trPr>
        <w:tc>
          <w:tcPr>
            <w:tcW w:w="1415" w:type="dxa"/>
            <w:vAlign w:val="center"/>
          </w:tcPr>
          <w:p w14:paraId="3496FF39"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No</w:t>
            </w:r>
          </w:p>
        </w:tc>
        <w:tc>
          <w:tcPr>
            <w:tcW w:w="905" w:type="dxa"/>
            <w:vAlign w:val="center"/>
          </w:tcPr>
          <w:p w14:paraId="1FC9FC16"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2070" w:type="dxa"/>
            <w:vAlign w:val="center"/>
          </w:tcPr>
          <w:p w14:paraId="22D88B52"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695" w:type="dxa"/>
            <w:vMerge/>
            <w:vAlign w:val="center"/>
          </w:tcPr>
          <w:p w14:paraId="68658C86"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c>
          <w:tcPr>
            <w:tcW w:w="1116" w:type="dxa"/>
            <w:vAlign w:val="center"/>
          </w:tcPr>
          <w:p w14:paraId="1ACCD250"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1040" w:type="dxa"/>
            <w:vAlign w:val="center"/>
          </w:tcPr>
          <w:p w14:paraId="3EAD148A"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834" w:type="dxa"/>
            <w:vMerge/>
            <w:vAlign w:val="center"/>
          </w:tcPr>
          <w:p w14:paraId="10F9C4EF"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r>
      <w:tr w:rsidR="00C46FEB" w:rsidRPr="00C46FEB" w14:paraId="669E4C67" w14:textId="77777777" w:rsidTr="00AF6060">
        <w:trPr>
          <w:jc w:val="center"/>
        </w:trPr>
        <w:tc>
          <w:tcPr>
            <w:tcW w:w="8075" w:type="dxa"/>
            <w:gridSpan w:val="7"/>
            <w:vAlign w:val="center"/>
          </w:tcPr>
          <w:p w14:paraId="2378A6A8"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Depresión</w:t>
            </w:r>
          </w:p>
        </w:tc>
      </w:tr>
      <w:tr w:rsidR="00C46FEB" w:rsidRPr="00C46FEB" w14:paraId="575E3DA9" w14:textId="77777777" w:rsidTr="00AF6060">
        <w:trPr>
          <w:jc w:val="center"/>
        </w:trPr>
        <w:tc>
          <w:tcPr>
            <w:tcW w:w="1415" w:type="dxa"/>
            <w:vAlign w:val="center"/>
          </w:tcPr>
          <w:p w14:paraId="61E5EF4C"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Sí</w:t>
            </w:r>
          </w:p>
        </w:tc>
        <w:tc>
          <w:tcPr>
            <w:tcW w:w="905" w:type="dxa"/>
            <w:vAlign w:val="center"/>
          </w:tcPr>
          <w:p w14:paraId="4D1A1551"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2,30</w:t>
            </w:r>
          </w:p>
        </w:tc>
        <w:tc>
          <w:tcPr>
            <w:tcW w:w="2070" w:type="dxa"/>
            <w:vAlign w:val="center"/>
          </w:tcPr>
          <w:p w14:paraId="7CB0B50A"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1,39 – 3,83 %</w:t>
            </w:r>
          </w:p>
        </w:tc>
        <w:tc>
          <w:tcPr>
            <w:tcW w:w="695" w:type="dxa"/>
            <w:vAlign w:val="center"/>
          </w:tcPr>
          <w:p w14:paraId="221E4110" w14:textId="77777777" w:rsidR="00C46FEB" w:rsidRPr="00C46FEB" w:rsidRDefault="00C46FEB" w:rsidP="00AF6060">
            <w:pPr>
              <w:spacing w:line="360" w:lineRule="auto"/>
              <w:jc w:val="center"/>
              <w:rPr>
                <w:rFonts w:eastAsia="Calibri"/>
                <w:sz w:val="22"/>
                <w:szCs w:val="22"/>
                <w:lang w:val="es-PE" w:eastAsia="es-PE"/>
              </w:rPr>
            </w:pPr>
          </w:p>
        </w:tc>
        <w:tc>
          <w:tcPr>
            <w:tcW w:w="1116" w:type="dxa"/>
            <w:vAlign w:val="center"/>
          </w:tcPr>
          <w:p w14:paraId="7DB2C32C"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2,15</w:t>
            </w:r>
          </w:p>
        </w:tc>
        <w:tc>
          <w:tcPr>
            <w:tcW w:w="1040" w:type="dxa"/>
            <w:vAlign w:val="center"/>
          </w:tcPr>
          <w:p w14:paraId="4DF6704F"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1,22 – 3,78</w:t>
            </w:r>
          </w:p>
        </w:tc>
        <w:tc>
          <w:tcPr>
            <w:tcW w:w="834" w:type="dxa"/>
            <w:vMerge w:val="restart"/>
            <w:vAlign w:val="center"/>
          </w:tcPr>
          <w:p w14:paraId="023F7453"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0,008</w:t>
            </w:r>
          </w:p>
        </w:tc>
      </w:tr>
      <w:tr w:rsidR="00C46FEB" w:rsidRPr="00C46FEB" w14:paraId="445DB4FC" w14:textId="77777777" w:rsidTr="00AF6060">
        <w:trPr>
          <w:jc w:val="center"/>
        </w:trPr>
        <w:tc>
          <w:tcPr>
            <w:tcW w:w="1415" w:type="dxa"/>
            <w:vAlign w:val="center"/>
          </w:tcPr>
          <w:p w14:paraId="55706E5D"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No</w:t>
            </w:r>
          </w:p>
        </w:tc>
        <w:tc>
          <w:tcPr>
            <w:tcW w:w="905" w:type="dxa"/>
            <w:vAlign w:val="center"/>
          </w:tcPr>
          <w:p w14:paraId="5546BAD4"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2070" w:type="dxa"/>
            <w:vAlign w:val="center"/>
          </w:tcPr>
          <w:p w14:paraId="157A3714"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695" w:type="dxa"/>
            <w:vAlign w:val="center"/>
          </w:tcPr>
          <w:p w14:paraId="0C9FA880"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0,001</w:t>
            </w:r>
          </w:p>
        </w:tc>
        <w:tc>
          <w:tcPr>
            <w:tcW w:w="1116" w:type="dxa"/>
            <w:vAlign w:val="center"/>
          </w:tcPr>
          <w:p w14:paraId="640FECBF"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1040" w:type="dxa"/>
            <w:vAlign w:val="center"/>
          </w:tcPr>
          <w:p w14:paraId="51FA48B5"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834" w:type="dxa"/>
            <w:vMerge/>
            <w:vAlign w:val="center"/>
          </w:tcPr>
          <w:p w14:paraId="09C4221F"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r>
      <w:tr w:rsidR="00C46FEB" w:rsidRPr="00C46FEB" w14:paraId="289ED4FD" w14:textId="77777777" w:rsidTr="00AF6060">
        <w:trPr>
          <w:jc w:val="center"/>
        </w:trPr>
        <w:tc>
          <w:tcPr>
            <w:tcW w:w="8075" w:type="dxa"/>
            <w:gridSpan w:val="7"/>
            <w:vAlign w:val="center"/>
          </w:tcPr>
          <w:p w14:paraId="59F50A73"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Orientación sexual</w:t>
            </w:r>
          </w:p>
        </w:tc>
      </w:tr>
      <w:tr w:rsidR="00C46FEB" w:rsidRPr="00C46FEB" w14:paraId="735DB272" w14:textId="77777777" w:rsidTr="00AF6060">
        <w:trPr>
          <w:jc w:val="center"/>
        </w:trPr>
        <w:tc>
          <w:tcPr>
            <w:tcW w:w="1415" w:type="dxa"/>
            <w:vAlign w:val="center"/>
          </w:tcPr>
          <w:p w14:paraId="705DC75F"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Homosexual</w:t>
            </w:r>
          </w:p>
        </w:tc>
        <w:tc>
          <w:tcPr>
            <w:tcW w:w="905" w:type="dxa"/>
            <w:vAlign w:val="center"/>
          </w:tcPr>
          <w:p w14:paraId="58B68311"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1,09</w:t>
            </w:r>
          </w:p>
        </w:tc>
        <w:tc>
          <w:tcPr>
            <w:tcW w:w="2070" w:type="dxa"/>
            <w:vAlign w:val="center"/>
          </w:tcPr>
          <w:p w14:paraId="6CCF113E"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0,601 – 2,01%</w:t>
            </w:r>
          </w:p>
        </w:tc>
        <w:tc>
          <w:tcPr>
            <w:tcW w:w="695" w:type="dxa"/>
            <w:vMerge w:val="restart"/>
            <w:vAlign w:val="center"/>
          </w:tcPr>
          <w:p w14:paraId="5ED57135"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0,758</w:t>
            </w:r>
          </w:p>
        </w:tc>
        <w:tc>
          <w:tcPr>
            <w:tcW w:w="1116" w:type="dxa"/>
            <w:vAlign w:val="center"/>
          </w:tcPr>
          <w:p w14:paraId="3D64D77E"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1,012</w:t>
            </w:r>
          </w:p>
        </w:tc>
        <w:tc>
          <w:tcPr>
            <w:tcW w:w="1040" w:type="dxa"/>
            <w:vAlign w:val="center"/>
          </w:tcPr>
          <w:p w14:paraId="60ABE36C"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0,50 – 2,03</w:t>
            </w:r>
          </w:p>
        </w:tc>
        <w:tc>
          <w:tcPr>
            <w:tcW w:w="834" w:type="dxa"/>
            <w:vMerge w:val="restart"/>
            <w:vAlign w:val="center"/>
          </w:tcPr>
          <w:p w14:paraId="3D40A098"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0,972</w:t>
            </w:r>
          </w:p>
        </w:tc>
      </w:tr>
      <w:tr w:rsidR="00C46FEB" w:rsidRPr="00C46FEB" w14:paraId="1E027A7F" w14:textId="77777777" w:rsidTr="00AF6060">
        <w:trPr>
          <w:jc w:val="center"/>
        </w:trPr>
        <w:tc>
          <w:tcPr>
            <w:tcW w:w="1415" w:type="dxa"/>
            <w:vAlign w:val="center"/>
          </w:tcPr>
          <w:p w14:paraId="6C93A756"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Heterosexual</w:t>
            </w:r>
          </w:p>
        </w:tc>
        <w:tc>
          <w:tcPr>
            <w:tcW w:w="905" w:type="dxa"/>
            <w:vAlign w:val="center"/>
          </w:tcPr>
          <w:p w14:paraId="77878C0B"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2070" w:type="dxa"/>
            <w:vAlign w:val="center"/>
          </w:tcPr>
          <w:p w14:paraId="2614814D"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695" w:type="dxa"/>
            <w:vMerge/>
            <w:vAlign w:val="center"/>
          </w:tcPr>
          <w:p w14:paraId="7BB131D3"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c>
          <w:tcPr>
            <w:tcW w:w="1116" w:type="dxa"/>
            <w:vAlign w:val="center"/>
          </w:tcPr>
          <w:p w14:paraId="57D15719"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1040" w:type="dxa"/>
            <w:vAlign w:val="center"/>
          </w:tcPr>
          <w:p w14:paraId="15074635"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834" w:type="dxa"/>
            <w:vMerge/>
            <w:vAlign w:val="center"/>
          </w:tcPr>
          <w:p w14:paraId="531D16DA"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r>
      <w:tr w:rsidR="00C46FEB" w:rsidRPr="00C46FEB" w14:paraId="15E6EC68" w14:textId="77777777" w:rsidTr="00AF6060">
        <w:trPr>
          <w:jc w:val="center"/>
        </w:trPr>
        <w:tc>
          <w:tcPr>
            <w:tcW w:w="8075" w:type="dxa"/>
            <w:gridSpan w:val="7"/>
            <w:vAlign w:val="center"/>
          </w:tcPr>
          <w:p w14:paraId="602210AF"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 xml:space="preserve">Esquema </w:t>
            </w:r>
            <w:proofErr w:type="spellStart"/>
            <w:r w:rsidRPr="00C46FEB">
              <w:rPr>
                <w:color w:val="000000"/>
                <w:sz w:val="18"/>
                <w:szCs w:val="18"/>
                <w:lang w:val="es-PE" w:eastAsia="es-PE"/>
              </w:rPr>
              <w:t>TARGA</w:t>
            </w:r>
            <w:proofErr w:type="spellEnd"/>
          </w:p>
        </w:tc>
      </w:tr>
      <w:tr w:rsidR="00C46FEB" w:rsidRPr="00C46FEB" w14:paraId="5586F1D4" w14:textId="77777777" w:rsidTr="00AF6060">
        <w:trPr>
          <w:jc w:val="center"/>
        </w:trPr>
        <w:tc>
          <w:tcPr>
            <w:tcW w:w="1415" w:type="dxa"/>
            <w:vAlign w:val="center"/>
          </w:tcPr>
          <w:p w14:paraId="57081BA9"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Alternativo</w:t>
            </w:r>
          </w:p>
        </w:tc>
        <w:tc>
          <w:tcPr>
            <w:tcW w:w="905" w:type="dxa"/>
            <w:vAlign w:val="center"/>
          </w:tcPr>
          <w:p w14:paraId="6D19FFFA"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2,50</w:t>
            </w:r>
          </w:p>
        </w:tc>
        <w:tc>
          <w:tcPr>
            <w:tcW w:w="2070" w:type="dxa"/>
            <w:vAlign w:val="center"/>
          </w:tcPr>
          <w:p w14:paraId="197E1501"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1,38 – 4,50</w:t>
            </w:r>
          </w:p>
        </w:tc>
        <w:tc>
          <w:tcPr>
            <w:tcW w:w="695" w:type="dxa"/>
            <w:vMerge w:val="restart"/>
            <w:vAlign w:val="center"/>
          </w:tcPr>
          <w:p w14:paraId="14F89285"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0,002</w:t>
            </w:r>
          </w:p>
        </w:tc>
        <w:tc>
          <w:tcPr>
            <w:tcW w:w="1116" w:type="dxa"/>
            <w:vAlign w:val="center"/>
          </w:tcPr>
          <w:p w14:paraId="1F19B2EA"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2,40</w:t>
            </w:r>
          </w:p>
        </w:tc>
        <w:tc>
          <w:tcPr>
            <w:tcW w:w="1040" w:type="dxa"/>
            <w:vAlign w:val="center"/>
          </w:tcPr>
          <w:p w14:paraId="37F17022"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1,25 – 4,61</w:t>
            </w:r>
          </w:p>
        </w:tc>
        <w:tc>
          <w:tcPr>
            <w:tcW w:w="834" w:type="dxa"/>
            <w:vMerge w:val="restart"/>
            <w:vAlign w:val="center"/>
          </w:tcPr>
          <w:p w14:paraId="446799E0"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0,008</w:t>
            </w:r>
          </w:p>
        </w:tc>
      </w:tr>
      <w:tr w:rsidR="00C46FEB" w:rsidRPr="00C46FEB" w14:paraId="1695D5B4" w14:textId="77777777" w:rsidTr="00AF6060">
        <w:trPr>
          <w:jc w:val="center"/>
        </w:trPr>
        <w:tc>
          <w:tcPr>
            <w:tcW w:w="1415" w:type="dxa"/>
            <w:vAlign w:val="center"/>
          </w:tcPr>
          <w:p w14:paraId="34F8287C"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Principal</w:t>
            </w:r>
          </w:p>
        </w:tc>
        <w:tc>
          <w:tcPr>
            <w:tcW w:w="905" w:type="dxa"/>
            <w:vAlign w:val="center"/>
          </w:tcPr>
          <w:p w14:paraId="2F35E80D"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2070" w:type="dxa"/>
            <w:vAlign w:val="center"/>
          </w:tcPr>
          <w:p w14:paraId="42140DBE"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695" w:type="dxa"/>
            <w:vMerge/>
            <w:vAlign w:val="center"/>
          </w:tcPr>
          <w:p w14:paraId="166015C1"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c>
          <w:tcPr>
            <w:tcW w:w="1116" w:type="dxa"/>
            <w:vAlign w:val="center"/>
          </w:tcPr>
          <w:p w14:paraId="7F2F5DE2"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1040" w:type="dxa"/>
            <w:vAlign w:val="center"/>
          </w:tcPr>
          <w:p w14:paraId="57319FF6"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834" w:type="dxa"/>
            <w:vMerge/>
            <w:vAlign w:val="center"/>
          </w:tcPr>
          <w:p w14:paraId="25D279C2"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r>
      <w:tr w:rsidR="00C46FEB" w:rsidRPr="00C46FEB" w14:paraId="3D0C8137" w14:textId="77777777" w:rsidTr="00AF6060">
        <w:trPr>
          <w:jc w:val="center"/>
        </w:trPr>
        <w:tc>
          <w:tcPr>
            <w:tcW w:w="4390" w:type="dxa"/>
            <w:gridSpan w:val="3"/>
            <w:vAlign w:val="center"/>
          </w:tcPr>
          <w:p w14:paraId="0D342626"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Efectos secundarios</w:t>
            </w:r>
          </w:p>
        </w:tc>
        <w:tc>
          <w:tcPr>
            <w:tcW w:w="695" w:type="dxa"/>
            <w:vMerge/>
            <w:vAlign w:val="center"/>
          </w:tcPr>
          <w:p w14:paraId="24A8256C" w14:textId="77777777" w:rsidR="00C46FEB" w:rsidRPr="00C46FEB" w:rsidRDefault="00C46FEB" w:rsidP="00AF6060">
            <w:pPr>
              <w:widowControl w:val="0"/>
              <w:pBdr>
                <w:top w:val="nil"/>
                <w:left w:val="nil"/>
                <w:bottom w:val="nil"/>
                <w:right w:val="nil"/>
                <w:between w:val="nil"/>
              </w:pBdr>
              <w:spacing w:line="360" w:lineRule="auto"/>
              <w:rPr>
                <w:b/>
                <w:color w:val="000000"/>
                <w:sz w:val="18"/>
                <w:szCs w:val="18"/>
                <w:lang w:val="es-PE" w:eastAsia="es-PE"/>
              </w:rPr>
            </w:pPr>
          </w:p>
        </w:tc>
        <w:tc>
          <w:tcPr>
            <w:tcW w:w="1116" w:type="dxa"/>
            <w:vAlign w:val="center"/>
          </w:tcPr>
          <w:p w14:paraId="61B05AC0" w14:textId="77777777" w:rsidR="00C46FEB" w:rsidRPr="00C46FEB" w:rsidRDefault="00C46FEB" w:rsidP="00AF6060">
            <w:pPr>
              <w:spacing w:line="360" w:lineRule="auto"/>
              <w:jc w:val="center"/>
              <w:rPr>
                <w:rFonts w:eastAsia="Calibri"/>
                <w:sz w:val="22"/>
                <w:szCs w:val="22"/>
                <w:lang w:val="es-PE" w:eastAsia="es-PE"/>
              </w:rPr>
            </w:pPr>
            <w:r w:rsidRPr="00C46FEB">
              <w:rPr>
                <w:sz w:val="18"/>
                <w:szCs w:val="18"/>
                <w:lang w:val="es-PE" w:eastAsia="es-PE"/>
              </w:rPr>
              <w:t>-</w:t>
            </w:r>
          </w:p>
        </w:tc>
        <w:tc>
          <w:tcPr>
            <w:tcW w:w="1040" w:type="dxa"/>
            <w:vAlign w:val="center"/>
          </w:tcPr>
          <w:p w14:paraId="459672A2" w14:textId="77777777" w:rsidR="00C46FEB" w:rsidRPr="00C46FEB" w:rsidRDefault="00C46FEB" w:rsidP="00AF6060">
            <w:pPr>
              <w:spacing w:line="360" w:lineRule="auto"/>
              <w:jc w:val="center"/>
              <w:rPr>
                <w:rFonts w:eastAsia="Calibri"/>
                <w:sz w:val="22"/>
                <w:szCs w:val="22"/>
                <w:lang w:val="es-PE" w:eastAsia="es-PE"/>
              </w:rPr>
            </w:pPr>
            <w:r w:rsidRPr="00C46FEB">
              <w:rPr>
                <w:sz w:val="18"/>
                <w:szCs w:val="18"/>
                <w:lang w:val="es-PE" w:eastAsia="es-PE"/>
              </w:rPr>
              <w:t>-</w:t>
            </w:r>
          </w:p>
        </w:tc>
        <w:tc>
          <w:tcPr>
            <w:tcW w:w="834" w:type="dxa"/>
            <w:vMerge/>
            <w:vAlign w:val="center"/>
          </w:tcPr>
          <w:p w14:paraId="37B8867F" w14:textId="77777777" w:rsidR="00C46FEB" w:rsidRPr="00C46FEB" w:rsidRDefault="00C46FEB" w:rsidP="00AF6060">
            <w:pPr>
              <w:widowControl w:val="0"/>
              <w:pBdr>
                <w:top w:val="nil"/>
                <w:left w:val="nil"/>
                <w:bottom w:val="nil"/>
                <w:right w:val="nil"/>
                <w:between w:val="nil"/>
              </w:pBdr>
              <w:spacing w:line="360" w:lineRule="auto"/>
              <w:rPr>
                <w:sz w:val="18"/>
                <w:szCs w:val="18"/>
                <w:lang w:val="es-PE" w:eastAsia="es-PE"/>
              </w:rPr>
            </w:pPr>
          </w:p>
        </w:tc>
      </w:tr>
      <w:tr w:rsidR="00C46FEB" w:rsidRPr="00C46FEB" w14:paraId="077A41DA" w14:textId="77777777" w:rsidTr="00AF6060">
        <w:trPr>
          <w:jc w:val="center"/>
        </w:trPr>
        <w:tc>
          <w:tcPr>
            <w:tcW w:w="1415" w:type="dxa"/>
            <w:vAlign w:val="center"/>
          </w:tcPr>
          <w:p w14:paraId="23C5F4F9"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Sí</w:t>
            </w:r>
          </w:p>
        </w:tc>
        <w:tc>
          <w:tcPr>
            <w:tcW w:w="905" w:type="dxa"/>
            <w:vAlign w:val="center"/>
          </w:tcPr>
          <w:p w14:paraId="7C53ADB3"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3,94</w:t>
            </w:r>
          </w:p>
        </w:tc>
        <w:tc>
          <w:tcPr>
            <w:tcW w:w="2070" w:type="dxa"/>
            <w:vAlign w:val="center"/>
          </w:tcPr>
          <w:p w14:paraId="313BA38A"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1,63 – 9,48</w:t>
            </w:r>
          </w:p>
        </w:tc>
        <w:tc>
          <w:tcPr>
            <w:tcW w:w="695" w:type="dxa"/>
            <w:vMerge w:val="restart"/>
            <w:vAlign w:val="center"/>
          </w:tcPr>
          <w:p w14:paraId="57FDB42E"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0,001</w:t>
            </w:r>
          </w:p>
        </w:tc>
        <w:tc>
          <w:tcPr>
            <w:tcW w:w="1116" w:type="dxa"/>
            <w:vAlign w:val="center"/>
          </w:tcPr>
          <w:p w14:paraId="3AF63AC1"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4,24</w:t>
            </w:r>
          </w:p>
        </w:tc>
        <w:tc>
          <w:tcPr>
            <w:tcW w:w="1040" w:type="dxa"/>
            <w:vAlign w:val="center"/>
          </w:tcPr>
          <w:p w14:paraId="1338C320"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1,66 – 10,83</w:t>
            </w:r>
          </w:p>
        </w:tc>
        <w:tc>
          <w:tcPr>
            <w:tcW w:w="834" w:type="dxa"/>
            <w:vMerge w:val="restart"/>
            <w:vAlign w:val="center"/>
          </w:tcPr>
          <w:p w14:paraId="03A26145"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0,002</w:t>
            </w:r>
          </w:p>
        </w:tc>
      </w:tr>
      <w:tr w:rsidR="00C46FEB" w:rsidRPr="00C46FEB" w14:paraId="0F79D4DC" w14:textId="77777777" w:rsidTr="00AF6060">
        <w:trPr>
          <w:jc w:val="center"/>
        </w:trPr>
        <w:tc>
          <w:tcPr>
            <w:tcW w:w="1415" w:type="dxa"/>
            <w:vAlign w:val="center"/>
          </w:tcPr>
          <w:p w14:paraId="783CFAFE" w14:textId="77777777" w:rsidR="00C46FEB" w:rsidRPr="00C46FEB" w:rsidRDefault="00C46FEB" w:rsidP="00AF6060">
            <w:pPr>
              <w:spacing w:line="360" w:lineRule="auto"/>
              <w:rPr>
                <w:color w:val="000000"/>
                <w:sz w:val="18"/>
                <w:szCs w:val="18"/>
                <w:lang w:val="es-PE" w:eastAsia="es-PE"/>
              </w:rPr>
            </w:pPr>
            <w:r w:rsidRPr="00C46FEB">
              <w:rPr>
                <w:color w:val="000000"/>
                <w:sz w:val="18"/>
                <w:szCs w:val="18"/>
                <w:lang w:val="es-PE" w:eastAsia="es-PE"/>
              </w:rPr>
              <w:t>No</w:t>
            </w:r>
          </w:p>
        </w:tc>
        <w:tc>
          <w:tcPr>
            <w:tcW w:w="905" w:type="dxa"/>
            <w:vAlign w:val="center"/>
          </w:tcPr>
          <w:p w14:paraId="5675E852"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2070" w:type="dxa"/>
            <w:vAlign w:val="center"/>
          </w:tcPr>
          <w:p w14:paraId="045E69FC"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695" w:type="dxa"/>
            <w:vMerge/>
            <w:vAlign w:val="center"/>
          </w:tcPr>
          <w:p w14:paraId="35149402"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c>
          <w:tcPr>
            <w:tcW w:w="1116" w:type="dxa"/>
            <w:vAlign w:val="center"/>
          </w:tcPr>
          <w:p w14:paraId="717ED1B0"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1,00</w:t>
            </w:r>
          </w:p>
        </w:tc>
        <w:tc>
          <w:tcPr>
            <w:tcW w:w="1040" w:type="dxa"/>
            <w:vAlign w:val="center"/>
          </w:tcPr>
          <w:p w14:paraId="293F3949" w14:textId="77777777" w:rsidR="00C46FEB" w:rsidRPr="00C46FEB" w:rsidRDefault="00C46FEB" w:rsidP="00AF6060">
            <w:pPr>
              <w:spacing w:line="360" w:lineRule="auto"/>
              <w:jc w:val="center"/>
              <w:rPr>
                <w:rFonts w:eastAsia="Calibri"/>
                <w:sz w:val="22"/>
                <w:szCs w:val="22"/>
                <w:lang w:val="es-PE" w:eastAsia="es-PE"/>
              </w:rPr>
            </w:pPr>
            <w:r w:rsidRPr="00C46FEB">
              <w:rPr>
                <w:color w:val="000000"/>
                <w:sz w:val="18"/>
                <w:szCs w:val="18"/>
                <w:lang w:val="es-PE" w:eastAsia="es-PE"/>
              </w:rPr>
              <w:t>-</w:t>
            </w:r>
          </w:p>
        </w:tc>
        <w:tc>
          <w:tcPr>
            <w:tcW w:w="834" w:type="dxa"/>
            <w:vMerge/>
            <w:vAlign w:val="center"/>
          </w:tcPr>
          <w:p w14:paraId="7985722B" w14:textId="77777777" w:rsidR="00C46FEB" w:rsidRPr="00C46FEB" w:rsidRDefault="00C46FEB" w:rsidP="00AF6060">
            <w:pPr>
              <w:widowControl w:val="0"/>
              <w:pBdr>
                <w:top w:val="nil"/>
                <w:left w:val="nil"/>
                <w:bottom w:val="nil"/>
                <w:right w:val="nil"/>
                <w:between w:val="nil"/>
              </w:pBdr>
              <w:spacing w:line="360" w:lineRule="auto"/>
              <w:rPr>
                <w:color w:val="000000"/>
                <w:sz w:val="18"/>
                <w:szCs w:val="18"/>
                <w:lang w:val="es-PE" w:eastAsia="es-PE"/>
              </w:rPr>
            </w:pPr>
          </w:p>
        </w:tc>
      </w:tr>
    </w:tbl>
    <w:p w14:paraId="4FE7AB80" w14:textId="77777777" w:rsidR="00C46FEB" w:rsidRPr="00C46FEB" w:rsidRDefault="00C46FEB" w:rsidP="00C46FEB">
      <w:pPr>
        <w:spacing w:line="360" w:lineRule="auto"/>
        <w:jc w:val="center"/>
        <w:rPr>
          <w:b/>
          <w:lang w:val="es-PE" w:eastAsia="es-PE"/>
        </w:rPr>
      </w:pPr>
    </w:p>
    <w:p w14:paraId="05AB3475" w14:textId="414CD99D" w:rsidR="00C46FEB" w:rsidRPr="00C46FEB" w:rsidRDefault="00C46FEB" w:rsidP="00C46FEB">
      <w:pPr>
        <w:spacing w:line="360" w:lineRule="auto"/>
        <w:jc w:val="center"/>
        <w:rPr>
          <w:b/>
          <w:lang w:val="es-PE" w:eastAsia="es-PE"/>
        </w:rPr>
      </w:pPr>
    </w:p>
    <w:p w14:paraId="144D0E0D" w14:textId="77777777" w:rsidR="00C46FEB" w:rsidRPr="00C46FEB" w:rsidRDefault="00C46FEB" w:rsidP="00C46FEB">
      <w:pPr>
        <w:spacing w:line="360" w:lineRule="auto"/>
        <w:jc w:val="center"/>
        <w:rPr>
          <w:sz w:val="32"/>
          <w:szCs w:val="32"/>
          <w:lang w:val="es-PE" w:eastAsia="es-PE"/>
        </w:rPr>
      </w:pPr>
      <w:r w:rsidRPr="00C46FEB">
        <w:rPr>
          <w:b/>
          <w:sz w:val="32"/>
          <w:szCs w:val="32"/>
          <w:lang w:val="es-PE" w:eastAsia="es-PE"/>
        </w:rPr>
        <w:t>DISCUSIÓN</w:t>
      </w:r>
    </w:p>
    <w:p w14:paraId="6B20CBC8" w14:textId="77777777" w:rsidR="00C46FEB" w:rsidRPr="00C46FEB" w:rsidRDefault="00C46FEB" w:rsidP="00C46FEB">
      <w:pPr>
        <w:spacing w:line="360" w:lineRule="auto"/>
        <w:jc w:val="both"/>
        <w:rPr>
          <w:lang w:val="es-PE" w:eastAsia="es-PE"/>
        </w:rPr>
      </w:pPr>
      <w:bookmarkStart w:id="2" w:name="_1fob9te" w:colFirst="0" w:colLast="0"/>
      <w:bookmarkEnd w:id="2"/>
      <w:r w:rsidRPr="00C46FEB">
        <w:rPr>
          <w:color w:val="000000"/>
          <w:lang w:val="es-PE" w:eastAsia="es-PE"/>
        </w:rPr>
        <w:t xml:space="preserve">Se encontró que la depresión, el uso del esquema de </w:t>
      </w:r>
      <w:proofErr w:type="spellStart"/>
      <w:r w:rsidRPr="00C46FEB">
        <w:rPr>
          <w:color w:val="000000"/>
          <w:lang w:val="es-PE" w:eastAsia="es-PE"/>
        </w:rPr>
        <w:t>TAR</w:t>
      </w:r>
      <w:proofErr w:type="spellEnd"/>
      <w:r w:rsidRPr="00C46FEB">
        <w:rPr>
          <w:color w:val="000000"/>
          <w:lang w:val="es-PE" w:eastAsia="es-PE"/>
        </w:rPr>
        <w:t xml:space="preserve"> alternativo, la presencia de efectos secundarios a </w:t>
      </w:r>
      <w:proofErr w:type="spellStart"/>
      <w:r w:rsidRPr="00C46FEB">
        <w:rPr>
          <w:color w:val="000000"/>
          <w:lang w:val="es-PE" w:eastAsia="es-PE"/>
        </w:rPr>
        <w:t>TAR</w:t>
      </w:r>
      <w:proofErr w:type="spellEnd"/>
      <w:r w:rsidRPr="00C46FEB">
        <w:rPr>
          <w:color w:val="000000"/>
          <w:lang w:val="es-PE" w:eastAsia="es-PE"/>
        </w:rPr>
        <w:t xml:space="preserve"> y el cambio en la adherencia durante el estado de emergencia, aumentaron el riesgo de mala adherencia a la </w:t>
      </w:r>
      <w:proofErr w:type="spellStart"/>
      <w:r w:rsidRPr="00C46FEB">
        <w:rPr>
          <w:color w:val="000000"/>
          <w:lang w:val="es-PE" w:eastAsia="es-PE"/>
        </w:rPr>
        <w:t>TAR</w:t>
      </w:r>
      <w:proofErr w:type="spellEnd"/>
      <w:r w:rsidRPr="00C46FEB">
        <w:rPr>
          <w:color w:val="000000"/>
          <w:lang w:val="es-PE" w:eastAsia="es-PE"/>
        </w:rPr>
        <w:t>. Estos hallazgos reflejan que existen tanto factores propios del individuo, como asociados a la pandemia de la COVID-</w:t>
      </w:r>
      <w:proofErr w:type="gramStart"/>
      <w:r w:rsidRPr="00C46FEB">
        <w:rPr>
          <w:color w:val="000000"/>
          <w:lang w:val="es-PE" w:eastAsia="es-PE"/>
        </w:rPr>
        <w:t>19.</w:t>
      </w:r>
      <w:r w:rsidRPr="00C46FEB">
        <w:rPr>
          <w:color w:val="000000"/>
          <w:vertAlign w:val="superscript"/>
          <w:lang w:val="es-PE" w:eastAsia="es-PE"/>
        </w:rPr>
        <w:t>(</w:t>
      </w:r>
      <w:proofErr w:type="gramEnd"/>
      <w:r w:rsidRPr="00C46FEB">
        <w:rPr>
          <w:color w:val="000000"/>
          <w:vertAlign w:val="superscript"/>
          <w:lang w:val="es-PE" w:eastAsia="es-PE"/>
        </w:rPr>
        <w:t>13,14)</w:t>
      </w:r>
    </w:p>
    <w:p w14:paraId="6436A74C" w14:textId="77777777" w:rsidR="00C46FEB" w:rsidRPr="00C46FEB" w:rsidRDefault="00C46FEB" w:rsidP="00C46FEB">
      <w:pPr>
        <w:spacing w:line="360" w:lineRule="auto"/>
        <w:jc w:val="both"/>
        <w:rPr>
          <w:lang w:val="es-PE" w:eastAsia="es-PE"/>
        </w:rPr>
      </w:pPr>
      <w:r w:rsidRPr="00C46FEB">
        <w:rPr>
          <w:lang w:val="es-PE" w:eastAsia="es-PE"/>
        </w:rPr>
        <w:t xml:space="preserve">Los hallazgos del presente estudio difieren del realizado por </w:t>
      </w:r>
      <w:r w:rsidRPr="00C46FEB">
        <w:rPr>
          <w:i/>
          <w:lang w:val="es-PE" w:eastAsia="es-PE"/>
        </w:rPr>
        <w:t>Barrera</w:t>
      </w:r>
      <w:r w:rsidRPr="00C46FEB">
        <w:rPr>
          <w:lang w:val="es-PE" w:eastAsia="es-PE"/>
        </w:rPr>
        <w:t xml:space="preserve"> y otros</w:t>
      </w:r>
      <w:r w:rsidRPr="00C46FEB">
        <w:rPr>
          <w:vertAlign w:val="superscript"/>
          <w:lang w:val="es-PE" w:eastAsia="es-PE"/>
        </w:rPr>
        <w:t>(14)</w:t>
      </w:r>
      <w:r w:rsidRPr="00C46FEB">
        <w:rPr>
          <w:lang w:val="es-PE" w:eastAsia="es-PE"/>
        </w:rPr>
        <w:t xml:space="preserve"> quienes utilizaron el cuestionario de Evaluación de la Adhesión al </w:t>
      </w:r>
      <w:proofErr w:type="spellStart"/>
      <w:r w:rsidRPr="00C46FEB">
        <w:rPr>
          <w:lang w:val="es-PE" w:eastAsia="es-PE"/>
        </w:rPr>
        <w:t>TAR</w:t>
      </w:r>
      <w:proofErr w:type="spellEnd"/>
      <w:r w:rsidRPr="00C46FEB">
        <w:rPr>
          <w:lang w:val="es-PE" w:eastAsia="es-PE"/>
        </w:rPr>
        <w:t xml:space="preserve"> (</w:t>
      </w:r>
      <w:proofErr w:type="spellStart"/>
      <w:r w:rsidRPr="00C46FEB">
        <w:rPr>
          <w:lang w:val="es-PE" w:eastAsia="es-PE"/>
        </w:rPr>
        <w:t>CEAT</w:t>
      </w:r>
      <w:proofErr w:type="spellEnd"/>
      <w:r w:rsidRPr="00C46FEB">
        <w:rPr>
          <w:lang w:val="es-PE" w:eastAsia="es-PE"/>
        </w:rPr>
        <w:t>-VIH) y determinan que el sexo masculino (</w:t>
      </w:r>
      <w:proofErr w:type="spellStart"/>
      <w:r w:rsidRPr="00C46FEB">
        <w:rPr>
          <w:lang w:val="es-PE" w:eastAsia="es-PE"/>
        </w:rPr>
        <w:t>OR</w:t>
      </w:r>
      <w:proofErr w:type="spellEnd"/>
      <w:r w:rsidRPr="00C46FEB">
        <w:rPr>
          <w:lang w:val="es-PE" w:eastAsia="es-PE"/>
        </w:rPr>
        <w:t>= 16,175; p= 0,023) y las comorbilidades relacionadas al VIH/sida (</w:t>
      </w:r>
      <w:proofErr w:type="spellStart"/>
      <w:r w:rsidRPr="00C46FEB">
        <w:rPr>
          <w:lang w:val="es-PE" w:eastAsia="es-PE"/>
        </w:rPr>
        <w:t>OR</w:t>
      </w:r>
      <w:proofErr w:type="spellEnd"/>
      <w:r w:rsidRPr="00C46FEB">
        <w:rPr>
          <w:lang w:val="es-PE" w:eastAsia="es-PE"/>
        </w:rPr>
        <w:t xml:space="preserve">= 9,556; p= 0,003), se asocian a la no adherencia al </w:t>
      </w:r>
      <w:proofErr w:type="spellStart"/>
      <w:r w:rsidRPr="00C46FEB">
        <w:rPr>
          <w:lang w:val="es-PE" w:eastAsia="es-PE"/>
        </w:rPr>
        <w:t>TAR</w:t>
      </w:r>
      <w:proofErr w:type="spellEnd"/>
      <w:r w:rsidRPr="00C46FEB">
        <w:rPr>
          <w:lang w:val="es-PE" w:eastAsia="es-PE"/>
        </w:rPr>
        <w:t>.</w:t>
      </w:r>
      <w:r w:rsidRPr="00C46FEB">
        <w:rPr>
          <w:vertAlign w:val="superscript"/>
          <w:lang w:val="es-PE" w:eastAsia="es-PE"/>
        </w:rPr>
        <w:t>(15)</w:t>
      </w:r>
      <w:r w:rsidRPr="00C46FEB">
        <w:rPr>
          <w:lang w:val="es-PE" w:eastAsia="es-PE"/>
        </w:rPr>
        <w:t xml:space="preserve"> Las diferencias pueden atribuirse a que el estudio se realizó un año previo </w:t>
      </w:r>
      <w:r w:rsidRPr="00C46FEB">
        <w:rPr>
          <w:lang w:val="es-PE" w:eastAsia="es-PE"/>
        </w:rPr>
        <w:lastRenderedPageBreak/>
        <w:t>al inicio de la pandemia de la COVID-19, así como el tamaño muestral y las características demográficas de los individuos en ese momento.</w:t>
      </w:r>
    </w:p>
    <w:p w14:paraId="1FBD0154" w14:textId="77777777" w:rsidR="00C46FEB" w:rsidRPr="00C46FEB" w:rsidRDefault="00C46FEB" w:rsidP="00C46FEB">
      <w:pPr>
        <w:spacing w:line="360" w:lineRule="auto"/>
        <w:jc w:val="both"/>
        <w:rPr>
          <w:lang w:val="es-PE" w:eastAsia="es-PE"/>
        </w:rPr>
      </w:pPr>
      <w:r w:rsidRPr="00C46FEB">
        <w:rPr>
          <w:lang w:val="es-PE" w:eastAsia="es-PE"/>
        </w:rPr>
        <w:t>En Sudamérica, estudios realizados en Cuba</w:t>
      </w:r>
      <w:r w:rsidRPr="00C46FEB">
        <w:rPr>
          <w:vertAlign w:val="superscript"/>
          <w:lang w:val="es-PE" w:eastAsia="es-PE"/>
        </w:rPr>
        <w:t>(16)</w:t>
      </w:r>
      <w:r w:rsidRPr="00C46FEB">
        <w:rPr>
          <w:lang w:val="es-PE" w:eastAsia="es-PE"/>
        </w:rPr>
        <w:t xml:space="preserve"> y Paraguay</w:t>
      </w:r>
      <w:r w:rsidRPr="00C46FEB">
        <w:rPr>
          <w:vertAlign w:val="superscript"/>
          <w:lang w:val="es-PE" w:eastAsia="es-PE"/>
        </w:rPr>
        <w:t>(17)</w:t>
      </w:r>
      <w:r w:rsidRPr="00C46FEB">
        <w:rPr>
          <w:lang w:val="es-PE" w:eastAsia="es-PE"/>
        </w:rPr>
        <w:t xml:space="preserve"> encontraron que una baja escolaridad (</w:t>
      </w:r>
      <w:proofErr w:type="spellStart"/>
      <w:r w:rsidRPr="00C46FEB">
        <w:rPr>
          <w:lang w:val="es-PE" w:eastAsia="es-PE"/>
        </w:rPr>
        <w:t>OR</w:t>
      </w:r>
      <w:proofErr w:type="spellEnd"/>
      <w:r w:rsidRPr="00C46FEB">
        <w:rPr>
          <w:lang w:val="es-PE" w:eastAsia="es-PE"/>
        </w:rPr>
        <w:t>= 12,8; p= 0,001), vínculo de pareja no estable (</w:t>
      </w:r>
      <w:proofErr w:type="spellStart"/>
      <w:r w:rsidRPr="00C46FEB">
        <w:rPr>
          <w:lang w:val="es-PE" w:eastAsia="es-PE"/>
        </w:rPr>
        <w:t>OR</w:t>
      </w:r>
      <w:proofErr w:type="spellEnd"/>
      <w:r w:rsidRPr="00C46FEB">
        <w:rPr>
          <w:lang w:val="es-PE" w:eastAsia="es-PE"/>
        </w:rPr>
        <w:t>= 77,5; p= 0,001), disfunción familiar (</w:t>
      </w:r>
      <w:proofErr w:type="spellStart"/>
      <w:r w:rsidRPr="00C46FEB">
        <w:rPr>
          <w:lang w:val="es-PE" w:eastAsia="es-PE"/>
        </w:rPr>
        <w:t>OR</w:t>
      </w:r>
      <w:proofErr w:type="spellEnd"/>
      <w:r w:rsidRPr="00C46FEB">
        <w:rPr>
          <w:lang w:val="es-PE" w:eastAsia="es-PE"/>
        </w:rPr>
        <w:t>= 6; p= 0,001), olvido de la toma de medicamentos (</w:t>
      </w:r>
      <w:proofErr w:type="spellStart"/>
      <w:r w:rsidRPr="00C46FEB">
        <w:rPr>
          <w:lang w:val="es-PE" w:eastAsia="es-PE"/>
        </w:rPr>
        <w:t>OR</w:t>
      </w:r>
      <w:proofErr w:type="spellEnd"/>
      <w:r w:rsidRPr="00C46FEB">
        <w:rPr>
          <w:lang w:val="es-PE" w:eastAsia="es-PE"/>
        </w:rPr>
        <w:t>= 28,82; p= 0,003), bajo tiempo de tratamiento (</w:t>
      </w:r>
      <w:proofErr w:type="spellStart"/>
      <w:r w:rsidRPr="00C46FEB">
        <w:rPr>
          <w:lang w:val="es-PE" w:eastAsia="es-PE"/>
        </w:rPr>
        <w:t>OR</w:t>
      </w:r>
      <w:proofErr w:type="spellEnd"/>
      <w:r w:rsidRPr="00C46FEB">
        <w:rPr>
          <w:lang w:val="es-PE" w:eastAsia="es-PE"/>
        </w:rPr>
        <w:t>= 2,9; p= 0,025) y la presencia de reacciones adversas (</w:t>
      </w:r>
      <w:proofErr w:type="spellStart"/>
      <w:r w:rsidRPr="00C46FEB">
        <w:rPr>
          <w:lang w:val="es-PE" w:eastAsia="es-PE"/>
        </w:rPr>
        <w:t>OR</w:t>
      </w:r>
      <w:proofErr w:type="spellEnd"/>
      <w:r w:rsidRPr="00C46FEB">
        <w:rPr>
          <w:lang w:val="es-PE" w:eastAsia="es-PE"/>
        </w:rPr>
        <w:t xml:space="preserve">= 4,2; p= 0,001), fueron los factores de mala adherencia al </w:t>
      </w:r>
      <w:proofErr w:type="spellStart"/>
      <w:r w:rsidRPr="00C46FEB">
        <w:rPr>
          <w:lang w:val="es-PE" w:eastAsia="es-PE"/>
        </w:rPr>
        <w:t>TAR</w:t>
      </w:r>
      <w:proofErr w:type="spellEnd"/>
      <w:r w:rsidRPr="00C46FEB">
        <w:rPr>
          <w:lang w:val="es-PE" w:eastAsia="es-PE"/>
        </w:rPr>
        <w:t>, con asociación estadísticamente significativa.</w:t>
      </w:r>
      <w:r w:rsidRPr="00C46FEB">
        <w:rPr>
          <w:vertAlign w:val="superscript"/>
          <w:lang w:val="es-PE" w:eastAsia="es-PE"/>
        </w:rPr>
        <w:t>(16,17)</w:t>
      </w:r>
      <w:r w:rsidRPr="00C46FEB">
        <w:rPr>
          <w:lang w:val="es-PE" w:eastAsia="es-PE"/>
        </w:rPr>
        <w:t xml:space="preserve"> En la presente investigación se encontró que la presencia de reacciones adversas se asocia a la mala adherencia al </w:t>
      </w:r>
      <w:proofErr w:type="spellStart"/>
      <w:r w:rsidRPr="00C46FEB">
        <w:rPr>
          <w:lang w:val="es-PE" w:eastAsia="es-PE"/>
        </w:rPr>
        <w:t>TAR</w:t>
      </w:r>
      <w:proofErr w:type="spellEnd"/>
      <w:r w:rsidRPr="00C46FEB">
        <w:rPr>
          <w:lang w:val="es-PE" w:eastAsia="es-PE"/>
        </w:rPr>
        <w:t xml:space="preserve">; este hallazgo es consistente con el estudio de </w:t>
      </w:r>
      <w:r w:rsidRPr="00C46FEB">
        <w:rPr>
          <w:i/>
          <w:lang w:val="es-PE" w:eastAsia="es-PE"/>
        </w:rPr>
        <w:t>Urizar</w:t>
      </w:r>
      <w:r w:rsidRPr="00C46FEB">
        <w:rPr>
          <w:lang w:val="es-PE" w:eastAsia="es-PE"/>
        </w:rPr>
        <w:t xml:space="preserve"> y otros</w:t>
      </w:r>
      <w:r w:rsidRPr="00C46FEB">
        <w:rPr>
          <w:i/>
          <w:lang w:val="es-PE" w:eastAsia="es-PE"/>
        </w:rPr>
        <w:t>.</w:t>
      </w:r>
      <w:r w:rsidRPr="00C46FEB">
        <w:rPr>
          <w:vertAlign w:val="superscript"/>
          <w:lang w:val="es-PE" w:eastAsia="es-PE"/>
        </w:rPr>
        <w:t>(17)</w:t>
      </w:r>
    </w:p>
    <w:p w14:paraId="30E8AA84" w14:textId="1BB79FBF" w:rsidR="00C46FEB" w:rsidRPr="00C46FEB" w:rsidRDefault="00C46FEB" w:rsidP="00C46FEB">
      <w:pPr>
        <w:spacing w:line="360" w:lineRule="auto"/>
        <w:jc w:val="both"/>
        <w:rPr>
          <w:lang w:val="es-PE" w:eastAsia="es-PE"/>
        </w:rPr>
      </w:pPr>
      <w:r w:rsidRPr="00C46FEB">
        <w:rPr>
          <w:lang w:val="es-PE" w:eastAsia="es-PE"/>
        </w:rPr>
        <w:t>Aunque se tomaron en cuenta diversas características psicosociales, no se evaluaron variables, tales como la presencia de comorbilidades o depresión. Aunado a esto, un estudio</w:t>
      </w:r>
      <w:r w:rsidRPr="00C46FEB">
        <w:rPr>
          <w:vertAlign w:val="superscript"/>
          <w:lang w:val="es-PE" w:eastAsia="es-PE"/>
        </w:rPr>
        <w:t>(18)</w:t>
      </w:r>
      <w:r w:rsidRPr="00C46FEB">
        <w:rPr>
          <w:lang w:val="es-PE" w:eastAsia="es-PE"/>
        </w:rPr>
        <w:t xml:space="preserve"> realizado en Chile pone en evidencia que los pacientes con síntomas depresivos graves tienen 3,08 veces más riesgo (IC 95 %: 1,08-8,80) de tener problemas de adherencia, en comparación con pacientes con síntomas depresivos leves o sin ellos.</w:t>
      </w:r>
      <w:r w:rsidRPr="00C46FEB">
        <w:rPr>
          <w:vertAlign w:val="superscript"/>
          <w:lang w:val="es-PE" w:eastAsia="es-PE"/>
        </w:rPr>
        <w:t>(17)</w:t>
      </w:r>
      <w:r w:rsidRPr="00C46FEB">
        <w:rPr>
          <w:lang w:val="es-PE" w:eastAsia="es-PE"/>
        </w:rPr>
        <w:t xml:space="preserve"> Por otro lado, estudios realizados en otros países determinan otros factores, que contribuyen a una inadecuada adherencia farmacológica: en </w:t>
      </w:r>
      <w:proofErr w:type="spellStart"/>
      <w:r w:rsidRPr="00C46FEB">
        <w:rPr>
          <w:lang w:val="es-PE" w:eastAsia="es-PE"/>
        </w:rPr>
        <w:t>Haiti</w:t>
      </w:r>
      <w:proofErr w:type="spellEnd"/>
      <w:r w:rsidRPr="00C46FEB">
        <w:rPr>
          <w:vertAlign w:val="superscript"/>
          <w:lang w:val="es-PE" w:eastAsia="es-PE"/>
        </w:rPr>
        <w:t>(19)</w:t>
      </w:r>
      <w:r w:rsidRPr="00C46FEB">
        <w:rPr>
          <w:lang w:val="es-PE" w:eastAsia="es-PE"/>
        </w:rPr>
        <w:t xml:space="preserve"> y Etiopía</w:t>
      </w:r>
      <w:r w:rsidRPr="00C46FEB">
        <w:rPr>
          <w:vertAlign w:val="superscript"/>
          <w:lang w:val="es-PE" w:eastAsia="es-PE"/>
        </w:rPr>
        <w:t>(20)</w:t>
      </w:r>
      <w:r w:rsidRPr="00C46FEB">
        <w:rPr>
          <w:lang w:val="es-PE" w:eastAsia="es-PE"/>
        </w:rPr>
        <w:t xml:space="preserve"> encontraron, a través de análisis multivariados, que la residencia rural [</w:t>
      </w:r>
      <w:proofErr w:type="spellStart"/>
      <w:r w:rsidRPr="00C46FEB">
        <w:rPr>
          <w:lang w:val="es-PE" w:eastAsia="es-PE"/>
        </w:rPr>
        <w:t>OR</w:t>
      </w:r>
      <w:proofErr w:type="spellEnd"/>
      <w:r w:rsidRPr="00C46FEB">
        <w:rPr>
          <w:lang w:val="es-PE" w:eastAsia="es-PE"/>
        </w:rPr>
        <w:t xml:space="preserve"> ajustado= 3,6; CI 95 % (1,11 – 7,36)], estadio clínico III/IV [</w:t>
      </w:r>
      <w:proofErr w:type="spellStart"/>
      <w:r w:rsidRPr="00C46FEB">
        <w:rPr>
          <w:lang w:val="es-PE" w:eastAsia="es-PE"/>
        </w:rPr>
        <w:t>OR</w:t>
      </w:r>
      <w:proofErr w:type="spellEnd"/>
      <w:r w:rsidRPr="00C46FEB">
        <w:rPr>
          <w:lang w:val="es-PE" w:eastAsia="es-PE"/>
        </w:rPr>
        <w:t xml:space="preserve"> ajustado= 2,7; CI 95 % (1,21 – 5,08)], conteo basal de </w:t>
      </w:r>
      <w:proofErr w:type="spellStart"/>
      <w:r w:rsidRPr="00C46FEB">
        <w:rPr>
          <w:lang w:val="es-PE" w:eastAsia="es-PE"/>
        </w:rPr>
        <w:t>CD4</w:t>
      </w:r>
      <w:proofErr w:type="spellEnd"/>
      <w:r w:rsidRPr="00C46FEB">
        <w:rPr>
          <w:lang w:val="es-PE" w:eastAsia="es-PE"/>
        </w:rPr>
        <w:t xml:space="preserve"> menor a 200 [</w:t>
      </w:r>
      <w:proofErr w:type="spellStart"/>
      <w:r w:rsidRPr="00C46FEB">
        <w:rPr>
          <w:lang w:val="es-PE" w:eastAsia="es-PE"/>
        </w:rPr>
        <w:t>OR</w:t>
      </w:r>
      <w:proofErr w:type="spellEnd"/>
      <w:r w:rsidRPr="00C46FEB">
        <w:rPr>
          <w:lang w:val="es-PE" w:eastAsia="es-PE"/>
        </w:rPr>
        <w:t xml:space="preserve"> ajustado= 8,11; CI</w:t>
      </w:r>
      <w:r w:rsidR="00DF679F">
        <w:rPr>
          <w:lang w:val="es-PE" w:eastAsia="es-PE"/>
        </w:rPr>
        <w:t> </w:t>
      </w:r>
      <w:r w:rsidRPr="00C46FEB">
        <w:rPr>
          <w:lang w:val="es-PE" w:eastAsia="es-PE"/>
        </w:rPr>
        <w:t>95</w:t>
      </w:r>
      <w:r w:rsidR="00DF679F">
        <w:rPr>
          <w:lang w:val="es-PE" w:eastAsia="es-PE"/>
        </w:rPr>
        <w:t> </w:t>
      </w:r>
      <w:r w:rsidRPr="00C46FEB">
        <w:rPr>
          <w:lang w:val="es-PE" w:eastAsia="es-PE"/>
        </w:rPr>
        <w:t>% (2,46 – 19,54], infecciones oportunistas [</w:t>
      </w:r>
      <w:proofErr w:type="spellStart"/>
      <w:r w:rsidRPr="00C46FEB">
        <w:rPr>
          <w:lang w:val="es-PE" w:eastAsia="es-PE"/>
        </w:rPr>
        <w:t>OR</w:t>
      </w:r>
      <w:proofErr w:type="spellEnd"/>
      <w:r w:rsidRPr="00C46FEB">
        <w:rPr>
          <w:lang w:val="es-PE" w:eastAsia="es-PE"/>
        </w:rPr>
        <w:t xml:space="preserve"> ajustado= 4,6; CI 95 % (1,33 – 12,12)], una edad menor a 40 años (</w:t>
      </w:r>
      <w:proofErr w:type="spellStart"/>
      <w:r w:rsidRPr="00C46FEB">
        <w:rPr>
          <w:lang w:val="es-PE" w:eastAsia="es-PE"/>
        </w:rPr>
        <w:t>OR</w:t>
      </w:r>
      <w:proofErr w:type="spellEnd"/>
      <w:r w:rsidRPr="00C46FEB">
        <w:rPr>
          <w:lang w:val="es-PE" w:eastAsia="es-PE"/>
        </w:rPr>
        <w:t>= 6,32; p&lt; 0,01) y la incapacidad de satisfacer sus necesidades básicas (</w:t>
      </w:r>
      <w:proofErr w:type="spellStart"/>
      <w:r w:rsidRPr="00C46FEB">
        <w:rPr>
          <w:lang w:val="es-PE" w:eastAsia="es-PE"/>
        </w:rPr>
        <w:t>OR</w:t>
      </w:r>
      <w:proofErr w:type="spellEnd"/>
      <w:r w:rsidRPr="00C46FEB">
        <w:rPr>
          <w:lang w:val="es-PE" w:eastAsia="es-PE"/>
        </w:rPr>
        <w:t>= 2,70; p= 0,03), como factores asociados a una mala adherencia terapéutica.</w:t>
      </w:r>
      <w:r w:rsidRPr="00C46FEB">
        <w:rPr>
          <w:vertAlign w:val="superscript"/>
          <w:lang w:val="es-PE" w:eastAsia="es-PE"/>
        </w:rPr>
        <w:t>(19,20)</w:t>
      </w:r>
      <w:r w:rsidRPr="00C46FEB">
        <w:rPr>
          <w:lang w:val="es-PE" w:eastAsia="es-PE"/>
        </w:rPr>
        <w:t xml:space="preserve"> Se debe tomar en cuenta que tanto Haití como Etiopía son países pobres de América y África, respectivamente. Esto pone en evidencia que los sistemas sanitarios y la calidad de vida en estas zonas demográficas, pueden influir mucho más en la génesis de variables asociadas con el régimen terapéutico. Además, una revisión sistemática y metaanálisis realizado por </w:t>
      </w:r>
      <w:proofErr w:type="spellStart"/>
      <w:r w:rsidRPr="00C46FEB">
        <w:rPr>
          <w:i/>
          <w:color w:val="000000"/>
          <w:lang w:val="es-PE" w:eastAsia="es-PE"/>
        </w:rPr>
        <w:t>Lailulo</w:t>
      </w:r>
      <w:proofErr w:type="spellEnd"/>
      <w:r w:rsidRPr="00C46FEB">
        <w:rPr>
          <w:i/>
          <w:lang w:val="es-PE" w:eastAsia="es-PE"/>
        </w:rPr>
        <w:t xml:space="preserve"> </w:t>
      </w:r>
      <w:r w:rsidRPr="00C46FEB">
        <w:rPr>
          <w:lang w:val="es-PE" w:eastAsia="es-PE"/>
        </w:rPr>
        <w:t xml:space="preserve">y </w:t>
      </w:r>
      <w:proofErr w:type="gramStart"/>
      <w:r w:rsidRPr="00C46FEB">
        <w:rPr>
          <w:lang w:val="es-PE" w:eastAsia="es-PE"/>
        </w:rPr>
        <w:t>otros,</w:t>
      </w:r>
      <w:r w:rsidRPr="00C46FEB">
        <w:rPr>
          <w:vertAlign w:val="superscript"/>
          <w:lang w:val="es-PE" w:eastAsia="es-PE"/>
        </w:rPr>
        <w:t>(</w:t>
      </w:r>
      <w:proofErr w:type="gramEnd"/>
      <w:r w:rsidRPr="00C46FEB">
        <w:rPr>
          <w:vertAlign w:val="superscript"/>
          <w:lang w:val="es-PE" w:eastAsia="es-PE"/>
        </w:rPr>
        <w:t>21)</w:t>
      </w:r>
      <w:r w:rsidRPr="00C46FEB">
        <w:rPr>
          <w:lang w:val="es-PE" w:eastAsia="es-PE"/>
        </w:rPr>
        <w:t xml:space="preserve"> encontraron que el recuento de </w:t>
      </w:r>
      <w:proofErr w:type="spellStart"/>
      <w:r w:rsidRPr="00C46FEB">
        <w:rPr>
          <w:lang w:val="es-PE" w:eastAsia="es-PE"/>
        </w:rPr>
        <w:t>CD4</w:t>
      </w:r>
      <w:proofErr w:type="spellEnd"/>
      <w:r w:rsidRPr="00C46FEB">
        <w:rPr>
          <w:lang w:val="es-PE" w:eastAsia="es-PE"/>
        </w:rPr>
        <w:t xml:space="preserve"> bajo y una mala adherencia al tratamiento se asocian con una falla del esquema de </w:t>
      </w:r>
      <w:proofErr w:type="spellStart"/>
      <w:r w:rsidRPr="00C46FEB">
        <w:rPr>
          <w:lang w:val="es-PE" w:eastAsia="es-PE"/>
        </w:rPr>
        <w:t>TAR</w:t>
      </w:r>
      <w:proofErr w:type="spellEnd"/>
      <w:r w:rsidRPr="00C46FEB">
        <w:rPr>
          <w:lang w:val="es-PE" w:eastAsia="es-PE"/>
        </w:rPr>
        <w:t>.</w:t>
      </w:r>
      <w:r w:rsidRPr="00C46FEB">
        <w:rPr>
          <w:vertAlign w:val="superscript"/>
          <w:lang w:val="es-PE" w:eastAsia="es-PE"/>
        </w:rPr>
        <w:t>(21)</w:t>
      </w:r>
    </w:p>
    <w:p w14:paraId="68E249DD" w14:textId="77777777" w:rsidR="00C46FEB" w:rsidRPr="00C46FEB" w:rsidRDefault="00C46FEB" w:rsidP="00C46FEB">
      <w:pPr>
        <w:spacing w:line="360" w:lineRule="auto"/>
        <w:jc w:val="both"/>
        <w:rPr>
          <w:lang w:val="es-PE" w:eastAsia="es-PE"/>
        </w:rPr>
      </w:pPr>
      <w:r w:rsidRPr="00C46FEB">
        <w:rPr>
          <w:lang w:val="es-PE" w:eastAsia="es-PE"/>
        </w:rPr>
        <w:t xml:space="preserve">El presente estudio cuenta con limitaciones de diseño; no se tomaron en cuenta variables como el recuento de </w:t>
      </w:r>
      <w:proofErr w:type="spellStart"/>
      <w:r w:rsidRPr="00C46FEB">
        <w:rPr>
          <w:lang w:val="es-PE" w:eastAsia="es-PE"/>
        </w:rPr>
        <w:t>CD4</w:t>
      </w:r>
      <w:proofErr w:type="spellEnd"/>
      <w:r w:rsidRPr="00C46FEB">
        <w:rPr>
          <w:lang w:val="es-PE" w:eastAsia="es-PE"/>
        </w:rPr>
        <w:t xml:space="preserve">, grado de instrucción y área urbana-rural, debido a que no todas las historias clínicas se encontraban completas, así como la frecuencia de las dosis o presencia de infecciones concomitantes. </w:t>
      </w:r>
      <w:r w:rsidRPr="00C46FEB">
        <w:rPr>
          <w:lang w:val="es-PE" w:eastAsia="es-PE"/>
        </w:rPr>
        <w:lastRenderedPageBreak/>
        <w:t>Dentro de las fortalezas se menciona que son pocos los estudios realizados en Perú sobre el tema. Los resultados permiten a profesionales del área de salud, crear estrategias o programas enfocados a reducir las variables implicadas en la adherencia farmacológica. Se recomienda realizar futuros estudios de tipo multicéntrico, que permitan abarcar la situación epidemiológica de otros centros hospitalarios e incluir las variables mencionadas.</w:t>
      </w:r>
    </w:p>
    <w:p w14:paraId="4C38A12A" w14:textId="77777777" w:rsidR="00C46FEB" w:rsidRPr="00C46FEB" w:rsidRDefault="00C46FEB" w:rsidP="00C46FEB">
      <w:pPr>
        <w:spacing w:line="360" w:lineRule="auto"/>
        <w:jc w:val="both"/>
        <w:rPr>
          <w:lang w:val="es-PE" w:eastAsia="es-PE"/>
        </w:rPr>
      </w:pPr>
      <w:r w:rsidRPr="00C46FEB">
        <w:rPr>
          <w:lang w:val="es-PE" w:eastAsia="es-PE"/>
        </w:rPr>
        <w:t>La depresión, el uso del esquema de terapia antirretroviral alternativo, la presencia de efectos secundarios a terapia antirretroviral y el cambio en la adherencia durante el estado de emergencia aumentan el riesgo de una mala adherencia a la terapia antirretroviral.</w:t>
      </w:r>
    </w:p>
    <w:p w14:paraId="338BA818" w14:textId="77777777" w:rsidR="00C46FEB" w:rsidRPr="00C46FEB" w:rsidRDefault="00C46FEB" w:rsidP="00C46FEB">
      <w:pPr>
        <w:spacing w:line="360" w:lineRule="auto"/>
        <w:jc w:val="both"/>
        <w:rPr>
          <w:lang w:val="es-PE" w:eastAsia="es-PE"/>
        </w:rPr>
      </w:pPr>
    </w:p>
    <w:p w14:paraId="0FBC6069" w14:textId="77777777" w:rsidR="00C46FEB" w:rsidRPr="00C46FEB" w:rsidRDefault="00C46FEB" w:rsidP="00C46FEB">
      <w:pPr>
        <w:spacing w:line="360" w:lineRule="auto"/>
        <w:jc w:val="both"/>
        <w:rPr>
          <w:lang w:val="es-PE" w:eastAsia="es-PE"/>
        </w:rPr>
      </w:pPr>
    </w:p>
    <w:p w14:paraId="48CB5EC1" w14:textId="77777777" w:rsidR="00C46FEB" w:rsidRPr="00C46FEB" w:rsidRDefault="00C46FEB" w:rsidP="00C46FEB">
      <w:pPr>
        <w:spacing w:line="360" w:lineRule="auto"/>
        <w:jc w:val="center"/>
        <w:rPr>
          <w:b/>
          <w:color w:val="000000"/>
          <w:sz w:val="32"/>
          <w:szCs w:val="32"/>
          <w:lang w:val="en-GB" w:eastAsia="es-PE"/>
        </w:rPr>
      </w:pPr>
      <w:proofErr w:type="spellStart"/>
      <w:r w:rsidRPr="00C46FEB">
        <w:rPr>
          <w:b/>
          <w:color w:val="000000"/>
          <w:sz w:val="32"/>
          <w:szCs w:val="32"/>
          <w:lang w:val="en-GB" w:eastAsia="es-PE"/>
        </w:rPr>
        <w:t>REFERENCIAS</w:t>
      </w:r>
      <w:proofErr w:type="spellEnd"/>
      <w:r w:rsidRPr="00C46FEB">
        <w:rPr>
          <w:b/>
          <w:color w:val="000000"/>
          <w:sz w:val="32"/>
          <w:szCs w:val="32"/>
          <w:lang w:val="en-GB" w:eastAsia="es-PE"/>
        </w:rPr>
        <w:t xml:space="preserve"> </w:t>
      </w:r>
      <w:proofErr w:type="spellStart"/>
      <w:r w:rsidRPr="00C46FEB">
        <w:rPr>
          <w:b/>
          <w:color w:val="000000"/>
          <w:sz w:val="32"/>
          <w:szCs w:val="32"/>
          <w:lang w:val="en-GB" w:eastAsia="es-PE"/>
        </w:rPr>
        <w:t>BIBLIOGRÁFICAS</w:t>
      </w:r>
      <w:proofErr w:type="spellEnd"/>
    </w:p>
    <w:p w14:paraId="3CFEFE4F" w14:textId="77777777" w:rsidR="00C46FEB" w:rsidRPr="00C46FEB" w:rsidRDefault="00C46FEB" w:rsidP="00C46FEB">
      <w:pPr>
        <w:spacing w:line="360" w:lineRule="auto"/>
        <w:rPr>
          <w:lang w:val="es-PE" w:eastAsia="es-PE"/>
        </w:rPr>
      </w:pPr>
      <w:r w:rsidRPr="00C46FEB">
        <w:rPr>
          <w:lang w:val="en-GB" w:eastAsia="es-PE"/>
        </w:rPr>
        <w:t xml:space="preserve">1. World Health Organization. HIV/AIDS Key Facts. </w:t>
      </w:r>
      <w:r w:rsidRPr="00C46FEB">
        <w:rPr>
          <w:lang w:val="en-US" w:eastAsia="es-PE"/>
        </w:rPr>
        <w:t>Geneva: WHO. 2022 [</w:t>
      </w:r>
      <w:proofErr w:type="spellStart"/>
      <w:r w:rsidRPr="00C46FEB">
        <w:rPr>
          <w:lang w:val="en-US" w:eastAsia="es-PE"/>
        </w:rPr>
        <w:t>acceso</w:t>
      </w:r>
      <w:proofErr w:type="spellEnd"/>
      <w:r w:rsidRPr="00C46FEB">
        <w:rPr>
          <w:lang w:val="en-US" w:eastAsia="es-PE"/>
        </w:rPr>
        <w:t xml:space="preserve">: 12/02/2022]. </w:t>
      </w:r>
      <w:r w:rsidRPr="00C46FEB">
        <w:rPr>
          <w:lang w:val="es-PE" w:eastAsia="es-PE"/>
        </w:rPr>
        <w:t xml:space="preserve">Disponible en: </w:t>
      </w:r>
      <w:hyperlink r:id="rId14" w:anchor=":~:text=HIV%20continues%20to%20be%20a" w:history="1">
        <w:r w:rsidRPr="00C46FEB">
          <w:rPr>
            <w:color w:val="0563C1"/>
            <w:lang w:val="es-PE" w:eastAsia="es-PE"/>
          </w:rPr>
          <w:t>https://www.who.int/news-room/fact-sheets/detail/hiv-aids#:~:text=HIV%20continues%20to%20be%20a</w:t>
        </w:r>
      </w:hyperlink>
      <w:r w:rsidRPr="00C46FEB">
        <w:rPr>
          <w:lang w:val="es-PE" w:eastAsia="es-PE"/>
        </w:rPr>
        <w:t xml:space="preserve"> </w:t>
      </w:r>
    </w:p>
    <w:p w14:paraId="1D6F01A1" w14:textId="77777777" w:rsidR="00C46FEB" w:rsidRPr="00C46FEB" w:rsidRDefault="00C46FEB" w:rsidP="00C46FEB">
      <w:pPr>
        <w:spacing w:line="360" w:lineRule="auto"/>
        <w:rPr>
          <w:lang w:val="en-GB" w:eastAsia="es-PE"/>
        </w:rPr>
      </w:pPr>
      <w:r w:rsidRPr="00C46FEB">
        <w:rPr>
          <w:lang w:val="en-US" w:eastAsia="es-PE"/>
        </w:rPr>
        <w:t xml:space="preserve">2. De Cock KM, Jaffe </w:t>
      </w:r>
      <w:proofErr w:type="spellStart"/>
      <w:r w:rsidRPr="00C46FEB">
        <w:rPr>
          <w:lang w:val="en-US" w:eastAsia="es-PE"/>
        </w:rPr>
        <w:t>HW</w:t>
      </w:r>
      <w:proofErr w:type="spellEnd"/>
      <w:r w:rsidRPr="00C46FEB">
        <w:rPr>
          <w:lang w:val="en-US" w:eastAsia="es-PE"/>
        </w:rPr>
        <w:t xml:space="preserve">, Curran </w:t>
      </w:r>
      <w:proofErr w:type="spellStart"/>
      <w:r w:rsidRPr="00C46FEB">
        <w:rPr>
          <w:lang w:val="en-US" w:eastAsia="es-PE"/>
        </w:rPr>
        <w:t>JW</w:t>
      </w:r>
      <w:proofErr w:type="spellEnd"/>
      <w:r w:rsidRPr="00C46FEB">
        <w:rPr>
          <w:lang w:val="en-US" w:eastAsia="es-PE"/>
        </w:rPr>
        <w:t xml:space="preserve">. </w:t>
      </w:r>
      <w:r w:rsidRPr="00C46FEB">
        <w:rPr>
          <w:lang w:val="en-GB" w:eastAsia="es-PE"/>
        </w:rPr>
        <w:t>Reflections on 40 Years of AIDS. Emerging Infectious Diseases. 2021; 27(6):1553-60. DOI: 10.3201/</w:t>
      </w:r>
      <w:proofErr w:type="spellStart"/>
      <w:r w:rsidRPr="00C46FEB">
        <w:rPr>
          <w:lang w:val="en-GB" w:eastAsia="es-PE"/>
        </w:rPr>
        <w:t>eid2706.210284</w:t>
      </w:r>
      <w:proofErr w:type="spellEnd"/>
    </w:p>
    <w:p w14:paraId="469E4AAA" w14:textId="77777777" w:rsidR="00C46FEB" w:rsidRPr="00C46FEB" w:rsidRDefault="00C46FEB" w:rsidP="00C46FEB">
      <w:pPr>
        <w:spacing w:line="360" w:lineRule="auto"/>
        <w:rPr>
          <w:lang w:val="es-PE" w:eastAsia="es-PE"/>
        </w:rPr>
      </w:pPr>
      <w:r w:rsidRPr="00C46FEB">
        <w:rPr>
          <w:lang w:val="en-GB" w:eastAsia="es-PE"/>
        </w:rPr>
        <w:t xml:space="preserve">3. </w:t>
      </w:r>
      <w:proofErr w:type="spellStart"/>
      <w:r w:rsidRPr="00C46FEB">
        <w:rPr>
          <w:lang w:val="en-GB" w:eastAsia="es-PE"/>
        </w:rPr>
        <w:t>Deeks</w:t>
      </w:r>
      <w:proofErr w:type="spellEnd"/>
      <w:r w:rsidRPr="00C46FEB">
        <w:rPr>
          <w:lang w:val="en-GB" w:eastAsia="es-PE"/>
        </w:rPr>
        <w:t xml:space="preserve"> SG, Overbaugh J, Phillips A, Buchbinder S. HIV infection. </w:t>
      </w:r>
      <w:proofErr w:type="spellStart"/>
      <w:r w:rsidRPr="00C46FEB">
        <w:rPr>
          <w:lang w:val="es-PE" w:eastAsia="es-PE"/>
        </w:rPr>
        <w:t>Nature</w:t>
      </w:r>
      <w:proofErr w:type="spellEnd"/>
      <w:r w:rsidRPr="00C46FEB">
        <w:rPr>
          <w:lang w:val="es-PE" w:eastAsia="es-PE"/>
        </w:rPr>
        <w:t xml:space="preserve"> </w:t>
      </w:r>
      <w:proofErr w:type="spellStart"/>
      <w:r w:rsidRPr="00C46FEB">
        <w:rPr>
          <w:lang w:val="es-PE" w:eastAsia="es-PE"/>
        </w:rPr>
        <w:t>Reviews</w:t>
      </w:r>
      <w:proofErr w:type="spellEnd"/>
      <w:r w:rsidRPr="00C46FEB">
        <w:rPr>
          <w:lang w:val="es-PE" w:eastAsia="es-PE"/>
        </w:rPr>
        <w:t xml:space="preserve"> </w:t>
      </w:r>
      <w:proofErr w:type="spellStart"/>
      <w:r w:rsidRPr="00C46FEB">
        <w:rPr>
          <w:lang w:val="es-PE" w:eastAsia="es-PE"/>
        </w:rPr>
        <w:t>Disease</w:t>
      </w:r>
      <w:proofErr w:type="spellEnd"/>
      <w:r w:rsidRPr="00C46FEB">
        <w:rPr>
          <w:lang w:val="es-PE" w:eastAsia="es-PE"/>
        </w:rPr>
        <w:t xml:space="preserve"> </w:t>
      </w:r>
      <w:proofErr w:type="spellStart"/>
      <w:r w:rsidRPr="00C46FEB">
        <w:rPr>
          <w:lang w:val="es-PE" w:eastAsia="es-PE"/>
        </w:rPr>
        <w:t>Primers</w:t>
      </w:r>
      <w:proofErr w:type="spellEnd"/>
      <w:r w:rsidRPr="00C46FEB">
        <w:rPr>
          <w:lang w:val="es-PE" w:eastAsia="es-PE"/>
        </w:rPr>
        <w:t xml:space="preserve">. 2015;1(1-3). </w:t>
      </w:r>
      <w:proofErr w:type="spellStart"/>
      <w:r w:rsidRPr="00C46FEB">
        <w:rPr>
          <w:lang w:val="es-PE" w:eastAsia="es-PE"/>
        </w:rPr>
        <w:t>DOI</w:t>
      </w:r>
      <w:proofErr w:type="spellEnd"/>
      <w:r w:rsidRPr="00C46FEB">
        <w:rPr>
          <w:lang w:val="es-PE" w:eastAsia="es-PE"/>
        </w:rPr>
        <w:t>: 10.1038/</w:t>
      </w:r>
      <w:proofErr w:type="spellStart"/>
      <w:r w:rsidRPr="00C46FEB">
        <w:rPr>
          <w:lang w:val="es-PE" w:eastAsia="es-PE"/>
        </w:rPr>
        <w:t>nrdp.2015.35</w:t>
      </w:r>
      <w:proofErr w:type="spellEnd"/>
    </w:p>
    <w:p w14:paraId="41A3390B" w14:textId="77777777" w:rsidR="00C46FEB" w:rsidRPr="00C46FEB" w:rsidRDefault="00C46FEB" w:rsidP="00C46FEB">
      <w:pPr>
        <w:spacing w:line="360" w:lineRule="auto"/>
        <w:rPr>
          <w:lang w:val="es-PE" w:eastAsia="es-PE"/>
        </w:rPr>
      </w:pPr>
      <w:r w:rsidRPr="00C46FEB">
        <w:rPr>
          <w:lang w:val="es-PE" w:eastAsia="es-PE"/>
        </w:rPr>
        <w:t xml:space="preserve">4. Centro Nacional de Epidemiología, Prevención y Control de Enfermedades. Situación epidemiológica del VIH-Sida en el Perú. Boletín VIH. 2021 [acceso: 02/05/2022]; [aprox. 9 p.]. Disponible en: </w:t>
      </w:r>
      <w:hyperlink r:id="rId15" w:history="1">
        <w:r w:rsidRPr="00C46FEB">
          <w:rPr>
            <w:color w:val="0563C1"/>
            <w:lang w:val="es-PE" w:eastAsia="es-PE"/>
          </w:rPr>
          <w:t>https://www.dge.gob.pe/portal/docs/vigilancia/vih/Boletin_2021/setiembre.pdf</w:t>
        </w:r>
      </w:hyperlink>
      <w:r w:rsidRPr="00C46FEB">
        <w:rPr>
          <w:lang w:val="es-PE" w:eastAsia="es-PE"/>
        </w:rPr>
        <w:t xml:space="preserve"> </w:t>
      </w:r>
    </w:p>
    <w:p w14:paraId="2DD03A4E" w14:textId="77777777" w:rsidR="00C46FEB" w:rsidRPr="00C46FEB" w:rsidRDefault="00C46FEB" w:rsidP="00C46FEB">
      <w:pPr>
        <w:spacing w:line="360" w:lineRule="auto"/>
        <w:rPr>
          <w:lang w:val="en-GB" w:eastAsia="es-PE"/>
        </w:rPr>
      </w:pPr>
      <w:r w:rsidRPr="00C46FEB">
        <w:rPr>
          <w:lang w:val="en-GB" w:eastAsia="es-PE"/>
        </w:rPr>
        <w:t>5. Tegegne D, Mamo G, Negash B, Habte S, Gobena T, Letta S. Poor adherence to highly active antiretroviral therapy and associated factors among people living with HIV in Eastern Ethiopia. SAGE Open Medicine. 2022; 10:20. DOI: 10.1177/20503121221104429</w:t>
      </w:r>
    </w:p>
    <w:p w14:paraId="28599DFA" w14:textId="77777777" w:rsidR="00C46FEB" w:rsidRPr="00C46FEB" w:rsidRDefault="00C46FEB" w:rsidP="00C46FEB">
      <w:pPr>
        <w:spacing w:line="360" w:lineRule="auto"/>
        <w:rPr>
          <w:lang w:val="en-GB" w:eastAsia="es-PE"/>
        </w:rPr>
      </w:pPr>
      <w:r w:rsidRPr="00C46FEB">
        <w:rPr>
          <w:lang w:val="en-GB" w:eastAsia="es-PE"/>
        </w:rPr>
        <w:t xml:space="preserve">6. </w:t>
      </w:r>
      <w:proofErr w:type="spellStart"/>
      <w:r w:rsidRPr="00C46FEB">
        <w:rPr>
          <w:lang w:val="en-GB" w:eastAsia="es-PE"/>
        </w:rPr>
        <w:t>Shigdel</w:t>
      </w:r>
      <w:proofErr w:type="spellEnd"/>
      <w:r w:rsidRPr="00C46FEB">
        <w:rPr>
          <w:lang w:val="en-GB" w:eastAsia="es-PE"/>
        </w:rPr>
        <w:t xml:space="preserve"> R, Ahmed LA, </w:t>
      </w:r>
      <w:proofErr w:type="spellStart"/>
      <w:r w:rsidRPr="00C46FEB">
        <w:rPr>
          <w:lang w:val="en-GB" w:eastAsia="es-PE"/>
        </w:rPr>
        <w:t>Klouman</w:t>
      </w:r>
      <w:proofErr w:type="spellEnd"/>
      <w:r w:rsidRPr="00C46FEB">
        <w:rPr>
          <w:lang w:val="en-GB" w:eastAsia="es-PE"/>
        </w:rPr>
        <w:t xml:space="preserve"> E, Bhandari A. Factors associated with adherence to antiretroviral therapy in HIV-infected patients in Kathmandu District, Nepal. HIV/AIDS - Research and Palliative Care. 2014; 6:109-16. DOI: 10.2147/</w:t>
      </w:r>
      <w:proofErr w:type="spellStart"/>
      <w:r w:rsidRPr="00C46FEB">
        <w:rPr>
          <w:lang w:val="en-GB" w:eastAsia="es-PE"/>
        </w:rPr>
        <w:t>HIV.S55816</w:t>
      </w:r>
      <w:proofErr w:type="spellEnd"/>
    </w:p>
    <w:p w14:paraId="110E38EB" w14:textId="77777777" w:rsidR="00C46FEB" w:rsidRPr="00C46FEB" w:rsidRDefault="00C46FEB" w:rsidP="00C46FEB">
      <w:pPr>
        <w:spacing w:line="360" w:lineRule="auto"/>
        <w:rPr>
          <w:lang w:val="en-GB" w:eastAsia="es-PE"/>
        </w:rPr>
      </w:pPr>
      <w:r w:rsidRPr="00C46FEB">
        <w:rPr>
          <w:lang w:val="en-GB" w:eastAsia="es-PE"/>
        </w:rPr>
        <w:lastRenderedPageBreak/>
        <w:t xml:space="preserve">7.  Wasti S, van </w:t>
      </w:r>
      <w:proofErr w:type="spellStart"/>
      <w:r w:rsidRPr="00C46FEB">
        <w:rPr>
          <w:lang w:val="en-GB" w:eastAsia="es-PE"/>
        </w:rPr>
        <w:t>Teijlingen</w:t>
      </w:r>
      <w:proofErr w:type="spellEnd"/>
      <w:r w:rsidRPr="00C46FEB">
        <w:rPr>
          <w:lang w:val="en-GB" w:eastAsia="es-PE"/>
        </w:rPr>
        <w:t xml:space="preserve"> E, </w:t>
      </w:r>
      <w:proofErr w:type="spellStart"/>
      <w:r w:rsidRPr="00C46FEB">
        <w:rPr>
          <w:lang w:val="en-GB" w:eastAsia="es-PE"/>
        </w:rPr>
        <w:t>Simkhada</w:t>
      </w:r>
      <w:proofErr w:type="spellEnd"/>
      <w:r w:rsidRPr="00C46FEB">
        <w:rPr>
          <w:lang w:val="en-GB" w:eastAsia="es-PE"/>
        </w:rPr>
        <w:t xml:space="preserve"> P, Randall J, Baxter S, Kirkpatrick P, et al. Factors influencing adherence to antiretroviral treatment in Asian developing countries: a systematic review. Trop Med Int Heal. 2012 [</w:t>
      </w:r>
      <w:proofErr w:type="spellStart"/>
      <w:r w:rsidRPr="00C46FEB">
        <w:rPr>
          <w:lang w:val="en-GB" w:eastAsia="es-PE"/>
        </w:rPr>
        <w:t>acceso</w:t>
      </w:r>
      <w:proofErr w:type="spellEnd"/>
      <w:r w:rsidRPr="00C46FEB">
        <w:rPr>
          <w:lang w:val="en-GB" w:eastAsia="es-PE"/>
        </w:rPr>
        <w:t xml:space="preserve">: 12/06/2022];17(1):71–81. Disponible </w:t>
      </w:r>
      <w:proofErr w:type="spellStart"/>
      <w:r w:rsidRPr="00C46FEB">
        <w:rPr>
          <w:lang w:val="en-GB" w:eastAsia="es-PE"/>
        </w:rPr>
        <w:t>en</w:t>
      </w:r>
      <w:proofErr w:type="spellEnd"/>
      <w:r w:rsidRPr="00C46FEB">
        <w:rPr>
          <w:lang w:val="en-GB" w:eastAsia="es-PE"/>
        </w:rPr>
        <w:t>: https://onlinelibrary.wiley.com/DOI/10.1111/j.1365-3156.2011.02888.x</w:t>
      </w:r>
    </w:p>
    <w:p w14:paraId="69AA5294" w14:textId="77777777" w:rsidR="00C46FEB" w:rsidRPr="00C46FEB" w:rsidRDefault="00C46FEB" w:rsidP="00C46FEB">
      <w:pPr>
        <w:spacing w:line="360" w:lineRule="auto"/>
        <w:rPr>
          <w:lang w:val="es-CU" w:eastAsia="es-PE"/>
        </w:rPr>
      </w:pPr>
      <w:r w:rsidRPr="00C46FEB">
        <w:rPr>
          <w:lang w:val="de-DE" w:eastAsia="es-PE"/>
        </w:rPr>
        <w:t xml:space="preserve">8. Kim J, Lee E, Park B-J, Bang JH, Lee JY. </w:t>
      </w:r>
      <w:r w:rsidRPr="00C46FEB">
        <w:rPr>
          <w:lang w:val="en-GB" w:eastAsia="es-PE"/>
        </w:rPr>
        <w:t xml:space="preserve">Adherence to antiretroviral therapy and factors affecting low medication adherence among incident HIV-infected individuals during 2009–2016: A nationwide study. </w:t>
      </w:r>
      <w:proofErr w:type="spellStart"/>
      <w:r w:rsidRPr="00C46FEB">
        <w:rPr>
          <w:lang w:val="es-PE" w:eastAsia="es-PE"/>
        </w:rPr>
        <w:t>Sci</w:t>
      </w:r>
      <w:proofErr w:type="spellEnd"/>
      <w:r w:rsidRPr="00C46FEB">
        <w:rPr>
          <w:lang w:val="es-PE" w:eastAsia="es-PE"/>
        </w:rPr>
        <w:t xml:space="preserve"> Rep. 2018 [acceso: 22/07/2022]; 8(1):3133. </w:t>
      </w:r>
      <w:r w:rsidRPr="00C46FEB">
        <w:rPr>
          <w:lang w:val="es-CU" w:eastAsia="es-PE"/>
        </w:rPr>
        <w:t xml:space="preserve">Disponible en: </w:t>
      </w:r>
      <w:hyperlink r:id="rId16" w:history="1">
        <w:r w:rsidRPr="00C46FEB">
          <w:rPr>
            <w:color w:val="0563C1"/>
            <w:lang w:val="es-CU" w:eastAsia="es-PE"/>
          </w:rPr>
          <w:t>http://www.nature.com/articles/s41598-018-21081-x</w:t>
        </w:r>
      </w:hyperlink>
      <w:r w:rsidRPr="00C46FEB">
        <w:rPr>
          <w:lang w:val="es-CU" w:eastAsia="es-PE"/>
        </w:rPr>
        <w:t xml:space="preserve"> </w:t>
      </w:r>
    </w:p>
    <w:p w14:paraId="462EF558" w14:textId="77777777" w:rsidR="00C46FEB" w:rsidRPr="00C46FEB" w:rsidRDefault="00C46FEB" w:rsidP="00C46FEB">
      <w:pPr>
        <w:spacing w:line="360" w:lineRule="auto"/>
        <w:rPr>
          <w:lang w:val="en-US" w:eastAsia="es-PE"/>
        </w:rPr>
      </w:pPr>
      <w:r w:rsidRPr="00C46FEB">
        <w:rPr>
          <w:lang w:val="en-GB" w:eastAsia="es-PE"/>
        </w:rPr>
        <w:t xml:space="preserve">9. Steel G, </w:t>
      </w:r>
      <w:proofErr w:type="spellStart"/>
      <w:r w:rsidRPr="00C46FEB">
        <w:rPr>
          <w:lang w:val="en-GB" w:eastAsia="es-PE"/>
        </w:rPr>
        <w:t>Nwokike</w:t>
      </w:r>
      <w:proofErr w:type="spellEnd"/>
      <w:r w:rsidRPr="00C46FEB">
        <w:rPr>
          <w:lang w:val="en-GB" w:eastAsia="es-PE"/>
        </w:rPr>
        <w:t xml:space="preserve"> J, Joshi MP. Development of a Multi-Method Tool to Measure ART Adherence in Resource-Constrained Settings: The South Africa Experience. South Africa: United Nations Programme on HIV/AIDS (</w:t>
      </w:r>
      <w:proofErr w:type="spellStart"/>
      <w:r w:rsidRPr="00C46FEB">
        <w:rPr>
          <w:lang w:val="en-GB" w:eastAsia="es-PE"/>
        </w:rPr>
        <w:t>UNAIDS</w:t>
      </w:r>
      <w:proofErr w:type="spellEnd"/>
      <w:r w:rsidRPr="00C46FEB">
        <w:rPr>
          <w:lang w:val="en-GB" w:eastAsia="es-PE"/>
        </w:rPr>
        <w:t xml:space="preserve">); 2007. </w:t>
      </w:r>
      <w:r w:rsidRPr="00C46FEB">
        <w:rPr>
          <w:lang w:val="en-US" w:eastAsia="es-PE"/>
        </w:rPr>
        <w:t>[</w:t>
      </w:r>
      <w:proofErr w:type="spellStart"/>
      <w:r w:rsidRPr="00C46FEB">
        <w:rPr>
          <w:lang w:val="en-US" w:eastAsia="es-PE"/>
        </w:rPr>
        <w:t>acceso</w:t>
      </w:r>
      <w:proofErr w:type="spellEnd"/>
      <w:r w:rsidRPr="00C46FEB">
        <w:rPr>
          <w:lang w:val="en-US" w:eastAsia="es-PE"/>
        </w:rPr>
        <w:t xml:space="preserve">: 22/07/2022]. Disponible </w:t>
      </w:r>
      <w:proofErr w:type="spellStart"/>
      <w:r w:rsidRPr="00C46FEB">
        <w:rPr>
          <w:lang w:val="en-US" w:eastAsia="es-PE"/>
        </w:rPr>
        <w:t>en</w:t>
      </w:r>
      <w:proofErr w:type="spellEnd"/>
      <w:r w:rsidRPr="00C46FEB">
        <w:rPr>
          <w:lang w:val="en-US" w:eastAsia="es-PE"/>
        </w:rPr>
        <w:t xml:space="preserve">: </w:t>
      </w:r>
      <w:hyperlink r:id="rId17" w:history="1">
        <w:r w:rsidRPr="00C46FEB">
          <w:rPr>
            <w:color w:val="0563C1"/>
            <w:lang w:val="en-US" w:eastAsia="es-PE"/>
          </w:rPr>
          <w:t>http://pdf.usaid.gov/pdf_docs/Pnadk153.pdf</w:t>
        </w:r>
      </w:hyperlink>
      <w:r w:rsidRPr="00C46FEB">
        <w:rPr>
          <w:lang w:val="en-US" w:eastAsia="es-PE"/>
        </w:rPr>
        <w:t xml:space="preserve"> </w:t>
      </w:r>
    </w:p>
    <w:p w14:paraId="12871B4C" w14:textId="77777777" w:rsidR="00C46FEB" w:rsidRPr="00C46FEB" w:rsidRDefault="00C46FEB" w:rsidP="00C46FEB">
      <w:pPr>
        <w:spacing w:line="360" w:lineRule="auto"/>
        <w:rPr>
          <w:lang w:val="es-PE" w:eastAsia="es-PE"/>
        </w:rPr>
      </w:pPr>
      <w:r w:rsidRPr="00C46FEB">
        <w:rPr>
          <w:lang w:val="en-GB" w:eastAsia="es-PE"/>
        </w:rPr>
        <w:t xml:space="preserve">10. </w:t>
      </w:r>
      <w:proofErr w:type="spellStart"/>
      <w:r w:rsidRPr="00C46FEB">
        <w:rPr>
          <w:lang w:val="en-GB" w:eastAsia="es-PE"/>
        </w:rPr>
        <w:t>Molassiotis</w:t>
      </w:r>
      <w:proofErr w:type="spellEnd"/>
      <w:r w:rsidRPr="00C46FEB">
        <w:rPr>
          <w:lang w:val="en-GB" w:eastAsia="es-PE"/>
        </w:rPr>
        <w:t xml:space="preserve"> A, Nahas-Lopez V, Chung WYR, Lam SWC, Li CKP, Lau </w:t>
      </w:r>
      <w:proofErr w:type="spellStart"/>
      <w:r w:rsidRPr="00C46FEB">
        <w:rPr>
          <w:lang w:val="en-GB" w:eastAsia="es-PE"/>
        </w:rPr>
        <w:t>TFJ</w:t>
      </w:r>
      <w:proofErr w:type="spellEnd"/>
      <w:r w:rsidRPr="00C46FEB">
        <w:rPr>
          <w:lang w:val="en-GB" w:eastAsia="es-PE"/>
        </w:rPr>
        <w:t xml:space="preserve">. Factors associated with adherence to antiretroviral medication in HIV-infected patients. </w:t>
      </w:r>
      <w:proofErr w:type="spellStart"/>
      <w:r w:rsidRPr="00C46FEB">
        <w:rPr>
          <w:lang w:val="es-PE" w:eastAsia="es-PE"/>
        </w:rPr>
        <w:t>Int</w:t>
      </w:r>
      <w:proofErr w:type="spellEnd"/>
      <w:r w:rsidRPr="00C46FEB">
        <w:rPr>
          <w:lang w:val="es-PE" w:eastAsia="es-PE"/>
        </w:rPr>
        <w:t xml:space="preserve"> J </w:t>
      </w:r>
      <w:proofErr w:type="spellStart"/>
      <w:r w:rsidRPr="00C46FEB">
        <w:rPr>
          <w:lang w:val="es-PE" w:eastAsia="es-PE"/>
        </w:rPr>
        <w:t>STD</w:t>
      </w:r>
      <w:proofErr w:type="spellEnd"/>
      <w:r w:rsidRPr="00C46FEB">
        <w:rPr>
          <w:lang w:val="es-PE" w:eastAsia="es-PE"/>
        </w:rPr>
        <w:t xml:space="preserve"> </w:t>
      </w:r>
      <w:proofErr w:type="spellStart"/>
      <w:r w:rsidRPr="00C46FEB">
        <w:rPr>
          <w:lang w:val="es-PE" w:eastAsia="es-PE"/>
        </w:rPr>
        <w:t>AIDS</w:t>
      </w:r>
      <w:proofErr w:type="spellEnd"/>
      <w:r w:rsidRPr="00C46FEB">
        <w:rPr>
          <w:lang w:val="es-PE" w:eastAsia="es-PE"/>
        </w:rPr>
        <w:t xml:space="preserve">. 2002; 3(5):301–10. Disponible en: </w:t>
      </w:r>
      <w:hyperlink r:id="rId18" w:history="1">
        <w:r w:rsidRPr="00C46FEB">
          <w:rPr>
            <w:color w:val="0563C1"/>
            <w:lang w:val="es-PE" w:eastAsia="es-PE"/>
          </w:rPr>
          <w:t>http://journals.sagepub.com/DOI/10.1258/0956462021925117</w:t>
        </w:r>
      </w:hyperlink>
      <w:r w:rsidRPr="00C46FEB">
        <w:rPr>
          <w:lang w:val="es-PE" w:eastAsia="es-PE"/>
        </w:rPr>
        <w:t xml:space="preserve"> </w:t>
      </w:r>
    </w:p>
    <w:p w14:paraId="642EDC6B" w14:textId="77777777" w:rsidR="00C46FEB" w:rsidRPr="00C46FEB" w:rsidRDefault="00C46FEB" w:rsidP="00C46FEB">
      <w:pPr>
        <w:spacing w:line="360" w:lineRule="auto"/>
        <w:rPr>
          <w:lang w:val="es-PE" w:eastAsia="es-PE"/>
        </w:rPr>
      </w:pPr>
      <w:r w:rsidRPr="00C46FEB">
        <w:rPr>
          <w:lang w:val="es-PE" w:eastAsia="es-PE"/>
        </w:rPr>
        <w:t>11. Matute Salazar NI. Factores predictores de la adherencia no adecuada al tratamiento antirretroviral de gran actividad (</w:t>
      </w:r>
      <w:proofErr w:type="spellStart"/>
      <w:r w:rsidRPr="00C46FEB">
        <w:rPr>
          <w:lang w:val="es-PE" w:eastAsia="es-PE"/>
        </w:rPr>
        <w:t>TARGA</w:t>
      </w:r>
      <w:proofErr w:type="spellEnd"/>
      <w:r w:rsidRPr="00C46FEB">
        <w:rPr>
          <w:lang w:val="es-PE" w:eastAsia="es-PE"/>
        </w:rPr>
        <w:t xml:space="preserve">) en pacientes que viven con VIH/Sida [Tesis de pregrado]. Perú: Universidad nacional de Trujillo; 2016. [acceso: 05/10/2021]. Disponible en: </w:t>
      </w:r>
      <w:hyperlink r:id="rId19" w:history="1">
        <w:r w:rsidRPr="00C46FEB">
          <w:rPr>
            <w:color w:val="0563C1"/>
            <w:lang w:val="es-PE" w:eastAsia="es-PE"/>
          </w:rPr>
          <w:t>http://dspace.unitru.edu.pe/handle/UNITRU/8105</w:t>
        </w:r>
      </w:hyperlink>
      <w:r w:rsidRPr="00C46FEB">
        <w:rPr>
          <w:lang w:val="es-PE" w:eastAsia="es-PE"/>
        </w:rPr>
        <w:t xml:space="preserve">  </w:t>
      </w:r>
    </w:p>
    <w:p w14:paraId="74CADC58" w14:textId="77777777" w:rsidR="00C46FEB" w:rsidRPr="00C46FEB" w:rsidRDefault="00C46FEB" w:rsidP="00C46FEB">
      <w:pPr>
        <w:spacing w:line="360" w:lineRule="auto"/>
        <w:jc w:val="both"/>
        <w:rPr>
          <w:lang w:val="en-GB" w:eastAsia="es-PE"/>
        </w:rPr>
      </w:pPr>
      <w:r w:rsidRPr="00C46FEB">
        <w:rPr>
          <w:lang w:val="es-CU" w:eastAsia="es-PE"/>
        </w:rPr>
        <w:t xml:space="preserve">12. </w:t>
      </w:r>
      <w:proofErr w:type="spellStart"/>
      <w:r w:rsidRPr="00C46FEB">
        <w:rPr>
          <w:lang w:val="es-CU" w:eastAsia="es-PE"/>
        </w:rPr>
        <w:t>Santarem</w:t>
      </w:r>
      <w:proofErr w:type="spellEnd"/>
      <w:r w:rsidRPr="00C46FEB">
        <w:rPr>
          <w:lang w:val="es-CU" w:eastAsia="es-PE"/>
        </w:rPr>
        <w:t xml:space="preserve"> EA, </w:t>
      </w:r>
      <w:proofErr w:type="spellStart"/>
      <w:r w:rsidRPr="00C46FEB">
        <w:rPr>
          <w:lang w:val="es-CU" w:eastAsia="es-PE"/>
        </w:rPr>
        <w:t>Muller</w:t>
      </w:r>
      <w:proofErr w:type="spellEnd"/>
      <w:r w:rsidRPr="00C46FEB">
        <w:rPr>
          <w:lang w:val="es-CU" w:eastAsia="es-PE"/>
        </w:rPr>
        <w:t xml:space="preserve"> </w:t>
      </w:r>
      <w:proofErr w:type="spellStart"/>
      <w:r w:rsidRPr="00C46FEB">
        <w:rPr>
          <w:lang w:val="es-CU" w:eastAsia="es-PE"/>
        </w:rPr>
        <w:t>Banzato</w:t>
      </w:r>
      <w:proofErr w:type="spellEnd"/>
      <w:r w:rsidRPr="00C46FEB">
        <w:rPr>
          <w:lang w:val="es-CU" w:eastAsia="es-PE"/>
        </w:rPr>
        <w:t xml:space="preserve"> PR, </w:t>
      </w:r>
      <w:proofErr w:type="spellStart"/>
      <w:r w:rsidRPr="00C46FEB">
        <w:rPr>
          <w:lang w:val="es-CU" w:eastAsia="es-PE"/>
        </w:rPr>
        <w:t>Huehara</w:t>
      </w:r>
      <w:proofErr w:type="spellEnd"/>
      <w:r w:rsidRPr="00C46FEB">
        <w:rPr>
          <w:lang w:val="es-CU" w:eastAsia="es-PE"/>
        </w:rPr>
        <w:t xml:space="preserve"> MI, Moreno Morcillo A, dos Santos Vilela MM, Nolasco da Silva MT. </w:t>
      </w:r>
      <w:r w:rsidRPr="00C46FEB">
        <w:rPr>
          <w:lang w:val="en-US" w:eastAsia="es-PE"/>
        </w:rPr>
        <w:t xml:space="preserve">Usefulness of pharmacy dispensing records in the evaluation of adherence to antiretroviral therapy in Brazilian children and adolescents. </w:t>
      </w:r>
      <w:r w:rsidRPr="00C46FEB">
        <w:rPr>
          <w:lang w:val="en-GB" w:eastAsia="es-PE"/>
        </w:rPr>
        <w:t>The Brazilian Journal of Infectious Diseases. 2012; 16(4):315-20. DOI: 10.1016/</w:t>
      </w:r>
      <w:proofErr w:type="spellStart"/>
      <w:r w:rsidRPr="00C46FEB">
        <w:rPr>
          <w:lang w:val="en-GB" w:eastAsia="es-PE"/>
        </w:rPr>
        <w:t>j.bjid.2012.06.006</w:t>
      </w:r>
      <w:proofErr w:type="spellEnd"/>
    </w:p>
    <w:p w14:paraId="25741641" w14:textId="77777777" w:rsidR="00C46FEB" w:rsidRPr="00C46FEB" w:rsidRDefault="00C46FEB" w:rsidP="00C46FEB">
      <w:pPr>
        <w:spacing w:line="360" w:lineRule="auto"/>
        <w:rPr>
          <w:lang w:val="en-US" w:eastAsia="es-PE"/>
        </w:rPr>
      </w:pPr>
      <w:r w:rsidRPr="00C46FEB">
        <w:rPr>
          <w:lang w:val="en-GB" w:eastAsia="es-PE"/>
        </w:rPr>
        <w:t xml:space="preserve">13. WHO. Mental Health and COVID-19: Early evidence of the pandemic’ s impact. World Health Organization. </w:t>
      </w:r>
      <w:r w:rsidRPr="00C46FEB">
        <w:rPr>
          <w:lang w:val="en-US" w:eastAsia="es-PE"/>
        </w:rPr>
        <w:t>2022 [</w:t>
      </w:r>
      <w:proofErr w:type="spellStart"/>
      <w:r w:rsidRPr="00C46FEB">
        <w:rPr>
          <w:lang w:val="en-US" w:eastAsia="es-PE"/>
        </w:rPr>
        <w:t>acceso</w:t>
      </w:r>
      <w:proofErr w:type="spellEnd"/>
      <w:r w:rsidRPr="00C46FEB">
        <w:rPr>
          <w:lang w:val="en-US" w:eastAsia="es-PE"/>
        </w:rPr>
        <w:t xml:space="preserve">: 22/07/2022]; 2(March):1–11. Disponible </w:t>
      </w:r>
      <w:proofErr w:type="spellStart"/>
      <w:r w:rsidRPr="00C46FEB">
        <w:rPr>
          <w:lang w:val="en-US" w:eastAsia="es-PE"/>
        </w:rPr>
        <w:t>en</w:t>
      </w:r>
      <w:proofErr w:type="spellEnd"/>
      <w:r w:rsidRPr="00C46FEB">
        <w:rPr>
          <w:lang w:val="en-US" w:eastAsia="es-PE"/>
        </w:rPr>
        <w:t xml:space="preserve">: </w:t>
      </w:r>
      <w:hyperlink r:id="rId20" w:history="1">
        <w:r w:rsidRPr="00C46FEB">
          <w:rPr>
            <w:rFonts w:eastAsia="Calibri"/>
            <w:color w:val="0000FF"/>
            <w:lang w:val="en-US" w:eastAsia="es-PE"/>
          </w:rPr>
          <w:t>https://www.who.int/publications/i/item/WHO-2019-nCoV-Sci_Brief-Mental_health-2022.1</w:t>
        </w:r>
      </w:hyperlink>
      <w:r w:rsidRPr="00C46FEB">
        <w:rPr>
          <w:lang w:val="en-US" w:eastAsia="es-PE"/>
        </w:rPr>
        <w:t xml:space="preserve">    </w:t>
      </w:r>
    </w:p>
    <w:p w14:paraId="71867FDF" w14:textId="77777777" w:rsidR="00C46FEB" w:rsidRPr="00C46FEB" w:rsidRDefault="00C46FEB" w:rsidP="00C46FEB">
      <w:pPr>
        <w:spacing w:line="360" w:lineRule="auto"/>
        <w:rPr>
          <w:lang w:val="es-PE" w:eastAsia="es-PE"/>
        </w:rPr>
      </w:pPr>
      <w:r w:rsidRPr="00C46FEB">
        <w:rPr>
          <w:lang w:val="es-PE" w:eastAsia="es-PE"/>
        </w:rPr>
        <w:t xml:space="preserve">14. Clemente-Suárez </w:t>
      </w:r>
      <w:proofErr w:type="spellStart"/>
      <w:r w:rsidRPr="00C46FEB">
        <w:rPr>
          <w:lang w:val="es-PE" w:eastAsia="es-PE"/>
        </w:rPr>
        <w:t>VJ</w:t>
      </w:r>
      <w:proofErr w:type="spellEnd"/>
      <w:r w:rsidRPr="00C46FEB">
        <w:rPr>
          <w:lang w:val="es-PE" w:eastAsia="es-PE"/>
        </w:rPr>
        <w:t xml:space="preserve">, Navarro-Jiménez E, </w:t>
      </w:r>
      <w:proofErr w:type="spellStart"/>
      <w:r w:rsidRPr="00C46FEB">
        <w:rPr>
          <w:lang w:val="es-PE" w:eastAsia="es-PE"/>
        </w:rPr>
        <w:t>Jimenez</w:t>
      </w:r>
      <w:proofErr w:type="spellEnd"/>
      <w:r w:rsidRPr="00C46FEB">
        <w:rPr>
          <w:lang w:val="es-PE" w:eastAsia="es-PE"/>
        </w:rPr>
        <w:t xml:space="preserve"> M, </w:t>
      </w:r>
      <w:proofErr w:type="spellStart"/>
      <w:r w:rsidRPr="00C46FEB">
        <w:rPr>
          <w:lang w:val="es-PE" w:eastAsia="es-PE"/>
        </w:rPr>
        <w:t>Hormeño</w:t>
      </w:r>
      <w:proofErr w:type="spellEnd"/>
      <w:r w:rsidRPr="00C46FEB">
        <w:rPr>
          <w:lang w:val="es-PE" w:eastAsia="es-PE"/>
        </w:rPr>
        <w:t xml:space="preserve">-Holgado A, </w:t>
      </w:r>
      <w:proofErr w:type="spellStart"/>
      <w:r w:rsidRPr="00C46FEB">
        <w:rPr>
          <w:lang w:val="es-PE" w:eastAsia="es-PE"/>
        </w:rPr>
        <w:t>Martinez-Gonzalez</w:t>
      </w:r>
      <w:proofErr w:type="spellEnd"/>
      <w:r w:rsidRPr="00C46FEB">
        <w:rPr>
          <w:lang w:val="es-PE" w:eastAsia="es-PE"/>
        </w:rPr>
        <w:t xml:space="preserve"> MB, </w:t>
      </w:r>
      <w:proofErr w:type="spellStart"/>
      <w:r w:rsidRPr="00C46FEB">
        <w:rPr>
          <w:lang w:val="es-PE" w:eastAsia="es-PE"/>
        </w:rPr>
        <w:t>Benitez</w:t>
      </w:r>
      <w:proofErr w:type="spellEnd"/>
      <w:r w:rsidRPr="00C46FEB">
        <w:rPr>
          <w:lang w:val="es-PE" w:eastAsia="es-PE"/>
        </w:rPr>
        <w:t xml:space="preserve">-Agudelo </w:t>
      </w:r>
      <w:proofErr w:type="spellStart"/>
      <w:r w:rsidRPr="00C46FEB">
        <w:rPr>
          <w:lang w:val="es-PE" w:eastAsia="es-PE"/>
        </w:rPr>
        <w:t>JC</w:t>
      </w:r>
      <w:proofErr w:type="spellEnd"/>
      <w:r w:rsidRPr="00C46FEB">
        <w:rPr>
          <w:lang w:val="es-PE" w:eastAsia="es-PE"/>
        </w:rPr>
        <w:t xml:space="preserve">, et al. </w:t>
      </w:r>
      <w:r w:rsidRPr="00C46FEB">
        <w:rPr>
          <w:lang w:val="en-GB" w:eastAsia="es-PE"/>
        </w:rPr>
        <w:t xml:space="preserve">Impact of COVID-19 Pandemic in Public Mental Health: An Extensive </w:t>
      </w:r>
      <w:r w:rsidRPr="00C46FEB">
        <w:rPr>
          <w:lang w:val="en-GB" w:eastAsia="es-PE"/>
        </w:rPr>
        <w:lastRenderedPageBreak/>
        <w:t xml:space="preserve">Narrative Review. </w:t>
      </w:r>
      <w:proofErr w:type="spellStart"/>
      <w:r w:rsidRPr="00C46FEB">
        <w:rPr>
          <w:lang w:val="es-PE" w:eastAsia="es-PE"/>
        </w:rPr>
        <w:t>Sustainability</w:t>
      </w:r>
      <w:proofErr w:type="spellEnd"/>
      <w:r w:rsidRPr="00C46FEB">
        <w:rPr>
          <w:lang w:val="es-PE" w:eastAsia="es-PE"/>
        </w:rPr>
        <w:t xml:space="preserve">. 2021 [acceso: 03/12/2022]; 13(6):3221. Disponible en: </w:t>
      </w:r>
      <w:hyperlink r:id="rId21" w:history="1">
        <w:r w:rsidRPr="00C46FEB">
          <w:rPr>
            <w:color w:val="0563C1"/>
            <w:lang w:val="es-PE" w:eastAsia="es-PE"/>
          </w:rPr>
          <w:t>https://www.mdpi.com/2071-1050/13/6/3221</w:t>
        </w:r>
      </w:hyperlink>
      <w:r w:rsidRPr="00C46FEB">
        <w:rPr>
          <w:lang w:val="es-PE" w:eastAsia="es-PE"/>
        </w:rPr>
        <w:t xml:space="preserve"> </w:t>
      </w:r>
    </w:p>
    <w:p w14:paraId="4FE47A0F" w14:textId="77777777" w:rsidR="00C46FEB" w:rsidRPr="00C46FEB" w:rsidRDefault="00C46FEB" w:rsidP="00C46FEB">
      <w:pPr>
        <w:spacing w:line="360" w:lineRule="auto"/>
        <w:rPr>
          <w:lang w:val="es-PE" w:eastAsia="es-PE"/>
        </w:rPr>
      </w:pPr>
      <w:r w:rsidRPr="00C46FEB">
        <w:rPr>
          <w:lang w:val="es-PE" w:eastAsia="es-PE"/>
        </w:rPr>
        <w:t xml:space="preserve">15. Enrique J, </w:t>
      </w:r>
      <w:proofErr w:type="spellStart"/>
      <w:r w:rsidRPr="00C46FEB">
        <w:rPr>
          <w:lang w:val="es-PE" w:eastAsia="es-PE"/>
        </w:rPr>
        <w:t>Bastán</w:t>
      </w:r>
      <w:proofErr w:type="spellEnd"/>
      <w:r w:rsidRPr="00C46FEB">
        <w:rPr>
          <w:lang w:val="es-PE" w:eastAsia="es-PE"/>
        </w:rPr>
        <w:t xml:space="preserve"> P. Factores asociados a la no adherencia terapéutica a los antirretrovirales en personas con VIH / sida. </w:t>
      </w:r>
      <w:proofErr w:type="spellStart"/>
      <w:r w:rsidRPr="00C46FEB">
        <w:rPr>
          <w:lang w:val="es-PE" w:eastAsia="es-PE"/>
        </w:rPr>
        <w:t>Rev</w:t>
      </w:r>
      <w:proofErr w:type="spellEnd"/>
      <w:r w:rsidRPr="00C46FEB">
        <w:rPr>
          <w:lang w:val="es-PE" w:eastAsia="es-PE"/>
        </w:rPr>
        <w:t xml:space="preserve"> </w:t>
      </w:r>
      <w:proofErr w:type="gramStart"/>
      <w:r w:rsidRPr="00C46FEB">
        <w:rPr>
          <w:lang w:val="es-PE" w:eastAsia="es-PE"/>
        </w:rPr>
        <w:t>Cubana</w:t>
      </w:r>
      <w:proofErr w:type="gramEnd"/>
      <w:r w:rsidRPr="00C46FEB">
        <w:rPr>
          <w:lang w:val="es-PE" w:eastAsia="es-PE"/>
        </w:rPr>
        <w:t xml:space="preserve"> </w:t>
      </w:r>
      <w:proofErr w:type="spellStart"/>
      <w:r w:rsidRPr="00C46FEB">
        <w:rPr>
          <w:lang w:val="es-PE" w:eastAsia="es-PE"/>
        </w:rPr>
        <w:t>Med</w:t>
      </w:r>
      <w:proofErr w:type="spellEnd"/>
      <w:r w:rsidRPr="00C46FEB">
        <w:rPr>
          <w:lang w:val="es-PE" w:eastAsia="es-PE"/>
        </w:rPr>
        <w:t xml:space="preserve"> </w:t>
      </w:r>
      <w:proofErr w:type="spellStart"/>
      <w:r w:rsidRPr="00C46FEB">
        <w:rPr>
          <w:lang w:val="es-PE" w:eastAsia="es-PE"/>
        </w:rPr>
        <w:t>Trop</w:t>
      </w:r>
      <w:proofErr w:type="spellEnd"/>
      <w:r w:rsidRPr="00C46FEB">
        <w:rPr>
          <w:lang w:val="es-PE" w:eastAsia="es-PE"/>
        </w:rPr>
        <w:t xml:space="preserve">. 2020 [acceso: 10/02/2022]; 72(2):1–14. Disponible en: </w:t>
      </w:r>
      <w:hyperlink r:id="rId22" w:history="1">
        <w:r w:rsidRPr="00C46FEB">
          <w:rPr>
            <w:color w:val="0563C1"/>
            <w:lang w:val="es-PE" w:eastAsia="es-PE"/>
          </w:rPr>
          <w:t>http://scielo.sld.cu/scielo.php?script=sci_arttext&amp;pid=S0375-07602020000200003</w:t>
        </w:r>
      </w:hyperlink>
      <w:r w:rsidRPr="00C46FEB">
        <w:rPr>
          <w:lang w:val="es-PE" w:eastAsia="es-PE"/>
        </w:rPr>
        <w:t xml:space="preserve"> </w:t>
      </w:r>
    </w:p>
    <w:p w14:paraId="0B2B6898" w14:textId="77777777" w:rsidR="00C46FEB" w:rsidRPr="00C46FEB" w:rsidRDefault="00C46FEB" w:rsidP="00C46FEB">
      <w:pPr>
        <w:spacing w:line="360" w:lineRule="auto"/>
        <w:rPr>
          <w:lang w:val="es-PE" w:eastAsia="es-PE"/>
        </w:rPr>
      </w:pPr>
      <w:r w:rsidRPr="00C46FEB">
        <w:rPr>
          <w:lang w:val="es-PE" w:eastAsia="es-PE"/>
        </w:rPr>
        <w:t xml:space="preserve">16. Pérez J, Viana L. Factores asociados a la no adherencia terapéutica a los antirretrovirales en personas con VIH/sida. </w:t>
      </w:r>
      <w:proofErr w:type="spellStart"/>
      <w:r w:rsidRPr="00C46FEB">
        <w:rPr>
          <w:lang w:val="es-PE" w:eastAsia="es-PE"/>
        </w:rPr>
        <w:t>Rev</w:t>
      </w:r>
      <w:proofErr w:type="spellEnd"/>
      <w:r w:rsidRPr="00C46FEB">
        <w:rPr>
          <w:lang w:val="es-PE" w:eastAsia="es-PE"/>
        </w:rPr>
        <w:t xml:space="preserve"> </w:t>
      </w:r>
      <w:proofErr w:type="gramStart"/>
      <w:r w:rsidRPr="00C46FEB">
        <w:rPr>
          <w:lang w:val="es-PE" w:eastAsia="es-PE"/>
        </w:rPr>
        <w:t>Cubana</w:t>
      </w:r>
      <w:proofErr w:type="gramEnd"/>
      <w:r w:rsidRPr="00C46FEB">
        <w:rPr>
          <w:lang w:val="es-PE" w:eastAsia="es-PE"/>
        </w:rPr>
        <w:t xml:space="preserve"> </w:t>
      </w:r>
      <w:proofErr w:type="spellStart"/>
      <w:r w:rsidRPr="00C46FEB">
        <w:rPr>
          <w:lang w:val="es-PE" w:eastAsia="es-PE"/>
        </w:rPr>
        <w:t>Med</w:t>
      </w:r>
      <w:proofErr w:type="spellEnd"/>
      <w:r w:rsidRPr="00C46FEB">
        <w:rPr>
          <w:lang w:val="es-PE" w:eastAsia="es-PE"/>
        </w:rPr>
        <w:t xml:space="preserve"> </w:t>
      </w:r>
      <w:proofErr w:type="spellStart"/>
      <w:r w:rsidRPr="00C46FEB">
        <w:rPr>
          <w:lang w:val="es-PE" w:eastAsia="es-PE"/>
        </w:rPr>
        <w:t>Trop</w:t>
      </w:r>
      <w:proofErr w:type="spellEnd"/>
      <w:r w:rsidRPr="00C46FEB">
        <w:rPr>
          <w:lang w:val="es-PE" w:eastAsia="es-PE"/>
        </w:rPr>
        <w:t xml:space="preserve">. 2020 [acceso: 15/05/2022];72(2):1–14. Disponible en: </w:t>
      </w:r>
      <w:hyperlink r:id="rId23" w:history="1">
        <w:r w:rsidRPr="00C46FEB">
          <w:rPr>
            <w:color w:val="0563C1"/>
            <w:lang w:val="es-PE" w:eastAsia="es-PE"/>
          </w:rPr>
          <w:t>https://pesquisa.bvsalud.org/portal/resource/pt/biblio-1149910</w:t>
        </w:r>
      </w:hyperlink>
      <w:r w:rsidRPr="00C46FEB">
        <w:rPr>
          <w:lang w:val="es-PE" w:eastAsia="es-PE"/>
        </w:rPr>
        <w:t xml:space="preserve"> </w:t>
      </w:r>
    </w:p>
    <w:p w14:paraId="1B584C37" w14:textId="77777777" w:rsidR="00C46FEB" w:rsidRPr="00C46FEB" w:rsidRDefault="00C46FEB" w:rsidP="00C46FEB">
      <w:pPr>
        <w:spacing w:line="360" w:lineRule="auto"/>
        <w:rPr>
          <w:lang w:val="es-PE" w:eastAsia="es-PE"/>
        </w:rPr>
      </w:pPr>
      <w:r w:rsidRPr="00C46FEB">
        <w:rPr>
          <w:lang w:val="es-PE" w:eastAsia="es-PE"/>
        </w:rPr>
        <w:t xml:space="preserve">17. Urizar C, </w:t>
      </w:r>
      <w:proofErr w:type="spellStart"/>
      <w:r w:rsidRPr="00C46FEB">
        <w:rPr>
          <w:lang w:val="es-PE" w:eastAsia="es-PE"/>
        </w:rPr>
        <w:t>Jarolin</w:t>
      </w:r>
      <w:proofErr w:type="spellEnd"/>
      <w:r w:rsidRPr="00C46FEB">
        <w:rPr>
          <w:lang w:val="es-PE" w:eastAsia="es-PE"/>
        </w:rPr>
        <w:t>-Montiel M, Ayala-</w:t>
      </w:r>
      <w:proofErr w:type="spellStart"/>
      <w:r w:rsidRPr="00C46FEB">
        <w:rPr>
          <w:lang w:val="es-PE" w:eastAsia="es-PE"/>
        </w:rPr>
        <w:t>Servin</w:t>
      </w:r>
      <w:proofErr w:type="spellEnd"/>
      <w:r w:rsidRPr="00C46FEB">
        <w:rPr>
          <w:lang w:val="es-PE" w:eastAsia="es-PE"/>
        </w:rPr>
        <w:t xml:space="preserve"> N, Centurión-</w:t>
      </w:r>
      <w:proofErr w:type="spellStart"/>
      <w:r w:rsidRPr="00C46FEB">
        <w:rPr>
          <w:lang w:val="es-PE" w:eastAsia="es-PE"/>
        </w:rPr>
        <w:t>Wenninger</w:t>
      </w:r>
      <w:proofErr w:type="spellEnd"/>
      <w:r w:rsidRPr="00C46FEB">
        <w:rPr>
          <w:lang w:val="es-PE" w:eastAsia="es-PE"/>
        </w:rPr>
        <w:t xml:space="preserve"> C, Montiel-Garcete D. Factores Asociados a la no adherencia del tratamiento Antirretroviral en Pacientes con VIH en un hospital de Paraguay. </w:t>
      </w:r>
      <w:proofErr w:type="spellStart"/>
      <w:r w:rsidRPr="00C46FEB">
        <w:rPr>
          <w:lang w:val="es-PE" w:eastAsia="es-PE"/>
        </w:rPr>
        <w:t>Rev</w:t>
      </w:r>
      <w:proofErr w:type="spellEnd"/>
      <w:r w:rsidRPr="00C46FEB">
        <w:rPr>
          <w:lang w:val="es-PE" w:eastAsia="es-PE"/>
        </w:rPr>
        <w:t xml:space="preserve"> </w:t>
      </w:r>
      <w:proofErr w:type="spellStart"/>
      <w:r w:rsidRPr="00C46FEB">
        <w:rPr>
          <w:lang w:val="es-PE" w:eastAsia="es-PE"/>
        </w:rPr>
        <w:t>Cient</w:t>
      </w:r>
      <w:proofErr w:type="spellEnd"/>
      <w:r w:rsidRPr="00C46FEB">
        <w:rPr>
          <w:lang w:val="es-PE" w:eastAsia="es-PE"/>
        </w:rPr>
        <w:t xml:space="preserve"> </w:t>
      </w:r>
      <w:proofErr w:type="spellStart"/>
      <w:r w:rsidRPr="00C46FEB">
        <w:rPr>
          <w:lang w:val="es-PE" w:eastAsia="es-PE"/>
        </w:rPr>
        <w:t>Cienc</w:t>
      </w:r>
      <w:proofErr w:type="spellEnd"/>
      <w:r w:rsidRPr="00C46FEB">
        <w:rPr>
          <w:lang w:val="es-PE" w:eastAsia="es-PE"/>
        </w:rPr>
        <w:t xml:space="preserve"> Medica. 2021 [acceso: 06/02/2022]; 23(2):166–74. Disponible en: </w:t>
      </w:r>
      <w:hyperlink r:id="rId24" w:history="1">
        <w:r w:rsidRPr="00C46FEB">
          <w:rPr>
            <w:color w:val="0563C1"/>
            <w:lang w:val="es-PE" w:eastAsia="es-PE"/>
          </w:rPr>
          <w:t>https://rccm-umss.com/index.php/revistacientificacienciamedica/article/view/287</w:t>
        </w:r>
      </w:hyperlink>
      <w:r w:rsidRPr="00C46FEB">
        <w:rPr>
          <w:lang w:val="es-PE" w:eastAsia="es-PE"/>
        </w:rPr>
        <w:t xml:space="preserve"> </w:t>
      </w:r>
    </w:p>
    <w:p w14:paraId="257087EA" w14:textId="77777777" w:rsidR="00C46FEB" w:rsidRPr="00C46FEB" w:rsidRDefault="00C46FEB" w:rsidP="00C46FEB">
      <w:pPr>
        <w:spacing w:line="360" w:lineRule="auto"/>
        <w:rPr>
          <w:lang w:val="es-PE" w:eastAsia="es-PE"/>
        </w:rPr>
      </w:pPr>
      <w:r w:rsidRPr="00C46FEB">
        <w:rPr>
          <w:lang w:val="en-GB" w:eastAsia="es-PE"/>
        </w:rPr>
        <w:t xml:space="preserve">18. Varela M, Galdames S. Depression and HAART adherence in HIV infected patients attending Hospital San Pablo of Coquimbo, Chile. </w:t>
      </w:r>
      <w:proofErr w:type="spellStart"/>
      <w:r w:rsidRPr="00C46FEB">
        <w:rPr>
          <w:lang w:val="es-PE" w:eastAsia="es-PE"/>
        </w:rPr>
        <w:t>Rev</w:t>
      </w:r>
      <w:proofErr w:type="spellEnd"/>
      <w:r w:rsidRPr="00C46FEB">
        <w:rPr>
          <w:lang w:val="es-PE" w:eastAsia="es-PE"/>
        </w:rPr>
        <w:t xml:space="preserve"> </w:t>
      </w:r>
      <w:proofErr w:type="gramStart"/>
      <w:r w:rsidRPr="00C46FEB">
        <w:rPr>
          <w:lang w:val="es-PE" w:eastAsia="es-PE"/>
        </w:rPr>
        <w:t>Chilena</w:t>
      </w:r>
      <w:proofErr w:type="gramEnd"/>
      <w:r w:rsidRPr="00C46FEB">
        <w:rPr>
          <w:lang w:val="es-PE" w:eastAsia="es-PE"/>
        </w:rPr>
        <w:t xml:space="preserve"> </w:t>
      </w:r>
      <w:proofErr w:type="spellStart"/>
      <w:r w:rsidRPr="00C46FEB">
        <w:rPr>
          <w:lang w:val="es-PE" w:eastAsia="es-PE"/>
        </w:rPr>
        <w:t>Infectol</w:t>
      </w:r>
      <w:proofErr w:type="spellEnd"/>
      <w:r w:rsidRPr="00C46FEB">
        <w:rPr>
          <w:lang w:val="es-PE" w:eastAsia="es-PE"/>
        </w:rPr>
        <w:t xml:space="preserve">. 2014 [acceso: 30/07/2022]; 31(3):323–8. Disponible en: </w:t>
      </w:r>
      <w:hyperlink r:id="rId25" w:history="1">
        <w:r w:rsidRPr="00C46FEB">
          <w:rPr>
            <w:color w:val="0563C1"/>
            <w:lang w:val="es-PE" w:eastAsia="es-PE"/>
          </w:rPr>
          <w:t>http://www.ncbi.nlm.nih.gov/pubmed/25146207</w:t>
        </w:r>
      </w:hyperlink>
      <w:r w:rsidRPr="00C46FEB">
        <w:rPr>
          <w:lang w:val="es-PE" w:eastAsia="es-PE"/>
        </w:rPr>
        <w:t xml:space="preserve"> </w:t>
      </w:r>
    </w:p>
    <w:p w14:paraId="691ADCBE" w14:textId="77777777" w:rsidR="00C46FEB" w:rsidRPr="00C46FEB" w:rsidRDefault="00C46FEB" w:rsidP="00C46FEB">
      <w:pPr>
        <w:spacing w:line="360" w:lineRule="auto"/>
        <w:rPr>
          <w:lang w:val="en-GB" w:eastAsia="es-PE"/>
        </w:rPr>
      </w:pPr>
      <w:r w:rsidRPr="00C46FEB">
        <w:rPr>
          <w:lang w:val="en-GB" w:eastAsia="es-PE"/>
        </w:rPr>
        <w:t xml:space="preserve">19. </w:t>
      </w:r>
      <w:proofErr w:type="spellStart"/>
      <w:r w:rsidRPr="00C46FEB">
        <w:rPr>
          <w:lang w:val="en-GB" w:eastAsia="es-PE"/>
        </w:rPr>
        <w:t>Demsie</w:t>
      </w:r>
      <w:proofErr w:type="spellEnd"/>
      <w:r w:rsidRPr="00C46FEB">
        <w:rPr>
          <w:lang w:val="en-GB" w:eastAsia="es-PE"/>
        </w:rPr>
        <w:t xml:space="preserve"> DG, </w:t>
      </w:r>
      <w:proofErr w:type="spellStart"/>
      <w:r w:rsidRPr="00C46FEB">
        <w:rPr>
          <w:lang w:val="en-GB" w:eastAsia="es-PE"/>
        </w:rPr>
        <w:t>Bantie</w:t>
      </w:r>
      <w:proofErr w:type="spellEnd"/>
      <w:r w:rsidRPr="00C46FEB">
        <w:rPr>
          <w:lang w:val="en-GB" w:eastAsia="es-PE"/>
        </w:rPr>
        <w:t xml:space="preserve"> AT, </w:t>
      </w:r>
      <w:proofErr w:type="spellStart"/>
      <w:r w:rsidRPr="00C46FEB">
        <w:rPr>
          <w:lang w:val="en-GB" w:eastAsia="es-PE"/>
        </w:rPr>
        <w:t>Allene</w:t>
      </w:r>
      <w:proofErr w:type="spellEnd"/>
      <w:r w:rsidRPr="00C46FEB">
        <w:rPr>
          <w:lang w:val="en-GB" w:eastAsia="es-PE"/>
        </w:rPr>
        <w:t xml:space="preserve"> MD, Alema NM, </w:t>
      </w:r>
      <w:proofErr w:type="spellStart"/>
      <w:r w:rsidRPr="00C46FEB">
        <w:rPr>
          <w:lang w:val="en-GB" w:eastAsia="es-PE"/>
        </w:rPr>
        <w:t>Gebrie</w:t>
      </w:r>
      <w:proofErr w:type="spellEnd"/>
      <w:r w:rsidRPr="00C46FEB">
        <w:rPr>
          <w:lang w:val="en-GB" w:eastAsia="es-PE"/>
        </w:rPr>
        <w:t xml:space="preserve"> D. Antiretroviral treatment failure among HIV-positive adults taking first-line therapy and associated risk factors at </w:t>
      </w:r>
      <w:proofErr w:type="spellStart"/>
      <w:r w:rsidRPr="00C46FEB">
        <w:rPr>
          <w:lang w:val="en-GB" w:eastAsia="es-PE"/>
        </w:rPr>
        <w:t>Adigrat</w:t>
      </w:r>
      <w:proofErr w:type="spellEnd"/>
      <w:r w:rsidRPr="00C46FEB">
        <w:rPr>
          <w:lang w:val="en-GB" w:eastAsia="es-PE"/>
        </w:rPr>
        <w:t xml:space="preserve"> General hospital, </w:t>
      </w:r>
      <w:proofErr w:type="spellStart"/>
      <w:r w:rsidRPr="00C46FEB">
        <w:rPr>
          <w:lang w:val="en-GB" w:eastAsia="es-PE"/>
        </w:rPr>
        <w:t>Adigart</w:t>
      </w:r>
      <w:proofErr w:type="spellEnd"/>
      <w:r w:rsidRPr="00C46FEB">
        <w:rPr>
          <w:lang w:val="en-GB" w:eastAsia="es-PE"/>
        </w:rPr>
        <w:t xml:space="preserve">, Ethiopia 2019: A cross sectional study. Int J </w:t>
      </w:r>
      <w:proofErr w:type="spellStart"/>
      <w:r w:rsidRPr="00C46FEB">
        <w:rPr>
          <w:lang w:val="en-GB" w:eastAsia="es-PE"/>
        </w:rPr>
        <w:t>Surg</w:t>
      </w:r>
      <w:proofErr w:type="spellEnd"/>
      <w:r w:rsidRPr="00C46FEB">
        <w:rPr>
          <w:lang w:val="en-GB" w:eastAsia="es-PE"/>
        </w:rPr>
        <w:t xml:space="preserve"> Open. 2020; 26:16–21. DOI: 10.1016/</w:t>
      </w:r>
      <w:proofErr w:type="spellStart"/>
      <w:r w:rsidRPr="00C46FEB">
        <w:rPr>
          <w:lang w:val="en-GB" w:eastAsia="es-PE"/>
        </w:rPr>
        <w:t>j.ijso.2020.08.001</w:t>
      </w:r>
      <w:proofErr w:type="spellEnd"/>
    </w:p>
    <w:p w14:paraId="469362D4" w14:textId="77777777" w:rsidR="00C46FEB" w:rsidRPr="00C46FEB" w:rsidRDefault="00C46FEB" w:rsidP="00C46FEB">
      <w:pPr>
        <w:spacing w:line="360" w:lineRule="auto"/>
        <w:rPr>
          <w:lang w:val="en-GB" w:eastAsia="es-PE"/>
        </w:rPr>
      </w:pPr>
      <w:r w:rsidRPr="00C46FEB">
        <w:rPr>
          <w:lang w:val="en-GB" w:eastAsia="es-PE"/>
        </w:rPr>
        <w:t xml:space="preserve">20. </w:t>
      </w:r>
      <w:proofErr w:type="spellStart"/>
      <w:r w:rsidRPr="00C46FEB">
        <w:rPr>
          <w:lang w:val="en-GB" w:eastAsia="es-PE"/>
        </w:rPr>
        <w:t>Dorcélus</w:t>
      </w:r>
      <w:proofErr w:type="spellEnd"/>
      <w:r w:rsidRPr="00C46FEB">
        <w:rPr>
          <w:lang w:val="en-GB" w:eastAsia="es-PE"/>
        </w:rPr>
        <w:t xml:space="preserve"> L, Bernard J, </w:t>
      </w:r>
      <w:proofErr w:type="spellStart"/>
      <w:r w:rsidRPr="00C46FEB">
        <w:rPr>
          <w:lang w:val="en-GB" w:eastAsia="es-PE"/>
        </w:rPr>
        <w:t>Georgery</w:t>
      </w:r>
      <w:proofErr w:type="spellEnd"/>
      <w:r w:rsidRPr="00C46FEB">
        <w:rPr>
          <w:lang w:val="en-GB" w:eastAsia="es-PE"/>
        </w:rPr>
        <w:t xml:space="preserve"> C, Vanessa C. Factors associated with antiretroviral therapy adherence among people living with HIV in Haiti: a cross-sectional study. AIDS Res Ther. 2021;18(1):81. DOI: 10.1186/</w:t>
      </w:r>
      <w:proofErr w:type="spellStart"/>
      <w:r w:rsidRPr="00C46FEB">
        <w:rPr>
          <w:lang w:val="en-GB" w:eastAsia="es-PE"/>
        </w:rPr>
        <w:t>s12981</w:t>
      </w:r>
      <w:proofErr w:type="spellEnd"/>
      <w:r w:rsidRPr="00C46FEB">
        <w:rPr>
          <w:lang w:val="en-GB" w:eastAsia="es-PE"/>
        </w:rPr>
        <w:t>-021-00405-4</w:t>
      </w:r>
    </w:p>
    <w:p w14:paraId="1F4337E2" w14:textId="77777777" w:rsidR="00C46FEB" w:rsidRPr="00C46FEB" w:rsidRDefault="00C46FEB" w:rsidP="00C46FEB">
      <w:pPr>
        <w:pBdr>
          <w:top w:val="nil"/>
          <w:left w:val="nil"/>
          <w:bottom w:val="nil"/>
          <w:right w:val="nil"/>
          <w:between w:val="nil"/>
        </w:pBdr>
        <w:spacing w:line="360" w:lineRule="auto"/>
        <w:rPr>
          <w:lang w:val="es-PE" w:eastAsia="es-PE"/>
        </w:rPr>
      </w:pPr>
      <w:r w:rsidRPr="00C46FEB">
        <w:rPr>
          <w:color w:val="000000"/>
          <w:lang w:val="en-US" w:eastAsia="es-PE"/>
        </w:rPr>
        <w:t xml:space="preserve">21. </w:t>
      </w:r>
      <w:proofErr w:type="spellStart"/>
      <w:r w:rsidRPr="00C46FEB">
        <w:rPr>
          <w:color w:val="000000"/>
          <w:lang w:val="en-US" w:eastAsia="es-PE"/>
        </w:rPr>
        <w:t>Lailulo</w:t>
      </w:r>
      <w:proofErr w:type="spellEnd"/>
      <w:r w:rsidRPr="00C46FEB">
        <w:rPr>
          <w:color w:val="000000"/>
          <w:lang w:val="en-US" w:eastAsia="es-PE"/>
        </w:rPr>
        <w:t xml:space="preserve"> Y, Kitenge M, Jaffer S, Aluko O, Nyasulu PS. </w:t>
      </w:r>
      <w:r w:rsidRPr="00C46FEB">
        <w:rPr>
          <w:color w:val="000000"/>
          <w:lang w:val="en-GB" w:eastAsia="es-PE"/>
        </w:rPr>
        <w:t xml:space="preserve">Factors associated with antiretroviral treatment failure among people living with HIV on antiretroviral therapy in resource-poor settings: a systematic review and </w:t>
      </w:r>
      <w:proofErr w:type="spellStart"/>
      <w:r w:rsidRPr="00C46FEB">
        <w:rPr>
          <w:color w:val="000000"/>
          <w:lang w:val="en-GB" w:eastAsia="es-PE"/>
        </w:rPr>
        <w:t>metaanalysis</w:t>
      </w:r>
      <w:proofErr w:type="spellEnd"/>
      <w:r w:rsidRPr="00C46FEB">
        <w:rPr>
          <w:color w:val="000000"/>
          <w:lang w:val="en-GB" w:eastAsia="es-PE"/>
        </w:rPr>
        <w:t xml:space="preserve">. </w:t>
      </w:r>
      <w:proofErr w:type="spellStart"/>
      <w:r w:rsidRPr="00C46FEB">
        <w:rPr>
          <w:color w:val="000000"/>
          <w:lang w:val="es-PE" w:eastAsia="es-PE"/>
        </w:rPr>
        <w:t>Syst</w:t>
      </w:r>
      <w:proofErr w:type="spellEnd"/>
      <w:r w:rsidRPr="00C46FEB">
        <w:rPr>
          <w:color w:val="000000"/>
          <w:lang w:val="es-PE" w:eastAsia="es-PE"/>
        </w:rPr>
        <w:t xml:space="preserve"> Rev. 2020 [acceso: 11/04/2022]; 9(1):292. Disponible en: </w:t>
      </w:r>
      <w:hyperlink r:id="rId26" w:history="1">
        <w:r w:rsidRPr="00C46FEB">
          <w:rPr>
            <w:color w:val="0563C1"/>
            <w:lang w:val="es-PE" w:eastAsia="es-PE"/>
          </w:rPr>
          <w:t>https://systematicreviewsjournal.biomedcentral.com/articles/10.1186/s13643-020-01524-1</w:t>
        </w:r>
      </w:hyperlink>
      <w:r w:rsidRPr="00C46FEB">
        <w:rPr>
          <w:color w:val="000000"/>
          <w:lang w:val="es-PE" w:eastAsia="es-PE"/>
        </w:rPr>
        <w:t xml:space="preserve">   </w:t>
      </w:r>
    </w:p>
    <w:p w14:paraId="70C39CE9" w14:textId="77777777" w:rsidR="00C46FEB" w:rsidRPr="00C46FEB" w:rsidRDefault="00C46FEB" w:rsidP="00C46FEB">
      <w:pPr>
        <w:spacing w:line="360" w:lineRule="auto"/>
        <w:jc w:val="both"/>
        <w:rPr>
          <w:lang w:val="es-PE" w:eastAsia="es-PE"/>
        </w:rPr>
      </w:pPr>
    </w:p>
    <w:p w14:paraId="1B677F3F" w14:textId="77777777" w:rsidR="00C46FEB" w:rsidRPr="00C46FEB" w:rsidRDefault="00C46FEB" w:rsidP="00C46FEB">
      <w:pPr>
        <w:spacing w:line="360" w:lineRule="auto"/>
        <w:jc w:val="both"/>
        <w:rPr>
          <w:lang w:val="es-PE" w:eastAsia="es-PE"/>
        </w:rPr>
      </w:pPr>
    </w:p>
    <w:p w14:paraId="6C895D3D" w14:textId="77777777" w:rsidR="00C46FEB" w:rsidRPr="00C46FEB" w:rsidRDefault="00C46FEB" w:rsidP="00C46FEB">
      <w:pPr>
        <w:spacing w:line="360" w:lineRule="auto"/>
        <w:jc w:val="center"/>
        <w:rPr>
          <w:b/>
          <w:lang w:val="es-PE" w:eastAsia="es-PE"/>
        </w:rPr>
      </w:pPr>
      <w:r w:rsidRPr="00C46FEB">
        <w:rPr>
          <w:b/>
          <w:lang w:val="es-PE" w:eastAsia="es-PE"/>
        </w:rPr>
        <w:lastRenderedPageBreak/>
        <w:t>Conflictos de interés</w:t>
      </w:r>
    </w:p>
    <w:p w14:paraId="6CCAE6B1" w14:textId="77777777" w:rsidR="00C46FEB" w:rsidRPr="00C46FEB" w:rsidRDefault="00C46FEB" w:rsidP="00C46FEB">
      <w:pPr>
        <w:spacing w:line="360" w:lineRule="auto"/>
        <w:jc w:val="both"/>
        <w:rPr>
          <w:lang w:val="es-PE" w:eastAsia="es-PE"/>
        </w:rPr>
      </w:pPr>
      <w:r w:rsidRPr="00C46FEB">
        <w:rPr>
          <w:lang w:val="es-PE" w:eastAsia="es-PE"/>
        </w:rPr>
        <w:t>Los autores declaran no tener conflictos de interés con respecto a la investigación, autoría y publicación del presente artículo de investigación. Los autores no recibieron apoyo financiero de ningún tipo para la realización de la presente investigación.</w:t>
      </w:r>
    </w:p>
    <w:p w14:paraId="3F01061E" w14:textId="77777777" w:rsidR="00C46FEB" w:rsidRPr="00C46FEB" w:rsidRDefault="00C46FEB" w:rsidP="00C46FEB">
      <w:pPr>
        <w:spacing w:line="360" w:lineRule="auto"/>
        <w:jc w:val="both"/>
        <w:rPr>
          <w:b/>
          <w:lang w:val="es-PE" w:eastAsia="es-PE"/>
        </w:rPr>
      </w:pPr>
    </w:p>
    <w:p w14:paraId="25548371" w14:textId="77777777" w:rsidR="00C46FEB" w:rsidRPr="00C46FEB" w:rsidRDefault="00C46FEB" w:rsidP="00C46FEB">
      <w:pPr>
        <w:spacing w:line="360" w:lineRule="auto"/>
        <w:jc w:val="center"/>
        <w:rPr>
          <w:b/>
          <w:lang w:val="es-PE" w:eastAsia="es-PE"/>
        </w:rPr>
      </w:pPr>
      <w:r w:rsidRPr="00C46FEB">
        <w:rPr>
          <w:b/>
          <w:lang w:val="es-PE" w:eastAsia="es-PE"/>
        </w:rPr>
        <w:t>Contribuciones de los autores</w:t>
      </w:r>
    </w:p>
    <w:p w14:paraId="36435806" w14:textId="77777777" w:rsidR="00C46FEB" w:rsidRPr="00C46FEB" w:rsidRDefault="00C46FEB" w:rsidP="00C46FEB">
      <w:pPr>
        <w:spacing w:line="360" w:lineRule="auto"/>
        <w:rPr>
          <w:rFonts w:eastAsia="Calibri"/>
          <w:i/>
          <w:sz w:val="22"/>
          <w:szCs w:val="22"/>
          <w:lang w:val="es-PE" w:eastAsia="es-PE"/>
        </w:rPr>
      </w:pPr>
      <w:r w:rsidRPr="00C46FEB">
        <w:rPr>
          <w:lang w:val="es-PE" w:eastAsia="es-PE"/>
        </w:rPr>
        <w:t xml:space="preserve">Conceptualización: </w:t>
      </w:r>
      <w:r w:rsidRPr="00C46FEB">
        <w:rPr>
          <w:i/>
          <w:lang w:val="es-PE" w:eastAsia="es-PE"/>
        </w:rPr>
        <w:t xml:space="preserve">David </w:t>
      </w:r>
      <w:proofErr w:type="spellStart"/>
      <w:r w:rsidRPr="00C46FEB">
        <w:rPr>
          <w:i/>
          <w:lang w:val="es-PE" w:eastAsia="es-PE"/>
        </w:rPr>
        <w:t>Dali</w:t>
      </w:r>
      <w:proofErr w:type="spellEnd"/>
      <w:r w:rsidRPr="00C46FEB">
        <w:rPr>
          <w:i/>
          <w:lang w:val="es-PE" w:eastAsia="es-PE"/>
        </w:rPr>
        <w:t xml:space="preserve"> Vargas Galindo, Luis Enrique Nieves </w:t>
      </w:r>
      <w:proofErr w:type="spellStart"/>
      <w:r w:rsidRPr="00C46FEB">
        <w:rPr>
          <w:i/>
          <w:lang w:val="es-PE" w:eastAsia="es-PE"/>
        </w:rPr>
        <w:t>Cordova</w:t>
      </w:r>
      <w:proofErr w:type="spellEnd"/>
      <w:r w:rsidRPr="00C46FEB">
        <w:rPr>
          <w:i/>
          <w:lang w:val="es-PE" w:eastAsia="es-PE"/>
        </w:rPr>
        <w:t>.</w:t>
      </w:r>
    </w:p>
    <w:p w14:paraId="5094AD14" w14:textId="77777777" w:rsidR="00C46FEB" w:rsidRPr="00C46FEB" w:rsidRDefault="00C46FEB" w:rsidP="00C46FEB">
      <w:pPr>
        <w:spacing w:line="360" w:lineRule="auto"/>
        <w:jc w:val="both"/>
        <w:rPr>
          <w:i/>
          <w:lang w:val="es-PE" w:eastAsia="es-PE"/>
        </w:rPr>
      </w:pPr>
      <w:r w:rsidRPr="00C46FEB">
        <w:rPr>
          <w:lang w:val="es-PE" w:eastAsia="es-PE"/>
        </w:rPr>
        <w:t xml:space="preserve">Curación de datos: </w:t>
      </w:r>
      <w:r w:rsidRPr="00C46FEB">
        <w:rPr>
          <w:i/>
          <w:lang w:val="es-PE" w:eastAsia="es-PE"/>
        </w:rPr>
        <w:t xml:space="preserve">Joseph </w:t>
      </w:r>
      <w:proofErr w:type="spellStart"/>
      <w:r w:rsidRPr="00C46FEB">
        <w:rPr>
          <w:i/>
          <w:lang w:val="es-PE" w:eastAsia="es-PE"/>
        </w:rPr>
        <w:t>Alburqueque</w:t>
      </w:r>
      <w:proofErr w:type="spellEnd"/>
      <w:r w:rsidRPr="00C46FEB">
        <w:rPr>
          <w:i/>
          <w:lang w:val="es-PE" w:eastAsia="es-PE"/>
        </w:rPr>
        <w:t xml:space="preserve"> Melgarejo, Juan Carlos Roque-Quezada, David </w:t>
      </w:r>
      <w:proofErr w:type="spellStart"/>
      <w:r w:rsidRPr="00C46FEB">
        <w:rPr>
          <w:i/>
          <w:lang w:val="es-PE" w:eastAsia="es-PE"/>
        </w:rPr>
        <w:t>Dali</w:t>
      </w:r>
      <w:proofErr w:type="spellEnd"/>
      <w:r w:rsidRPr="00C46FEB">
        <w:rPr>
          <w:i/>
          <w:lang w:val="es-PE" w:eastAsia="es-PE"/>
        </w:rPr>
        <w:t xml:space="preserve"> Vargas Galindo.</w:t>
      </w:r>
    </w:p>
    <w:p w14:paraId="72C0BC5E" w14:textId="77777777" w:rsidR="00C46FEB" w:rsidRPr="00C46FEB" w:rsidRDefault="00C46FEB" w:rsidP="00C46FEB">
      <w:pPr>
        <w:spacing w:line="360" w:lineRule="auto"/>
        <w:jc w:val="both"/>
        <w:rPr>
          <w:i/>
          <w:lang w:val="es-PE" w:eastAsia="es-PE"/>
        </w:rPr>
      </w:pPr>
      <w:r w:rsidRPr="00C46FEB">
        <w:rPr>
          <w:lang w:val="es-PE" w:eastAsia="es-PE"/>
        </w:rPr>
        <w:t xml:space="preserve">Análisis formal: </w:t>
      </w:r>
      <w:r w:rsidRPr="00C46FEB">
        <w:rPr>
          <w:i/>
          <w:lang w:val="es-PE" w:eastAsia="es-PE"/>
        </w:rPr>
        <w:t xml:space="preserve">David </w:t>
      </w:r>
      <w:proofErr w:type="spellStart"/>
      <w:r w:rsidRPr="00C46FEB">
        <w:rPr>
          <w:i/>
          <w:lang w:val="es-PE" w:eastAsia="es-PE"/>
        </w:rPr>
        <w:t>Dali</w:t>
      </w:r>
      <w:proofErr w:type="spellEnd"/>
      <w:r w:rsidRPr="00C46FEB">
        <w:rPr>
          <w:i/>
          <w:lang w:val="es-PE" w:eastAsia="es-PE"/>
        </w:rPr>
        <w:t xml:space="preserve"> Vargas Galindo, Luis Enrique Nieves </w:t>
      </w:r>
      <w:proofErr w:type="spellStart"/>
      <w:r w:rsidRPr="00C46FEB">
        <w:rPr>
          <w:i/>
          <w:lang w:val="es-PE" w:eastAsia="es-PE"/>
        </w:rPr>
        <w:t>Cordova</w:t>
      </w:r>
      <w:proofErr w:type="spellEnd"/>
      <w:r w:rsidRPr="00C46FEB">
        <w:rPr>
          <w:i/>
          <w:lang w:val="es-PE" w:eastAsia="es-PE"/>
        </w:rPr>
        <w:t>.</w:t>
      </w:r>
    </w:p>
    <w:p w14:paraId="670755C3" w14:textId="77777777" w:rsidR="00C46FEB" w:rsidRPr="00C46FEB" w:rsidRDefault="00C46FEB" w:rsidP="00C46FEB">
      <w:pPr>
        <w:spacing w:line="360" w:lineRule="auto"/>
        <w:jc w:val="both"/>
        <w:rPr>
          <w:lang w:val="es-PE" w:eastAsia="es-PE"/>
        </w:rPr>
      </w:pPr>
      <w:r w:rsidRPr="00C46FEB">
        <w:rPr>
          <w:lang w:val="es-PE" w:eastAsia="es-PE"/>
        </w:rPr>
        <w:t xml:space="preserve">Investigación: </w:t>
      </w:r>
      <w:r w:rsidRPr="00C46FEB">
        <w:rPr>
          <w:i/>
          <w:lang w:val="es-PE" w:eastAsia="es-PE"/>
        </w:rPr>
        <w:t xml:space="preserve">Joseph </w:t>
      </w:r>
      <w:proofErr w:type="spellStart"/>
      <w:r w:rsidRPr="00C46FEB">
        <w:rPr>
          <w:i/>
          <w:lang w:val="es-PE" w:eastAsia="es-PE"/>
        </w:rPr>
        <w:t>Alburqueque</w:t>
      </w:r>
      <w:proofErr w:type="spellEnd"/>
      <w:r w:rsidRPr="00C46FEB">
        <w:rPr>
          <w:i/>
          <w:lang w:val="es-PE" w:eastAsia="es-PE"/>
        </w:rPr>
        <w:t xml:space="preserve"> Melgarejo, Horus Michael Virú-Flores.</w:t>
      </w:r>
    </w:p>
    <w:p w14:paraId="1F71FE2C" w14:textId="77777777" w:rsidR="00C46FEB" w:rsidRPr="00C46FEB" w:rsidRDefault="00C46FEB" w:rsidP="00C46FEB">
      <w:pPr>
        <w:spacing w:line="360" w:lineRule="auto"/>
        <w:jc w:val="both"/>
        <w:rPr>
          <w:lang w:val="es-PE" w:eastAsia="es-PE"/>
        </w:rPr>
      </w:pPr>
      <w:r w:rsidRPr="00C46FEB">
        <w:rPr>
          <w:lang w:val="es-PE" w:eastAsia="es-PE"/>
        </w:rPr>
        <w:t xml:space="preserve">Metodología: </w:t>
      </w:r>
      <w:r w:rsidRPr="00C46FEB">
        <w:rPr>
          <w:i/>
          <w:lang w:val="es-PE" w:eastAsia="es-PE"/>
        </w:rPr>
        <w:t xml:space="preserve">Juan Carlos Roque Quezada, Luis Enrique Nieves </w:t>
      </w:r>
      <w:proofErr w:type="spellStart"/>
      <w:r w:rsidRPr="00C46FEB">
        <w:rPr>
          <w:i/>
          <w:lang w:val="es-PE" w:eastAsia="es-PE"/>
        </w:rPr>
        <w:t>Cordova</w:t>
      </w:r>
      <w:proofErr w:type="spellEnd"/>
      <w:r w:rsidRPr="00C46FEB">
        <w:rPr>
          <w:lang w:val="es-PE" w:eastAsia="es-PE"/>
        </w:rPr>
        <w:t>.</w:t>
      </w:r>
    </w:p>
    <w:p w14:paraId="733099C6" w14:textId="77777777" w:rsidR="00C46FEB" w:rsidRPr="00C46FEB" w:rsidRDefault="00C46FEB" w:rsidP="00C46FEB">
      <w:pPr>
        <w:spacing w:line="360" w:lineRule="auto"/>
        <w:jc w:val="both"/>
        <w:rPr>
          <w:i/>
          <w:lang w:val="es-PE" w:eastAsia="es-PE"/>
        </w:rPr>
      </w:pPr>
      <w:r w:rsidRPr="00C46FEB">
        <w:rPr>
          <w:lang w:val="es-PE" w:eastAsia="es-PE"/>
        </w:rPr>
        <w:t xml:space="preserve">Administración del proyecto: </w:t>
      </w:r>
      <w:r w:rsidRPr="00C46FEB">
        <w:rPr>
          <w:i/>
          <w:lang w:val="es-PE" w:eastAsia="es-PE"/>
        </w:rPr>
        <w:t xml:space="preserve">Juan Carlos Roque-Quezada, Emanuel Salcedo </w:t>
      </w:r>
      <w:proofErr w:type="spellStart"/>
      <w:r w:rsidRPr="00C46FEB">
        <w:rPr>
          <w:i/>
          <w:lang w:val="es-PE" w:eastAsia="es-PE"/>
        </w:rPr>
        <w:t>Davila</w:t>
      </w:r>
      <w:proofErr w:type="spellEnd"/>
      <w:r w:rsidRPr="00C46FEB">
        <w:rPr>
          <w:i/>
          <w:lang w:val="es-PE" w:eastAsia="es-PE"/>
        </w:rPr>
        <w:t>.</w:t>
      </w:r>
    </w:p>
    <w:p w14:paraId="2A883F2F" w14:textId="77777777" w:rsidR="00C46FEB" w:rsidRPr="00C46FEB" w:rsidRDefault="00C46FEB" w:rsidP="00C46FEB">
      <w:pPr>
        <w:spacing w:line="360" w:lineRule="auto"/>
        <w:jc w:val="both"/>
        <w:rPr>
          <w:i/>
          <w:lang w:val="es-PE" w:eastAsia="es-PE"/>
        </w:rPr>
      </w:pPr>
      <w:r w:rsidRPr="00C46FEB">
        <w:rPr>
          <w:lang w:val="es-PE" w:eastAsia="es-PE"/>
        </w:rPr>
        <w:t xml:space="preserve">Recursos materiales: </w:t>
      </w:r>
      <w:r w:rsidRPr="00C46FEB">
        <w:rPr>
          <w:i/>
          <w:lang w:val="es-PE" w:eastAsia="es-PE"/>
        </w:rPr>
        <w:t xml:space="preserve">Juan Carlos Roque Quezada, Emanuel Salcedo </w:t>
      </w:r>
      <w:proofErr w:type="spellStart"/>
      <w:r w:rsidRPr="00C46FEB">
        <w:rPr>
          <w:i/>
          <w:lang w:val="es-PE" w:eastAsia="es-PE"/>
        </w:rPr>
        <w:t>Davila</w:t>
      </w:r>
      <w:proofErr w:type="spellEnd"/>
      <w:r w:rsidRPr="00C46FEB">
        <w:rPr>
          <w:i/>
          <w:lang w:val="es-PE" w:eastAsia="es-PE"/>
        </w:rPr>
        <w:t>.</w:t>
      </w:r>
    </w:p>
    <w:p w14:paraId="47ECCA76" w14:textId="77777777" w:rsidR="00C46FEB" w:rsidRPr="00C46FEB" w:rsidRDefault="00C46FEB" w:rsidP="00C46FEB">
      <w:pPr>
        <w:spacing w:line="360" w:lineRule="auto"/>
        <w:jc w:val="both"/>
        <w:rPr>
          <w:i/>
          <w:lang w:val="es-PE" w:eastAsia="es-PE"/>
        </w:rPr>
      </w:pPr>
      <w:r w:rsidRPr="00C46FEB">
        <w:rPr>
          <w:lang w:val="es-PE" w:eastAsia="es-PE"/>
        </w:rPr>
        <w:t xml:space="preserve">Software: </w:t>
      </w:r>
      <w:r w:rsidRPr="00C46FEB">
        <w:rPr>
          <w:i/>
          <w:lang w:val="es-PE" w:eastAsia="es-PE"/>
        </w:rPr>
        <w:t xml:space="preserve">Juan Carlos Roque Quezada, Joseph </w:t>
      </w:r>
      <w:proofErr w:type="spellStart"/>
      <w:r w:rsidRPr="00C46FEB">
        <w:rPr>
          <w:i/>
          <w:lang w:val="es-PE" w:eastAsia="es-PE"/>
        </w:rPr>
        <w:t>Alburqueque</w:t>
      </w:r>
      <w:proofErr w:type="spellEnd"/>
      <w:r w:rsidRPr="00C46FEB">
        <w:rPr>
          <w:i/>
          <w:lang w:val="es-PE" w:eastAsia="es-PE"/>
        </w:rPr>
        <w:t xml:space="preserve"> Melgarejo.</w:t>
      </w:r>
    </w:p>
    <w:p w14:paraId="621FE948" w14:textId="77777777" w:rsidR="00C46FEB" w:rsidRPr="00C46FEB" w:rsidRDefault="00C46FEB" w:rsidP="00C46FEB">
      <w:pPr>
        <w:spacing w:line="360" w:lineRule="auto"/>
        <w:jc w:val="both"/>
        <w:rPr>
          <w:i/>
          <w:lang w:val="es-PE" w:eastAsia="es-PE"/>
        </w:rPr>
      </w:pPr>
      <w:r w:rsidRPr="00C46FEB">
        <w:rPr>
          <w:lang w:val="es-PE" w:eastAsia="es-PE"/>
        </w:rPr>
        <w:t xml:space="preserve">Supervisión: </w:t>
      </w:r>
      <w:r w:rsidRPr="00C46FEB">
        <w:rPr>
          <w:i/>
          <w:lang w:val="es-PE" w:eastAsia="es-PE"/>
        </w:rPr>
        <w:t>Juan Carlos Roque-Quezada.</w:t>
      </w:r>
    </w:p>
    <w:p w14:paraId="7D4555E1" w14:textId="77777777" w:rsidR="00C46FEB" w:rsidRPr="00C46FEB" w:rsidRDefault="00C46FEB" w:rsidP="00C46FEB">
      <w:pPr>
        <w:spacing w:line="360" w:lineRule="auto"/>
        <w:jc w:val="both"/>
        <w:rPr>
          <w:i/>
          <w:lang w:val="es-PE" w:eastAsia="es-PE"/>
        </w:rPr>
      </w:pPr>
      <w:r w:rsidRPr="00C46FEB">
        <w:rPr>
          <w:lang w:val="es-PE" w:eastAsia="es-PE"/>
        </w:rPr>
        <w:t>Validación:</w:t>
      </w:r>
      <w:r w:rsidRPr="00C46FEB">
        <w:rPr>
          <w:sz w:val="22"/>
          <w:szCs w:val="22"/>
          <w:lang w:val="es-PE" w:eastAsia="es-PE"/>
        </w:rPr>
        <w:t xml:space="preserve"> </w:t>
      </w:r>
      <w:r w:rsidRPr="00C46FEB">
        <w:rPr>
          <w:i/>
          <w:lang w:val="es-PE" w:eastAsia="es-PE"/>
        </w:rPr>
        <w:t>Horus Michael Virú-Flores, Juan Carlos Roque-Quezada.</w:t>
      </w:r>
    </w:p>
    <w:p w14:paraId="67FC9A10" w14:textId="77777777" w:rsidR="00C46FEB" w:rsidRPr="00C46FEB" w:rsidRDefault="00C46FEB" w:rsidP="00C46FEB">
      <w:pPr>
        <w:spacing w:line="360" w:lineRule="auto"/>
        <w:jc w:val="both"/>
        <w:rPr>
          <w:lang w:val="es-PE" w:eastAsia="es-PE"/>
        </w:rPr>
      </w:pPr>
      <w:r w:rsidRPr="00C46FEB">
        <w:rPr>
          <w:lang w:val="es-PE" w:eastAsia="es-PE"/>
        </w:rPr>
        <w:t xml:space="preserve">Visualización: </w:t>
      </w:r>
      <w:r w:rsidRPr="00C46FEB">
        <w:rPr>
          <w:i/>
          <w:iCs/>
          <w:lang w:val="es-PE" w:eastAsia="es-PE"/>
        </w:rPr>
        <w:t xml:space="preserve">Joseph </w:t>
      </w:r>
      <w:proofErr w:type="spellStart"/>
      <w:r w:rsidRPr="00C46FEB">
        <w:rPr>
          <w:i/>
          <w:iCs/>
          <w:lang w:val="es-PE" w:eastAsia="es-PE"/>
        </w:rPr>
        <w:t>Alburqueque</w:t>
      </w:r>
      <w:proofErr w:type="spellEnd"/>
      <w:r w:rsidRPr="00C46FEB">
        <w:rPr>
          <w:i/>
          <w:iCs/>
          <w:lang w:val="es-PE" w:eastAsia="es-PE"/>
        </w:rPr>
        <w:t>-Melgarejo, Horus Michael Virú-Flores.</w:t>
      </w:r>
    </w:p>
    <w:p w14:paraId="60AF456E" w14:textId="77777777" w:rsidR="00C46FEB" w:rsidRPr="00C46FEB" w:rsidRDefault="00C46FEB" w:rsidP="00C46FEB">
      <w:pPr>
        <w:spacing w:line="360" w:lineRule="auto"/>
        <w:jc w:val="both"/>
        <w:rPr>
          <w:lang w:val="es-PE" w:eastAsia="es-PE"/>
        </w:rPr>
      </w:pPr>
      <w:r w:rsidRPr="00C46FEB">
        <w:rPr>
          <w:lang w:val="es-PE" w:eastAsia="es-PE"/>
        </w:rPr>
        <w:t xml:space="preserve">Redacción – borrador original: </w:t>
      </w:r>
      <w:r w:rsidRPr="00C46FEB">
        <w:rPr>
          <w:i/>
          <w:lang w:val="es-PE" w:eastAsia="es-PE"/>
        </w:rPr>
        <w:t xml:space="preserve">Joseph </w:t>
      </w:r>
      <w:proofErr w:type="spellStart"/>
      <w:r w:rsidRPr="00C46FEB">
        <w:rPr>
          <w:i/>
          <w:lang w:val="es-PE" w:eastAsia="es-PE"/>
        </w:rPr>
        <w:t>Alburqueque</w:t>
      </w:r>
      <w:proofErr w:type="spellEnd"/>
      <w:r w:rsidRPr="00C46FEB">
        <w:rPr>
          <w:i/>
          <w:lang w:val="es-PE" w:eastAsia="es-PE"/>
        </w:rPr>
        <w:t xml:space="preserve"> Melgarejo, Horus Michael Virú-Flores.</w:t>
      </w:r>
    </w:p>
    <w:p w14:paraId="3F078333" w14:textId="77777777" w:rsidR="00C46FEB" w:rsidRPr="00C46FEB" w:rsidRDefault="00C46FEB" w:rsidP="00C46FEB">
      <w:pPr>
        <w:spacing w:line="360" w:lineRule="auto"/>
        <w:jc w:val="both"/>
        <w:rPr>
          <w:i/>
          <w:lang w:val="es-PE" w:eastAsia="es-PE"/>
        </w:rPr>
      </w:pPr>
      <w:r w:rsidRPr="00C46FEB">
        <w:rPr>
          <w:lang w:val="es-PE" w:eastAsia="es-PE"/>
        </w:rPr>
        <w:t xml:space="preserve">Redacción - revisión y edición: </w:t>
      </w:r>
      <w:r w:rsidRPr="00C46FEB">
        <w:rPr>
          <w:i/>
          <w:lang w:val="es-PE" w:eastAsia="es-PE"/>
        </w:rPr>
        <w:t xml:space="preserve">Joseph </w:t>
      </w:r>
      <w:proofErr w:type="spellStart"/>
      <w:r w:rsidRPr="00C46FEB">
        <w:rPr>
          <w:i/>
          <w:lang w:val="es-PE" w:eastAsia="es-PE"/>
        </w:rPr>
        <w:t>Alburqueque</w:t>
      </w:r>
      <w:proofErr w:type="spellEnd"/>
      <w:r w:rsidRPr="00C46FEB">
        <w:rPr>
          <w:i/>
          <w:lang w:val="es-PE" w:eastAsia="es-PE"/>
        </w:rPr>
        <w:t xml:space="preserve"> Melgarejo, Juan Carlos Roque-Quezada, Horus Michael Virú-Flores.</w:t>
      </w:r>
    </w:p>
    <w:p w14:paraId="6C0B52B3" w14:textId="77777777" w:rsidR="00675476" w:rsidRPr="00C46FEB" w:rsidRDefault="00675476" w:rsidP="00EA1FEF">
      <w:pPr>
        <w:pStyle w:val="PDFRevista"/>
        <w:rPr>
          <w:lang w:val="es-PE"/>
        </w:rPr>
      </w:pPr>
    </w:p>
    <w:sectPr w:rsidR="00675476" w:rsidRPr="00C46FEB"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FDCA" w14:textId="77777777" w:rsidR="00C249BB" w:rsidRDefault="00C249BB">
      <w:r>
        <w:separator/>
      </w:r>
    </w:p>
  </w:endnote>
  <w:endnote w:type="continuationSeparator" w:id="0">
    <w:p w14:paraId="3CE0EF42" w14:textId="77777777" w:rsidR="00C249BB" w:rsidRDefault="00C2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5C0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8EB82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52D6" w14:textId="7EDDCF57" w:rsidR="000F3690" w:rsidRPr="00AE044C" w:rsidRDefault="00C46FE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392682C" wp14:editId="78D0D73A">
              <wp:simplePos x="0" y="0"/>
              <wp:positionH relativeFrom="column">
                <wp:posOffset>3810</wp:posOffset>
              </wp:positionH>
              <wp:positionV relativeFrom="paragraph">
                <wp:posOffset>50165</wp:posOffset>
              </wp:positionV>
              <wp:extent cx="6286500" cy="19050"/>
              <wp:effectExtent l="19050" t="19050" r="0" b="0"/>
              <wp:wrapNone/>
              <wp:docPr id="116802534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D228F8"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0F9FA63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AB8A14F"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8115447" w14:textId="02B0FC1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C46FEB" w:rsidRPr="00C46FEB">
      <w:rPr>
        <w:rFonts w:ascii="Verdana" w:hAnsi="Verdana"/>
        <w:noProof/>
        <w:sz w:val="18"/>
        <w:szCs w:val="18"/>
        <w:lang w:val="en-US" w:eastAsia="en-US"/>
      </w:rPr>
      <w:drawing>
        <wp:inline distT="0" distB="0" distL="0" distR="0" wp14:anchorId="32B34B0F" wp14:editId="787A30D9">
          <wp:extent cx="643890" cy="151130"/>
          <wp:effectExtent l="0" t="0" r="0" b="0"/>
          <wp:docPr id="535110027"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3CEC" w14:textId="77777777" w:rsidR="00C249BB" w:rsidRDefault="00C249BB">
      <w:r>
        <w:separator/>
      </w:r>
    </w:p>
  </w:footnote>
  <w:footnote w:type="continuationSeparator" w:id="0">
    <w:p w14:paraId="12F2CAC6" w14:textId="77777777" w:rsidR="00C249BB" w:rsidRDefault="00C2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4490" w14:textId="133B66B2" w:rsidR="00CC376A" w:rsidRPr="00AE044C" w:rsidRDefault="00C46FEB"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02302697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3F2E846" wp14:editId="5AC35908">
          <wp:simplePos x="0" y="0"/>
          <wp:positionH relativeFrom="column">
            <wp:posOffset>2540</wp:posOffset>
          </wp:positionH>
          <wp:positionV relativeFrom="paragraph">
            <wp:posOffset>-598805</wp:posOffset>
          </wp:positionV>
          <wp:extent cx="6333490" cy="593725"/>
          <wp:effectExtent l="0" t="0" r="0" b="0"/>
          <wp:wrapNone/>
          <wp:docPr id="54982967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24B83" w14:textId="6BF6812C" w:rsidR="00A477DE" w:rsidRDefault="00C46FEB">
    <w:r>
      <w:rPr>
        <w:noProof/>
      </w:rPr>
      <mc:AlternateContent>
        <mc:Choice Requires="wps">
          <w:drawing>
            <wp:anchor distT="0" distB="0" distL="114300" distR="114300" simplePos="0" relativeHeight="251654144" behindDoc="0" locked="0" layoutInCell="1" allowOverlap="1" wp14:anchorId="78C5B3DF" wp14:editId="2A6125DE">
              <wp:simplePos x="0" y="0"/>
              <wp:positionH relativeFrom="column">
                <wp:posOffset>635</wp:posOffset>
              </wp:positionH>
              <wp:positionV relativeFrom="paragraph">
                <wp:posOffset>42545</wp:posOffset>
              </wp:positionV>
              <wp:extent cx="6307455" cy="28575"/>
              <wp:effectExtent l="19050" t="19050" r="17145" b="9525"/>
              <wp:wrapNone/>
              <wp:docPr id="63906607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D1D9C3"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EB"/>
    <w:rsid w:val="00057F45"/>
    <w:rsid w:val="000D3958"/>
    <w:rsid w:val="000F3690"/>
    <w:rsid w:val="001221D1"/>
    <w:rsid w:val="00165CB5"/>
    <w:rsid w:val="00180CE9"/>
    <w:rsid w:val="00230DD5"/>
    <w:rsid w:val="00250AE9"/>
    <w:rsid w:val="00380D64"/>
    <w:rsid w:val="00391509"/>
    <w:rsid w:val="003A5F46"/>
    <w:rsid w:val="003E03D5"/>
    <w:rsid w:val="003F6B11"/>
    <w:rsid w:val="00486BFA"/>
    <w:rsid w:val="00493701"/>
    <w:rsid w:val="004E2065"/>
    <w:rsid w:val="00500B3B"/>
    <w:rsid w:val="00514966"/>
    <w:rsid w:val="005508A2"/>
    <w:rsid w:val="0055115D"/>
    <w:rsid w:val="00566F71"/>
    <w:rsid w:val="005918BD"/>
    <w:rsid w:val="006173A6"/>
    <w:rsid w:val="006225CD"/>
    <w:rsid w:val="00675476"/>
    <w:rsid w:val="0074106A"/>
    <w:rsid w:val="007C430F"/>
    <w:rsid w:val="007D2D0C"/>
    <w:rsid w:val="007D614D"/>
    <w:rsid w:val="008C24DE"/>
    <w:rsid w:val="00915D3C"/>
    <w:rsid w:val="00960D6A"/>
    <w:rsid w:val="009A0560"/>
    <w:rsid w:val="009B0917"/>
    <w:rsid w:val="009F0F96"/>
    <w:rsid w:val="00A06D3F"/>
    <w:rsid w:val="00A23C0C"/>
    <w:rsid w:val="00A477DE"/>
    <w:rsid w:val="00A66186"/>
    <w:rsid w:val="00A71E65"/>
    <w:rsid w:val="00AE044C"/>
    <w:rsid w:val="00AF6060"/>
    <w:rsid w:val="00B31971"/>
    <w:rsid w:val="00B4380A"/>
    <w:rsid w:val="00B66ECB"/>
    <w:rsid w:val="00C249BB"/>
    <w:rsid w:val="00C46FEB"/>
    <w:rsid w:val="00C7523A"/>
    <w:rsid w:val="00CC1B6E"/>
    <w:rsid w:val="00CC376A"/>
    <w:rsid w:val="00CC48A1"/>
    <w:rsid w:val="00CF50E0"/>
    <w:rsid w:val="00D4310E"/>
    <w:rsid w:val="00D85951"/>
    <w:rsid w:val="00DF679F"/>
    <w:rsid w:val="00E62606"/>
    <w:rsid w:val="00EA1FEF"/>
    <w:rsid w:val="00EC5A6B"/>
    <w:rsid w:val="00EE301D"/>
    <w:rsid w:val="00FA7CC1"/>
    <w:rsid w:val="00FC63DA"/>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DDD65"/>
  <w15:docId w15:val="{6601CB82-41D4-4597-92BA-C38A708A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846-8884" TargetMode="External"/><Relationship Id="rId13" Type="http://schemas.openxmlformats.org/officeDocument/2006/relationships/hyperlink" Target="mailto:joseph.alburqueque@urp.edu.pe" TargetMode="External"/><Relationship Id="rId18" Type="http://schemas.openxmlformats.org/officeDocument/2006/relationships/hyperlink" Target="http://journals.sagepub.com/DOI/10.1258/0956462021925117" TargetMode="External"/><Relationship Id="rId26" Type="http://schemas.openxmlformats.org/officeDocument/2006/relationships/hyperlink" Target="https://systematicreviewsjournal.biomedcentral.com/articles/10.1186/s13643-020-01524-1" TargetMode="External"/><Relationship Id="rId3" Type="http://schemas.openxmlformats.org/officeDocument/2006/relationships/settings" Target="settings.xml"/><Relationship Id="rId21" Type="http://schemas.openxmlformats.org/officeDocument/2006/relationships/hyperlink" Target="https://www.mdpi.com/2071-1050/13/6/3221" TargetMode="External"/><Relationship Id="rId7" Type="http://schemas.openxmlformats.org/officeDocument/2006/relationships/hyperlink" Target="https://orcid.org/0000-0002-0174-1930" TargetMode="External"/><Relationship Id="rId12" Type="http://schemas.openxmlformats.org/officeDocument/2006/relationships/hyperlink" Target="https://orcid.org/0000-0003-2128-7402" TargetMode="External"/><Relationship Id="rId17" Type="http://schemas.openxmlformats.org/officeDocument/2006/relationships/hyperlink" Target="http://pdf.usaid.gov/pdf_docs/Pnadk153.pdf" TargetMode="External"/><Relationship Id="rId25" Type="http://schemas.openxmlformats.org/officeDocument/2006/relationships/hyperlink" Target="http://www.ncbi.nlm.nih.gov/pubmed/25146207" TargetMode="External"/><Relationship Id="rId2" Type="http://schemas.openxmlformats.org/officeDocument/2006/relationships/styles" Target="styles.xml"/><Relationship Id="rId16" Type="http://schemas.openxmlformats.org/officeDocument/2006/relationships/hyperlink" Target="http://www.nature.com/articles/s41598-018-21081-x" TargetMode="External"/><Relationship Id="rId20" Type="http://schemas.openxmlformats.org/officeDocument/2006/relationships/hyperlink" Target="https://www.who.int/publications/i/item/WHO-2019-nCoV-Sci_Brief-Mental_health-2022.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0896-888X" TargetMode="External"/><Relationship Id="rId24" Type="http://schemas.openxmlformats.org/officeDocument/2006/relationships/hyperlink" Target="https://rccm-umss.com/index.php/revistacientificacienciamedica/article/view/287" TargetMode="External"/><Relationship Id="rId5" Type="http://schemas.openxmlformats.org/officeDocument/2006/relationships/footnotes" Target="footnotes.xml"/><Relationship Id="rId15" Type="http://schemas.openxmlformats.org/officeDocument/2006/relationships/hyperlink" Target="https://www.dge.gob.pe/portal/docs/vigilancia/vih/Boletin_2021/setiembre.pdf" TargetMode="External"/><Relationship Id="rId23" Type="http://schemas.openxmlformats.org/officeDocument/2006/relationships/hyperlink" Target="https://pesquisa.bvsalud.org/portal/resource/pt/biblio-1149910" TargetMode="External"/><Relationship Id="rId28" Type="http://schemas.openxmlformats.org/officeDocument/2006/relationships/footer" Target="footer1.xml"/><Relationship Id="rId10" Type="http://schemas.openxmlformats.org/officeDocument/2006/relationships/hyperlink" Target="https://orcid.org/0000-0002-6685-9497" TargetMode="External"/><Relationship Id="rId19" Type="http://schemas.openxmlformats.org/officeDocument/2006/relationships/hyperlink" Target="http://dspace.unitru.edu.pe/handle/UNITRU/810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1886-0426" TargetMode="External"/><Relationship Id="rId14" Type="http://schemas.openxmlformats.org/officeDocument/2006/relationships/hyperlink" Target="https://www.who.int/news-room/fact-sheets/detail/hiv-aids" TargetMode="External"/><Relationship Id="rId22" Type="http://schemas.openxmlformats.org/officeDocument/2006/relationships/hyperlink" Target="http://scielo.sld.cu/scielo.php?script=sci_arttext&amp;pid=S0375-07602020000200003"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15</Pages>
  <Words>4265</Words>
  <Characters>24312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28520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13</cp:revision>
  <cp:lastPrinted>2010-09-13T21:29:00Z</cp:lastPrinted>
  <dcterms:created xsi:type="dcterms:W3CDTF">2023-10-21T17:36:00Z</dcterms:created>
  <dcterms:modified xsi:type="dcterms:W3CDTF">2023-10-21T17:42:00Z</dcterms:modified>
</cp:coreProperties>
</file>