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AD57" w14:textId="77777777" w:rsidR="00A9027E" w:rsidRPr="00A9027E" w:rsidRDefault="00A9027E" w:rsidP="00A9027E">
      <w:pPr>
        <w:widowControl w:val="0"/>
        <w:autoSpaceDE w:val="0"/>
        <w:autoSpaceDN w:val="0"/>
        <w:spacing w:line="360" w:lineRule="auto"/>
        <w:ind w:firstLine="62"/>
        <w:jc w:val="right"/>
        <w:rPr>
          <w:rFonts w:eastAsia="Gill Sans MT"/>
          <w:iCs/>
          <w:sz w:val="20"/>
          <w:szCs w:val="20"/>
          <w:lang w:val="es-ES" w:eastAsia="en-US"/>
        </w:rPr>
      </w:pPr>
      <w:r w:rsidRPr="00A9027E">
        <w:rPr>
          <w:rFonts w:eastAsia="Gill Sans MT"/>
          <w:iCs/>
          <w:sz w:val="20"/>
          <w:szCs w:val="20"/>
          <w:lang w:val="es-ES" w:eastAsia="en-US"/>
        </w:rPr>
        <w:t>Presentación de caso</w:t>
      </w:r>
    </w:p>
    <w:p w14:paraId="14F0CC08" w14:textId="77777777" w:rsidR="00A9027E" w:rsidRPr="00A9027E" w:rsidRDefault="00A9027E" w:rsidP="00A9027E">
      <w:pPr>
        <w:widowControl w:val="0"/>
        <w:autoSpaceDE w:val="0"/>
        <w:autoSpaceDN w:val="0"/>
        <w:spacing w:line="360" w:lineRule="auto"/>
        <w:ind w:firstLine="62"/>
        <w:jc w:val="right"/>
        <w:rPr>
          <w:rFonts w:eastAsia="Gill Sans MT"/>
          <w:b/>
          <w:iCs/>
          <w:sz w:val="28"/>
          <w:szCs w:val="28"/>
          <w:lang w:val="es-ES" w:eastAsia="en-US"/>
        </w:rPr>
      </w:pPr>
    </w:p>
    <w:p w14:paraId="74D0182F" w14:textId="77777777" w:rsidR="00A9027E" w:rsidRPr="00A9027E" w:rsidRDefault="00A9027E" w:rsidP="00A9027E">
      <w:pPr>
        <w:widowControl w:val="0"/>
        <w:autoSpaceDE w:val="0"/>
        <w:autoSpaceDN w:val="0"/>
        <w:spacing w:line="360" w:lineRule="auto"/>
        <w:ind w:firstLine="62"/>
        <w:jc w:val="center"/>
        <w:rPr>
          <w:rFonts w:eastAsia="Gill Sans MT"/>
          <w:iCs/>
          <w:sz w:val="28"/>
          <w:szCs w:val="28"/>
          <w:lang w:val="es-ES" w:eastAsia="en-US"/>
        </w:rPr>
      </w:pPr>
      <w:r w:rsidRPr="00A9027E">
        <w:rPr>
          <w:rFonts w:eastAsia="Gill Sans MT"/>
          <w:b/>
          <w:iCs/>
          <w:sz w:val="28"/>
          <w:szCs w:val="28"/>
          <w:lang w:val="es-ES" w:eastAsia="en-US"/>
        </w:rPr>
        <w:t>Caso infrecuente de melanoma del canal anal</w:t>
      </w:r>
    </w:p>
    <w:p w14:paraId="6E3CB5A3" w14:textId="77777777" w:rsidR="00A9027E" w:rsidRPr="00A9027E" w:rsidRDefault="00A9027E" w:rsidP="00A9027E">
      <w:pPr>
        <w:widowControl w:val="0"/>
        <w:autoSpaceDE w:val="0"/>
        <w:autoSpaceDN w:val="0"/>
        <w:spacing w:line="360" w:lineRule="auto"/>
        <w:jc w:val="center"/>
        <w:rPr>
          <w:rFonts w:eastAsia="Gill Sans MT"/>
          <w:iCs/>
          <w:sz w:val="28"/>
          <w:szCs w:val="28"/>
          <w:lang w:val="en-US" w:eastAsia="en-US"/>
        </w:rPr>
      </w:pPr>
      <w:r w:rsidRPr="00A9027E">
        <w:rPr>
          <w:rFonts w:eastAsia="Gill Sans MT"/>
          <w:iCs/>
          <w:sz w:val="28"/>
          <w:szCs w:val="28"/>
          <w:lang w:val="en-US" w:eastAsia="en-US"/>
        </w:rPr>
        <w:t>Rare case of melanoma of the anal canal</w:t>
      </w:r>
    </w:p>
    <w:p w14:paraId="2A112414" w14:textId="77777777" w:rsidR="00A9027E" w:rsidRPr="00A9027E" w:rsidRDefault="00A9027E" w:rsidP="00A9027E">
      <w:pPr>
        <w:widowControl w:val="0"/>
        <w:autoSpaceDE w:val="0"/>
        <w:autoSpaceDN w:val="0"/>
        <w:spacing w:line="360" w:lineRule="auto"/>
        <w:ind w:left="119"/>
        <w:rPr>
          <w:rFonts w:eastAsia="Gill Sans MT"/>
          <w:iCs/>
          <w:sz w:val="28"/>
          <w:szCs w:val="28"/>
          <w:lang w:val="en-US" w:eastAsia="en-US"/>
        </w:rPr>
      </w:pPr>
      <w:r w:rsidRPr="00A9027E">
        <w:rPr>
          <w:rFonts w:eastAsia="Gill Sans MT"/>
          <w:iCs/>
          <w:sz w:val="28"/>
          <w:szCs w:val="28"/>
          <w:lang w:val="en-US" w:eastAsia="en-US"/>
        </w:rPr>
        <w:t xml:space="preserve"> </w:t>
      </w:r>
    </w:p>
    <w:p w14:paraId="6EA1E276" w14:textId="77777777" w:rsidR="00A9027E" w:rsidRPr="00A9027E" w:rsidRDefault="00A9027E" w:rsidP="00A9027E">
      <w:pPr>
        <w:widowControl w:val="0"/>
        <w:autoSpaceDE w:val="0"/>
        <w:autoSpaceDN w:val="0"/>
        <w:spacing w:line="360" w:lineRule="auto"/>
        <w:ind w:left="118"/>
        <w:rPr>
          <w:rFonts w:eastAsia="Gill Sans MT"/>
          <w:iCs/>
          <w:lang w:val="es-ES" w:eastAsia="en-US"/>
        </w:rPr>
      </w:pPr>
      <w:proofErr w:type="spellStart"/>
      <w:r w:rsidRPr="00A9027E">
        <w:rPr>
          <w:rFonts w:eastAsia="Gill Sans MT"/>
          <w:iCs/>
          <w:lang w:val="es-ES" w:eastAsia="en-US"/>
        </w:rPr>
        <w:t>Yalisbet</w:t>
      </w:r>
      <w:proofErr w:type="spellEnd"/>
      <w:r w:rsidRPr="00A9027E">
        <w:rPr>
          <w:rFonts w:eastAsia="Gill Sans MT"/>
          <w:iCs/>
          <w:lang w:val="es-ES" w:eastAsia="en-US"/>
        </w:rPr>
        <w:t xml:space="preserve"> Díaz </w:t>
      </w:r>
      <w:proofErr w:type="spellStart"/>
      <w:r w:rsidRPr="00A9027E">
        <w:rPr>
          <w:rFonts w:eastAsia="Gill Sans MT"/>
          <w:iCs/>
          <w:lang w:val="es-ES" w:eastAsia="en-US"/>
        </w:rPr>
        <w:t>Benítez</w:t>
      </w:r>
      <w:r w:rsidRPr="00A9027E">
        <w:rPr>
          <w:rFonts w:eastAsia="Gill Sans MT"/>
          <w:iCs/>
          <w:vertAlign w:val="superscript"/>
          <w:lang w:val="es-ES" w:eastAsia="en-US"/>
        </w:rPr>
        <w:t>1</w:t>
      </w:r>
      <w:proofErr w:type="spellEnd"/>
      <w:r w:rsidRPr="00A9027E">
        <w:rPr>
          <w:rFonts w:eastAsia="Gill Sans MT"/>
          <w:iCs/>
          <w:lang w:val="es-ES" w:eastAsia="en-US"/>
        </w:rPr>
        <w:t xml:space="preserve"> </w:t>
      </w:r>
      <w:r w:rsidRPr="00A9027E">
        <w:rPr>
          <w:rFonts w:eastAsia="Gill Sans MT"/>
          <w:iCs/>
          <w:color w:val="0070C0"/>
          <w:u w:color="0000FF"/>
          <w:lang w:val="es-ES" w:eastAsia="en-US"/>
        </w:rPr>
        <w:t>https://orcid.org/000-0003-3199-010x</w:t>
      </w:r>
    </w:p>
    <w:p w14:paraId="5379C8D8" w14:textId="77777777" w:rsidR="00A9027E" w:rsidRPr="00A9027E" w:rsidRDefault="00A9027E" w:rsidP="00A9027E">
      <w:pPr>
        <w:widowControl w:val="0"/>
        <w:autoSpaceDE w:val="0"/>
        <w:autoSpaceDN w:val="0"/>
        <w:spacing w:line="360" w:lineRule="auto"/>
        <w:ind w:left="118" w:right="310"/>
        <w:rPr>
          <w:rFonts w:eastAsia="Gill Sans MT"/>
          <w:iCs/>
          <w:color w:val="0070C0"/>
          <w:lang w:val="en-US" w:eastAsia="en-US"/>
        </w:rPr>
      </w:pPr>
      <w:proofErr w:type="spellStart"/>
      <w:r w:rsidRPr="00A9027E">
        <w:rPr>
          <w:rFonts w:eastAsia="Gill Sans MT"/>
          <w:iCs/>
          <w:lang w:val="en-US" w:eastAsia="en-US"/>
        </w:rPr>
        <w:t>Nerisleidys</w:t>
      </w:r>
      <w:proofErr w:type="spellEnd"/>
      <w:r w:rsidRPr="00A9027E">
        <w:rPr>
          <w:rFonts w:eastAsia="Gill Sans MT"/>
          <w:iCs/>
          <w:lang w:val="en-US" w:eastAsia="en-US"/>
        </w:rPr>
        <w:t xml:space="preserve"> </w:t>
      </w:r>
      <w:proofErr w:type="spellStart"/>
      <w:r w:rsidRPr="00A9027E">
        <w:rPr>
          <w:rFonts w:eastAsia="Gill Sans MT"/>
          <w:iCs/>
          <w:lang w:val="en-US" w:eastAsia="en-US"/>
        </w:rPr>
        <w:t>Dussú</w:t>
      </w:r>
      <w:proofErr w:type="spellEnd"/>
      <w:r w:rsidRPr="00A9027E">
        <w:rPr>
          <w:rFonts w:eastAsia="Gill Sans MT"/>
          <w:iCs/>
          <w:lang w:val="en-US" w:eastAsia="en-US"/>
        </w:rPr>
        <w:t xml:space="preserve"> </w:t>
      </w:r>
      <w:proofErr w:type="spellStart"/>
      <w:r w:rsidRPr="00A9027E">
        <w:rPr>
          <w:rFonts w:eastAsia="Gill Sans MT"/>
          <w:iCs/>
          <w:lang w:val="en-US" w:eastAsia="en-US"/>
        </w:rPr>
        <w:t>Casero</w:t>
      </w:r>
      <w:r w:rsidRPr="00A9027E">
        <w:rPr>
          <w:rFonts w:eastAsia="Gill Sans MT"/>
          <w:iCs/>
          <w:vertAlign w:val="superscript"/>
          <w:lang w:val="en-US" w:eastAsia="en-US"/>
        </w:rPr>
        <w:t>1</w:t>
      </w:r>
      <w:proofErr w:type="spellEnd"/>
      <w:r w:rsidRPr="00A9027E">
        <w:rPr>
          <w:rFonts w:eastAsia="Gill Sans MT"/>
          <w:iCs/>
          <w:lang w:val="en-US" w:eastAsia="en-US"/>
        </w:rPr>
        <w:t xml:space="preserve"> </w:t>
      </w:r>
      <w:r w:rsidRPr="00A9027E">
        <w:rPr>
          <w:rFonts w:eastAsia="Gill Sans MT"/>
          <w:iCs/>
          <w:color w:val="0070C0"/>
          <w:u w:color="0000FF"/>
          <w:lang w:val="en-US" w:eastAsia="en-US"/>
        </w:rPr>
        <w:t>https://orcid.org/000-0001-9203-8046x</w:t>
      </w:r>
      <w:r w:rsidRPr="00A9027E">
        <w:rPr>
          <w:rFonts w:eastAsia="Gill Sans MT"/>
          <w:iCs/>
          <w:color w:val="0070C0"/>
          <w:lang w:val="en-US" w:eastAsia="en-US"/>
        </w:rPr>
        <w:t xml:space="preserve"> </w:t>
      </w:r>
    </w:p>
    <w:p w14:paraId="021AE99A" w14:textId="77777777" w:rsidR="00A9027E" w:rsidRPr="00A9027E" w:rsidRDefault="00A9027E" w:rsidP="00A9027E">
      <w:pPr>
        <w:widowControl w:val="0"/>
        <w:autoSpaceDE w:val="0"/>
        <w:autoSpaceDN w:val="0"/>
        <w:spacing w:line="360" w:lineRule="auto"/>
        <w:ind w:left="118" w:right="310"/>
        <w:rPr>
          <w:rFonts w:eastAsia="Gill Sans MT"/>
          <w:iCs/>
          <w:color w:val="0070C0"/>
          <w:lang w:val="es-ES" w:eastAsia="en-US"/>
        </w:rPr>
      </w:pPr>
      <w:r w:rsidRPr="00A9027E">
        <w:rPr>
          <w:rFonts w:eastAsia="Gill Sans MT"/>
          <w:iCs/>
          <w:color w:val="000000"/>
          <w:shd w:val="clear" w:color="auto" w:fill="FFFFFF"/>
          <w:lang w:val="es-ES" w:eastAsia="en-US"/>
        </w:rPr>
        <w:t xml:space="preserve">Héctor Figueredo </w:t>
      </w:r>
      <w:proofErr w:type="spellStart"/>
      <w:r w:rsidRPr="00A9027E">
        <w:rPr>
          <w:rFonts w:eastAsia="Gill Sans MT"/>
          <w:iCs/>
          <w:color w:val="000000"/>
          <w:shd w:val="clear" w:color="auto" w:fill="FFFFFF"/>
          <w:lang w:val="es-ES" w:eastAsia="en-US"/>
        </w:rPr>
        <w:t>Acosta</w:t>
      </w:r>
      <w:r w:rsidRPr="00A9027E">
        <w:rPr>
          <w:rFonts w:eastAsia="Gill Sans MT"/>
          <w:iCs/>
          <w:color w:val="000000"/>
          <w:shd w:val="clear" w:color="auto" w:fill="FFFFFF"/>
          <w:vertAlign w:val="superscript"/>
          <w:lang w:val="es-ES" w:eastAsia="en-US"/>
        </w:rPr>
        <w:t>1</w:t>
      </w:r>
      <w:proofErr w:type="spellEnd"/>
      <w:r w:rsidRPr="00A9027E">
        <w:rPr>
          <w:rFonts w:eastAsia="Gill Sans MT"/>
          <w:iCs/>
          <w:color w:val="000000"/>
          <w:shd w:val="clear" w:color="auto" w:fill="FFFFFF"/>
          <w:lang w:val="es-ES" w:eastAsia="en-US"/>
        </w:rPr>
        <w:t>* </w:t>
      </w:r>
      <w:hyperlink r:id="rId7" w:tgtFrame="_blank" w:history="1">
        <w:r w:rsidRPr="00A9027E">
          <w:rPr>
            <w:rFonts w:eastAsia="Gill Sans MT"/>
            <w:iCs/>
            <w:color w:val="0070C0"/>
            <w:shd w:val="clear" w:color="auto" w:fill="FFFFFF"/>
            <w:lang w:val="es-ES" w:eastAsia="en-US"/>
          </w:rPr>
          <w:t>https://orcid.org/0000-0002-0321-9978</w:t>
        </w:r>
      </w:hyperlink>
    </w:p>
    <w:p w14:paraId="5D807855" w14:textId="77777777" w:rsidR="00A9027E" w:rsidRPr="00A9027E" w:rsidRDefault="00A9027E" w:rsidP="00A9027E">
      <w:pPr>
        <w:widowControl w:val="0"/>
        <w:autoSpaceDE w:val="0"/>
        <w:autoSpaceDN w:val="0"/>
        <w:spacing w:line="360" w:lineRule="auto"/>
        <w:ind w:left="118" w:right="136"/>
        <w:rPr>
          <w:rFonts w:eastAsia="Gill Sans MT"/>
          <w:w w:val="115"/>
          <w:vertAlign w:val="superscript"/>
          <w:lang w:val="es-ES" w:eastAsia="en-US"/>
        </w:rPr>
      </w:pPr>
    </w:p>
    <w:p w14:paraId="24954859" w14:textId="77777777" w:rsidR="00A9027E" w:rsidRPr="00A9027E" w:rsidRDefault="00A9027E" w:rsidP="00A9027E">
      <w:pPr>
        <w:widowControl w:val="0"/>
        <w:autoSpaceDE w:val="0"/>
        <w:autoSpaceDN w:val="0"/>
        <w:spacing w:line="360" w:lineRule="auto"/>
        <w:ind w:left="118" w:right="136"/>
        <w:rPr>
          <w:rFonts w:eastAsia="Gill Sans MT"/>
          <w:lang w:val="es-ES" w:eastAsia="en-US"/>
        </w:rPr>
      </w:pPr>
      <w:r w:rsidRPr="00A9027E">
        <w:rPr>
          <w:rFonts w:eastAsia="Gill Sans MT"/>
          <w:lang w:val="es-ES" w:eastAsia="en-US"/>
        </w:rPr>
        <w:t>Hospital Militar “Dr. Joaquín Castillo Duany”. Santiago de Cuba, Cuba.</w:t>
      </w:r>
    </w:p>
    <w:p w14:paraId="0E05454B" w14:textId="77777777" w:rsidR="00A9027E" w:rsidRPr="00A9027E" w:rsidRDefault="00A9027E" w:rsidP="00A9027E">
      <w:pPr>
        <w:widowControl w:val="0"/>
        <w:autoSpaceDE w:val="0"/>
        <w:autoSpaceDN w:val="0"/>
        <w:spacing w:line="360" w:lineRule="auto"/>
        <w:ind w:left="118"/>
        <w:rPr>
          <w:rFonts w:eastAsia="Gill Sans MT"/>
          <w:iCs/>
          <w:lang w:val="es-ES" w:eastAsia="en-US"/>
        </w:rPr>
      </w:pPr>
    </w:p>
    <w:p w14:paraId="7B40023E" w14:textId="77777777" w:rsidR="00A9027E" w:rsidRPr="00A9027E" w:rsidRDefault="00A9027E" w:rsidP="00A9027E">
      <w:pPr>
        <w:widowControl w:val="0"/>
        <w:autoSpaceDE w:val="0"/>
        <w:autoSpaceDN w:val="0"/>
        <w:spacing w:line="360" w:lineRule="auto"/>
        <w:ind w:left="118"/>
        <w:rPr>
          <w:rFonts w:eastAsia="Gill Sans MT"/>
          <w:iCs/>
          <w:lang w:val="es-ES" w:eastAsia="en-US"/>
        </w:rPr>
      </w:pPr>
      <w:r w:rsidRPr="00A9027E">
        <w:rPr>
          <w:rFonts w:eastAsia="Gill Sans MT"/>
          <w:iCs/>
          <w:lang w:val="es-ES" w:eastAsia="en-US"/>
        </w:rPr>
        <w:t xml:space="preserve">*Autor para la correspondencia. Correo electrónico: </w:t>
      </w:r>
      <w:hyperlink r:id="rId8" w:history="1">
        <w:r w:rsidRPr="00A9027E">
          <w:rPr>
            <w:rFonts w:eastAsia="Gill Sans MT"/>
            <w:iCs/>
            <w:color w:val="0000FF"/>
            <w:lang w:val="es-ES" w:eastAsia="en-US"/>
          </w:rPr>
          <w:t>hfigueredo@infomed.sld.cu</w:t>
        </w:r>
      </w:hyperlink>
    </w:p>
    <w:p w14:paraId="61A306F9" w14:textId="77777777" w:rsidR="00A9027E" w:rsidRPr="00A9027E" w:rsidRDefault="00A9027E" w:rsidP="00A9027E">
      <w:pPr>
        <w:widowControl w:val="0"/>
        <w:autoSpaceDE w:val="0"/>
        <w:autoSpaceDN w:val="0"/>
        <w:spacing w:line="360" w:lineRule="auto"/>
        <w:jc w:val="both"/>
        <w:rPr>
          <w:rFonts w:eastAsia="Gill Sans MT"/>
          <w:b/>
          <w:lang w:val="es-ES" w:eastAsia="en-US"/>
        </w:rPr>
      </w:pPr>
    </w:p>
    <w:p w14:paraId="464F6170" w14:textId="77777777" w:rsidR="00A9027E" w:rsidRPr="00A9027E" w:rsidRDefault="00A9027E" w:rsidP="00A9027E">
      <w:pPr>
        <w:widowControl w:val="0"/>
        <w:autoSpaceDE w:val="0"/>
        <w:autoSpaceDN w:val="0"/>
        <w:spacing w:line="360" w:lineRule="auto"/>
        <w:jc w:val="both"/>
        <w:rPr>
          <w:rFonts w:eastAsia="Gill Sans MT"/>
          <w:b/>
          <w:lang w:val="es-ES" w:eastAsia="en-US"/>
        </w:rPr>
      </w:pPr>
      <w:r w:rsidRPr="00A9027E">
        <w:rPr>
          <w:rFonts w:eastAsia="Gill Sans MT"/>
          <w:b/>
          <w:lang w:val="es-ES" w:eastAsia="en-US"/>
        </w:rPr>
        <w:t>RESUMEN</w:t>
      </w:r>
    </w:p>
    <w:p w14:paraId="6E59DD80"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b/>
          <w:lang w:val="es-ES" w:eastAsia="en-US"/>
        </w:rPr>
        <w:t>Introducción:</w:t>
      </w:r>
      <w:r w:rsidRPr="00A9027E">
        <w:rPr>
          <w:rFonts w:eastAsia="Gill Sans MT"/>
          <w:lang w:val="es-ES" w:eastAsia="en-US"/>
        </w:rPr>
        <w:t xml:space="preserve"> </w:t>
      </w:r>
      <w:r w:rsidRPr="00A9027E">
        <w:rPr>
          <w:rFonts w:eastAsia="Calibri"/>
          <w:color w:val="000000"/>
          <w:lang w:val="es-US" w:eastAsia="en-US"/>
        </w:rPr>
        <w:t>El melanoma anorrectal es un tumor infrecuente</w:t>
      </w:r>
      <w:r w:rsidRPr="00A9027E">
        <w:rPr>
          <w:rFonts w:eastAsia="Gill Sans MT"/>
          <w:lang w:val="es-ES" w:eastAsia="en-US"/>
        </w:rPr>
        <w:t xml:space="preserve"> </w:t>
      </w:r>
      <w:r w:rsidRPr="00A9027E">
        <w:rPr>
          <w:rFonts w:eastAsia="Calibri"/>
          <w:color w:val="000000"/>
          <w:lang w:val="es-US" w:eastAsia="en-US"/>
        </w:rPr>
        <w:t xml:space="preserve">que se </w:t>
      </w:r>
      <w:r w:rsidRPr="00A9027E">
        <w:rPr>
          <w:rFonts w:eastAsia="Gill Sans MT"/>
          <w:lang w:val="es-ES" w:eastAsia="en-US"/>
        </w:rPr>
        <w:t>caracteriza por ser agresivo y de mal pronóstico</w:t>
      </w:r>
      <w:r w:rsidRPr="00A9027E">
        <w:rPr>
          <w:rFonts w:eastAsia="Gill Sans MT"/>
          <w:color w:val="000000"/>
          <w:lang w:val="es-ES" w:eastAsia="en-US"/>
        </w:rPr>
        <w:t xml:space="preserve">; </w:t>
      </w:r>
      <w:r w:rsidRPr="00A9027E">
        <w:rPr>
          <w:rFonts w:eastAsia="Calibri"/>
          <w:color w:val="000000"/>
          <w:lang w:val="es-US" w:eastAsia="en-US"/>
        </w:rPr>
        <w:t>constituye el 1 % entre los tumores malignos colorrectales</w:t>
      </w:r>
      <w:r w:rsidRPr="00A9027E">
        <w:rPr>
          <w:rFonts w:eastAsia="Gill Sans MT"/>
          <w:lang w:val="es-ES" w:eastAsia="en-US"/>
        </w:rPr>
        <w:t>. Es más frecuente en pacientes femeninas de más de 50 años y alcanza un pico máximo en la octava década de la vida.</w:t>
      </w:r>
    </w:p>
    <w:p w14:paraId="08937336"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b/>
          <w:lang w:val="es-ES" w:eastAsia="en-US"/>
        </w:rPr>
        <w:t>Objetivo:</w:t>
      </w:r>
      <w:r w:rsidRPr="00A9027E">
        <w:rPr>
          <w:rFonts w:eastAsia="Gill Sans MT"/>
          <w:lang w:val="es-ES" w:eastAsia="en-US"/>
        </w:rPr>
        <w:t xml:space="preserve"> Presentar las características clínicas de una paciente con melanoma del canal anorrectal.</w:t>
      </w:r>
    </w:p>
    <w:p w14:paraId="1BB78DE6"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b/>
          <w:lang w:val="es-ES" w:eastAsia="en-US"/>
        </w:rPr>
        <w:t>Caso clínico:</w:t>
      </w:r>
      <w:r w:rsidRPr="00A9027E">
        <w:rPr>
          <w:rFonts w:eastAsia="Gill Sans MT"/>
          <w:lang w:val="es-ES" w:eastAsia="en-US"/>
        </w:rPr>
        <w:t xml:space="preserve"> Se estudió a una paciente femenina de 61 años que acudió a consulta de gastroenterología, por presentar constipación de varios meses de evolución, asociada a tenesmo rectal, anorexia, astenia y pérdida de peso de forma rápida y progresiva. Se le diagnosticó un melanoma anorrectal, en estado avanzado de la enfermedad, por lo que tuvo mala evolución.</w:t>
      </w:r>
    </w:p>
    <w:p w14:paraId="6BCB7BA1"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b/>
          <w:lang w:val="es-ES" w:eastAsia="en-US"/>
        </w:rPr>
        <w:t>Conclusiones:</w:t>
      </w:r>
      <w:r w:rsidRPr="00A9027E">
        <w:rPr>
          <w:rFonts w:eastAsia="Gill Sans MT"/>
          <w:lang w:val="es-ES" w:eastAsia="en-US"/>
        </w:rPr>
        <w:t xml:space="preserve"> Con una anamnesis y exploración física minuciosa, asociado al uso de los medios diagnósticos disponibles y un elevado índice de sospecha, se consigue con la paciente, que el estudio y diagnóstico se hicieran con prontitud y con ello imponer tratamiento. </w:t>
      </w:r>
    </w:p>
    <w:p w14:paraId="7852CFD6"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b/>
          <w:lang w:val="es-ES" w:eastAsia="en-US"/>
        </w:rPr>
        <w:t>Palabras clave:</w:t>
      </w:r>
      <w:r w:rsidRPr="00A9027E">
        <w:rPr>
          <w:rFonts w:eastAsia="Gill Sans MT"/>
          <w:lang w:val="es-ES" w:eastAsia="en-US"/>
        </w:rPr>
        <w:t xml:space="preserve"> canal anal; neoplasias del ano; melanoma.</w:t>
      </w:r>
    </w:p>
    <w:p w14:paraId="1BFC4ACB"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222208AB" w14:textId="77777777" w:rsidR="00CF0387" w:rsidRDefault="00CF0387">
      <w:pPr>
        <w:rPr>
          <w:rFonts w:eastAsia="Gill Sans MT"/>
          <w:b/>
          <w:lang w:val="en-US" w:eastAsia="en-US"/>
        </w:rPr>
      </w:pPr>
      <w:r>
        <w:rPr>
          <w:rFonts w:eastAsia="Gill Sans MT"/>
          <w:b/>
          <w:lang w:val="en-US" w:eastAsia="en-US"/>
        </w:rPr>
        <w:br w:type="page"/>
      </w:r>
    </w:p>
    <w:p w14:paraId="38CDFF93" w14:textId="70C71FF6" w:rsidR="00A9027E" w:rsidRPr="00A9027E" w:rsidRDefault="00A9027E" w:rsidP="00A9027E">
      <w:pPr>
        <w:widowControl w:val="0"/>
        <w:autoSpaceDE w:val="0"/>
        <w:autoSpaceDN w:val="0"/>
        <w:spacing w:line="360" w:lineRule="auto"/>
        <w:jc w:val="both"/>
        <w:rPr>
          <w:rFonts w:eastAsia="Gill Sans MT"/>
          <w:b/>
          <w:lang w:val="en-US" w:eastAsia="en-US"/>
        </w:rPr>
      </w:pPr>
      <w:r w:rsidRPr="00A9027E">
        <w:rPr>
          <w:rFonts w:eastAsia="Gill Sans MT"/>
          <w:b/>
          <w:lang w:val="en-US" w:eastAsia="en-US"/>
        </w:rPr>
        <w:lastRenderedPageBreak/>
        <w:t>ABSTRACT</w:t>
      </w:r>
    </w:p>
    <w:p w14:paraId="51D27C39" w14:textId="0EB35BF8" w:rsidR="00A9027E" w:rsidRPr="00A9027E" w:rsidRDefault="00A9027E" w:rsidP="00A9027E">
      <w:pPr>
        <w:widowControl w:val="0"/>
        <w:autoSpaceDE w:val="0"/>
        <w:autoSpaceDN w:val="0"/>
        <w:spacing w:line="360" w:lineRule="auto"/>
        <w:jc w:val="both"/>
        <w:rPr>
          <w:rFonts w:eastAsia="Gill Sans MT"/>
          <w:bCs/>
          <w:lang w:val="en-US" w:eastAsia="en-US"/>
        </w:rPr>
      </w:pPr>
      <w:r w:rsidRPr="00A9027E">
        <w:rPr>
          <w:rFonts w:eastAsia="Gill Sans MT"/>
          <w:b/>
          <w:lang w:val="en-US" w:eastAsia="en-US"/>
        </w:rPr>
        <w:t>Introduction:</w:t>
      </w:r>
      <w:r w:rsidRPr="00A9027E">
        <w:rPr>
          <w:rFonts w:eastAsia="Gill Sans MT"/>
          <w:bCs/>
          <w:lang w:val="en-US" w:eastAsia="en-US"/>
        </w:rPr>
        <w:t xml:space="preserve"> Anorectal melanoma is an infrequent tumor characterized by aggressive and poor prognosis; it constitutes 1% among colorectal malignancies. It is more frequent in female patients over 50 years of age and reaches a maximum peak in the eighth decade of life.</w:t>
      </w:r>
    </w:p>
    <w:p w14:paraId="12F47E09" w14:textId="77777777" w:rsidR="00A9027E" w:rsidRPr="00A9027E" w:rsidRDefault="00A9027E" w:rsidP="00A9027E">
      <w:pPr>
        <w:widowControl w:val="0"/>
        <w:autoSpaceDE w:val="0"/>
        <w:autoSpaceDN w:val="0"/>
        <w:spacing w:line="360" w:lineRule="auto"/>
        <w:jc w:val="both"/>
        <w:rPr>
          <w:rFonts w:eastAsia="Gill Sans MT"/>
          <w:bCs/>
          <w:lang w:val="en-US" w:eastAsia="en-US"/>
        </w:rPr>
      </w:pPr>
      <w:r w:rsidRPr="00A9027E">
        <w:rPr>
          <w:rFonts w:eastAsia="Gill Sans MT"/>
          <w:b/>
          <w:lang w:val="en-US" w:eastAsia="en-US"/>
        </w:rPr>
        <w:t>Objective:</w:t>
      </w:r>
      <w:r w:rsidRPr="00A9027E">
        <w:rPr>
          <w:rFonts w:eastAsia="Gill Sans MT"/>
          <w:bCs/>
          <w:lang w:val="en-US" w:eastAsia="en-US"/>
        </w:rPr>
        <w:t xml:space="preserve"> To present the clinical characteristics of a patient with melanoma of the anorectal canal.</w:t>
      </w:r>
    </w:p>
    <w:p w14:paraId="4893E541" w14:textId="77777777" w:rsidR="00A9027E" w:rsidRPr="00A9027E" w:rsidRDefault="00A9027E" w:rsidP="00A9027E">
      <w:pPr>
        <w:widowControl w:val="0"/>
        <w:autoSpaceDE w:val="0"/>
        <w:autoSpaceDN w:val="0"/>
        <w:spacing w:line="360" w:lineRule="auto"/>
        <w:jc w:val="both"/>
        <w:rPr>
          <w:rFonts w:eastAsia="Gill Sans MT"/>
          <w:bCs/>
          <w:lang w:val="en-US" w:eastAsia="en-US"/>
        </w:rPr>
      </w:pPr>
      <w:r w:rsidRPr="00A9027E">
        <w:rPr>
          <w:rFonts w:eastAsia="Gill Sans MT"/>
          <w:b/>
          <w:lang w:val="en-US" w:eastAsia="en-US"/>
        </w:rPr>
        <w:t>Clinical case:</w:t>
      </w:r>
      <w:r w:rsidRPr="00A9027E">
        <w:rPr>
          <w:rFonts w:eastAsia="Gill Sans MT"/>
          <w:bCs/>
          <w:lang w:val="en-US" w:eastAsia="en-US"/>
        </w:rPr>
        <w:t xml:space="preserve"> A 61-year-old female patient was studied, who came to the gastroenterology department for constipation of several months of evolution, associated with rectal tenesmus, anorexia, asthenia and rapid and progressive weight loss. He was diagnosed with anorectal melanoma, in advanced stage of the disease, for which he had poor evolution.</w:t>
      </w:r>
    </w:p>
    <w:p w14:paraId="6CCEBB1D" w14:textId="77777777" w:rsidR="00A9027E" w:rsidRPr="00A9027E" w:rsidRDefault="00A9027E" w:rsidP="00A9027E">
      <w:pPr>
        <w:widowControl w:val="0"/>
        <w:autoSpaceDE w:val="0"/>
        <w:autoSpaceDN w:val="0"/>
        <w:spacing w:line="360" w:lineRule="auto"/>
        <w:jc w:val="both"/>
        <w:rPr>
          <w:rFonts w:eastAsia="Gill Sans MT"/>
          <w:bCs/>
          <w:lang w:val="en-US" w:eastAsia="en-US"/>
        </w:rPr>
      </w:pPr>
      <w:r w:rsidRPr="00A9027E">
        <w:rPr>
          <w:rFonts w:eastAsia="Gill Sans MT"/>
          <w:b/>
          <w:lang w:val="en-US" w:eastAsia="en-US"/>
        </w:rPr>
        <w:t>Conclusions:</w:t>
      </w:r>
      <w:r w:rsidRPr="00A9027E">
        <w:rPr>
          <w:rFonts w:eastAsia="Gill Sans MT"/>
          <w:bCs/>
          <w:lang w:val="en-US" w:eastAsia="en-US"/>
        </w:rPr>
        <w:t xml:space="preserve"> With a thorough anamnesis and physical examination, associated with the use of the available diagnostic means and a high index of suspicion, it is achieved with the patient, that the study and diagnosis were made promptly and thus impose treatment.</w:t>
      </w:r>
    </w:p>
    <w:p w14:paraId="51ED32D5" w14:textId="77777777" w:rsidR="00A9027E" w:rsidRPr="00A9027E" w:rsidRDefault="00A9027E" w:rsidP="00A9027E">
      <w:pPr>
        <w:widowControl w:val="0"/>
        <w:autoSpaceDE w:val="0"/>
        <w:autoSpaceDN w:val="0"/>
        <w:spacing w:line="360" w:lineRule="auto"/>
        <w:jc w:val="both"/>
        <w:rPr>
          <w:rFonts w:eastAsia="Gill Sans MT"/>
          <w:lang w:val="en-US" w:eastAsia="en-US"/>
        </w:rPr>
      </w:pPr>
      <w:r w:rsidRPr="00A9027E">
        <w:rPr>
          <w:rFonts w:eastAsia="Gill Sans MT"/>
          <w:b/>
          <w:lang w:val="en-US" w:eastAsia="en-US"/>
        </w:rPr>
        <w:t>Keywords:</w:t>
      </w:r>
      <w:r w:rsidRPr="00A9027E">
        <w:rPr>
          <w:rFonts w:eastAsia="Gill Sans MT"/>
          <w:lang w:val="en-US" w:eastAsia="en-US"/>
        </w:rPr>
        <w:t xml:space="preserve"> anal canal; anal neoplasms; melanoma.</w:t>
      </w:r>
    </w:p>
    <w:p w14:paraId="13C3F36B" w14:textId="77777777" w:rsidR="00A9027E" w:rsidRPr="00A9027E" w:rsidRDefault="00A9027E" w:rsidP="00A9027E">
      <w:pPr>
        <w:widowControl w:val="0"/>
        <w:autoSpaceDE w:val="0"/>
        <w:autoSpaceDN w:val="0"/>
        <w:spacing w:line="360" w:lineRule="auto"/>
        <w:jc w:val="both"/>
        <w:rPr>
          <w:rFonts w:eastAsia="Gill Sans MT"/>
          <w:lang w:val="en-US" w:eastAsia="en-US"/>
        </w:rPr>
      </w:pPr>
    </w:p>
    <w:p w14:paraId="5F5E01C6" w14:textId="77777777" w:rsidR="00A9027E" w:rsidRPr="00A9027E" w:rsidRDefault="00A9027E" w:rsidP="00A9027E">
      <w:pPr>
        <w:widowControl w:val="0"/>
        <w:autoSpaceDE w:val="0"/>
        <w:autoSpaceDN w:val="0"/>
        <w:spacing w:line="360" w:lineRule="auto"/>
        <w:jc w:val="both"/>
        <w:rPr>
          <w:rFonts w:eastAsia="Gill Sans MT"/>
          <w:lang w:val="en-US" w:eastAsia="en-US"/>
        </w:rPr>
      </w:pPr>
    </w:p>
    <w:p w14:paraId="3476E1B9"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Recibido: 18/12/2022</w:t>
      </w:r>
    </w:p>
    <w:p w14:paraId="4FBE330C"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Aprobado: 11/09/2023</w:t>
      </w:r>
    </w:p>
    <w:p w14:paraId="4EB94014"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33DC2E9C"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20F4ED5E" w14:textId="77777777" w:rsidR="00A9027E" w:rsidRPr="00A9027E" w:rsidRDefault="00A9027E" w:rsidP="00A9027E">
      <w:pPr>
        <w:widowControl w:val="0"/>
        <w:autoSpaceDE w:val="0"/>
        <w:autoSpaceDN w:val="0"/>
        <w:spacing w:line="360" w:lineRule="auto"/>
        <w:jc w:val="center"/>
        <w:rPr>
          <w:rFonts w:eastAsia="Gill Sans MT"/>
          <w:b/>
          <w:sz w:val="32"/>
          <w:szCs w:val="32"/>
          <w:lang w:val="es-ES" w:eastAsia="en-US"/>
        </w:rPr>
      </w:pPr>
      <w:r w:rsidRPr="00A9027E">
        <w:rPr>
          <w:rFonts w:eastAsia="Gill Sans MT"/>
          <w:b/>
          <w:sz w:val="32"/>
          <w:szCs w:val="32"/>
          <w:lang w:val="es-ES" w:eastAsia="en-US"/>
        </w:rPr>
        <w:t>INTRODUCCIÓN</w:t>
      </w:r>
    </w:p>
    <w:p w14:paraId="6F42E8B1" w14:textId="77777777" w:rsidR="00A9027E" w:rsidRPr="00A9027E" w:rsidRDefault="00A9027E" w:rsidP="00A9027E">
      <w:pPr>
        <w:widowControl w:val="0"/>
        <w:autoSpaceDE w:val="0"/>
        <w:autoSpaceDN w:val="0"/>
        <w:spacing w:line="360" w:lineRule="auto"/>
        <w:jc w:val="both"/>
        <w:rPr>
          <w:rFonts w:eastAsia="Gill Sans MT"/>
          <w:lang w:val="es-US" w:eastAsia="en-US"/>
        </w:rPr>
      </w:pPr>
      <w:r w:rsidRPr="00A9027E">
        <w:rPr>
          <w:rFonts w:eastAsia="Gill Sans MT"/>
          <w:lang w:val="es-ES" w:eastAsia="en-US"/>
        </w:rPr>
        <w:t>El melanoma es una neoplasia que se desarrolla en cualquier parte del cuerpo humano, con una localización más común en la piel, seguida por los ojos y diferentes mucosas, como la genital y gastrointestinal.</w:t>
      </w:r>
      <w:r w:rsidRPr="00A9027E">
        <w:rPr>
          <w:rFonts w:eastAsia="Gill Sans MT"/>
          <w:color w:val="FF0000"/>
          <w:lang w:val="es-ES" w:eastAsia="en-US"/>
        </w:rPr>
        <w:t xml:space="preserve"> </w:t>
      </w:r>
      <w:r w:rsidRPr="00A9027E">
        <w:rPr>
          <w:rFonts w:eastAsia="Gill Sans MT"/>
          <w:lang w:val="es-ES" w:eastAsia="en-US"/>
        </w:rPr>
        <w:t>Pese a que el ano es el tercer sitio de identificación y la ubicación más común como tumor primario gastrointestinal, su presentación es rara, entre un 0,3-3 </w:t>
      </w:r>
      <w:proofErr w:type="gramStart"/>
      <w:r w:rsidRPr="00A9027E">
        <w:rPr>
          <w:rFonts w:eastAsia="Gill Sans MT"/>
          <w:lang w:val="es-ES" w:eastAsia="en-US"/>
        </w:rPr>
        <w:t>%.</w:t>
      </w:r>
      <w:r w:rsidRPr="00A9027E">
        <w:rPr>
          <w:rFonts w:eastAsia="Gill Sans MT"/>
          <w:vertAlign w:val="superscript"/>
          <w:lang w:val="es-ES" w:eastAsia="en-US"/>
        </w:rPr>
        <w:t>(</w:t>
      </w:r>
      <w:proofErr w:type="gramEnd"/>
      <w:r w:rsidRPr="00A9027E">
        <w:rPr>
          <w:rFonts w:eastAsia="Gill Sans MT"/>
          <w:vertAlign w:val="superscript"/>
          <w:lang w:val="es-ES" w:eastAsia="en-US"/>
        </w:rPr>
        <w:t>1,2,3</w:t>
      </w:r>
      <w:r w:rsidRPr="00A9027E">
        <w:rPr>
          <w:rFonts w:eastAsia="Gill Sans MT"/>
          <w:bCs/>
          <w:vertAlign w:val="superscript"/>
          <w:lang w:val="es-ES" w:eastAsia="en-US"/>
        </w:rPr>
        <w:t>)</w:t>
      </w:r>
      <w:r w:rsidRPr="00A9027E">
        <w:rPr>
          <w:rFonts w:eastAsia="Gill Sans MT"/>
          <w:b/>
          <w:vertAlign w:val="superscript"/>
          <w:lang w:val="es-ES" w:eastAsia="en-US"/>
        </w:rPr>
        <w:t xml:space="preserve"> </w:t>
      </w:r>
      <w:r w:rsidRPr="00A9027E">
        <w:rPr>
          <w:rFonts w:eastAsia="Calibri"/>
          <w:color w:val="000000"/>
          <w:lang w:val="es-ES" w:eastAsia="en-US"/>
        </w:rPr>
        <w:t>Se</w:t>
      </w:r>
      <w:r w:rsidRPr="00A9027E">
        <w:rPr>
          <w:rFonts w:eastAsia="Calibri"/>
          <w:color w:val="000000"/>
          <w:lang w:val="es-US" w:eastAsia="en-US"/>
        </w:rPr>
        <w:t xml:space="preserve"> </w:t>
      </w:r>
      <w:r w:rsidRPr="00A9027E">
        <w:rPr>
          <w:rFonts w:eastAsia="Gill Sans MT"/>
          <w:lang w:val="es-ES" w:eastAsia="en-US"/>
        </w:rPr>
        <w:t xml:space="preserve">caracteriza por ser agresivo y de mal pronóstico. </w:t>
      </w:r>
      <w:r w:rsidRPr="00A9027E">
        <w:rPr>
          <w:rFonts w:eastAsia="Calibri"/>
          <w:color w:val="000000"/>
          <w:lang w:val="es-US" w:eastAsia="en-US"/>
        </w:rPr>
        <w:t xml:space="preserve">Dentro </w:t>
      </w:r>
      <w:r w:rsidRPr="00A9027E">
        <w:rPr>
          <w:rFonts w:eastAsia="Gill Sans MT"/>
          <w:lang w:val="es-ES" w:eastAsia="en-US"/>
        </w:rPr>
        <w:t>de todas las neoplasias malignas del tracto gastrointestinal inferior,</w:t>
      </w:r>
      <w:r w:rsidRPr="00A9027E">
        <w:rPr>
          <w:rFonts w:eastAsia="Calibri"/>
          <w:color w:val="000000"/>
          <w:lang w:val="es-US" w:eastAsia="en-US"/>
        </w:rPr>
        <w:t xml:space="preserve"> constituye el 4 %</w:t>
      </w:r>
      <w:r w:rsidRPr="00A9027E">
        <w:rPr>
          <w:rFonts w:eastAsia="Gill Sans MT"/>
          <w:lang w:val="es-ES" w:eastAsia="en-US"/>
        </w:rPr>
        <w:t xml:space="preserve"> </w:t>
      </w:r>
      <w:r w:rsidRPr="00A9027E">
        <w:rPr>
          <w:rFonts w:eastAsia="Calibri"/>
          <w:color w:val="000000"/>
          <w:lang w:val="es-US" w:eastAsia="en-US"/>
        </w:rPr>
        <w:t xml:space="preserve">y entre el 0,4 y 1,6 % de los melanomas en </w:t>
      </w:r>
      <w:proofErr w:type="gramStart"/>
      <w:r w:rsidRPr="00A9027E">
        <w:rPr>
          <w:rFonts w:eastAsia="Calibri"/>
          <w:color w:val="000000"/>
          <w:lang w:val="es-US" w:eastAsia="en-US"/>
        </w:rPr>
        <w:t>general.</w:t>
      </w:r>
      <w:r w:rsidRPr="00A9027E">
        <w:rPr>
          <w:rFonts w:eastAsia="Calibri"/>
          <w:vertAlign w:val="superscript"/>
          <w:lang w:val="es-US" w:eastAsia="en-US"/>
        </w:rPr>
        <w:t>(</w:t>
      </w:r>
      <w:proofErr w:type="gramEnd"/>
      <w:r w:rsidRPr="00A9027E">
        <w:rPr>
          <w:rFonts w:eastAsia="Calibri"/>
          <w:vertAlign w:val="superscript"/>
          <w:lang w:val="es-US" w:eastAsia="en-US"/>
        </w:rPr>
        <w:t>2,4,5)</w:t>
      </w:r>
      <w:r w:rsidRPr="00A9027E">
        <w:rPr>
          <w:rFonts w:eastAsia="Gill Sans MT"/>
          <w:lang w:val="es-US" w:eastAsia="en-US"/>
        </w:rPr>
        <w:t xml:space="preserve"> </w:t>
      </w:r>
    </w:p>
    <w:p w14:paraId="74E5BB52"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color w:val="000000"/>
          <w:lang w:val="es-US" w:eastAsia="en-US"/>
        </w:rPr>
        <w:t xml:space="preserve">La incidencia anual de los tumores anorrectales es de 1,5 x 100 000 personas, aunque la tasa está en constante aumento debido a la creciente prevalencia de los factores de riesgo más importantes, entre los </w:t>
      </w:r>
      <w:r w:rsidRPr="00A9027E">
        <w:rPr>
          <w:rFonts w:eastAsia="Gill Sans MT"/>
          <w:color w:val="000000"/>
          <w:lang w:val="es-US" w:eastAsia="en-US"/>
        </w:rPr>
        <w:lastRenderedPageBreak/>
        <w:t>que se señalan, el virus de inmunodeficiencia humana VIH-SIDA y el virus del papiloma humano, sobre todo el subtipo 16.</w:t>
      </w:r>
      <w:r w:rsidRPr="00A9027E">
        <w:rPr>
          <w:rFonts w:eastAsia="Gill Sans MT"/>
          <w:vertAlign w:val="superscript"/>
          <w:lang w:val="es-US" w:eastAsia="en-US"/>
        </w:rPr>
        <w:t>(6)</w:t>
      </w:r>
      <w:r w:rsidRPr="00A9027E">
        <w:rPr>
          <w:rFonts w:eastAsia="Gill Sans MT"/>
          <w:b/>
          <w:vertAlign w:val="superscript"/>
          <w:lang w:val="es-US" w:eastAsia="en-US"/>
        </w:rPr>
        <w:t xml:space="preserve"> </w:t>
      </w:r>
      <w:r w:rsidRPr="00A9027E">
        <w:rPr>
          <w:rFonts w:eastAsia="Gill Sans MT"/>
          <w:lang w:val="es-ES" w:eastAsia="en-US"/>
        </w:rPr>
        <w:t>Es más frecuente en pacientes femeninas de más de 50 años y llega a ser de 1,6 a 2,3 veces mayor que en el sexo masculino.</w:t>
      </w:r>
      <w:r w:rsidRPr="00A9027E">
        <w:rPr>
          <w:rFonts w:eastAsia="Gill Sans MT"/>
          <w:vertAlign w:val="superscript"/>
          <w:lang w:val="es-ES" w:eastAsia="en-US"/>
        </w:rPr>
        <w:t>(7)</w:t>
      </w:r>
      <w:r w:rsidRPr="00A9027E">
        <w:rPr>
          <w:rFonts w:eastAsia="Gill Sans MT"/>
          <w:lang w:val="es-ES" w:eastAsia="en-US"/>
        </w:rPr>
        <w:t xml:space="preserve"> La incidencia aumenta con la edad y alcanza un pico máximo en la octava década de la vida.</w:t>
      </w:r>
      <w:r w:rsidRPr="00A9027E">
        <w:rPr>
          <w:rFonts w:eastAsia="Gill Sans MT"/>
          <w:vertAlign w:val="superscript"/>
          <w:lang w:val="es-ES" w:eastAsia="en-US"/>
        </w:rPr>
        <w:t>(8)</w:t>
      </w:r>
    </w:p>
    <w:p w14:paraId="2C501DB8"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 xml:space="preserve">Teniendo en cuenta la inusual presentación de este tipo de cáncer, se describen las características clínicas de una paciente, como uno de los procesos </w:t>
      </w:r>
      <w:proofErr w:type="spellStart"/>
      <w:r w:rsidRPr="00A9027E">
        <w:rPr>
          <w:rFonts w:eastAsia="Gill Sans MT"/>
          <w:lang w:val="es-ES" w:eastAsia="en-US"/>
        </w:rPr>
        <w:t>oncoproliferativos</w:t>
      </w:r>
      <w:proofErr w:type="spellEnd"/>
      <w:r w:rsidRPr="00A9027E">
        <w:rPr>
          <w:rFonts w:eastAsia="Gill Sans MT"/>
          <w:lang w:val="es-ES" w:eastAsia="en-US"/>
        </w:rPr>
        <w:t xml:space="preserve"> de peor evolución.</w:t>
      </w:r>
    </w:p>
    <w:p w14:paraId="1890E919"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El objetivo de este trabajo es presentar las características clínicas de una paciente con melanoma del canal anorrectal.</w:t>
      </w:r>
    </w:p>
    <w:p w14:paraId="0A4B21FA"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7F6328A4"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1A1B1DF5" w14:textId="77777777" w:rsidR="00A9027E" w:rsidRPr="00A9027E" w:rsidRDefault="00A9027E" w:rsidP="00A9027E">
      <w:pPr>
        <w:widowControl w:val="0"/>
        <w:autoSpaceDE w:val="0"/>
        <w:autoSpaceDN w:val="0"/>
        <w:spacing w:line="360" w:lineRule="auto"/>
        <w:jc w:val="center"/>
        <w:rPr>
          <w:rFonts w:eastAsia="Gill Sans MT"/>
          <w:b/>
          <w:sz w:val="32"/>
          <w:szCs w:val="32"/>
          <w:lang w:val="es-ES" w:eastAsia="en-US"/>
        </w:rPr>
      </w:pPr>
      <w:r w:rsidRPr="00A9027E">
        <w:rPr>
          <w:rFonts w:eastAsia="Gill Sans MT"/>
          <w:b/>
          <w:sz w:val="32"/>
          <w:szCs w:val="32"/>
          <w:lang w:val="es-ES" w:eastAsia="en-US"/>
        </w:rPr>
        <w:t>CASO CLÍNICO</w:t>
      </w:r>
    </w:p>
    <w:p w14:paraId="1D58F595"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 xml:space="preserve">Se presenta a una paciente femenina de 61 años de edad, con antecedentes de hipertensión arterial (tratada con </w:t>
      </w:r>
      <w:proofErr w:type="spellStart"/>
      <w:r w:rsidRPr="00A9027E">
        <w:rPr>
          <w:rFonts w:eastAsia="Gill Sans MT"/>
          <w:lang w:val="es-ES" w:eastAsia="en-US"/>
        </w:rPr>
        <w:t>espirinolactona</w:t>
      </w:r>
      <w:proofErr w:type="spellEnd"/>
      <w:r w:rsidRPr="00A9027E">
        <w:rPr>
          <w:rFonts w:eastAsia="Gill Sans MT"/>
          <w:lang w:val="es-ES" w:eastAsia="en-US"/>
        </w:rPr>
        <w:t xml:space="preserve">, 25 mg diarios y </w:t>
      </w:r>
      <w:proofErr w:type="spellStart"/>
      <w:r w:rsidRPr="00A9027E">
        <w:rPr>
          <w:rFonts w:eastAsia="Gill Sans MT"/>
          <w:lang w:val="es-ES" w:eastAsia="en-US"/>
        </w:rPr>
        <w:t>captopril</w:t>
      </w:r>
      <w:proofErr w:type="spellEnd"/>
      <w:r w:rsidRPr="00A9027E">
        <w:rPr>
          <w:rFonts w:eastAsia="Gill Sans MT"/>
          <w:lang w:val="es-ES" w:eastAsia="en-US"/>
        </w:rPr>
        <w:t xml:space="preserve">, 25 mg 2 veces por día) y de diabetes mellitus (tratada con metformina 500 mg 3 veces al día); antecedentes familiares de que la madre y la abuela fallecieron por carcinoma gástrico y cáncer de útero, respectivamente.  La paciente fue atendida en la consulta de gastroenterología del </w:t>
      </w:r>
      <w:r w:rsidRPr="00A9027E">
        <w:rPr>
          <w:rFonts w:eastAsia="Gill Sans MT"/>
          <w:w w:val="120"/>
          <w:lang w:val="es-ES" w:eastAsia="en-US"/>
        </w:rPr>
        <w:t xml:space="preserve">Hospital </w:t>
      </w:r>
      <w:r w:rsidRPr="00A9027E">
        <w:rPr>
          <w:rFonts w:eastAsia="Gill Sans MT"/>
          <w:w w:val="115"/>
          <w:lang w:val="es-ES" w:eastAsia="en-US"/>
        </w:rPr>
        <w:t xml:space="preserve">Militar “Dr. Joaquín Castillo Duany”, Santiago de Cuba. </w:t>
      </w:r>
    </w:p>
    <w:p w14:paraId="78D203BB"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 xml:space="preserve">La paciente se quejaba de constipación, de aproximadamente 3 meses de evolución, que mejoraba con la administración de laxantes (bisacodilo, hasta 10 mg diarios, en ocasiones). Entre los síntomas asociados se encontraron tenesmo rectal, heces fecales disminuidas de volumen, anorexia, astenia y pérdida de peso de aproximadamente 12 kg durante ese período. </w:t>
      </w:r>
    </w:p>
    <w:p w14:paraId="2BE61C63"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Al examen físico se constató al tacto rectal, masa tumoral de aproximadamente 4 cm, irregular, indurada y adherida a planos profundos.</w:t>
      </w:r>
    </w:p>
    <w:p w14:paraId="35DBDAC1"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 xml:space="preserve">De inmediato se le realizó una </w:t>
      </w:r>
      <w:proofErr w:type="spellStart"/>
      <w:r w:rsidRPr="00A9027E">
        <w:rPr>
          <w:rFonts w:eastAsia="Gill Sans MT"/>
          <w:lang w:val="es-ES" w:eastAsia="en-US"/>
        </w:rPr>
        <w:t>fibrocolonoscopia</w:t>
      </w:r>
      <w:proofErr w:type="spellEnd"/>
      <w:r w:rsidRPr="00A9027E">
        <w:rPr>
          <w:rFonts w:eastAsia="Gill Sans MT"/>
          <w:lang w:val="es-ES" w:eastAsia="en-US"/>
        </w:rPr>
        <w:t>. Se describió una lesión neoplásica en el canal anorrectal, de aspecto vegetante, sólida, pardo-negruzca, con bordes mal definidos, indurada pero friable, que se localizaba a los 5-6 cm de las márgenes del ano. Se tomó muestra para biopsia.</w:t>
      </w:r>
    </w:p>
    <w:p w14:paraId="4E640151"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 xml:space="preserve">Se indicaron exámenes complementarios imagenológicos. La ecografía abdominal detectó 2 imágenes nodulares sólidas que se observaron en el lóbulo derecho del hígado, de aspecto tumoral, sugestivas de metástasis, medía 30 x 34 mm la mayor, y </w:t>
      </w:r>
      <w:r w:rsidRPr="00A9027E">
        <w:rPr>
          <w:rFonts w:eastAsia="Gill Sans MT"/>
          <w:strike/>
          <w:lang w:val="es-ES" w:eastAsia="en-US"/>
        </w:rPr>
        <w:t>e</w:t>
      </w:r>
      <w:r w:rsidRPr="00A9027E">
        <w:rPr>
          <w:rFonts w:eastAsia="Gill Sans MT"/>
          <w:lang w:val="es-ES" w:eastAsia="en-US"/>
        </w:rPr>
        <w:t xml:space="preserve">n la proyección del ovario derecho se observó otra imagen </w:t>
      </w:r>
      <w:proofErr w:type="spellStart"/>
      <w:r w:rsidRPr="00A9027E">
        <w:rPr>
          <w:rFonts w:eastAsia="Gill Sans MT"/>
          <w:lang w:val="es-ES" w:eastAsia="en-US"/>
        </w:rPr>
        <w:lastRenderedPageBreak/>
        <w:t>hipoecogénica</w:t>
      </w:r>
      <w:proofErr w:type="spellEnd"/>
      <w:r w:rsidRPr="00A9027E">
        <w:rPr>
          <w:rFonts w:eastAsia="Gill Sans MT"/>
          <w:lang w:val="es-ES" w:eastAsia="en-US"/>
        </w:rPr>
        <w:t xml:space="preserve">, sólida, sugestiva de proceso tumoral secundario, que midió 50 x 52 </w:t>
      </w:r>
      <w:proofErr w:type="spellStart"/>
      <w:r w:rsidRPr="00A9027E">
        <w:rPr>
          <w:rFonts w:eastAsia="Gill Sans MT"/>
          <w:lang w:val="es-ES" w:eastAsia="en-US"/>
        </w:rPr>
        <w:t>mm.</w:t>
      </w:r>
      <w:proofErr w:type="spellEnd"/>
      <w:r w:rsidRPr="00A9027E">
        <w:rPr>
          <w:rFonts w:eastAsia="Gill Sans MT"/>
          <w:lang w:val="es-ES" w:eastAsia="en-US"/>
        </w:rPr>
        <w:t xml:space="preserve"> En la tomografía computarizada abdominopélvica se observaron 2 imágenes nodulares hipodensas que medían aproximadamente 2 x 2,5 cm en lóbulo hepático derecho, que pudieran corresponderse con metástasis observadas por ecografía. Se observó, además, una masa tumoral hiperdensa en el hipogastrio hacia la derecha que midió 6 x 5,4 cm, que desplazaba el sigmoide hacia la izquierda y se correspondía con tumor del ovario derecho, probablemente metastásico. </w:t>
      </w:r>
    </w:p>
    <w:p w14:paraId="6D936D25"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Con todos estos resultados y de acuerdo con los datos clínicos encontrados, se llegó al diagnóstico de melanoma anorrectal, corroborado por el examen histopatológico de la muestra estudiada (Fig. 1). Se propuso tratamiento quirúrgico radical con radioterapia y quimioterapia adyuvantes, a pesar del estadio avanzado de la enfermedad. La paciente presentó descompensación de las enfermedades de base y falleció en pocas semanas, antes de aplicar esquema de tratamiento propuesto.</w:t>
      </w:r>
    </w:p>
    <w:p w14:paraId="4BCF13C9" w14:textId="77777777" w:rsidR="00A9027E" w:rsidRPr="00A9027E" w:rsidRDefault="00A9027E" w:rsidP="00A9027E">
      <w:pPr>
        <w:widowControl w:val="0"/>
        <w:autoSpaceDE w:val="0"/>
        <w:autoSpaceDN w:val="0"/>
        <w:spacing w:line="360" w:lineRule="auto"/>
        <w:jc w:val="center"/>
        <w:rPr>
          <w:rFonts w:eastAsia="Gill Sans MT"/>
          <w:lang w:val="es-ES" w:eastAsia="en-US"/>
        </w:rPr>
      </w:pPr>
    </w:p>
    <w:p w14:paraId="6236DCDC" w14:textId="3170B7CA" w:rsidR="00A9027E" w:rsidRPr="00A9027E" w:rsidRDefault="00A9027E" w:rsidP="00A9027E">
      <w:pPr>
        <w:widowControl w:val="0"/>
        <w:autoSpaceDE w:val="0"/>
        <w:autoSpaceDN w:val="0"/>
        <w:spacing w:line="360" w:lineRule="auto"/>
        <w:jc w:val="center"/>
        <w:rPr>
          <w:rFonts w:eastAsia="Gill Sans MT"/>
          <w:lang w:val="es-ES" w:eastAsia="en-US"/>
        </w:rPr>
      </w:pPr>
      <w:r w:rsidRPr="00A9027E">
        <w:rPr>
          <w:rFonts w:eastAsia="Gill Sans MT"/>
          <w:noProof/>
          <w:lang w:val="es-ES" w:eastAsia="en-US"/>
        </w:rPr>
        <w:drawing>
          <wp:inline distT="0" distB="0" distL="0" distR="0" wp14:anchorId="59D45CCC" wp14:editId="0ADF3E96">
            <wp:extent cx="4572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0"/>
                    </a:xfrm>
                    <a:prstGeom prst="rect">
                      <a:avLst/>
                    </a:prstGeom>
                    <a:noFill/>
                    <a:ln>
                      <a:noFill/>
                    </a:ln>
                  </pic:spPr>
                </pic:pic>
              </a:graphicData>
            </a:graphic>
          </wp:inline>
        </w:drawing>
      </w:r>
    </w:p>
    <w:p w14:paraId="6DC3D1C4" w14:textId="77777777" w:rsidR="00A9027E" w:rsidRPr="00A9027E" w:rsidRDefault="00A9027E" w:rsidP="00A9027E">
      <w:pPr>
        <w:widowControl w:val="0"/>
        <w:autoSpaceDE w:val="0"/>
        <w:autoSpaceDN w:val="0"/>
        <w:spacing w:line="360" w:lineRule="auto"/>
        <w:jc w:val="center"/>
        <w:rPr>
          <w:rFonts w:eastAsia="Gill Sans MT"/>
          <w:sz w:val="22"/>
          <w:szCs w:val="22"/>
          <w:lang w:val="es-ES" w:eastAsia="en-US"/>
        </w:rPr>
      </w:pPr>
      <w:r w:rsidRPr="00A9027E">
        <w:rPr>
          <w:rFonts w:eastAsia="Gill Sans MT"/>
          <w:b/>
          <w:bCs/>
          <w:sz w:val="20"/>
          <w:lang w:val="es-ES" w:eastAsia="en-US"/>
        </w:rPr>
        <w:t xml:space="preserve">Fig. 1- </w:t>
      </w:r>
      <w:r w:rsidRPr="00A9027E">
        <w:rPr>
          <w:rFonts w:eastAsia="Gill Sans MT"/>
          <w:sz w:val="20"/>
          <w:lang w:val="es-ES" w:eastAsia="en-US"/>
        </w:rPr>
        <w:t>Estudio histopatológico que informa neoplasia rica en melanina, formada por células de mediano y largo tamaño, polimórficas, con nucléolos eosinófilos y actividad mitótica importante.</w:t>
      </w:r>
    </w:p>
    <w:p w14:paraId="0C5330FC" w14:textId="77777777" w:rsidR="00A9027E" w:rsidRPr="00A9027E" w:rsidRDefault="00A9027E" w:rsidP="00A9027E">
      <w:pPr>
        <w:widowControl w:val="0"/>
        <w:autoSpaceDE w:val="0"/>
        <w:autoSpaceDN w:val="0"/>
        <w:spacing w:line="360" w:lineRule="auto"/>
        <w:jc w:val="center"/>
        <w:rPr>
          <w:rFonts w:eastAsia="Gill Sans MT"/>
          <w:sz w:val="20"/>
          <w:lang w:val="es-ES" w:eastAsia="en-US"/>
        </w:rPr>
      </w:pPr>
    </w:p>
    <w:p w14:paraId="6E8AF2DC" w14:textId="77777777" w:rsidR="00A9027E" w:rsidRPr="00A9027E" w:rsidRDefault="00A9027E" w:rsidP="00A9027E">
      <w:pPr>
        <w:widowControl w:val="0"/>
        <w:autoSpaceDE w:val="0"/>
        <w:autoSpaceDN w:val="0"/>
        <w:spacing w:line="360" w:lineRule="auto"/>
        <w:jc w:val="center"/>
        <w:rPr>
          <w:rFonts w:eastAsia="Gill Sans MT"/>
          <w:sz w:val="20"/>
          <w:lang w:val="es-ES" w:eastAsia="en-US"/>
        </w:rPr>
      </w:pPr>
    </w:p>
    <w:p w14:paraId="6393CE6B" w14:textId="77777777" w:rsidR="00A9027E" w:rsidRPr="00A9027E" w:rsidRDefault="00A9027E" w:rsidP="00A9027E">
      <w:pPr>
        <w:widowControl w:val="0"/>
        <w:autoSpaceDE w:val="0"/>
        <w:autoSpaceDN w:val="0"/>
        <w:spacing w:line="360" w:lineRule="auto"/>
        <w:jc w:val="center"/>
        <w:rPr>
          <w:rFonts w:eastAsia="Gill Sans MT"/>
          <w:b/>
          <w:sz w:val="32"/>
          <w:szCs w:val="32"/>
          <w:lang w:val="es-ES" w:eastAsia="en-US"/>
        </w:rPr>
      </w:pPr>
      <w:r w:rsidRPr="00A9027E">
        <w:rPr>
          <w:rFonts w:eastAsia="Gill Sans MT"/>
          <w:b/>
          <w:sz w:val="32"/>
          <w:szCs w:val="32"/>
          <w:lang w:val="es-ES" w:eastAsia="en-US"/>
        </w:rPr>
        <w:t>COMENTARIOS</w:t>
      </w:r>
    </w:p>
    <w:p w14:paraId="3862B94F" w14:textId="77777777" w:rsidR="00A9027E" w:rsidRPr="00A9027E" w:rsidRDefault="00A9027E" w:rsidP="00A9027E">
      <w:pPr>
        <w:widowControl w:val="0"/>
        <w:autoSpaceDE w:val="0"/>
        <w:autoSpaceDN w:val="0"/>
        <w:spacing w:line="360" w:lineRule="auto"/>
        <w:jc w:val="both"/>
        <w:rPr>
          <w:rFonts w:eastAsia="Gill Sans MT"/>
          <w:color w:val="FF0000"/>
          <w:u w:val="single"/>
          <w:vertAlign w:val="superscript"/>
          <w:lang w:val="es-ES" w:eastAsia="en-US"/>
        </w:rPr>
      </w:pPr>
      <w:r w:rsidRPr="00A9027E">
        <w:rPr>
          <w:rFonts w:eastAsia="Gill Sans MT"/>
          <w:lang w:val="es-ES" w:eastAsia="en-US"/>
        </w:rPr>
        <w:t xml:space="preserve">El melanoma del canal anal, rectal o ambos, según su localización, es un tumor maligno que se desarrolla a partir de células melanocíticas derivadas de la cresta neural, o sea, es de origen embrionario </w:t>
      </w:r>
      <w:proofErr w:type="spellStart"/>
      <w:r w:rsidRPr="00A9027E">
        <w:rPr>
          <w:rFonts w:eastAsia="Gill Sans MT"/>
          <w:lang w:val="es-ES" w:eastAsia="en-US"/>
        </w:rPr>
        <w:t>neuroectodérmico</w:t>
      </w:r>
      <w:proofErr w:type="spellEnd"/>
      <w:r w:rsidRPr="00A9027E">
        <w:rPr>
          <w:rFonts w:eastAsia="Gill Sans MT"/>
          <w:lang w:val="es-ES" w:eastAsia="en-US"/>
        </w:rPr>
        <w:t>.</w:t>
      </w:r>
      <w:r w:rsidRPr="00A9027E">
        <w:rPr>
          <w:rFonts w:eastAsia="Gill Sans MT"/>
          <w:vertAlign w:val="superscript"/>
          <w:lang w:val="es-ES" w:eastAsia="en-US"/>
        </w:rPr>
        <w:t>(3)</w:t>
      </w:r>
      <w:r w:rsidRPr="00A9027E">
        <w:rPr>
          <w:rFonts w:eastAsia="Gill Sans MT"/>
          <w:color w:val="FF0000"/>
          <w:lang w:val="es-ES" w:eastAsia="en-US"/>
        </w:rPr>
        <w:t xml:space="preserve"> </w:t>
      </w:r>
      <w:r w:rsidRPr="00A9027E">
        <w:rPr>
          <w:rFonts w:eastAsia="Gill Sans MT"/>
          <w:lang w:val="es-ES" w:eastAsia="en-US"/>
        </w:rPr>
        <w:t>Es producto de la transformación de los melanocitos, como resultado de la acumulación de múltiples mutaciones en su genoma, aunque no muy esclarecidas aún,</w:t>
      </w:r>
      <w:r w:rsidRPr="00A9027E">
        <w:rPr>
          <w:rFonts w:eastAsia="Gill Sans MT"/>
          <w:vertAlign w:val="superscript"/>
          <w:lang w:val="es-ES" w:eastAsia="en-US"/>
        </w:rPr>
        <w:t>(4)</w:t>
      </w:r>
      <w:r w:rsidRPr="00A9027E">
        <w:rPr>
          <w:rFonts w:eastAsia="Gill Sans MT"/>
          <w:color w:val="FF0000"/>
          <w:lang w:val="es-ES" w:eastAsia="en-US"/>
        </w:rPr>
        <w:t xml:space="preserve"> </w:t>
      </w:r>
      <w:r w:rsidRPr="00A9027E">
        <w:rPr>
          <w:rFonts w:eastAsia="Gill Sans MT"/>
          <w:lang w:val="es-ES" w:eastAsia="en-US"/>
        </w:rPr>
        <w:t xml:space="preserve">que llevan a que </w:t>
      </w:r>
      <w:r w:rsidRPr="00A9027E">
        <w:rPr>
          <w:rFonts w:eastAsia="Gill Sans MT"/>
          <w:lang w:val="es-ES" w:eastAsia="en-US"/>
        </w:rPr>
        <w:lastRenderedPageBreak/>
        <w:t>sufra alteración del ciclo celular y proliferación sin control, evasión de la respuesta inmunitaria, desarrollo tumoral y metástasis.</w:t>
      </w:r>
      <w:r w:rsidRPr="00A9027E">
        <w:rPr>
          <w:rFonts w:eastAsia="Gill Sans MT"/>
          <w:vertAlign w:val="superscript"/>
          <w:lang w:val="es-ES" w:eastAsia="en-US"/>
        </w:rPr>
        <w:t>(2)</w:t>
      </w:r>
    </w:p>
    <w:p w14:paraId="3E6BEEC1"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Calibri"/>
          <w:lang w:val="es-ES" w:eastAsia="en-US"/>
        </w:rPr>
        <w:t>Se clasifica</w:t>
      </w:r>
      <w:r w:rsidRPr="00A9027E">
        <w:rPr>
          <w:rFonts w:eastAsia="Calibri"/>
          <w:lang w:val="es-US" w:eastAsia="en-US"/>
        </w:rPr>
        <w:t xml:space="preserve"> dentro de los melanomas mucosos y el diagnóstico suele realizarse de forma tardía,</w:t>
      </w:r>
      <w:r w:rsidRPr="00A9027E">
        <w:rPr>
          <w:rFonts w:eastAsia="Gill Sans MT"/>
          <w:lang w:val="es-ES" w:eastAsia="en-US"/>
        </w:rPr>
        <w:t xml:space="preserve"> a menudo en una fase avanzada (casi siempre ya con metástasis), como en este caso.</w:t>
      </w:r>
      <w:r w:rsidRPr="00A9027E">
        <w:rPr>
          <w:rFonts w:eastAsia="Calibri"/>
          <w:lang w:val="es-US" w:eastAsia="en-US"/>
        </w:rPr>
        <w:t xml:space="preserve"> Debido a su localización en zonas de difícil acceso a la exploración y la falta de signos específicos tempranos.</w:t>
      </w:r>
      <w:r w:rsidRPr="00A9027E">
        <w:rPr>
          <w:rFonts w:eastAsia="Calibri"/>
          <w:vertAlign w:val="superscript"/>
          <w:lang w:val="es-US" w:eastAsia="en-US"/>
        </w:rPr>
        <w:t>(9)</w:t>
      </w:r>
      <w:r w:rsidRPr="00A9027E">
        <w:rPr>
          <w:rFonts w:eastAsia="Calibri"/>
          <w:lang w:val="es-US" w:eastAsia="en-US"/>
        </w:rPr>
        <w:t xml:space="preserve"> </w:t>
      </w:r>
      <w:r w:rsidRPr="00A9027E">
        <w:rPr>
          <w:rFonts w:eastAsia="Gill Sans MT"/>
          <w:lang w:val="es-ES" w:eastAsia="en-US"/>
        </w:rPr>
        <w:t>La forma de presentación clínica puede ser muy variada, con sangrado rectal, dolor abdominal, sensación de aumento de volumen abdominal, cambios en el hábito intestinal y prurito o dolor anal.</w:t>
      </w:r>
      <w:r w:rsidRPr="00A9027E">
        <w:rPr>
          <w:rFonts w:eastAsia="Gill Sans MT"/>
          <w:vertAlign w:val="superscript"/>
          <w:lang w:val="es-ES" w:eastAsia="en-US"/>
        </w:rPr>
        <w:t>(2,3)</w:t>
      </w:r>
      <w:r w:rsidRPr="00A9027E">
        <w:rPr>
          <w:rFonts w:eastAsia="Gill Sans MT"/>
          <w:b/>
          <w:vertAlign w:val="superscript"/>
          <w:lang w:val="es-ES" w:eastAsia="en-US"/>
        </w:rPr>
        <w:t xml:space="preserve"> </w:t>
      </w:r>
      <w:r w:rsidRPr="00A9027E">
        <w:rPr>
          <w:rFonts w:eastAsia="Gill Sans MT"/>
          <w:lang w:val="es-ES" w:eastAsia="en-US"/>
        </w:rPr>
        <w:t xml:space="preserve">La paciente estudiada no presentó sangrado rectal, síntoma descrito como el más frecuente y que contribuye muchas veces a que las lesiones sean confundidas con una enfermedad hemorroidal, lo que también pudo retrasar el diagnóstico. Sin embargo, se diagnosticó en un breve período después de acudir por vez primera a consulta. </w:t>
      </w:r>
    </w:p>
    <w:p w14:paraId="4DB340E6" w14:textId="77777777" w:rsidR="00A9027E" w:rsidRPr="00A9027E" w:rsidRDefault="00A9027E" w:rsidP="00A9027E">
      <w:pPr>
        <w:widowControl w:val="0"/>
        <w:autoSpaceDE w:val="0"/>
        <w:autoSpaceDN w:val="0"/>
        <w:spacing w:line="360" w:lineRule="auto"/>
        <w:jc w:val="both"/>
        <w:rPr>
          <w:rFonts w:eastAsia="Gill Sans MT"/>
          <w:vertAlign w:val="superscript"/>
          <w:lang w:val="es-ES" w:eastAsia="en-US"/>
        </w:rPr>
      </w:pPr>
      <w:r w:rsidRPr="00A9027E">
        <w:rPr>
          <w:rFonts w:eastAsia="Gill Sans MT"/>
          <w:lang w:val="es-ES" w:eastAsia="en-US"/>
        </w:rPr>
        <w:t xml:space="preserve">El diagnóstico se hace a través de biopsia, con detección de proteínas </w:t>
      </w:r>
      <w:proofErr w:type="spellStart"/>
      <w:r w:rsidRPr="00A9027E">
        <w:rPr>
          <w:rFonts w:eastAsia="Gill Sans MT"/>
          <w:lang w:val="es-ES" w:eastAsia="en-US"/>
        </w:rPr>
        <w:t>inmuno</w:t>
      </w:r>
      <w:proofErr w:type="spellEnd"/>
      <w:r w:rsidRPr="00A9027E">
        <w:rPr>
          <w:rFonts w:eastAsia="Gill Sans MT"/>
          <w:lang w:val="es-ES" w:eastAsia="en-US"/>
        </w:rPr>
        <w:t xml:space="preserve">-específicas para el melanoma, como </w:t>
      </w:r>
      <w:proofErr w:type="spellStart"/>
      <w:r w:rsidRPr="00A9027E">
        <w:rPr>
          <w:rFonts w:eastAsia="Gill Sans MT"/>
          <w:lang w:val="es-ES" w:eastAsia="en-US"/>
        </w:rPr>
        <w:t>HMB</w:t>
      </w:r>
      <w:proofErr w:type="spellEnd"/>
      <w:r w:rsidRPr="00A9027E">
        <w:rPr>
          <w:rFonts w:eastAsia="Gill Sans MT"/>
          <w:lang w:val="es-ES" w:eastAsia="en-US"/>
        </w:rPr>
        <w:t xml:space="preserve">-45, S-100 y vimentina, con técnicas de inmunohistoquímica y así diferenciarlo de otros tipos de tumores como sarcomas y carcinomas </w:t>
      </w:r>
      <w:proofErr w:type="gramStart"/>
      <w:r w:rsidRPr="00A9027E">
        <w:rPr>
          <w:rFonts w:eastAsia="Gill Sans MT"/>
          <w:lang w:val="es-ES" w:eastAsia="en-US"/>
        </w:rPr>
        <w:t>indiferenciados.</w:t>
      </w:r>
      <w:r w:rsidRPr="00A9027E">
        <w:rPr>
          <w:rFonts w:eastAsia="Gill Sans MT"/>
          <w:vertAlign w:val="superscript"/>
          <w:lang w:val="es-ES" w:eastAsia="en-US"/>
        </w:rPr>
        <w:t>(</w:t>
      </w:r>
      <w:proofErr w:type="gramEnd"/>
      <w:r w:rsidRPr="00A9027E">
        <w:rPr>
          <w:rFonts w:eastAsia="Gill Sans MT"/>
          <w:vertAlign w:val="superscript"/>
          <w:lang w:val="es-ES" w:eastAsia="en-US"/>
        </w:rPr>
        <w:t>7)</w:t>
      </w:r>
    </w:p>
    <w:p w14:paraId="70CD88C6"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La mayoría de las lesiones se observan a nivel de la línea dentada del canal anal y tienden a infiltrar hasta la submucosa.</w:t>
      </w:r>
      <w:r w:rsidRPr="00A9027E">
        <w:rPr>
          <w:rFonts w:eastAsia="Gill Sans MT"/>
          <w:vertAlign w:val="superscript"/>
          <w:lang w:val="es-ES" w:eastAsia="en-US"/>
        </w:rPr>
        <w:t>(3)</w:t>
      </w:r>
      <w:r w:rsidRPr="00A9027E">
        <w:rPr>
          <w:rFonts w:eastAsia="Gill Sans MT"/>
          <w:color w:val="FF0000"/>
          <w:lang w:val="es-ES" w:eastAsia="en-US"/>
        </w:rPr>
        <w:t xml:space="preserve"> </w:t>
      </w:r>
      <w:r w:rsidRPr="00A9027E">
        <w:rPr>
          <w:rFonts w:eastAsia="Gill Sans MT"/>
          <w:lang w:val="es-ES" w:eastAsia="en-US"/>
        </w:rPr>
        <w:t xml:space="preserve">Se reconocen 2 métodos principales de clasificación, uno </w:t>
      </w:r>
      <w:r w:rsidRPr="00A9027E">
        <w:rPr>
          <w:rFonts w:eastAsia="Calibri"/>
          <w:color w:val="000000"/>
          <w:lang w:val="es-419" w:eastAsia="en-US"/>
        </w:rPr>
        <w:t>tiene en cuenta tanto la extensión de la lesión como la profundidad (</w:t>
      </w:r>
      <w:r w:rsidRPr="00A9027E">
        <w:rPr>
          <w:rFonts w:eastAsia="Calibri"/>
          <w:lang w:val="es-419" w:eastAsia="en-US"/>
        </w:rPr>
        <w:t>tabla 1</w:t>
      </w:r>
      <w:r w:rsidRPr="00A9027E">
        <w:rPr>
          <w:rFonts w:eastAsia="Calibri"/>
          <w:color w:val="000000"/>
          <w:lang w:val="es-419" w:eastAsia="en-US"/>
        </w:rPr>
        <w:t>)</w:t>
      </w:r>
      <w:r w:rsidRPr="00A9027E">
        <w:rPr>
          <w:rFonts w:eastAsia="Calibri"/>
          <w:color w:val="000000"/>
          <w:vertAlign w:val="superscript"/>
          <w:lang w:val="es-419" w:eastAsia="en-US"/>
        </w:rPr>
        <w:t>(1)</w:t>
      </w:r>
      <w:r w:rsidRPr="00A9027E">
        <w:rPr>
          <w:rFonts w:eastAsia="Calibri"/>
          <w:color w:val="000000"/>
          <w:lang w:val="es-419" w:eastAsia="en-US"/>
        </w:rPr>
        <w:t xml:space="preserve"> y otro </w:t>
      </w:r>
      <w:r w:rsidRPr="00A9027E">
        <w:rPr>
          <w:rFonts w:eastAsia="Gill Sans MT"/>
          <w:lang w:val="es-ES" w:eastAsia="en-US"/>
        </w:rPr>
        <w:t>según la extensión del tumor, como última propuesta actualizada, según se menciona a continuación: estadio I (enfermedad local, no presenta infiltración a la muscular propia), estadio II (el tumor infiltra la muscular propia), estadio III (enfermedad regional, con ganglios afectados) y estadio IV (metástasis a distancia).</w:t>
      </w:r>
      <w:r w:rsidRPr="00A9027E">
        <w:rPr>
          <w:rFonts w:eastAsia="Gill Sans MT"/>
          <w:vertAlign w:val="superscript"/>
          <w:lang w:val="es-ES" w:eastAsia="en-US"/>
        </w:rPr>
        <w:t>(7)</w:t>
      </w:r>
      <w:r w:rsidRPr="00A9027E">
        <w:rPr>
          <w:rFonts w:eastAsia="Gill Sans MT"/>
          <w:lang w:val="es-ES" w:eastAsia="en-US"/>
        </w:rPr>
        <w:t xml:space="preserve"> El tratamiento quirúrgico es aceptado como el único tratamiento efectivo, ya sea amplio (amputación abdominoperineal) o una resección local de la lesión, unido a quimioterapia y radioterapia, como coadyuvantes. Sin embargo, a pesar de este tratamiento paliativo, los pacientes no tienen una supervivencia global mayor; puede ser de 5 años en menos del 10 % de los </w:t>
      </w:r>
      <w:proofErr w:type="gramStart"/>
      <w:r w:rsidRPr="00A9027E">
        <w:rPr>
          <w:rFonts w:eastAsia="Gill Sans MT"/>
          <w:lang w:val="es-ES" w:eastAsia="en-US"/>
        </w:rPr>
        <w:t>casos.</w:t>
      </w:r>
      <w:r w:rsidRPr="00A9027E">
        <w:rPr>
          <w:rFonts w:eastAsia="Gill Sans MT"/>
          <w:vertAlign w:val="superscript"/>
          <w:lang w:val="es-ES" w:eastAsia="en-US"/>
        </w:rPr>
        <w:t>(</w:t>
      </w:r>
      <w:proofErr w:type="gramEnd"/>
      <w:r w:rsidRPr="00A9027E">
        <w:rPr>
          <w:rFonts w:eastAsia="Gill Sans MT"/>
          <w:vertAlign w:val="superscript"/>
          <w:lang w:val="es-ES" w:eastAsia="en-US"/>
        </w:rPr>
        <w:t>8)</w:t>
      </w:r>
      <w:r w:rsidRPr="00A9027E">
        <w:rPr>
          <w:rFonts w:eastAsia="Gill Sans MT"/>
          <w:lang w:val="es-ES" w:eastAsia="en-US"/>
        </w:rPr>
        <w:t xml:space="preserve"> No obstante, </w:t>
      </w:r>
      <w:r w:rsidRPr="00A9027E">
        <w:rPr>
          <w:rFonts w:eastAsia="Calibri"/>
          <w:lang w:val="es-US" w:eastAsia="en-US"/>
        </w:rPr>
        <w:t>cuando se encuentra en estadios más avanzados en el momento del diagnóstico, el pronóstico es peor, sin supervivencia a los 5 a</w:t>
      </w:r>
      <w:r w:rsidRPr="00A9027E">
        <w:rPr>
          <w:rFonts w:eastAsia="Gill Sans MT"/>
          <w:lang w:val="es-ES" w:eastAsia="en-US"/>
        </w:rPr>
        <w:t>ñ</w:t>
      </w:r>
      <w:r w:rsidRPr="00A9027E">
        <w:rPr>
          <w:rFonts w:eastAsia="Calibri"/>
          <w:lang w:val="es-US" w:eastAsia="en-US"/>
        </w:rPr>
        <w:t>os,</w:t>
      </w:r>
      <w:r w:rsidRPr="00A9027E">
        <w:rPr>
          <w:rFonts w:eastAsia="Calibri"/>
          <w:vertAlign w:val="superscript"/>
          <w:lang w:val="es-US" w:eastAsia="en-US"/>
        </w:rPr>
        <w:t>(1)</w:t>
      </w:r>
      <w:r w:rsidRPr="00A9027E">
        <w:rPr>
          <w:rFonts w:eastAsia="Calibri"/>
          <w:lang w:val="es-US" w:eastAsia="en-US"/>
        </w:rPr>
        <w:t xml:space="preserve"> como en la paciente que se presentó.</w:t>
      </w:r>
    </w:p>
    <w:p w14:paraId="1805103D" w14:textId="77777777" w:rsidR="00A9027E" w:rsidRPr="00A9027E" w:rsidRDefault="00A9027E" w:rsidP="00A9027E">
      <w:pPr>
        <w:widowControl w:val="0"/>
        <w:autoSpaceDE w:val="0"/>
        <w:autoSpaceDN w:val="0"/>
        <w:spacing w:line="360" w:lineRule="auto"/>
        <w:jc w:val="both"/>
        <w:rPr>
          <w:rFonts w:eastAsia="Gill Sans MT"/>
          <w:lang w:val="es-419" w:eastAsia="en-US"/>
        </w:rPr>
      </w:pPr>
      <w:r w:rsidRPr="00A9027E">
        <w:rPr>
          <w:rFonts w:eastAsia="Gill Sans MT"/>
          <w:lang w:val="es-419" w:eastAsia="en-US"/>
        </w:rPr>
        <w:t xml:space="preserve">               </w:t>
      </w:r>
    </w:p>
    <w:p w14:paraId="54253CCB" w14:textId="77777777" w:rsidR="00D71DC8" w:rsidRDefault="00D71DC8">
      <w:pPr>
        <w:rPr>
          <w:rFonts w:eastAsia="Gill Sans MT"/>
          <w:b/>
          <w:sz w:val="20"/>
          <w:lang w:val="es-419" w:eastAsia="en-US"/>
        </w:rPr>
      </w:pPr>
      <w:r>
        <w:rPr>
          <w:rFonts w:eastAsia="Gill Sans MT"/>
          <w:b/>
          <w:sz w:val="20"/>
          <w:lang w:val="es-419" w:eastAsia="en-US"/>
        </w:rPr>
        <w:br w:type="page"/>
      </w:r>
    </w:p>
    <w:p w14:paraId="154CB4D4" w14:textId="4B8BFAE7" w:rsidR="00A9027E" w:rsidRPr="00A9027E" w:rsidRDefault="00A9027E" w:rsidP="00A9027E">
      <w:pPr>
        <w:widowControl w:val="0"/>
        <w:autoSpaceDE w:val="0"/>
        <w:autoSpaceDN w:val="0"/>
        <w:spacing w:line="360" w:lineRule="auto"/>
        <w:jc w:val="center"/>
        <w:rPr>
          <w:rFonts w:eastAsia="Gill Sans MT"/>
          <w:sz w:val="20"/>
          <w:lang w:val="es-419" w:eastAsia="en-US"/>
        </w:rPr>
      </w:pPr>
      <w:r w:rsidRPr="00A9027E">
        <w:rPr>
          <w:rFonts w:eastAsia="Gill Sans MT"/>
          <w:b/>
          <w:sz w:val="20"/>
          <w:lang w:val="es-419" w:eastAsia="en-US"/>
        </w:rPr>
        <w:lastRenderedPageBreak/>
        <w:t>Tabla 1 -</w:t>
      </w:r>
      <w:r w:rsidRPr="00A9027E">
        <w:rPr>
          <w:rFonts w:eastAsia="Gill Sans MT"/>
          <w:sz w:val="20"/>
          <w:lang w:val="es-419" w:eastAsia="en-US"/>
        </w:rPr>
        <w:t xml:space="preserve"> Sistema de </w:t>
      </w:r>
      <w:r w:rsidRPr="00A9027E">
        <w:rPr>
          <w:rFonts w:eastAsia="Gill Sans MT"/>
          <w:sz w:val="22"/>
          <w:szCs w:val="22"/>
          <w:lang w:val="es-419" w:eastAsia="en-US"/>
        </w:rPr>
        <w:t>e</w:t>
      </w:r>
      <w:r w:rsidRPr="00A9027E">
        <w:rPr>
          <w:rFonts w:eastAsia="Gill Sans MT"/>
          <w:sz w:val="20"/>
          <w:lang w:val="es-419" w:eastAsia="en-US"/>
        </w:rPr>
        <w:t>stadificación de la Comisión Americana Conjunta para el</w:t>
      </w:r>
    </w:p>
    <w:p w14:paraId="3AC1D320" w14:textId="77777777" w:rsidR="00A9027E" w:rsidRPr="00A9027E" w:rsidRDefault="00A9027E" w:rsidP="00A9027E">
      <w:pPr>
        <w:widowControl w:val="0"/>
        <w:autoSpaceDE w:val="0"/>
        <w:autoSpaceDN w:val="0"/>
        <w:spacing w:line="360" w:lineRule="auto"/>
        <w:ind w:left="720"/>
        <w:jc w:val="center"/>
        <w:rPr>
          <w:rFonts w:eastAsia="Gill Sans MT"/>
          <w:sz w:val="20"/>
          <w:vertAlign w:val="superscript"/>
          <w:lang w:val="es-419" w:eastAsia="en-US"/>
        </w:rPr>
      </w:pPr>
      <w:r w:rsidRPr="00A9027E">
        <w:rPr>
          <w:rFonts w:eastAsia="Gill Sans MT"/>
          <w:sz w:val="20"/>
          <w:lang w:val="es-419" w:eastAsia="en-US"/>
        </w:rPr>
        <w:t xml:space="preserve">estudio del </w:t>
      </w:r>
      <w:r w:rsidRPr="00A9027E">
        <w:rPr>
          <w:rFonts w:eastAsia="Gill Sans MT"/>
          <w:sz w:val="22"/>
          <w:szCs w:val="22"/>
          <w:lang w:val="es-419" w:eastAsia="en-US"/>
        </w:rPr>
        <w:t>m</w:t>
      </w:r>
      <w:r w:rsidRPr="00A9027E">
        <w:rPr>
          <w:rFonts w:eastAsia="Gill Sans MT"/>
          <w:sz w:val="20"/>
          <w:lang w:val="es-419" w:eastAsia="en-US"/>
        </w:rPr>
        <w:t xml:space="preserve">elanoma </w:t>
      </w:r>
      <w:proofErr w:type="gramStart"/>
      <w:r w:rsidRPr="00A9027E">
        <w:rPr>
          <w:rFonts w:eastAsia="Gill Sans MT"/>
          <w:sz w:val="20"/>
          <w:lang w:val="es-419" w:eastAsia="en-US"/>
        </w:rPr>
        <w:t>anorrectal</w:t>
      </w:r>
      <w:r w:rsidRPr="00A9027E">
        <w:rPr>
          <w:rFonts w:eastAsia="Gill Sans MT"/>
          <w:sz w:val="20"/>
          <w:vertAlign w:val="superscript"/>
          <w:lang w:val="es-419" w:eastAsia="en-US"/>
        </w:rPr>
        <w:t>(</w:t>
      </w:r>
      <w:proofErr w:type="gramEnd"/>
      <w:r w:rsidRPr="00A9027E">
        <w:rPr>
          <w:rFonts w:eastAsia="Gill Sans MT"/>
          <w:sz w:val="20"/>
          <w:vertAlign w:val="superscript"/>
          <w:lang w:val="es-419" w:eastAsia="en-US"/>
        </w:rPr>
        <w:t>1)</w:t>
      </w:r>
    </w:p>
    <w:tbl>
      <w:tblPr>
        <w:tblStyle w:val="Sombreadomedio2-nfasis5"/>
        <w:tblW w:w="2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219"/>
        <w:gridCol w:w="2673"/>
        <w:gridCol w:w="1841"/>
      </w:tblGrid>
      <w:tr w:rsidR="00D71DC8" w:rsidRPr="00A9027E" w14:paraId="7A86DA70" w14:textId="77777777" w:rsidTr="00D71DC8">
        <w:trPr>
          <w:cnfStyle w:val="100000000000" w:firstRow="1" w:lastRow="0" w:firstColumn="0" w:lastColumn="0" w:oddVBand="0" w:evenVBand="0" w:oddHBand="0" w:evenHBand="0" w:firstRowFirstColumn="0" w:firstRowLastColumn="0" w:lastRowFirstColumn="0" w:lastRowLastColumn="0"/>
          <w:jc w:val="center"/>
        </w:trPr>
        <w:tc>
          <w:tcPr>
            <w:tcW w:w="1063" w:type="pct"/>
            <w:tcBorders>
              <w:top w:val="none" w:sz="0" w:space="0" w:color="auto"/>
              <w:left w:val="none" w:sz="0" w:space="0" w:color="auto"/>
              <w:bottom w:val="none" w:sz="0" w:space="0" w:color="auto"/>
              <w:right w:val="none" w:sz="0" w:space="0" w:color="auto"/>
            </w:tcBorders>
            <w:shd w:val="clear" w:color="auto" w:fill="auto"/>
            <w:noWrap/>
            <w:vAlign w:val="center"/>
          </w:tcPr>
          <w:p w14:paraId="38CD4F9D"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color w:val="auto"/>
                <w:sz w:val="18"/>
                <w:szCs w:val="18"/>
                <w:lang w:val="pt-PT" w:eastAsia="en-US"/>
              </w:rPr>
            </w:pPr>
            <w:r w:rsidRPr="00A9027E">
              <w:rPr>
                <w:rFonts w:ascii="Times New Roman" w:eastAsia="Gill Sans MT" w:hAnsi="Times New Roman" w:cs="Times New Roman"/>
                <w:color w:val="auto"/>
                <w:sz w:val="18"/>
                <w:szCs w:val="18"/>
                <w:lang w:val="pt-PT" w:eastAsia="en-US"/>
              </w:rPr>
              <w:t>Estadio</w:t>
            </w:r>
          </w:p>
        </w:tc>
        <w:tc>
          <w:tcPr>
            <w:tcW w:w="2331" w:type="pct"/>
            <w:tcBorders>
              <w:top w:val="none" w:sz="0" w:space="0" w:color="auto"/>
              <w:left w:val="none" w:sz="0" w:space="0" w:color="auto"/>
              <w:bottom w:val="none" w:sz="0" w:space="0" w:color="auto"/>
              <w:right w:val="none" w:sz="0" w:space="0" w:color="auto"/>
            </w:tcBorders>
            <w:shd w:val="clear" w:color="auto" w:fill="auto"/>
            <w:vAlign w:val="center"/>
          </w:tcPr>
          <w:p w14:paraId="3773FD79"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color w:val="auto"/>
                <w:sz w:val="18"/>
                <w:szCs w:val="18"/>
                <w:lang w:val="pt-PT" w:eastAsia="en-US"/>
              </w:rPr>
            </w:pPr>
            <w:r w:rsidRPr="00A9027E">
              <w:rPr>
                <w:rFonts w:ascii="Times New Roman" w:eastAsia="Gill Sans MT" w:hAnsi="Times New Roman" w:cs="Times New Roman"/>
                <w:color w:val="auto"/>
                <w:sz w:val="18"/>
                <w:szCs w:val="18"/>
                <w:lang w:val="pt-PT" w:eastAsia="en-US"/>
              </w:rPr>
              <w:t>Extensión</w:t>
            </w:r>
          </w:p>
        </w:tc>
        <w:tc>
          <w:tcPr>
            <w:tcW w:w="1606" w:type="pct"/>
            <w:tcBorders>
              <w:top w:val="none" w:sz="0" w:space="0" w:color="auto"/>
              <w:left w:val="none" w:sz="0" w:space="0" w:color="auto"/>
              <w:bottom w:val="none" w:sz="0" w:space="0" w:color="auto"/>
              <w:right w:val="none" w:sz="0" w:space="0" w:color="auto"/>
            </w:tcBorders>
            <w:shd w:val="clear" w:color="auto" w:fill="auto"/>
            <w:vAlign w:val="center"/>
          </w:tcPr>
          <w:p w14:paraId="77CFD0B6"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color w:val="auto"/>
                <w:sz w:val="18"/>
                <w:szCs w:val="18"/>
                <w:lang w:val="pt-PT" w:eastAsia="en-US"/>
              </w:rPr>
            </w:pPr>
            <w:r w:rsidRPr="00A9027E">
              <w:rPr>
                <w:rFonts w:ascii="Times New Roman" w:eastAsia="Gill Sans MT" w:hAnsi="Times New Roman" w:cs="Times New Roman"/>
                <w:color w:val="auto"/>
                <w:sz w:val="18"/>
                <w:szCs w:val="18"/>
                <w:lang w:val="pt-PT" w:eastAsia="en-US"/>
              </w:rPr>
              <w:t>Profundidad (mm)</w:t>
            </w:r>
          </w:p>
        </w:tc>
      </w:tr>
      <w:tr w:rsidR="00A9027E" w:rsidRPr="00A9027E" w14:paraId="6D51953B" w14:textId="77777777" w:rsidTr="00736691">
        <w:trPr>
          <w:trHeight w:val="288"/>
          <w:jc w:val="center"/>
        </w:trPr>
        <w:tc>
          <w:tcPr>
            <w:tcW w:w="1063" w:type="pct"/>
            <w:shd w:val="clear" w:color="auto" w:fill="auto"/>
            <w:noWrap/>
            <w:vAlign w:val="center"/>
          </w:tcPr>
          <w:p w14:paraId="2276F280" w14:textId="77777777" w:rsidR="00A9027E" w:rsidRPr="00A9027E" w:rsidRDefault="00A9027E" w:rsidP="00A9027E">
            <w:pPr>
              <w:widowControl w:val="0"/>
              <w:autoSpaceDE w:val="0"/>
              <w:autoSpaceDN w:val="0"/>
              <w:spacing w:line="360" w:lineRule="auto"/>
              <w:rPr>
                <w:rFonts w:ascii="Times New Roman" w:eastAsia="Gill Sans MT" w:hAnsi="Times New Roman" w:cs="Times New Roman"/>
                <w:sz w:val="18"/>
                <w:szCs w:val="18"/>
                <w:lang w:val="pt-PT" w:eastAsia="en-US"/>
              </w:rPr>
            </w:pPr>
            <w:r w:rsidRPr="00A9027E">
              <w:rPr>
                <w:rFonts w:ascii="Times New Roman" w:eastAsia="Gill Sans MT" w:hAnsi="Times New Roman" w:cs="Times New Roman"/>
                <w:sz w:val="18"/>
                <w:szCs w:val="18"/>
                <w:lang w:val="pt-PT" w:eastAsia="en-US"/>
              </w:rPr>
              <w:t>IA</w:t>
            </w:r>
          </w:p>
        </w:tc>
        <w:tc>
          <w:tcPr>
            <w:tcW w:w="2331" w:type="pct"/>
            <w:shd w:val="clear" w:color="auto" w:fill="auto"/>
            <w:vAlign w:val="center"/>
          </w:tcPr>
          <w:p w14:paraId="4841DD0F"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i/>
                <w:iCs/>
                <w:color w:val="808080"/>
                <w:sz w:val="18"/>
                <w:szCs w:val="18"/>
                <w:lang w:val="pt-PT" w:eastAsia="en-US"/>
              </w:rPr>
            </w:pPr>
            <w:r w:rsidRPr="00A9027E">
              <w:rPr>
                <w:rFonts w:ascii="Times New Roman" w:eastAsia="Gill Sans MT" w:hAnsi="Times New Roman" w:cs="Times New Roman"/>
                <w:sz w:val="18"/>
                <w:szCs w:val="18"/>
                <w:lang w:val="es-ES" w:eastAsia="en-US"/>
              </w:rPr>
              <w:t>Localizado</w:t>
            </w:r>
          </w:p>
        </w:tc>
        <w:tc>
          <w:tcPr>
            <w:tcW w:w="1606" w:type="pct"/>
            <w:shd w:val="clear" w:color="auto" w:fill="auto"/>
            <w:vAlign w:val="center"/>
          </w:tcPr>
          <w:p w14:paraId="21CA6A02"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sz w:val="18"/>
                <w:szCs w:val="18"/>
                <w:lang w:val="pt-PT" w:eastAsia="en-US"/>
              </w:rPr>
            </w:pPr>
            <w:r w:rsidRPr="00A9027E">
              <w:rPr>
                <w:rFonts w:ascii="Times New Roman" w:eastAsia="Gill Sans MT" w:hAnsi="Times New Roman" w:cs="Times New Roman"/>
                <w:sz w:val="18"/>
                <w:szCs w:val="18"/>
                <w:lang w:val="pt-PT" w:eastAsia="en-US"/>
              </w:rPr>
              <w:t>0,75</w:t>
            </w:r>
          </w:p>
        </w:tc>
      </w:tr>
      <w:tr w:rsidR="00A9027E" w:rsidRPr="00A9027E" w14:paraId="7F5B16BE" w14:textId="77777777" w:rsidTr="00736691">
        <w:trPr>
          <w:trHeight w:val="60"/>
          <w:jc w:val="center"/>
        </w:trPr>
        <w:tc>
          <w:tcPr>
            <w:tcW w:w="1063" w:type="pct"/>
            <w:shd w:val="clear" w:color="auto" w:fill="auto"/>
            <w:noWrap/>
            <w:vAlign w:val="center"/>
          </w:tcPr>
          <w:p w14:paraId="6DD6F5B6" w14:textId="77777777" w:rsidR="00A9027E" w:rsidRPr="00A9027E" w:rsidRDefault="00A9027E" w:rsidP="00A9027E">
            <w:pPr>
              <w:widowControl w:val="0"/>
              <w:autoSpaceDE w:val="0"/>
              <w:autoSpaceDN w:val="0"/>
              <w:spacing w:line="360" w:lineRule="auto"/>
              <w:rPr>
                <w:rFonts w:ascii="Times New Roman" w:eastAsia="Gill Sans MT" w:hAnsi="Times New Roman" w:cs="Times New Roman"/>
                <w:sz w:val="18"/>
                <w:szCs w:val="18"/>
                <w:lang w:val="pt-PT" w:eastAsia="en-US"/>
              </w:rPr>
            </w:pPr>
            <w:r w:rsidRPr="00A9027E">
              <w:rPr>
                <w:rFonts w:ascii="Times New Roman" w:eastAsia="Gill Sans MT" w:hAnsi="Times New Roman" w:cs="Times New Roman"/>
                <w:sz w:val="18"/>
                <w:szCs w:val="18"/>
                <w:lang w:val="pt-PT" w:eastAsia="en-US"/>
              </w:rPr>
              <w:t>IB</w:t>
            </w:r>
          </w:p>
        </w:tc>
        <w:tc>
          <w:tcPr>
            <w:tcW w:w="2331" w:type="pct"/>
            <w:shd w:val="clear" w:color="auto" w:fill="auto"/>
            <w:vAlign w:val="center"/>
          </w:tcPr>
          <w:p w14:paraId="6A9D3BEE"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Localizado</w:t>
            </w:r>
          </w:p>
        </w:tc>
        <w:tc>
          <w:tcPr>
            <w:tcW w:w="1606" w:type="pct"/>
            <w:shd w:val="clear" w:color="auto" w:fill="auto"/>
            <w:vAlign w:val="center"/>
          </w:tcPr>
          <w:p w14:paraId="2D10FA32"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0,76-1,4</w:t>
            </w:r>
          </w:p>
        </w:tc>
      </w:tr>
      <w:tr w:rsidR="00A9027E" w:rsidRPr="00A9027E" w14:paraId="67163492" w14:textId="77777777" w:rsidTr="00736691">
        <w:trPr>
          <w:jc w:val="center"/>
        </w:trPr>
        <w:tc>
          <w:tcPr>
            <w:tcW w:w="1063" w:type="pct"/>
            <w:shd w:val="clear" w:color="auto" w:fill="auto"/>
            <w:noWrap/>
            <w:vAlign w:val="center"/>
          </w:tcPr>
          <w:p w14:paraId="64847B45" w14:textId="77777777" w:rsidR="00A9027E" w:rsidRPr="00A9027E" w:rsidRDefault="00A9027E" w:rsidP="00A9027E">
            <w:pPr>
              <w:widowControl w:val="0"/>
              <w:autoSpaceDE w:val="0"/>
              <w:autoSpaceDN w:val="0"/>
              <w:spacing w:line="360" w:lineRule="auto"/>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pt-PT" w:eastAsia="en-US"/>
              </w:rPr>
              <w:t>IIA</w:t>
            </w:r>
          </w:p>
        </w:tc>
        <w:tc>
          <w:tcPr>
            <w:tcW w:w="2331" w:type="pct"/>
            <w:shd w:val="clear" w:color="auto" w:fill="auto"/>
            <w:vAlign w:val="center"/>
          </w:tcPr>
          <w:p w14:paraId="4979F6D5"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Localizado</w:t>
            </w:r>
          </w:p>
        </w:tc>
        <w:tc>
          <w:tcPr>
            <w:tcW w:w="1606" w:type="pct"/>
            <w:shd w:val="clear" w:color="auto" w:fill="auto"/>
            <w:vAlign w:val="center"/>
          </w:tcPr>
          <w:p w14:paraId="66FF3161"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1,5-4,0</w:t>
            </w:r>
          </w:p>
        </w:tc>
      </w:tr>
      <w:tr w:rsidR="00A9027E" w:rsidRPr="00A9027E" w14:paraId="30FC152B" w14:textId="77777777" w:rsidTr="00736691">
        <w:trPr>
          <w:jc w:val="center"/>
        </w:trPr>
        <w:tc>
          <w:tcPr>
            <w:tcW w:w="1063" w:type="pct"/>
            <w:shd w:val="clear" w:color="auto" w:fill="auto"/>
            <w:noWrap/>
            <w:vAlign w:val="center"/>
          </w:tcPr>
          <w:p w14:paraId="59EBB92D" w14:textId="77777777" w:rsidR="00A9027E" w:rsidRPr="00A9027E" w:rsidRDefault="00A9027E" w:rsidP="00A9027E">
            <w:pPr>
              <w:widowControl w:val="0"/>
              <w:autoSpaceDE w:val="0"/>
              <w:autoSpaceDN w:val="0"/>
              <w:spacing w:line="360" w:lineRule="auto"/>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pt-PT" w:eastAsia="en-US"/>
              </w:rPr>
              <w:t>IlB</w:t>
            </w:r>
          </w:p>
        </w:tc>
        <w:tc>
          <w:tcPr>
            <w:tcW w:w="2331" w:type="pct"/>
            <w:shd w:val="clear" w:color="auto" w:fill="auto"/>
            <w:vAlign w:val="center"/>
          </w:tcPr>
          <w:p w14:paraId="432BE204"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Localizado</w:t>
            </w:r>
          </w:p>
        </w:tc>
        <w:tc>
          <w:tcPr>
            <w:tcW w:w="1606" w:type="pct"/>
            <w:shd w:val="clear" w:color="auto" w:fill="auto"/>
            <w:vAlign w:val="center"/>
          </w:tcPr>
          <w:p w14:paraId="058A9829"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Mayor 4,0</w:t>
            </w:r>
          </w:p>
        </w:tc>
      </w:tr>
      <w:tr w:rsidR="00A9027E" w:rsidRPr="00A9027E" w14:paraId="5449BCDF" w14:textId="77777777" w:rsidTr="00736691">
        <w:trPr>
          <w:jc w:val="center"/>
        </w:trPr>
        <w:tc>
          <w:tcPr>
            <w:tcW w:w="1063" w:type="pct"/>
            <w:shd w:val="clear" w:color="auto" w:fill="auto"/>
            <w:noWrap/>
            <w:vAlign w:val="center"/>
          </w:tcPr>
          <w:p w14:paraId="51C4D5E8" w14:textId="77777777" w:rsidR="00A9027E" w:rsidRPr="00A9027E" w:rsidRDefault="00A9027E" w:rsidP="00A9027E">
            <w:pPr>
              <w:widowControl w:val="0"/>
              <w:autoSpaceDE w:val="0"/>
              <w:autoSpaceDN w:val="0"/>
              <w:spacing w:line="360" w:lineRule="auto"/>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pt-PT" w:eastAsia="en-US"/>
              </w:rPr>
              <w:t>III</w:t>
            </w:r>
          </w:p>
        </w:tc>
        <w:tc>
          <w:tcPr>
            <w:tcW w:w="2331" w:type="pct"/>
            <w:shd w:val="clear" w:color="auto" w:fill="auto"/>
            <w:vAlign w:val="center"/>
          </w:tcPr>
          <w:p w14:paraId="074F0378"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Nódulos linfáticos regionales</w:t>
            </w:r>
          </w:p>
        </w:tc>
        <w:tc>
          <w:tcPr>
            <w:tcW w:w="1606" w:type="pct"/>
            <w:shd w:val="clear" w:color="auto" w:fill="auto"/>
            <w:vAlign w:val="center"/>
          </w:tcPr>
          <w:p w14:paraId="7D44D26E"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w:t>
            </w:r>
          </w:p>
        </w:tc>
      </w:tr>
      <w:tr w:rsidR="00A9027E" w:rsidRPr="00A9027E" w14:paraId="36EDFB6F" w14:textId="77777777" w:rsidTr="00736691">
        <w:trPr>
          <w:cnfStyle w:val="010000000000" w:firstRow="0" w:lastRow="1" w:firstColumn="0" w:lastColumn="0" w:oddVBand="0" w:evenVBand="0" w:oddHBand="0" w:evenHBand="0" w:firstRowFirstColumn="0" w:firstRowLastColumn="0" w:lastRowFirstColumn="0" w:lastRowLastColumn="0"/>
          <w:jc w:val="center"/>
        </w:trPr>
        <w:tc>
          <w:tcPr>
            <w:tcW w:w="1063" w:type="pct"/>
            <w:tcBorders>
              <w:top w:val="none" w:sz="0" w:space="0" w:color="auto"/>
              <w:left w:val="none" w:sz="0" w:space="0" w:color="auto"/>
              <w:bottom w:val="none" w:sz="0" w:space="0" w:color="auto"/>
              <w:right w:val="none" w:sz="0" w:space="0" w:color="auto"/>
            </w:tcBorders>
            <w:shd w:val="clear" w:color="auto" w:fill="auto"/>
            <w:noWrap/>
            <w:vAlign w:val="center"/>
          </w:tcPr>
          <w:p w14:paraId="2BDF9B0B" w14:textId="77777777" w:rsidR="00A9027E" w:rsidRPr="00A9027E" w:rsidRDefault="00A9027E" w:rsidP="00A9027E">
            <w:pPr>
              <w:widowControl w:val="0"/>
              <w:autoSpaceDE w:val="0"/>
              <w:autoSpaceDN w:val="0"/>
              <w:spacing w:line="360" w:lineRule="auto"/>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pt-PT" w:eastAsia="en-US"/>
              </w:rPr>
              <w:t>IV</w:t>
            </w:r>
          </w:p>
        </w:tc>
        <w:tc>
          <w:tcPr>
            <w:tcW w:w="2331" w:type="pct"/>
            <w:tcBorders>
              <w:top w:val="none" w:sz="0" w:space="0" w:color="auto"/>
              <w:left w:val="none" w:sz="0" w:space="0" w:color="auto"/>
              <w:bottom w:val="none" w:sz="0" w:space="0" w:color="auto"/>
              <w:right w:val="none" w:sz="0" w:space="0" w:color="auto"/>
            </w:tcBorders>
            <w:shd w:val="clear" w:color="auto" w:fill="auto"/>
            <w:vAlign w:val="center"/>
          </w:tcPr>
          <w:p w14:paraId="3C4BBB48" w14:textId="77777777" w:rsidR="00A9027E" w:rsidRPr="00A9027E" w:rsidRDefault="00A9027E" w:rsidP="00A9027E">
            <w:pPr>
              <w:widowControl w:val="0"/>
              <w:autoSpaceDE w:val="0"/>
              <w:autoSpaceDN w:val="0"/>
              <w:spacing w:line="360" w:lineRule="auto"/>
              <w:jc w:val="both"/>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Metástasis a distancia</w:t>
            </w:r>
          </w:p>
        </w:tc>
        <w:tc>
          <w:tcPr>
            <w:tcW w:w="1606" w:type="pct"/>
            <w:tcBorders>
              <w:top w:val="none" w:sz="0" w:space="0" w:color="auto"/>
              <w:left w:val="none" w:sz="0" w:space="0" w:color="auto"/>
              <w:bottom w:val="none" w:sz="0" w:space="0" w:color="auto"/>
              <w:right w:val="none" w:sz="0" w:space="0" w:color="auto"/>
            </w:tcBorders>
            <w:shd w:val="clear" w:color="auto" w:fill="auto"/>
            <w:vAlign w:val="center"/>
          </w:tcPr>
          <w:p w14:paraId="405C7B2B" w14:textId="77777777" w:rsidR="00A9027E" w:rsidRPr="00A9027E" w:rsidRDefault="00A9027E" w:rsidP="00A9027E">
            <w:pPr>
              <w:widowControl w:val="0"/>
              <w:autoSpaceDE w:val="0"/>
              <w:autoSpaceDN w:val="0"/>
              <w:spacing w:line="360" w:lineRule="auto"/>
              <w:jc w:val="center"/>
              <w:rPr>
                <w:rFonts w:ascii="Times New Roman" w:eastAsia="Gill Sans MT" w:hAnsi="Times New Roman" w:cs="Times New Roman"/>
                <w:sz w:val="18"/>
                <w:szCs w:val="18"/>
                <w:lang w:val="es-ES" w:eastAsia="en-US"/>
              </w:rPr>
            </w:pPr>
            <w:r w:rsidRPr="00A9027E">
              <w:rPr>
                <w:rFonts w:ascii="Times New Roman" w:eastAsia="Gill Sans MT" w:hAnsi="Times New Roman" w:cs="Times New Roman"/>
                <w:sz w:val="18"/>
                <w:szCs w:val="18"/>
                <w:lang w:val="es-ES" w:eastAsia="en-US"/>
              </w:rPr>
              <w:t>-</w:t>
            </w:r>
          </w:p>
        </w:tc>
      </w:tr>
    </w:tbl>
    <w:p w14:paraId="62D3B0DB"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6E34B219" w14:textId="77777777" w:rsidR="00A9027E" w:rsidRPr="00A9027E" w:rsidRDefault="00A9027E" w:rsidP="00A9027E">
      <w:pPr>
        <w:widowControl w:val="0"/>
        <w:autoSpaceDE w:val="0"/>
        <w:autoSpaceDN w:val="0"/>
        <w:spacing w:line="360" w:lineRule="auto"/>
        <w:jc w:val="both"/>
        <w:rPr>
          <w:rFonts w:eastAsia="Gill Sans MT"/>
          <w:lang w:val="es-ES" w:eastAsia="en-US"/>
        </w:rPr>
      </w:pPr>
      <w:r w:rsidRPr="00A9027E">
        <w:rPr>
          <w:rFonts w:eastAsia="Gill Sans MT"/>
          <w:lang w:val="es-ES" w:eastAsia="en-US"/>
        </w:rPr>
        <w:t xml:space="preserve">Es importante que los especialistas insistan en el estudio de la evolución y desarrollo de este tipo de tumor, por su agresividad y la variabilidad de su presentación, que con frecuencia muestra semejanza con afecciones benignas; además, el controversial manejo terapéutico, así como por el mal pronóstico. Una anamnesis y exploración física minuciosa asociadas al uso de los medios diagnósticos disponibles, y un elevado índice de sospecha, logran que el diagnóstico se haga con prontitud y con ello es posible aplicar el tratamiento oportuno. </w:t>
      </w:r>
    </w:p>
    <w:p w14:paraId="76A1628A"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284E32E8" w14:textId="77777777" w:rsidR="00A9027E" w:rsidRPr="00A9027E" w:rsidRDefault="00A9027E" w:rsidP="00A9027E">
      <w:pPr>
        <w:widowControl w:val="0"/>
        <w:autoSpaceDE w:val="0"/>
        <w:autoSpaceDN w:val="0"/>
        <w:spacing w:line="360" w:lineRule="auto"/>
        <w:jc w:val="both"/>
        <w:rPr>
          <w:rFonts w:eastAsia="Gill Sans MT"/>
          <w:b/>
          <w:lang w:val="es-ES" w:eastAsia="en-US"/>
        </w:rPr>
      </w:pPr>
    </w:p>
    <w:p w14:paraId="5B03C1FA" w14:textId="77777777" w:rsidR="00A9027E" w:rsidRPr="00A9027E" w:rsidRDefault="00A9027E" w:rsidP="00A9027E">
      <w:pPr>
        <w:widowControl w:val="0"/>
        <w:autoSpaceDE w:val="0"/>
        <w:autoSpaceDN w:val="0"/>
        <w:spacing w:line="360" w:lineRule="auto"/>
        <w:jc w:val="center"/>
        <w:rPr>
          <w:rFonts w:eastAsia="Gill Sans MT"/>
          <w:b/>
          <w:sz w:val="32"/>
          <w:szCs w:val="32"/>
          <w:lang w:val="es-ES" w:eastAsia="en-US"/>
        </w:rPr>
      </w:pPr>
      <w:r w:rsidRPr="00A9027E">
        <w:rPr>
          <w:rFonts w:eastAsia="Gill Sans MT"/>
          <w:b/>
          <w:sz w:val="32"/>
          <w:szCs w:val="32"/>
          <w:lang w:val="es-ES" w:eastAsia="en-US"/>
        </w:rPr>
        <w:t>REFERENCIAS BIBLIOGRÁFICAS</w:t>
      </w:r>
    </w:p>
    <w:p w14:paraId="3A35698A"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1. </w:t>
      </w:r>
      <w:proofErr w:type="spellStart"/>
      <w:r w:rsidRPr="00A9027E">
        <w:rPr>
          <w:rFonts w:eastAsia="Gill Sans MT"/>
          <w:lang w:val="es-ES" w:eastAsia="en-US"/>
        </w:rPr>
        <w:t>Merichal</w:t>
      </w:r>
      <w:proofErr w:type="spellEnd"/>
      <w:r w:rsidRPr="00A9027E">
        <w:rPr>
          <w:rFonts w:eastAsia="Gill Sans MT"/>
          <w:lang w:val="es-ES" w:eastAsia="en-US"/>
        </w:rPr>
        <w:t xml:space="preserve"> Resina M, </w:t>
      </w:r>
      <w:proofErr w:type="spellStart"/>
      <w:r w:rsidRPr="00A9027E">
        <w:rPr>
          <w:rFonts w:eastAsia="Gill Sans MT"/>
          <w:lang w:val="es-ES" w:eastAsia="en-US"/>
        </w:rPr>
        <w:t>Cerdan</w:t>
      </w:r>
      <w:proofErr w:type="spellEnd"/>
      <w:r w:rsidRPr="00A9027E">
        <w:rPr>
          <w:rFonts w:eastAsia="Gill Sans MT"/>
          <w:lang w:val="es-ES" w:eastAsia="en-US"/>
        </w:rPr>
        <w:t xml:space="preserve"> Santacruz C, Sierra Grañón E, Tarragona </w:t>
      </w:r>
      <w:proofErr w:type="spellStart"/>
      <w:r w:rsidRPr="00A9027E">
        <w:rPr>
          <w:rFonts w:eastAsia="Gill Sans MT"/>
          <w:lang w:val="es-ES" w:eastAsia="en-US"/>
        </w:rPr>
        <w:t>Foradada</w:t>
      </w:r>
      <w:proofErr w:type="spellEnd"/>
      <w:r w:rsidRPr="00A9027E">
        <w:rPr>
          <w:rFonts w:eastAsia="Gill Sans MT"/>
          <w:lang w:val="es-ES" w:eastAsia="en-US"/>
        </w:rPr>
        <w:t xml:space="preserve"> JA, </w:t>
      </w:r>
      <w:proofErr w:type="spellStart"/>
      <w:r w:rsidRPr="00A9027E">
        <w:rPr>
          <w:rFonts w:eastAsia="Gill Sans MT"/>
          <w:lang w:val="es-ES" w:eastAsia="en-US"/>
        </w:rPr>
        <w:t>Olsina</w:t>
      </w:r>
      <w:proofErr w:type="spellEnd"/>
      <w:r w:rsidRPr="00A9027E">
        <w:rPr>
          <w:rFonts w:eastAsia="Gill Sans MT"/>
          <w:lang w:val="es-ES" w:eastAsia="en-US"/>
        </w:rPr>
        <w:t xml:space="preserve"> </w:t>
      </w:r>
      <w:proofErr w:type="spellStart"/>
      <w:r w:rsidRPr="00A9027E">
        <w:rPr>
          <w:rFonts w:eastAsia="Gill Sans MT"/>
          <w:lang w:val="es-ES" w:eastAsia="en-US"/>
        </w:rPr>
        <w:t>Kisslera</w:t>
      </w:r>
      <w:proofErr w:type="spellEnd"/>
      <w:r w:rsidRPr="00A9027E">
        <w:rPr>
          <w:rFonts w:eastAsia="Gill Sans MT"/>
          <w:lang w:val="es-ES" w:eastAsia="en-US"/>
        </w:rPr>
        <w:t xml:space="preserve"> JJ. Melanoma anal, una patología radicalmente distinta al melanoma cutáneo, con un pronóstico infausto. </w:t>
      </w:r>
      <w:proofErr w:type="spellStart"/>
      <w:r w:rsidRPr="00A9027E">
        <w:rPr>
          <w:rFonts w:eastAsia="Gill Sans MT"/>
          <w:lang w:val="es-ES" w:eastAsia="en-US"/>
        </w:rPr>
        <w:t>CIR</w:t>
      </w:r>
      <w:proofErr w:type="spellEnd"/>
      <w:r w:rsidRPr="00A9027E">
        <w:rPr>
          <w:rFonts w:eastAsia="Gill Sans MT"/>
          <w:lang w:val="es-ES" w:eastAsia="en-US"/>
        </w:rPr>
        <w:t xml:space="preserve"> ESP. 2020 [acceso: 15/12/2022]; 98(8):491–3. Disponible en: </w:t>
      </w:r>
      <w:hyperlink r:id="rId10" w:history="1">
        <w:r w:rsidRPr="00A9027E">
          <w:rPr>
            <w:rFonts w:eastAsia="Gill Sans MT"/>
            <w:color w:val="0000FF"/>
            <w:lang w:val="es-ES" w:eastAsia="en-US"/>
          </w:rPr>
          <w:t>https://www.elsevier.es/es-revista-cirugia-espanola-36-pdf-S0009739X19303501</w:t>
        </w:r>
      </w:hyperlink>
      <w:r w:rsidRPr="00A9027E">
        <w:rPr>
          <w:rFonts w:eastAsia="Gill Sans MT"/>
          <w:lang w:val="es-ES" w:eastAsia="en-US"/>
        </w:rPr>
        <w:t xml:space="preserve">  </w:t>
      </w:r>
    </w:p>
    <w:p w14:paraId="2E1EA52E"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2. Sosa </w:t>
      </w:r>
      <w:proofErr w:type="spellStart"/>
      <w:r w:rsidRPr="00A9027E">
        <w:rPr>
          <w:rFonts w:eastAsia="Gill Sans MT"/>
          <w:lang w:val="es-ES" w:eastAsia="en-US"/>
        </w:rPr>
        <w:t>Estebanez</w:t>
      </w:r>
      <w:proofErr w:type="spellEnd"/>
      <w:r w:rsidRPr="00A9027E">
        <w:rPr>
          <w:rFonts w:eastAsia="Gill Sans MT"/>
          <w:lang w:val="es-ES" w:eastAsia="en-US"/>
        </w:rPr>
        <w:t xml:space="preserve"> HL, Fernández Espín H, Hernández Niebla L. Melanoma del canal anal: a propósito de un caso. Rev. </w:t>
      </w:r>
      <w:proofErr w:type="spellStart"/>
      <w:r w:rsidRPr="00A9027E">
        <w:rPr>
          <w:rFonts w:eastAsia="Gill Sans MT"/>
          <w:lang w:val="es-ES" w:eastAsia="en-US"/>
        </w:rPr>
        <w:t>Med</w:t>
      </w:r>
      <w:proofErr w:type="spellEnd"/>
      <w:r w:rsidRPr="00A9027E">
        <w:rPr>
          <w:rFonts w:eastAsia="Gill Sans MT"/>
          <w:lang w:val="es-ES" w:eastAsia="en-US"/>
        </w:rPr>
        <w:t xml:space="preserve">. Electrón. 2019 [acceso: 15/12/2022]; 41(3): [aprox. 9 p.]. Disponible en: </w:t>
      </w:r>
      <w:hyperlink r:id="rId11" w:history="1">
        <w:r w:rsidRPr="00A9027E">
          <w:rPr>
            <w:rFonts w:eastAsia="Gill Sans MT"/>
            <w:color w:val="0000FF"/>
            <w:lang w:val="es-ES" w:eastAsia="en-US"/>
          </w:rPr>
          <w:t>http://scielo.sld.cu/scielo.php?script=sci_arttext&amp;pid=S1684-18242019000300756</w:t>
        </w:r>
      </w:hyperlink>
      <w:r w:rsidRPr="00A9027E">
        <w:rPr>
          <w:rFonts w:eastAsia="Gill Sans MT"/>
          <w:lang w:val="es-ES" w:eastAsia="en-US"/>
        </w:rPr>
        <w:t xml:space="preserve">  </w:t>
      </w:r>
    </w:p>
    <w:p w14:paraId="68B3AB94"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3. Martínez-Ramos D, García-Calvo, Simón-</w:t>
      </w:r>
      <w:proofErr w:type="spellStart"/>
      <w:r w:rsidRPr="00A9027E">
        <w:rPr>
          <w:rFonts w:eastAsia="Gill Sans MT"/>
          <w:lang w:val="es-ES" w:eastAsia="en-US"/>
        </w:rPr>
        <w:t>Monteverden</w:t>
      </w:r>
      <w:proofErr w:type="spellEnd"/>
      <w:r w:rsidRPr="00A9027E">
        <w:rPr>
          <w:rFonts w:eastAsia="Gill Sans MT"/>
          <w:lang w:val="es-ES" w:eastAsia="en-US"/>
        </w:rPr>
        <w:t xml:space="preserve"> L, Nicolau-Ribera </w:t>
      </w:r>
      <w:proofErr w:type="spellStart"/>
      <w:r w:rsidRPr="00A9027E">
        <w:rPr>
          <w:rFonts w:eastAsia="Gill Sans MT"/>
          <w:lang w:val="es-ES" w:eastAsia="en-US"/>
        </w:rPr>
        <w:t>MJ</w:t>
      </w:r>
      <w:proofErr w:type="spellEnd"/>
      <w:r w:rsidRPr="00A9027E">
        <w:rPr>
          <w:rFonts w:eastAsia="Gill Sans MT"/>
          <w:lang w:val="es-ES" w:eastAsia="en-US"/>
        </w:rPr>
        <w:t xml:space="preserve">. Melanoma anal, importancia dl diagnóstico diferencial con la enfermedad anal benigna. </w:t>
      </w:r>
      <w:proofErr w:type="spellStart"/>
      <w:r w:rsidRPr="00A9027E">
        <w:rPr>
          <w:rFonts w:eastAsia="Gill Sans MT"/>
          <w:lang w:val="es-ES" w:eastAsia="en-US"/>
        </w:rPr>
        <w:t>Rev</w:t>
      </w:r>
      <w:proofErr w:type="spellEnd"/>
      <w:r w:rsidRPr="00A9027E">
        <w:rPr>
          <w:rFonts w:eastAsia="Gill Sans MT"/>
          <w:lang w:val="es-ES" w:eastAsia="en-US"/>
        </w:rPr>
        <w:t xml:space="preserve"> </w:t>
      </w:r>
      <w:proofErr w:type="spellStart"/>
      <w:r w:rsidRPr="00A9027E">
        <w:rPr>
          <w:rFonts w:eastAsia="Gill Sans MT"/>
          <w:lang w:val="es-ES" w:eastAsia="en-US"/>
        </w:rPr>
        <w:t>Colomb</w:t>
      </w:r>
      <w:proofErr w:type="spellEnd"/>
      <w:r w:rsidRPr="00A9027E">
        <w:rPr>
          <w:rFonts w:eastAsia="Gill Sans MT"/>
          <w:lang w:val="es-ES" w:eastAsia="en-US"/>
        </w:rPr>
        <w:t xml:space="preserve"> Cir. 2017 [acceso: 15/12/2022]; 32:330-4. Disponible en: </w:t>
      </w:r>
      <w:hyperlink r:id="rId12" w:history="1">
        <w:r w:rsidRPr="00A9027E">
          <w:rPr>
            <w:rFonts w:eastAsia="Gill Sans MT"/>
            <w:color w:val="0000FF"/>
            <w:lang w:val="es-ES" w:eastAsia="en-US"/>
          </w:rPr>
          <w:t>https://www.redalyc.org/journal/3555/355554504012/html/</w:t>
        </w:r>
      </w:hyperlink>
      <w:r w:rsidRPr="00A9027E">
        <w:rPr>
          <w:rFonts w:eastAsia="Gill Sans MT"/>
          <w:lang w:val="es-ES" w:eastAsia="en-US"/>
        </w:rPr>
        <w:t xml:space="preserve">  </w:t>
      </w:r>
    </w:p>
    <w:p w14:paraId="4FCA2CC0"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4. Paolino G, </w:t>
      </w:r>
      <w:proofErr w:type="spellStart"/>
      <w:r w:rsidRPr="00A9027E">
        <w:rPr>
          <w:rFonts w:eastAsia="Gill Sans MT"/>
          <w:lang w:val="es-ES" w:eastAsia="en-US"/>
        </w:rPr>
        <w:t>Didona</w:t>
      </w:r>
      <w:proofErr w:type="spellEnd"/>
      <w:r w:rsidRPr="00A9027E">
        <w:rPr>
          <w:rFonts w:eastAsia="Gill Sans MT"/>
          <w:lang w:val="es-ES" w:eastAsia="en-US"/>
        </w:rPr>
        <w:t xml:space="preserve"> D, </w:t>
      </w:r>
      <w:proofErr w:type="spellStart"/>
      <w:r w:rsidRPr="00A9027E">
        <w:rPr>
          <w:rFonts w:eastAsia="Gill Sans MT"/>
          <w:lang w:val="es-ES" w:eastAsia="en-US"/>
        </w:rPr>
        <w:t>Macrí</w:t>
      </w:r>
      <w:proofErr w:type="spellEnd"/>
      <w:r w:rsidRPr="00A9027E">
        <w:rPr>
          <w:rFonts w:eastAsia="Gill Sans MT"/>
          <w:lang w:val="es-ES" w:eastAsia="en-US"/>
        </w:rPr>
        <w:t xml:space="preserve"> G, </w:t>
      </w:r>
      <w:proofErr w:type="spellStart"/>
      <w:r w:rsidRPr="00A9027E">
        <w:rPr>
          <w:rFonts w:eastAsia="Gill Sans MT"/>
          <w:lang w:val="es-ES" w:eastAsia="en-US"/>
        </w:rPr>
        <w:t>Calvieri</w:t>
      </w:r>
      <w:proofErr w:type="spellEnd"/>
      <w:r w:rsidRPr="00A9027E">
        <w:rPr>
          <w:rFonts w:eastAsia="Gill Sans MT"/>
          <w:lang w:val="es-ES" w:eastAsia="en-US"/>
        </w:rPr>
        <w:t xml:space="preserve"> S, </w:t>
      </w:r>
      <w:proofErr w:type="spellStart"/>
      <w:r w:rsidRPr="00A9027E">
        <w:rPr>
          <w:rFonts w:eastAsia="Gill Sans MT"/>
          <w:lang w:val="es-ES" w:eastAsia="en-US"/>
        </w:rPr>
        <w:t>Merciri</w:t>
      </w:r>
      <w:proofErr w:type="spellEnd"/>
      <w:r w:rsidRPr="00A9027E">
        <w:rPr>
          <w:rFonts w:eastAsia="Gill Sans MT"/>
          <w:lang w:val="es-ES" w:eastAsia="en-US"/>
        </w:rPr>
        <w:t xml:space="preserve"> SR. </w:t>
      </w:r>
      <w:proofErr w:type="spellStart"/>
      <w:r w:rsidRPr="00A9027E">
        <w:rPr>
          <w:rFonts w:eastAsia="Gill Sans MT"/>
          <w:lang w:val="en-US" w:eastAsia="en-US"/>
        </w:rPr>
        <w:t>Anorrectal</w:t>
      </w:r>
      <w:proofErr w:type="spellEnd"/>
      <w:r w:rsidRPr="00A9027E">
        <w:rPr>
          <w:rFonts w:eastAsia="Gill Sans MT"/>
          <w:lang w:val="en-US" w:eastAsia="en-US"/>
        </w:rPr>
        <w:t xml:space="preserve"> melanoma. En: Scott </w:t>
      </w:r>
      <w:proofErr w:type="spellStart"/>
      <w:r w:rsidRPr="00A9027E">
        <w:rPr>
          <w:rFonts w:eastAsia="Gill Sans MT"/>
          <w:lang w:val="en-US" w:eastAsia="en-US"/>
        </w:rPr>
        <w:t>JF</w:t>
      </w:r>
      <w:proofErr w:type="spellEnd"/>
      <w:r w:rsidRPr="00A9027E">
        <w:rPr>
          <w:rFonts w:eastAsia="Gill Sans MT"/>
          <w:lang w:val="en-US" w:eastAsia="en-US"/>
        </w:rPr>
        <w:t xml:space="preserve">, </w:t>
      </w:r>
      <w:proofErr w:type="spellStart"/>
      <w:r w:rsidRPr="00A9027E">
        <w:rPr>
          <w:rFonts w:eastAsia="Gill Sans MT"/>
          <w:lang w:val="en-US" w:eastAsia="en-US"/>
        </w:rPr>
        <w:lastRenderedPageBreak/>
        <w:t>Gerstenblith</w:t>
      </w:r>
      <w:proofErr w:type="spellEnd"/>
      <w:r w:rsidRPr="00A9027E">
        <w:rPr>
          <w:rFonts w:eastAsia="Gill Sans MT"/>
          <w:lang w:val="en-US" w:eastAsia="en-US"/>
        </w:rPr>
        <w:t xml:space="preserve"> MR, </w:t>
      </w:r>
      <w:proofErr w:type="spellStart"/>
      <w:r w:rsidRPr="00A9027E">
        <w:rPr>
          <w:rFonts w:eastAsia="Gill Sans MT"/>
          <w:lang w:val="en-US" w:eastAsia="en-US"/>
        </w:rPr>
        <w:t>editores</w:t>
      </w:r>
      <w:proofErr w:type="spellEnd"/>
      <w:r w:rsidRPr="00A9027E">
        <w:rPr>
          <w:rFonts w:eastAsia="Gill Sans MT"/>
          <w:lang w:val="en-US" w:eastAsia="en-US"/>
        </w:rPr>
        <w:t xml:space="preserve">. </w:t>
      </w:r>
      <w:proofErr w:type="spellStart"/>
      <w:r w:rsidRPr="00A9027E">
        <w:rPr>
          <w:rFonts w:eastAsia="Gill Sans MT"/>
          <w:lang w:val="en-US" w:eastAsia="en-US"/>
        </w:rPr>
        <w:t>Noncutaneos</w:t>
      </w:r>
      <w:proofErr w:type="spellEnd"/>
      <w:r w:rsidRPr="00A9027E">
        <w:rPr>
          <w:rFonts w:eastAsia="Gill Sans MT"/>
          <w:lang w:val="en-US" w:eastAsia="en-US"/>
        </w:rPr>
        <w:t xml:space="preserve"> Melanoma; Australia: Codon Publications; 2018. </w:t>
      </w:r>
      <w:r w:rsidRPr="00A9027E">
        <w:rPr>
          <w:rFonts w:eastAsia="Gill Sans MT"/>
          <w:lang w:val="es-ES" w:eastAsia="en-US"/>
        </w:rPr>
        <w:t xml:space="preserve">[acceso: 15/12/2022]. </w:t>
      </w:r>
      <w:proofErr w:type="spellStart"/>
      <w:r w:rsidRPr="00A9027E">
        <w:rPr>
          <w:rFonts w:eastAsia="Gill Sans MT"/>
          <w:lang w:val="es-ES" w:eastAsia="en-US"/>
        </w:rPr>
        <w:t>p.83</w:t>
      </w:r>
      <w:proofErr w:type="spellEnd"/>
      <w:r w:rsidRPr="00A9027E">
        <w:rPr>
          <w:rFonts w:eastAsia="Gill Sans MT"/>
          <w:lang w:val="es-ES" w:eastAsia="en-US"/>
        </w:rPr>
        <w:t xml:space="preserve">-98. Disponible en: </w:t>
      </w:r>
      <w:hyperlink r:id="rId13" w:history="1">
        <w:r w:rsidRPr="00A9027E">
          <w:rPr>
            <w:rFonts w:eastAsia="Gill Sans MT"/>
            <w:color w:val="0000FF"/>
            <w:lang w:val="es-ES" w:eastAsia="en-US"/>
          </w:rPr>
          <w:t>http://www.ncbi.nlm.nih.gov/books/NBK506984/</w:t>
        </w:r>
      </w:hyperlink>
      <w:r w:rsidRPr="00A9027E">
        <w:rPr>
          <w:rFonts w:eastAsia="Gill Sans MT"/>
          <w:lang w:val="es-ES" w:eastAsia="en-US"/>
        </w:rPr>
        <w:t xml:space="preserve">  </w:t>
      </w:r>
    </w:p>
    <w:p w14:paraId="1A238F61"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5. </w:t>
      </w:r>
      <w:proofErr w:type="spellStart"/>
      <w:r w:rsidRPr="00A9027E">
        <w:rPr>
          <w:rFonts w:eastAsia="Gill Sans MT"/>
          <w:lang w:val="es-ES" w:eastAsia="en-US"/>
        </w:rPr>
        <w:t>Dabán</w:t>
      </w:r>
      <w:proofErr w:type="spellEnd"/>
      <w:r w:rsidRPr="00A9027E">
        <w:rPr>
          <w:rFonts w:eastAsia="Gill Sans MT"/>
          <w:lang w:val="es-ES" w:eastAsia="en-US"/>
        </w:rPr>
        <w:t xml:space="preserve"> López P, Gallart Aragón T, Pérez Gómez C, </w:t>
      </w:r>
      <w:proofErr w:type="spellStart"/>
      <w:r w:rsidRPr="00A9027E">
        <w:rPr>
          <w:rFonts w:eastAsia="Gill Sans MT"/>
          <w:lang w:val="es-ES" w:eastAsia="en-US"/>
        </w:rPr>
        <w:t>Dabán</w:t>
      </w:r>
      <w:proofErr w:type="spellEnd"/>
      <w:r w:rsidRPr="00A9027E">
        <w:rPr>
          <w:rFonts w:eastAsia="Gill Sans MT"/>
          <w:lang w:val="es-ES" w:eastAsia="en-US"/>
        </w:rPr>
        <w:t xml:space="preserve"> Collado E, Mirón Pozo B. Melanoma Anal, diagnóstico infrecuente en la patología anorrectal. </w:t>
      </w:r>
      <w:proofErr w:type="spellStart"/>
      <w:r w:rsidRPr="00A9027E">
        <w:rPr>
          <w:rFonts w:eastAsia="Gill Sans MT"/>
          <w:lang w:val="es-ES" w:eastAsia="en-US"/>
        </w:rPr>
        <w:t>Cir</w:t>
      </w:r>
      <w:proofErr w:type="spellEnd"/>
      <w:r w:rsidRPr="00A9027E">
        <w:rPr>
          <w:rFonts w:eastAsia="Gill Sans MT"/>
          <w:lang w:val="es-ES" w:eastAsia="en-US"/>
        </w:rPr>
        <w:t xml:space="preserve"> And. 2018 [acceso: 15/12/2022]; 29(4): 537-40. Disponible en: </w:t>
      </w:r>
      <w:hyperlink r:id="rId14" w:history="1">
        <w:r w:rsidRPr="00A9027E">
          <w:rPr>
            <w:rFonts w:eastAsia="Gill Sans MT"/>
            <w:color w:val="0000FF"/>
            <w:lang w:val="es-ES" w:eastAsia="en-US"/>
          </w:rPr>
          <w:t>http://www.scielo.edu.uy/scielo.php?pid=S2301-12542019000200051&amp;script=sci_arttext</w:t>
        </w:r>
      </w:hyperlink>
      <w:r w:rsidRPr="00A9027E">
        <w:rPr>
          <w:rFonts w:eastAsia="Gill Sans MT"/>
          <w:lang w:val="es-ES" w:eastAsia="en-US"/>
        </w:rPr>
        <w:t xml:space="preserve">  </w:t>
      </w:r>
    </w:p>
    <w:p w14:paraId="6140369B"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n-US" w:eastAsia="en-US"/>
        </w:rPr>
        <w:t xml:space="preserve">6. </w:t>
      </w:r>
      <w:proofErr w:type="spellStart"/>
      <w:r w:rsidRPr="00A9027E">
        <w:rPr>
          <w:rFonts w:eastAsia="Gill Sans MT"/>
          <w:lang w:val="en-US" w:eastAsia="en-US"/>
        </w:rPr>
        <w:t>Durot</w:t>
      </w:r>
      <w:proofErr w:type="spellEnd"/>
      <w:r w:rsidRPr="00A9027E">
        <w:rPr>
          <w:rFonts w:eastAsia="Gill Sans MT"/>
          <w:lang w:val="en-US" w:eastAsia="en-US"/>
        </w:rPr>
        <w:t xml:space="preserve"> C, Dohan A, Boudiaf M, </w:t>
      </w:r>
      <w:proofErr w:type="spellStart"/>
      <w:r w:rsidRPr="00A9027E">
        <w:rPr>
          <w:rFonts w:eastAsia="Gill Sans MT"/>
          <w:lang w:val="en-US" w:eastAsia="en-US"/>
        </w:rPr>
        <w:t>Servois</w:t>
      </w:r>
      <w:proofErr w:type="spellEnd"/>
      <w:r w:rsidRPr="00A9027E">
        <w:rPr>
          <w:rFonts w:eastAsia="Gill Sans MT"/>
          <w:lang w:val="en-US" w:eastAsia="en-US"/>
        </w:rPr>
        <w:t xml:space="preserve"> V, Soyer P, Hoeffel Ch. </w:t>
      </w:r>
      <w:proofErr w:type="spellStart"/>
      <w:r w:rsidRPr="00A9027E">
        <w:rPr>
          <w:rFonts w:eastAsia="Gill Sans MT"/>
          <w:lang w:val="en-US" w:eastAsia="en-US"/>
        </w:rPr>
        <w:t>Cáncer</w:t>
      </w:r>
      <w:proofErr w:type="spellEnd"/>
      <w:r w:rsidRPr="00A9027E">
        <w:rPr>
          <w:rFonts w:eastAsia="Gill Sans MT"/>
          <w:lang w:val="en-US" w:eastAsia="en-US"/>
        </w:rPr>
        <w:t xml:space="preserve"> of the Anal Canal: Diagnosis, Staging and Follow –Up with MRI. </w:t>
      </w:r>
      <w:proofErr w:type="spellStart"/>
      <w:r w:rsidRPr="00A9027E">
        <w:rPr>
          <w:rFonts w:eastAsia="Gill Sans MT"/>
          <w:lang w:val="es-ES" w:eastAsia="en-US"/>
        </w:rPr>
        <w:t>Korean</w:t>
      </w:r>
      <w:proofErr w:type="spellEnd"/>
      <w:r w:rsidRPr="00A9027E">
        <w:rPr>
          <w:rFonts w:eastAsia="Gill Sans MT"/>
          <w:lang w:val="es-ES" w:eastAsia="en-US"/>
        </w:rPr>
        <w:t xml:space="preserve"> J </w:t>
      </w:r>
      <w:proofErr w:type="spellStart"/>
      <w:r w:rsidRPr="00A9027E">
        <w:rPr>
          <w:rFonts w:eastAsia="Gill Sans MT"/>
          <w:lang w:val="es-ES" w:eastAsia="en-US"/>
        </w:rPr>
        <w:t>Radiol</w:t>
      </w:r>
      <w:proofErr w:type="spellEnd"/>
      <w:r w:rsidRPr="00A9027E">
        <w:rPr>
          <w:rFonts w:eastAsia="Gill Sans MT"/>
          <w:lang w:val="es-ES" w:eastAsia="en-US"/>
        </w:rPr>
        <w:t xml:space="preserve">. 2017 [acceso: 15/12/2022]; 18(6):946-56. Disponible en:  </w:t>
      </w:r>
      <w:hyperlink r:id="rId15" w:history="1">
        <w:r w:rsidRPr="00A9027E">
          <w:rPr>
            <w:rFonts w:eastAsia="Gill Sans MT"/>
            <w:color w:val="0000FF"/>
            <w:lang w:val="es-ES" w:eastAsia="en-US"/>
          </w:rPr>
          <w:t>https://www.ncbi.nlm.nih.gov/pmc/articles/PMC5639160/</w:t>
        </w:r>
      </w:hyperlink>
      <w:r w:rsidRPr="00A9027E">
        <w:rPr>
          <w:rFonts w:eastAsia="Gill Sans MT"/>
          <w:lang w:val="es-ES" w:eastAsia="en-US"/>
        </w:rPr>
        <w:t xml:space="preserve"> </w:t>
      </w:r>
    </w:p>
    <w:p w14:paraId="777BC540"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7. Arriola MA, Pazos X, </w:t>
      </w:r>
      <w:proofErr w:type="spellStart"/>
      <w:r w:rsidRPr="00A9027E">
        <w:rPr>
          <w:rFonts w:eastAsia="Gill Sans MT"/>
          <w:lang w:val="es-ES" w:eastAsia="en-US"/>
        </w:rPr>
        <w:t>Figuerido</w:t>
      </w:r>
      <w:proofErr w:type="spellEnd"/>
      <w:r w:rsidRPr="00A9027E">
        <w:rPr>
          <w:rFonts w:eastAsia="Gill Sans MT"/>
          <w:lang w:val="es-ES" w:eastAsia="en-US"/>
        </w:rPr>
        <w:t xml:space="preserve"> O, Rodríguez M. Melanoma anal, patología infrecuente, reporte de un caso. </w:t>
      </w:r>
      <w:proofErr w:type="spellStart"/>
      <w:r w:rsidRPr="00A9027E">
        <w:rPr>
          <w:rFonts w:eastAsia="Gill Sans MT"/>
          <w:lang w:val="es-ES" w:eastAsia="en-US"/>
        </w:rPr>
        <w:t>Anfamed</w:t>
      </w:r>
      <w:proofErr w:type="spellEnd"/>
      <w:r w:rsidRPr="00A9027E">
        <w:rPr>
          <w:rFonts w:eastAsia="Gill Sans MT"/>
          <w:lang w:val="es-ES" w:eastAsia="en-US"/>
        </w:rPr>
        <w:t xml:space="preserve">. 2019 [acceso: 18/08/2023]; 6(2):51-57. Disponible en: </w:t>
      </w:r>
      <w:hyperlink r:id="rId16" w:history="1">
        <w:r w:rsidRPr="00A9027E">
          <w:rPr>
            <w:rFonts w:eastAsia="Gill Sans MT"/>
            <w:color w:val="0000FF"/>
            <w:lang w:val="es-ES" w:eastAsia="en-US"/>
          </w:rPr>
          <w:t>http://www.scielo.edu.uy/scielo.php?script=sci_arttext&amp;pid=S2301-12542019000200051&amp;lng=es</w:t>
        </w:r>
      </w:hyperlink>
      <w:r w:rsidRPr="00A9027E">
        <w:rPr>
          <w:rFonts w:eastAsia="Gill Sans MT"/>
          <w:lang w:val="es-ES" w:eastAsia="en-US"/>
        </w:rPr>
        <w:t xml:space="preserve"> </w:t>
      </w:r>
    </w:p>
    <w:p w14:paraId="624B2C7F"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8. </w:t>
      </w:r>
      <w:proofErr w:type="spellStart"/>
      <w:r w:rsidRPr="00A9027E">
        <w:rPr>
          <w:rFonts w:eastAsia="Gill Sans MT"/>
          <w:lang w:val="es-ES" w:eastAsia="en-US"/>
        </w:rPr>
        <w:t>Malaguarnera</w:t>
      </w:r>
      <w:proofErr w:type="spellEnd"/>
      <w:r w:rsidRPr="00A9027E">
        <w:rPr>
          <w:rFonts w:eastAsia="Gill Sans MT"/>
          <w:lang w:val="es-ES" w:eastAsia="en-US"/>
        </w:rPr>
        <w:t xml:space="preserve"> G, </w:t>
      </w:r>
      <w:proofErr w:type="spellStart"/>
      <w:r w:rsidRPr="00A9027E">
        <w:rPr>
          <w:rFonts w:eastAsia="Gill Sans MT"/>
          <w:lang w:val="es-ES" w:eastAsia="en-US"/>
        </w:rPr>
        <w:t>Madedu</w:t>
      </w:r>
      <w:proofErr w:type="spellEnd"/>
      <w:r w:rsidRPr="00A9027E">
        <w:rPr>
          <w:rFonts w:eastAsia="Gill Sans MT"/>
          <w:lang w:val="es-ES" w:eastAsia="en-US"/>
        </w:rPr>
        <w:t xml:space="preserve"> R, Catania VE, Bertino G, Morelli L, </w:t>
      </w:r>
      <w:proofErr w:type="spellStart"/>
      <w:r w:rsidRPr="00A9027E">
        <w:rPr>
          <w:rFonts w:eastAsia="Gill Sans MT"/>
          <w:lang w:val="es-ES" w:eastAsia="en-US"/>
        </w:rPr>
        <w:t>Perrota</w:t>
      </w:r>
      <w:proofErr w:type="spellEnd"/>
      <w:r w:rsidRPr="00A9027E">
        <w:rPr>
          <w:rFonts w:eastAsia="Gill Sans MT"/>
          <w:lang w:val="es-ES" w:eastAsia="en-US"/>
        </w:rPr>
        <w:t xml:space="preserve"> RE, et al. </w:t>
      </w:r>
      <w:proofErr w:type="spellStart"/>
      <w:r w:rsidRPr="00A9027E">
        <w:rPr>
          <w:rFonts w:eastAsia="Gill Sans MT"/>
          <w:lang w:val="es-ES" w:eastAsia="en-US"/>
        </w:rPr>
        <w:t>Anorectal</w:t>
      </w:r>
      <w:proofErr w:type="spellEnd"/>
      <w:r w:rsidRPr="00A9027E">
        <w:rPr>
          <w:rFonts w:eastAsia="Gill Sans MT"/>
          <w:lang w:val="es-ES" w:eastAsia="en-US"/>
        </w:rPr>
        <w:t xml:space="preserve"> </w:t>
      </w:r>
      <w:proofErr w:type="spellStart"/>
      <w:r w:rsidRPr="00A9027E">
        <w:rPr>
          <w:rFonts w:eastAsia="Gill Sans MT"/>
          <w:lang w:val="es-ES" w:eastAsia="en-US"/>
        </w:rPr>
        <w:t>mucosal</w:t>
      </w:r>
      <w:proofErr w:type="spellEnd"/>
      <w:r w:rsidRPr="00A9027E">
        <w:rPr>
          <w:rFonts w:eastAsia="Gill Sans MT"/>
          <w:lang w:val="es-ES" w:eastAsia="en-US"/>
        </w:rPr>
        <w:t xml:space="preserve"> melanoma. </w:t>
      </w:r>
      <w:proofErr w:type="spellStart"/>
      <w:r w:rsidRPr="00A9027E">
        <w:rPr>
          <w:rFonts w:eastAsia="Gill Sans MT"/>
          <w:lang w:val="es-ES" w:eastAsia="en-US"/>
        </w:rPr>
        <w:t>Oncotarget</w:t>
      </w:r>
      <w:proofErr w:type="spellEnd"/>
      <w:r w:rsidRPr="00A9027E">
        <w:rPr>
          <w:rFonts w:eastAsia="Gill Sans MT"/>
          <w:lang w:val="es-ES" w:eastAsia="en-US"/>
        </w:rPr>
        <w:t xml:space="preserve">. 2018 [acceso: 15/12/2022]; 9(9): 8785-800. Disponible en: </w:t>
      </w:r>
      <w:hyperlink r:id="rId17" w:history="1">
        <w:r w:rsidRPr="00A9027E">
          <w:rPr>
            <w:rFonts w:eastAsia="Gill Sans MT"/>
            <w:color w:val="0000FF"/>
            <w:lang w:val="es-ES" w:eastAsia="en-US"/>
          </w:rPr>
          <w:t>https://www.ncbi.nlm.nih.gov/pmc/articles/PMC5823579/</w:t>
        </w:r>
      </w:hyperlink>
      <w:r w:rsidRPr="00A9027E">
        <w:rPr>
          <w:rFonts w:eastAsia="Gill Sans MT"/>
          <w:lang w:val="es-ES" w:eastAsia="en-US"/>
        </w:rPr>
        <w:t xml:space="preserve"> </w:t>
      </w:r>
    </w:p>
    <w:p w14:paraId="78F6F4E7"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 xml:space="preserve">9. Montes-Osorio </w:t>
      </w:r>
      <w:proofErr w:type="spellStart"/>
      <w:r w:rsidRPr="00A9027E">
        <w:rPr>
          <w:rFonts w:eastAsia="Gill Sans MT"/>
          <w:lang w:val="es-ES" w:eastAsia="en-US"/>
        </w:rPr>
        <w:t>ZE</w:t>
      </w:r>
      <w:proofErr w:type="spellEnd"/>
      <w:r w:rsidRPr="00A9027E">
        <w:rPr>
          <w:rFonts w:eastAsia="Gill Sans MT"/>
          <w:lang w:val="es-ES" w:eastAsia="en-US"/>
        </w:rPr>
        <w:t>, Moreno-</w:t>
      </w:r>
      <w:proofErr w:type="spellStart"/>
      <w:r w:rsidRPr="00A9027E">
        <w:rPr>
          <w:rFonts w:eastAsia="Gill Sans MT"/>
          <w:lang w:val="es-ES" w:eastAsia="en-US"/>
        </w:rPr>
        <w:t>Berber</w:t>
      </w:r>
      <w:proofErr w:type="spellEnd"/>
      <w:r w:rsidRPr="00A9027E">
        <w:rPr>
          <w:rFonts w:eastAsia="Gill Sans MT"/>
          <w:lang w:val="es-ES" w:eastAsia="en-US"/>
        </w:rPr>
        <w:t xml:space="preserve"> </w:t>
      </w:r>
      <w:proofErr w:type="spellStart"/>
      <w:r w:rsidRPr="00A9027E">
        <w:rPr>
          <w:rFonts w:eastAsia="Gill Sans MT"/>
          <w:lang w:val="es-ES" w:eastAsia="en-US"/>
        </w:rPr>
        <w:t>JM</w:t>
      </w:r>
      <w:proofErr w:type="spellEnd"/>
      <w:r w:rsidRPr="00A9027E">
        <w:rPr>
          <w:rFonts w:eastAsia="Gill Sans MT"/>
          <w:lang w:val="es-ES" w:eastAsia="en-US"/>
        </w:rPr>
        <w:t xml:space="preserve">. Melanoma anorrectal, reporte de un caso y revisión de la literatura. Cirujano General. 2017 [acceso: 15/12/2022]; 39(4):232-6. Disponible en: </w:t>
      </w:r>
      <w:hyperlink r:id="rId18" w:history="1">
        <w:r w:rsidRPr="00A9027E">
          <w:rPr>
            <w:rFonts w:eastAsia="Gill Sans MT"/>
            <w:color w:val="0000FF"/>
            <w:lang w:val="es-ES" w:eastAsia="en-US"/>
          </w:rPr>
          <w:t>https://www.scielo.org.mx/scielo.php?pid=S1405-00992017000400232&amp;script=sci_arttext_plus&amp;tlng=es</w:t>
        </w:r>
      </w:hyperlink>
      <w:r w:rsidRPr="00A9027E">
        <w:rPr>
          <w:rFonts w:eastAsia="Gill Sans MT"/>
          <w:lang w:val="es-ES" w:eastAsia="en-US"/>
        </w:rPr>
        <w:t xml:space="preserve"> </w:t>
      </w:r>
    </w:p>
    <w:p w14:paraId="351E29EB" w14:textId="77777777" w:rsidR="00A9027E" w:rsidRPr="00A9027E" w:rsidRDefault="00A9027E" w:rsidP="00A9027E">
      <w:pPr>
        <w:widowControl w:val="0"/>
        <w:autoSpaceDE w:val="0"/>
        <w:autoSpaceDN w:val="0"/>
        <w:spacing w:line="360" w:lineRule="auto"/>
        <w:jc w:val="both"/>
        <w:rPr>
          <w:rFonts w:eastAsia="Gill Sans MT"/>
          <w:lang w:val="es-ES" w:eastAsia="en-US"/>
        </w:rPr>
      </w:pPr>
    </w:p>
    <w:p w14:paraId="613AFAB4" w14:textId="77777777" w:rsidR="00A9027E" w:rsidRPr="00A9027E" w:rsidRDefault="00A9027E" w:rsidP="00A9027E">
      <w:pPr>
        <w:widowControl w:val="0"/>
        <w:autoSpaceDE w:val="0"/>
        <w:autoSpaceDN w:val="0"/>
        <w:spacing w:line="360" w:lineRule="auto"/>
        <w:ind w:left="1440"/>
        <w:contextualSpacing/>
        <w:jc w:val="center"/>
        <w:rPr>
          <w:rFonts w:eastAsia="Gill Sans MT"/>
          <w:b/>
          <w:lang w:val="es-ES" w:eastAsia="en-US"/>
        </w:rPr>
      </w:pPr>
    </w:p>
    <w:p w14:paraId="2EB0BF88" w14:textId="77777777" w:rsidR="00A9027E" w:rsidRPr="00A9027E" w:rsidRDefault="00A9027E" w:rsidP="00A9027E">
      <w:pPr>
        <w:widowControl w:val="0"/>
        <w:autoSpaceDE w:val="0"/>
        <w:autoSpaceDN w:val="0"/>
        <w:spacing w:line="360" w:lineRule="auto"/>
        <w:ind w:left="1440"/>
        <w:contextualSpacing/>
        <w:jc w:val="center"/>
        <w:rPr>
          <w:rFonts w:eastAsia="Gill Sans MT"/>
          <w:b/>
          <w:lang w:val="es-ES" w:eastAsia="en-US"/>
        </w:rPr>
      </w:pPr>
      <w:r w:rsidRPr="00A9027E">
        <w:rPr>
          <w:rFonts w:eastAsia="Gill Sans MT"/>
          <w:b/>
          <w:lang w:val="es-ES" w:eastAsia="en-US"/>
        </w:rPr>
        <w:t>Conflictos de interés</w:t>
      </w:r>
    </w:p>
    <w:p w14:paraId="4DB08CB6" w14:textId="77777777" w:rsidR="00A9027E" w:rsidRPr="00A9027E" w:rsidRDefault="00A9027E" w:rsidP="00A9027E">
      <w:pPr>
        <w:widowControl w:val="0"/>
        <w:autoSpaceDE w:val="0"/>
        <w:autoSpaceDN w:val="0"/>
        <w:spacing w:line="360" w:lineRule="auto"/>
        <w:rPr>
          <w:rFonts w:eastAsia="Gill Sans MT"/>
          <w:lang w:val="es-ES" w:eastAsia="en-US"/>
        </w:rPr>
      </w:pPr>
      <w:r w:rsidRPr="00A9027E">
        <w:rPr>
          <w:rFonts w:eastAsia="Gill Sans MT"/>
          <w:lang w:val="es-ES" w:eastAsia="en-US"/>
        </w:rPr>
        <w:t>Los autores plantean que no existen conflictos de interés.</w:t>
      </w:r>
    </w:p>
    <w:p w14:paraId="3E2281EB" w14:textId="77777777" w:rsidR="00675476" w:rsidRPr="00A9027E" w:rsidRDefault="00675476" w:rsidP="00EA1FEF">
      <w:pPr>
        <w:pStyle w:val="PDFRevista"/>
        <w:rPr>
          <w:lang w:val="es-ES"/>
        </w:rPr>
      </w:pPr>
    </w:p>
    <w:sectPr w:rsidR="00675476" w:rsidRPr="00A9027E"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5DAB" w14:textId="77777777" w:rsidR="00097016" w:rsidRDefault="00097016">
      <w:r>
        <w:separator/>
      </w:r>
    </w:p>
  </w:endnote>
  <w:endnote w:type="continuationSeparator" w:id="0">
    <w:p w14:paraId="78C7964D" w14:textId="77777777" w:rsidR="00097016" w:rsidRDefault="0009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448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F17D0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86F9" w14:textId="592B42ED" w:rsidR="000F3690" w:rsidRPr="00AE044C" w:rsidRDefault="00A9027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DD5B47A" wp14:editId="65DC8D72">
              <wp:simplePos x="0" y="0"/>
              <wp:positionH relativeFrom="column">
                <wp:posOffset>3810</wp:posOffset>
              </wp:positionH>
              <wp:positionV relativeFrom="paragraph">
                <wp:posOffset>50165</wp:posOffset>
              </wp:positionV>
              <wp:extent cx="6286500" cy="19050"/>
              <wp:effectExtent l="19050" t="19050" r="0" b="0"/>
              <wp:wrapNone/>
              <wp:docPr id="19428129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D60A34"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66FAAD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4F8E749"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BCDA51A" w14:textId="31BD72D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9027E" w:rsidRPr="00A9027E">
      <w:rPr>
        <w:rFonts w:ascii="Verdana" w:hAnsi="Verdana"/>
        <w:noProof/>
        <w:sz w:val="18"/>
        <w:szCs w:val="18"/>
        <w:lang w:val="en-US" w:eastAsia="en-US"/>
      </w:rPr>
      <w:drawing>
        <wp:inline distT="0" distB="0" distL="0" distR="0" wp14:anchorId="3A799CCA" wp14:editId="29F4DC8A">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C3CE" w14:textId="77777777" w:rsidR="00097016" w:rsidRDefault="00097016">
      <w:r>
        <w:separator/>
      </w:r>
    </w:p>
  </w:footnote>
  <w:footnote w:type="continuationSeparator" w:id="0">
    <w:p w14:paraId="67FC12E2" w14:textId="77777777" w:rsidR="00097016" w:rsidRDefault="0009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C10F" w14:textId="129BF3AF" w:rsidR="00CC376A" w:rsidRPr="00AE044C" w:rsidRDefault="00A9027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02302704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605AA66" wp14:editId="155FADD1">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9311E" w14:textId="158969C4" w:rsidR="00A477DE" w:rsidRDefault="00A9027E">
    <w:r>
      <w:rPr>
        <w:noProof/>
      </w:rPr>
      <mc:AlternateContent>
        <mc:Choice Requires="wps">
          <w:drawing>
            <wp:anchor distT="0" distB="0" distL="114300" distR="114300" simplePos="0" relativeHeight="251654144" behindDoc="0" locked="0" layoutInCell="1" allowOverlap="1" wp14:anchorId="7266D3BB" wp14:editId="4210B1FF">
              <wp:simplePos x="0" y="0"/>
              <wp:positionH relativeFrom="column">
                <wp:posOffset>635</wp:posOffset>
              </wp:positionH>
              <wp:positionV relativeFrom="paragraph">
                <wp:posOffset>42545</wp:posOffset>
              </wp:positionV>
              <wp:extent cx="6307455" cy="28575"/>
              <wp:effectExtent l="19050" t="19050" r="17145" b="9525"/>
              <wp:wrapNone/>
              <wp:docPr id="56443897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357D1C"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7E"/>
    <w:rsid w:val="00057F45"/>
    <w:rsid w:val="00097016"/>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9027E"/>
    <w:rsid w:val="00AE044C"/>
    <w:rsid w:val="00B31971"/>
    <w:rsid w:val="00B4380A"/>
    <w:rsid w:val="00B66ECB"/>
    <w:rsid w:val="00B816D5"/>
    <w:rsid w:val="00BB20C4"/>
    <w:rsid w:val="00BB43A4"/>
    <w:rsid w:val="00C7523A"/>
    <w:rsid w:val="00CC1B6E"/>
    <w:rsid w:val="00CC376A"/>
    <w:rsid w:val="00CC48A1"/>
    <w:rsid w:val="00CF0387"/>
    <w:rsid w:val="00CF50E0"/>
    <w:rsid w:val="00D71DC8"/>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5F2EA"/>
  <w15:docId w15:val="{3FE03670-27A3-449A-9570-3D8ED435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table" w:styleId="Sombreadomedio2-nfasis5">
    <w:name w:val="Medium Shading 2 Accent 5"/>
    <w:basedOn w:val="Tablanormal"/>
    <w:uiPriority w:val="64"/>
    <w:rsid w:val="00A9027E"/>
    <w:rPr>
      <w:rFonts w:ascii="Calibri" w:eastAsia="SimSun" w:hAnsi="Calibri" w:cs="SimSun"/>
      <w:sz w:val="22"/>
      <w:szCs w:val="22"/>
      <w:lang w:val="pt-PT"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figueredo@infomed.sld.cu" TargetMode="External"/><Relationship Id="rId13" Type="http://schemas.openxmlformats.org/officeDocument/2006/relationships/hyperlink" Target="http://www.ncbi.nlm.nih.gov/books/NBK506984/" TargetMode="External"/><Relationship Id="rId18" Type="http://schemas.openxmlformats.org/officeDocument/2006/relationships/hyperlink" Target="https://www.scielo.org.mx/scielo.php?pid=S1405-00992017000400232&amp;script=sci_arttext_plus&amp;tlng=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0321-9978" TargetMode="External"/><Relationship Id="rId12" Type="http://schemas.openxmlformats.org/officeDocument/2006/relationships/hyperlink" Target="https://www.redalyc.org/journal/3555/355554504012/html/" TargetMode="External"/><Relationship Id="rId17" Type="http://schemas.openxmlformats.org/officeDocument/2006/relationships/hyperlink" Target="https://www.ncbi.nlm.nih.gov/pmc/articles/PMC5823579/" TargetMode="External"/><Relationship Id="rId2" Type="http://schemas.openxmlformats.org/officeDocument/2006/relationships/styles" Target="styles.xml"/><Relationship Id="rId16" Type="http://schemas.openxmlformats.org/officeDocument/2006/relationships/hyperlink" Target="http://www.scielo.edu.uy/scielo.php?script=sci_arttext&amp;pid=S2301-12542019000200051&amp;lng=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684-18242019000300756" TargetMode="External"/><Relationship Id="rId5" Type="http://schemas.openxmlformats.org/officeDocument/2006/relationships/footnotes" Target="footnotes.xml"/><Relationship Id="rId15" Type="http://schemas.openxmlformats.org/officeDocument/2006/relationships/hyperlink" Target="https://www.ncbi.nlm.nih.gov/pmc/articles/PMC5639160/" TargetMode="External"/><Relationship Id="rId23" Type="http://schemas.openxmlformats.org/officeDocument/2006/relationships/theme" Target="theme/theme1.xml"/><Relationship Id="rId10" Type="http://schemas.openxmlformats.org/officeDocument/2006/relationships/hyperlink" Target="https://www.elsevier.es/es-revista-cirugia-espanola-36-pdf-S0009739X1930350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scielo.edu.uy/scielo.php?pid=S2301-12542019000200051&amp;script=sci_arttex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7</Pages>
  <Words>2102</Words>
  <Characters>11986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14060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2023-10-16T18:11:00Z</cp:lastPrinted>
  <dcterms:created xsi:type="dcterms:W3CDTF">2023-10-16T18:10:00Z</dcterms:created>
  <dcterms:modified xsi:type="dcterms:W3CDTF">2023-10-16T18:12:00Z</dcterms:modified>
</cp:coreProperties>
</file>