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7261" w14:textId="77777777" w:rsidR="00227627" w:rsidRPr="00227627" w:rsidRDefault="00227627" w:rsidP="00227627">
      <w:pPr>
        <w:spacing w:line="360" w:lineRule="auto"/>
        <w:jc w:val="right"/>
        <w:rPr>
          <w:sz w:val="20"/>
          <w:szCs w:val="20"/>
          <w:lang w:val="es-ES" w:eastAsia="es-ES"/>
        </w:rPr>
      </w:pPr>
      <w:r w:rsidRPr="00227627">
        <w:rPr>
          <w:sz w:val="20"/>
          <w:szCs w:val="20"/>
          <w:lang w:val="es-ES" w:eastAsia="es-ES"/>
        </w:rPr>
        <w:t>Comunicación breve</w:t>
      </w:r>
    </w:p>
    <w:p w14:paraId="3342D6E5" w14:textId="77777777" w:rsidR="00227627" w:rsidRPr="00227627" w:rsidRDefault="00227627" w:rsidP="00227627">
      <w:pPr>
        <w:spacing w:line="360" w:lineRule="auto"/>
        <w:jc w:val="both"/>
        <w:rPr>
          <w:b/>
          <w:lang w:val="es-ES" w:eastAsia="es-ES"/>
        </w:rPr>
      </w:pPr>
    </w:p>
    <w:p w14:paraId="263AD8FF" w14:textId="77777777" w:rsidR="00227627" w:rsidRPr="00227627" w:rsidRDefault="00227627" w:rsidP="00227627">
      <w:pPr>
        <w:spacing w:line="360" w:lineRule="auto"/>
        <w:jc w:val="center"/>
        <w:rPr>
          <w:b/>
          <w:sz w:val="28"/>
          <w:szCs w:val="28"/>
          <w:lang w:val="es-ES" w:eastAsia="es-ES"/>
        </w:rPr>
      </w:pPr>
      <w:r w:rsidRPr="00227627">
        <w:rPr>
          <w:b/>
          <w:sz w:val="28"/>
          <w:szCs w:val="28"/>
          <w:lang w:val="es-ES" w:eastAsia="es-ES"/>
        </w:rPr>
        <w:t>Caracterización de pacientes con dedos en resorte intervenidos quirúrgicamente</w:t>
      </w:r>
    </w:p>
    <w:p w14:paraId="3AA38541" w14:textId="77777777" w:rsidR="00227627" w:rsidRPr="00227627" w:rsidRDefault="00227627" w:rsidP="00227627">
      <w:pPr>
        <w:spacing w:line="360" w:lineRule="auto"/>
        <w:jc w:val="center"/>
        <w:rPr>
          <w:sz w:val="28"/>
          <w:szCs w:val="28"/>
          <w:lang w:val="en-US" w:eastAsia="es-ES"/>
        </w:rPr>
      </w:pPr>
      <w:r w:rsidRPr="00227627">
        <w:rPr>
          <w:sz w:val="28"/>
          <w:szCs w:val="28"/>
          <w:lang w:val="en-US" w:eastAsia="es-ES"/>
        </w:rPr>
        <w:t>Characterization of patients with trigger fingers undergoing surgery</w:t>
      </w:r>
    </w:p>
    <w:p w14:paraId="2E3BE78E" w14:textId="77777777" w:rsidR="00227627" w:rsidRPr="00227627" w:rsidRDefault="00227627" w:rsidP="00227627">
      <w:pPr>
        <w:spacing w:line="360" w:lineRule="auto"/>
        <w:jc w:val="center"/>
        <w:rPr>
          <w:sz w:val="28"/>
          <w:szCs w:val="28"/>
          <w:lang w:val="en-US" w:eastAsia="es-ES"/>
        </w:rPr>
      </w:pPr>
    </w:p>
    <w:p w14:paraId="4B2EFD5D" w14:textId="77777777" w:rsidR="00227627" w:rsidRPr="00227627" w:rsidRDefault="00227627" w:rsidP="00227627">
      <w:pPr>
        <w:spacing w:line="360" w:lineRule="auto"/>
        <w:jc w:val="both"/>
        <w:rPr>
          <w:vertAlign w:val="superscript"/>
          <w:lang w:val="es-ES" w:eastAsia="es-ES"/>
        </w:rPr>
      </w:pPr>
      <w:r w:rsidRPr="00227627">
        <w:rPr>
          <w:lang w:val="es-ES" w:eastAsia="es-ES"/>
        </w:rPr>
        <w:t>Lázaro Ernesto Horta-</w:t>
      </w:r>
      <w:proofErr w:type="spellStart"/>
      <w:r w:rsidRPr="00227627">
        <w:rPr>
          <w:lang w:val="es-ES" w:eastAsia="es-ES"/>
        </w:rPr>
        <w:t>Martínez</w:t>
      </w:r>
      <w:r w:rsidRPr="00227627">
        <w:rPr>
          <w:vertAlign w:val="superscript"/>
          <w:lang w:val="es-ES" w:eastAsia="es-ES"/>
        </w:rPr>
        <w:t>1</w:t>
      </w:r>
      <w:proofErr w:type="spellEnd"/>
      <w:r w:rsidRPr="00227627">
        <w:rPr>
          <w:lang w:val="es-ES" w:eastAsia="es-ES"/>
        </w:rPr>
        <w:t xml:space="preserve"> </w:t>
      </w:r>
      <w:hyperlink r:id="rId7" w:history="1">
        <w:r w:rsidRPr="00227627">
          <w:rPr>
            <w:color w:val="0000FF"/>
            <w:lang w:val="es-ES" w:eastAsia="es-ES"/>
          </w:rPr>
          <w:t>https://orcid.org/0000-0001-7335-6903</w:t>
        </w:r>
      </w:hyperlink>
    </w:p>
    <w:p w14:paraId="64BABD43" w14:textId="77777777" w:rsidR="00227627" w:rsidRPr="00227627" w:rsidRDefault="00227627" w:rsidP="00227627">
      <w:pPr>
        <w:spacing w:line="360" w:lineRule="auto"/>
        <w:jc w:val="both"/>
        <w:rPr>
          <w:sz w:val="22"/>
          <w:szCs w:val="22"/>
          <w:lang w:val="es-ES" w:eastAsia="es-ES"/>
        </w:rPr>
      </w:pPr>
      <w:r w:rsidRPr="00227627">
        <w:rPr>
          <w:lang w:val="es-ES" w:eastAsia="es-ES"/>
        </w:rPr>
        <w:t xml:space="preserve">Melissa </w:t>
      </w:r>
      <w:proofErr w:type="spellStart"/>
      <w:r w:rsidRPr="00227627">
        <w:rPr>
          <w:lang w:val="es-ES" w:eastAsia="es-ES"/>
        </w:rPr>
        <w:t>Sorá-Rodríguez</w:t>
      </w:r>
      <w:r w:rsidRPr="00227627">
        <w:rPr>
          <w:vertAlign w:val="superscript"/>
          <w:lang w:val="es-ES" w:eastAsia="es-ES"/>
        </w:rPr>
        <w:t>2</w:t>
      </w:r>
      <w:proofErr w:type="spellEnd"/>
      <w:r w:rsidRPr="00227627">
        <w:rPr>
          <w:vertAlign w:val="superscript"/>
          <w:lang w:val="es-ES" w:eastAsia="es-ES"/>
        </w:rPr>
        <w:t xml:space="preserve"> </w:t>
      </w:r>
      <w:hyperlink r:id="rId8" w:history="1">
        <w:r w:rsidRPr="00227627">
          <w:rPr>
            <w:color w:val="0000FF"/>
            <w:lang w:val="es-ES" w:eastAsia="es-ES"/>
          </w:rPr>
          <w:t>https://orcid.org/0000-0002-2657-3267</w:t>
        </w:r>
      </w:hyperlink>
    </w:p>
    <w:p w14:paraId="6AFBA36E" w14:textId="77777777" w:rsidR="00227627" w:rsidRPr="00227627" w:rsidRDefault="00227627" w:rsidP="00227627">
      <w:pPr>
        <w:spacing w:line="360" w:lineRule="auto"/>
        <w:jc w:val="both"/>
        <w:rPr>
          <w:lang w:val="es-ES" w:eastAsia="es-ES"/>
        </w:rPr>
      </w:pPr>
      <w:proofErr w:type="spellStart"/>
      <w:r w:rsidRPr="00227627">
        <w:rPr>
          <w:lang w:val="es-ES" w:eastAsia="es-ES"/>
        </w:rPr>
        <w:t>Hector</w:t>
      </w:r>
      <w:proofErr w:type="spellEnd"/>
      <w:r w:rsidRPr="00227627">
        <w:rPr>
          <w:lang w:val="es-ES" w:eastAsia="es-ES"/>
        </w:rPr>
        <w:t xml:space="preserve"> Julio Piñera-</w:t>
      </w:r>
      <w:proofErr w:type="spellStart"/>
      <w:r w:rsidRPr="00227627">
        <w:rPr>
          <w:lang w:val="es-ES" w:eastAsia="es-ES"/>
        </w:rPr>
        <w:t>Castro</w:t>
      </w:r>
      <w:r w:rsidRPr="00227627">
        <w:rPr>
          <w:vertAlign w:val="superscript"/>
          <w:lang w:val="es-ES" w:eastAsia="es-ES"/>
        </w:rPr>
        <w:t>2</w:t>
      </w:r>
      <w:proofErr w:type="spellEnd"/>
      <w:r w:rsidRPr="00227627">
        <w:rPr>
          <w:lang w:val="es-ES" w:eastAsia="es-ES"/>
        </w:rPr>
        <w:t xml:space="preserve">* </w:t>
      </w:r>
      <w:hyperlink r:id="rId9" w:history="1">
        <w:r w:rsidRPr="00227627">
          <w:rPr>
            <w:color w:val="0000FF"/>
            <w:lang w:val="es-ES" w:eastAsia="es-ES"/>
          </w:rPr>
          <w:t>https://orcid.org/0000-0002-2491-489X</w:t>
        </w:r>
      </w:hyperlink>
    </w:p>
    <w:p w14:paraId="52B9A8F9" w14:textId="77777777" w:rsidR="00227627" w:rsidRPr="00227627" w:rsidRDefault="00227627" w:rsidP="00227627">
      <w:pPr>
        <w:spacing w:line="360" w:lineRule="auto"/>
        <w:jc w:val="both"/>
        <w:rPr>
          <w:lang w:val="es-ES" w:eastAsia="es-ES"/>
        </w:rPr>
      </w:pPr>
    </w:p>
    <w:p w14:paraId="37943598" w14:textId="77777777" w:rsidR="00227627" w:rsidRPr="00227627" w:rsidRDefault="00227627" w:rsidP="00227627">
      <w:pPr>
        <w:spacing w:line="360" w:lineRule="auto"/>
        <w:jc w:val="both"/>
        <w:rPr>
          <w:lang w:val="es-ES" w:eastAsia="es-ES"/>
        </w:rPr>
      </w:pPr>
      <w:proofErr w:type="spellStart"/>
      <w:r w:rsidRPr="00227627">
        <w:rPr>
          <w:vertAlign w:val="superscript"/>
          <w:lang w:val="es-ES" w:eastAsia="es-ES"/>
        </w:rPr>
        <w:t>1</w:t>
      </w:r>
      <w:r w:rsidRPr="00227627">
        <w:rPr>
          <w:lang w:val="es-ES" w:eastAsia="es-ES"/>
        </w:rPr>
        <w:t>Universidad</w:t>
      </w:r>
      <w:proofErr w:type="spellEnd"/>
      <w:r w:rsidRPr="00227627">
        <w:rPr>
          <w:lang w:val="es-ES" w:eastAsia="es-ES"/>
        </w:rPr>
        <w:t xml:space="preserve"> de Ciencias Médicas de La Habana. Facultad de Ciencias Médicas “Diez de Octubre”. La Habana, Cuba.</w:t>
      </w:r>
    </w:p>
    <w:p w14:paraId="4BD8D997" w14:textId="77777777" w:rsidR="00227627" w:rsidRPr="00227627" w:rsidRDefault="00227627" w:rsidP="00227627">
      <w:pPr>
        <w:spacing w:line="360" w:lineRule="auto"/>
        <w:jc w:val="both"/>
        <w:rPr>
          <w:lang w:val="es-ES" w:eastAsia="es-ES"/>
        </w:rPr>
      </w:pPr>
      <w:proofErr w:type="spellStart"/>
      <w:r w:rsidRPr="00227627">
        <w:rPr>
          <w:vertAlign w:val="superscript"/>
          <w:lang w:val="es-ES" w:eastAsia="es-ES"/>
        </w:rPr>
        <w:t>2</w:t>
      </w:r>
      <w:r w:rsidRPr="00227627">
        <w:rPr>
          <w:lang w:val="es-ES" w:eastAsia="es-ES"/>
        </w:rPr>
        <w:t>Universidad</w:t>
      </w:r>
      <w:proofErr w:type="spellEnd"/>
      <w:r w:rsidRPr="00227627">
        <w:rPr>
          <w:lang w:val="es-ES" w:eastAsia="es-ES"/>
        </w:rPr>
        <w:t xml:space="preserve"> de Ciencias Médicas de La Habana. Facultad de Ciencias Médicas “Victoria de Girón”. La Habana, Cuba.</w:t>
      </w:r>
    </w:p>
    <w:p w14:paraId="592059BC" w14:textId="77777777" w:rsidR="00227627" w:rsidRPr="00227627" w:rsidRDefault="00227627" w:rsidP="00227627">
      <w:pPr>
        <w:spacing w:line="360" w:lineRule="auto"/>
        <w:jc w:val="both"/>
        <w:rPr>
          <w:lang w:val="es-ES" w:eastAsia="es-ES"/>
        </w:rPr>
      </w:pPr>
    </w:p>
    <w:p w14:paraId="491F6002" w14:textId="77777777" w:rsidR="00227627" w:rsidRPr="00227627" w:rsidRDefault="00227627" w:rsidP="00227627">
      <w:pPr>
        <w:autoSpaceDE w:val="0"/>
        <w:autoSpaceDN w:val="0"/>
        <w:adjustRightInd w:val="0"/>
        <w:spacing w:line="360" w:lineRule="auto"/>
        <w:rPr>
          <w:color w:val="000000"/>
          <w:lang w:val="es-ES" w:eastAsia="es-ES"/>
        </w:rPr>
      </w:pPr>
      <w:r w:rsidRPr="00227627">
        <w:rPr>
          <w:color w:val="000000"/>
          <w:lang w:val="es-ES" w:eastAsia="es-ES"/>
        </w:rPr>
        <w:t xml:space="preserve">*Autor para correspondencia: </w:t>
      </w:r>
      <w:hyperlink r:id="rId10" w:history="1">
        <w:r w:rsidRPr="00227627">
          <w:rPr>
            <w:color w:val="0000FF"/>
            <w:lang w:val="es-ES" w:eastAsia="es-ES"/>
          </w:rPr>
          <w:t>hectorpinera18100@gmail.com</w:t>
        </w:r>
      </w:hyperlink>
      <w:r w:rsidRPr="00227627">
        <w:rPr>
          <w:color w:val="000000"/>
          <w:lang w:val="es-ES" w:eastAsia="es-ES"/>
        </w:rPr>
        <w:t xml:space="preserve"> </w:t>
      </w:r>
    </w:p>
    <w:p w14:paraId="53B2F6FB" w14:textId="77777777" w:rsidR="00227627" w:rsidRPr="00227627" w:rsidRDefault="00227627" w:rsidP="00227627">
      <w:pPr>
        <w:spacing w:line="360" w:lineRule="auto"/>
        <w:jc w:val="both"/>
        <w:rPr>
          <w:b/>
          <w:lang w:val="es-ES" w:eastAsia="es-ES"/>
        </w:rPr>
      </w:pPr>
    </w:p>
    <w:p w14:paraId="13B9D540" w14:textId="77777777" w:rsidR="00227627" w:rsidRPr="00227627" w:rsidRDefault="00227627" w:rsidP="00227627">
      <w:pPr>
        <w:spacing w:line="360" w:lineRule="auto"/>
        <w:jc w:val="both"/>
        <w:rPr>
          <w:lang w:val="es-ES" w:eastAsia="es-ES"/>
        </w:rPr>
      </w:pPr>
      <w:r w:rsidRPr="00227627">
        <w:rPr>
          <w:b/>
          <w:lang w:val="es-ES" w:eastAsia="es-ES"/>
        </w:rPr>
        <w:t>RESUMEN</w:t>
      </w:r>
    </w:p>
    <w:p w14:paraId="5B36B876" w14:textId="77777777" w:rsidR="00227627" w:rsidRPr="00227627" w:rsidRDefault="00227627" w:rsidP="00227627">
      <w:pPr>
        <w:autoSpaceDE w:val="0"/>
        <w:autoSpaceDN w:val="0"/>
        <w:adjustRightInd w:val="0"/>
        <w:spacing w:line="360" w:lineRule="auto"/>
        <w:jc w:val="both"/>
        <w:rPr>
          <w:color w:val="000000"/>
          <w:lang w:val="es-ES" w:eastAsia="es-ES"/>
        </w:rPr>
      </w:pPr>
      <w:r w:rsidRPr="00227627">
        <w:rPr>
          <w:b/>
          <w:color w:val="000000"/>
          <w:lang w:val="es-ES" w:eastAsia="es-ES"/>
        </w:rPr>
        <w:t xml:space="preserve">Introducción: </w:t>
      </w:r>
      <w:r w:rsidRPr="00227627">
        <w:rPr>
          <w:color w:val="000000"/>
          <w:lang w:val="es-ES" w:eastAsia="es-ES"/>
        </w:rPr>
        <w:t xml:space="preserve">La tenosinovitis estenosante digital de los tendones flexores superficial y profundo de la mano –también llamada “dedo en gatillo o en resorte”– es uno de los principales motivos de consulta del adulto al cirujano de mano. </w:t>
      </w:r>
    </w:p>
    <w:p w14:paraId="5D4F7A41" w14:textId="77777777" w:rsidR="00227627" w:rsidRPr="00227627" w:rsidRDefault="00227627" w:rsidP="00227627">
      <w:pPr>
        <w:autoSpaceDE w:val="0"/>
        <w:autoSpaceDN w:val="0"/>
        <w:adjustRightInd w:val="0"/>
        <w:spacing w:line="360" w:lineRule="auto"/>
        <w:jc w:val="both"/>
        <w:rPr>
          <w:b/>
          <w:color w:val="000000"/>
          <w:lang w:val="es-ES" w:eastAsia="es-ES"/>
        </w:rPr>
      </w:pPr>
      <w:r w:rsidRPr="00227627">
        <w:rPr>
          <w:b/>
          <w:color w:val="000000"/>
          <w:lang w:val="es-ES" w:eastAsia="es-ES"/>
        </w:rPr>
        <w:t xml:space="preserve">Objetivo: </w:t>
      </w:r>
      <w:r w:rsidRPr="00227627">
        <w:rPr>
          <w:color w:val="000000"/>
          <w:lang w:val="es-ES" w:eastAsia="es-ES"/>
        </w:rPr>
        <w:t>Caracterizar a pacientes con dedos en resorte intervenidos quirúrgicamente.</w:t>
      </w:r>
    </w:p>
    <w:p w14:paraId="4D120553" w14:textId="77777777" w:rsidR="00227627" w:rsidRPr="00227627" w:rsidRDefault="00227627" w:rsidP="00227627">
      <w:pPr>
        <w:autoSpaceDE w:val="0"/>
        <w:autoSpaceDN w:val="0"/>
        <w:adjustRightInd w:val="0"/>
        <w:spacing w:line="360" w:lineRule="auto"/>
        <w:jc w:val="both"/>
        <w:rPr>
          <w:color w:val="000000"/>
          <w:lang w:val="es-ES" w:eastAsia="es-ES"/>
        </w:rPr>
      </w:pPr>
      <w:r w:rsidRPr="00227627">
        <w:rPr>
          <w:b/>
          <w:color w:val="000000"/>
          <w:lang w:val="es-ES" w:eastAsia="es-ES"/>
        </w:rPr>
        <w:t xml:space="preserve">Métodos: </w:t>
      </w:r>
      <w:r w:rsidRPr="00227627">
        <w:rPr>
          <w:color w:val="000000"/>
          <w:lang w:val="es-ES" w:eastAsia="es-ES"/>
        </w:rPr>
        <w:t>Se realizó un estudio observacional, descriptivo, de corte transversal. La población estuvo constituida por 160 individuos intervenidos de octubre de 2021 a marzo de 2022 en el Hospital Docente Clínico Quirúrgico “Miguel Enríquez”, con técnica de cirugía abierta, que contaban con una historia clínica individual completa. Todos los sujetos fueron estudiados. Se ejecutó un análisis estadístico descriptivo.</w:t>
      </w:r>
    </w:p>
    <w:p w14:paraId="476328B4" w14:textId="77777777" w:rsidR="00227627" w:rsidRPr="00227627" w:rsidRDefault="00227627" w:rsidP="00227627">
      <w:pPr>
        <w:autoSpaceDE w:val="0"/>
        <w:autoSpaceDN w:val="0"/>
        <w:adjustRightInd w:val="0"/>
        <w:spacing w:line="360" w:lineRule="auto"/>
        <w:jc w:val="both"/>
        <w:rPr>
          <w:color w:val="000000"/>
          <w:lang w:val="es-ES" w:eastAsia="es-ES"/>
        </w:rPr>
      </w:pPr>
      <w:r w:rsidRPr="00227627">
        <w:rPr>
          <w:b/>
          <w:color w:val="000000"/>
          <w:lang w:val="es-ES" w:eastAsia="es-ES"/>
        </w:rPr>
        <w:t xml:space="preserve">Resultados: </w:t>
      </w:r>
      <w:r w:rsidRPr="00227627">
        <w:rPr>
          <w:color w:val="000000"/>
          <w:lang w:val="es-ES" w:eastAsia="es-ES"/>
        </w:rPr>
        <w:t xml:space="preserve">Predominaron los pacientes del sexo femenino (n= 90; 56,2 %), con edades entre los 40 y 59 años (n= 80; 50 %). Fueron operados un total de 186 dedos afectados. El dedo afectado con mayor </w:t>
      </w:r>
      <w:r w:rsidRPr="00227627">
        <w:rPr>
          <w:color w:val="000000"/>
          <w:lang w:val="es-ES" w:eastAsia="es-ES"/>
        </w:rPr>
        <w:lastRenderedPageBreak/>
        <w:t>frecuencia fue el cuarto (n= 78; 41,9 %), seguido del tercero (n= 73; 39,2 %). El grado de estenosis más frecuente fue el II (n= 105; 56,5 %). El 70 % (n= 112) de los pacientes no tenía antecedentes patológicos personales. La diabetes mellitus (n= 16; 10 %) y la hipertensión arterial (n= 15; 9,4 %) fueron las comorbilidades predominantes.</w:t>
      </w:r>
    </w:p>
    <w:p w14:paraId="421D5C47" w14:textId="77777777" w:rsidR="00227627" w:rsidRPr="00227627" w:rsidRDefault="00227627" w:rsidP="00227627">
      <w:pPr>
        <w:autoSpaceDE w:val="0"/>
        <w:autoSpaceDN w:val="0"/>
        <w:adjustRightInd w:val="0"/>
        <w:spacing w:line="360" w:lineRule="auto"/>
        <w:jc w:val="both"/>
        <w:rPr>
          <w:color w:val="000000"/>
          <w:lang w:val="es-ES" w:eastAsia="es-ES"/>
        </w:rPr>
      </w:pPr>
      <w:r w:rsidRPr="00227627">
        <w:rPr>
          <w:b/>
          <w:color w:val="000000"/>
          <w:lang w:val="es-ES" w:eastAsia="es-ES"/>
        </w:rPr>
        <w:t xml:space="preserve">Conclusiones: </w:t>
      </w:r>
      <w:r w:rsidRPr="00227627">
        <w:rPr>
          <w:color w:val="000000"/>
          <w:lang w:val="es-ES" w:eastAsia="es-ES"/>
        </w:rPr>
        <w:t>La afección se caracteriza por presentarse con mayor frecuencia en mujeres entre la cuarta y sexta décadas de la vida, con una estenosis de grado II de los dedos anular y medio, en presencia de ninguna o pocas comorbilidades.</w:t>
      </w:r>
    </w:p>
    <w:p w14:paraId="7B69F64B" w14:textId="77777777" w:rsidR="00227627" w:rsidRPr="00227627" w:rsidRDefault="00227627" w:rsidP="00227627">
      <w:pPr>
        <w:spacing w:line="360" w:lineRule="auto"/>
        <w:jc w:val="both"/>
        <w:rPr>
          <w:lang w:val="es-ES" w:eastAsia="es-ES"/>
        </w:rPr>
      </w:pPr>
      <w:r w:rsidRPr="00227627">
        <w:rPr>
          <w:b/>
          <w:lang w:val="es-ES" w:eastAsia="es-ES"/>
        </w:rPr>
        <w:t xml:space="preserve">Palabras clave: </w:t>
      </w:r>
      <w:r w:rsidRPr="00227627">
        <w:rPr>
          <w:lang w:val="es-ES" w:eastAsia="es-ES"/>
        </w:rPr>
        <w:t>trastorno del dedo en gatillo; tenosinovitis; ortopedia.</w:t>
      </w:r>
    </w:p>
    <w:p w14:paraId="2B1A87AB" w14:textId="77777777" w:rsidR="00227627" w:rsidRPr="00227627" w:rsidRDefault="00227627" w:rsidP="00227627">
      <w:pPr>
        <w:spacing w:line="360" w:lineRule="auto"/>
        <w:jc w:val="both"/>
        <w:rPr>
          <w:b/>
          <w:lang w:val="es-CU" w:eastAsia="es-ES"/>
        </w:rPr>
      </w:pPr>
    </w:p>
    <w:p w14:paraId="33D37EAB" w14:textId="77777777" w:rsidR="00227627" w:rsidRPr="00227627" w:rsidRDefault="00227627" w:rsidP="00227627">
      <w:pPr>
        <w:spacing w:line="360" w:lineRule="auto"/>
        <w:jc w:val="both"/>
        <w:rPr>
          <w:b/>
          <w:lang w:val="en-US" w:eastAsia="es-ES"/>
        </w:rPr>
      </w:pPr>
      <w:r w:rsidRPr="00227627">
        <w:rPr>
          <w:b/>
          <w:lang w:val="en-US" w:eastAsia="es-ES"/>
        </w:rPr>
        <w:t>ABSTRACT</w:t>
      </w:r>
    </w:p>
    <w:p w14:paraId="53AF2DE7" w14:textId="77777777" w:rsidR="00227627" w:rsidRPr="00227627" w:rsidRDefault="00227627" w:rsidP="00227627">
      <w:pPr>
        <w:spacing w:line="360" w:lineRule="auto"/>
        <w:jc w:val="both"/>
        <w:rPr>
          <w:lang w:val="en-US" w:eastAsia="es-ES"/>
        </w:rPr>
      </w:pPr>
      <w:r w:rsidRPr="00227627">
        <w:rPr>
          <w:b/>
          <w:bCs/>
          <w:lang w:val="en-US" w:eastAsia="es-ES"/>
        </w:rPr>
        <w:t>Introduction:</w:t>
      </w:r>
      <w:r w:rsidRPr="00227627">
        <w:rPr>
          <w:lang w:val="en-US" w:eastAsia="es-ES"/>
        </w:rPr>
        <w:t xml:space="preserve"> Digital stenosing tenosynovitis of the superficial and deep flexor tendons of the hand -also called "trigger or spring finger"- is one of the main reasons for adult consultation to the hand surgeon. </w:t>
      </w:r>
    </w:p>
    <w:p w14:paraId="0280D136" w14:textId="77777777" w:rsidR="00227627" w:rsidRPr="00227627" w:rsidRDefault="00227627" w:rsidP="00227627">
      <w:pPr>
        <w:spacing w:line="360" w:lineRule="auto"/>
        <w:jc w:val="both"/>
        <w:rPr>
          <w:lang w:val="en-US" w:eastAsia="es-ES"/>
        </w:rPr>
      </w:pPr>
      <w:r w:rsidRPr="00227627">
        <w:rPr>
          <w:b/>
          <w:bCs/>
          <w:lang w:val="en-US" w:eastAsia="es-ES"/>
        </w:rPr>
        <w:t>Objective:</w:t>
      </w:r>
      <w:r w:rsidRPr="00227627">
        <w:rPr>
          <w:lang w:val="en-US" w:eastAsia="es-ES"/>
        </w:rPr>
        <w:t xml:space="preserve"> To characterize patients with trigger finger who underwent surgery.</w:t>
      </w:r>
    </w:p>
    <w:p w14:paraId="22E6B360" w14:textId="77777777" w:rsidR="00227627" w:rsidRPr="00227627" w:rsidRDefault="00227627" w:rsidP="00227627">
      <w:pPr>
        <w:spacing w:line="360" w:lineRule="auto"/>
        <w:jc w:val="both"/>
        <w:rPr>
          <w:lang w:val="en-US" w:eastAsia="es-ES"/>
        </w:rPr>
      </w:pPr>
      <w:r w:rsidRPr="00227627">
        <w:rPr>
          <w:b/>
          <w:bCs/>
          <w:lang w:val="en-US" w:eastAsia="es-ES"/>
        </w:rPr>
        <w:t>Methods:</w:t>
      </w:r>
      <w:r w:rsidRPr="00227627">
        <w:rPr>
          <w:lang w:val="en-US" w:eastAsia="es-ES"/>
        </w:rPr>
        <w:t xml:space="preserve"> An observational, descriptive, cross-sectional, descriptive study was carried out. The population consisted of 160 individuals operated from October 2021 to March 2022 at the Hospital </w:t>
      </w:r>
      <w:proofErr w:type="spellStart"/>
      <w:r w:rsidRPr="00227627">
        <w:rPr>
          <w:lang w:val="en-US" w:eastAsia="es-ES"/>
        </w:rPr>
        <w:t>Docente</w:t>
      </w:r>
      <w:proofErr w:type="spellEnd"/>
      <w:r w:rsidRPr="00227627">
        <w:rPr>
          <w:lang w:val="en-US" w:eastAsia="es-ES"/>
        </w:rPr>
        <w:t xml:space="preserve"> </w:t>
      </w:r>
      <w:proofErr w:type="spellStart"/>
      <w:r w:rsidRPr="00227627">
        <w:rPr>
          <w:lang w:val="en-US" w:eastAsia="es-ES"/>
        </w:rPr>
        <w:t>Clínico</w:t>
      </w:r>
      <w:proofErr w:type="spellEnd"/>
      <w:r w:rsidRPr="00227627">
        <w:rPr>
          <w:lang w:val="en-US" w:eastAsia="es-ES"/>
        </w:rPr>
        <w:t xml:space="preserve"> </w:t>
      </w:r>
      <w:proofErr w:type="spellStart"/>
      <w:r w:rsidRPr="00227627">
        <w:rPr>
          <w:lang w:val="en-US" w:eastAsia="es-ES"/>
        </w:rPr>
        <w:t>Quirúrgico</w:t>
      </w:r>
      <w:proofErr w:type="spellEnd"/>
      <w:r w:rsidRPr="00227627">
        <w:rPr>
          <w:lang w:val="en-US" w:eastAsia="es-ES"/>
        </w:rPr>
        <w:t xml:space="preserve"> "Miguel </w:t>
      </w:r>
      <w:proofErr w:type="spellStart"/>
      <w:r w:rsidRPr="00227627">
        <w:rPr>
          <w:lang w:val="en-US" w:eastAsia="es-ES"/>
        </w:rPr>
        <w:t>Enríquez</w:t>
      </w:r>
      <w:proofErr w:type="spellEnd"/>
      <w:r w:rsidRPr="00227627">
        <w:rPr>
          <w:lang w:val="en-US" w:eastAsia="es-ES"/>
        </w:rPr>
        <w:t>", with open surgery technique, who had a complete individual clinical history. All subjects were studied. A descriptive statistical analysis was performed.</w:t>
      </w:r>
    </w:p>
    <w:p w14:paraId="077C2A8B" w14:textId="77777777" w:rsidR="00227627" w:rsidRPr="00227627" w:rsidRDefault="00227627" w:rsidP="00227627">
      <w:pPr>
        <w:spacing w:line="360" w:lineRule="auto"/>
        <w:jc w:val="both"/>
        <w:rPr>
          <w:lang w:val="en-US" w:eastAsia="es-ES"/>
        </w:rPr>
      </w:pPr>
      <w:r w:rsidRPr="00227627">
        <w:rPr>
          <w:b/>
          <w:bCs/>
          <w:lang w:val="en-US" w:eastAsia="es-ES"/>
        </w:rPr>
        <w:t>Results:</w:t>
      </w:r>
      <w:r w:rsidRPr="00227627">
        <w:rPr>
          <w:lang w:val="en-US" w:eastAsia="es-ES"/>
        </w:rPr>
        <w:t xml:space="preserve"> Female patients predominated (n= 90; 56.2%), with ages between 40 and 59 years (n= 80; 50%). A total of 186 affected fingers were operated. The most frequently affected finger was the fourth (n= 78; 41.9%), followed by the third (n= 73; 39.2%). The most frequent degree of stenosis was II (n= 105; 56.5%). 70% (n= 112) of the patients had no personal pathological history. Diabetes mellitus (n= 16; 10%) and arterial hypertension (n= 15; 9.4%) were the predominant comorbidities.</w:t>
      </w:r>
    </w:p>
    <w:p w14:paraId="4178D79C" w14:textId="77777777" w:rsidR="00227627" w:rsidRPr="00227627" w:rsidRDefault="00227627" w:rsidP="00227627">
      <w:pPr>
        <w:spacing w:line="360" w:lineRule="auto"/>
        <w:jc w:val="both"/>
        <w:rPr>
          <w:lang w:val="en-US" w:eastAsia="es-ES"/>
        </w:rPr>
      </w:pPr>
      <w:r w:rsidRPr="00227627">
        <w:rPr>
          <w:b/>
          <w:bCs/>
          <w:lang w:val="en-US" w:eastAsia="es-ES"/>
        </w:rPr>
        <w:t>Conclusions:</w:t>
      </w:r>
      <w:r w:rsidRPr="00227627">
        <w:rPr>
          <w:lang w:val="en-US" w:eastAsia="es-ES"/>
        </w:rPr>
        <w:t xml:space="preserve"> The condition is characterized by occurring more frequently in women between the fourth and sixth decades of life, with grade II stenosis of the ring and middle fingers, in the presence of no or few comorbidities.</w:t>
      </w:r>
    </w:p>
    <w:p w14:paraId="53F44F97" w14:textId="77777777" w:rsidR="00227627" w:rsidRPr="00227627" w:rsidRDefault="00227627" w:rsidP="00227627">
      <w:pPr>
        <w:spacing w:line="360" w:lineRule="auto"/>
        <w:jc w:val="both"/>
        <w:rPr>
          <w:bCs/>
          <w:lang w:val="en-US" w:eastAsia="es-ES"/>
        </w:rPr>
      </w:pPr>
      <w:r w:rsidRPr="00227627">
        <w:rPr>
          <w:b/>
          <w:lang w:val="en-US" w:eastAsia="es-ES"/>
        </w:rPr>
        <w:t xml:space="preserve">Keywords: </w:t>
      </w:r>
      <w:r w:rsidRPr="00227627">
        <w:rPr>
          <w:bCs/>
          <w:lang w:val="en-US" w:eastAsia="es-ES"/>
        </w:rPr>
        <w:t>trigger finger disorder; tenosynovitis; orthopedics.</w:t>
      </w:r>
    </w:p>
    <w:p w14:paraId="5E9E3E7A" w14:textId="77777777" w:rsidR="00227627" w:rsidRPr="00227627" w:rsidRDefault="00227627" w:rsidP="00227627">
      <w:pPr>
        <w:spacing w:line="360" w:lineRule="auto"/>
        <w:jc w:val="both"/>
        <w:rPr>
          <w:bCs/>
          <w:lang w:val="en-US" w:eastAsia="es-ES"/>
        </w:rPr>
      </w:pPr>
    </w:p>
    <w:p w14:paraId="77CFBA5D" w14:textId="77777777" w:rsidR="00227627" w:rsidRPr="00227627" w:rsidRDefault="00227627" w:rsidP="00227627">
      <w:pPr>
        <w:spacing w:line="360" w:lineRule="auto"/>
        <w:jc w:val="both"/>
        <w:rPr>
          <w:bCs/>
          <w:lang w:val="en-US" w:eastAsia="es-ES"/>
        </w:rPr>
      </w:pPr>
    </w:p>
    <w:p w14:paraId="772D7F23" w14:textId="77777777" w:rsidR="00227627" w:rsidRPr="00227627" w:rsidRDefault="00227627" w:rsidP="00227627">
      <w:pPr>
        <w:spacing w:line="360" w:lineRule="auto"/>
        <w:jc w:val="both"/>
        <w:rPr>
          <w:bCs/>
          <w:lang w:val="es-CU" w:eastAsia="es-ES"/>
        </w:rPr>
      </w:pPr>
      <w:r w:rsidRPr="00227627">
        <w:rPr>
          <w:bCs/>
          <w:lang w:val="es-CU" w:eastAsia="es-ES"/>
        </w:rPr>
        <w:lastRenderedPageBreak/>
        <w:t>Recibido: 28/12/2022</w:t>
      </w:r>
    </w:p>
    <w:p w14:paraId="27735D93" w14:textId="77777777" w:rsidR="00227627" w:rsidRPr="00227627" w:rsidRDefault="00227627" w:rsidP="00227627">
      <w:pPr>
        <w:spacing w:line="360" w:lineRule="auto"/>
        <w:jc w:val="both"/>
        <w:rPr>
          <w:bCs/>
          <w:lang w:val="es-CU" w:eastAsia="es-ES"/>
        </w:rPr>
      </w:pPr>
      <w:r w:rsidRPr="00227627">
        <w:rPr>
          <w:bCs/>
          <w:lang w:val="es-CU" w:eastAsia="es-ES"/>
        </w:rPr>
        <w:t>Aprobado: 03/05/2023</w:t>
      </w:r>
    </w:p>
    <w:p w14:paraId="0FD98D9F" w14:textId="77777777" w:rsidR="00227627" w:rsidRPr="00227627" w:rsidRDefault="00227627" w:rsidP="00227627">
      <w:pPr>
        <w:spacing w:line="360" w:lineRule="auto"/>
        <w:jc w:val="both"/>
        <w:rPr>
          <w:bCs/>
          <w:lang w:val="es-CU" w:eastAsia="es-ES"/>
        </w:rPr>
      </w:pPr>
    </w:p>
    <w:p w14:paraId="281ACF99" w14:textId="77777777" w:rsidR="00227627" w:rsidRPr="00227627" w:rsidRDefault="00227627" w:rsidP="00227627">
      <w:pPr>
        <w:spacing w:line="360" w:lineRule="auto"/>
        <w:jc w:val="both"/>
        <w:rPr>
          <w:bCs/>
          <w:lang w:val="es-CU" w:eastAsia="es-ES"/>
        </w:rPr>
      </w:pPr>
    </w:p>
    <w:p w14:paraId="279AFB52" w14:textId="77777777" w:rsidR="00227627" w:rsidRPr="00227627" w:rsidRDefault="00227627" w:rsidP="00227627">
      <w:pPr>
        <w:spacing w:line="360" w:lineRule="auto"/>
        <w:jc w:val="center"/>
        <w:rPr>
          <w:b/>
          <w:sz w:val="32"/>
          <w:szCs w:val="32"/>
          <w:lang w:val="es-CU" w:eastAsia="es-ES"/>
        </w:rPr>
      </w:pPr>
      <w:r w:rsidRPr="00227627">
        <w:rPr>
          <w:b/>
          <w:sz w:val="32"/>
          <w:szCs w:val="32"/>
          <w:lang w:val="es-CU" w:eastAsia="es-ES"/>
        </w:rPr>
        <w:t>INTRODUCCIÓN</w:t>
      </w:r>
    </w:p>
    <w:p w14:paraId="7FA8515A" w14:textId="77777777" w:rsidR="00227627" w:rsidRPr="00227627" w:rsidRDefault="00227627" w:rsidP="00227627">
      <w:pPr>
        <w:spacing w:line="360" w:lineRule="auto"/>
        <w:jc w:val="both"/>
        <w:rPr>
          <w:lang w:val="es-ES" w:eastAsia="es-ES"/>
        </w:rPr>
      </w:pPr>
      <w:r w:rsidRPr="00227627">
        <w:rPr>
          <w:lang w:val="es-ES" w:eastAsia="es-ES"/>
        </w:rPr>
        <w:t xml:space="preserve">Descrito por primera vez por Alphonse </w:t>
      </w:r>
      <w:proofErr w:type="spellStart"/>
      <w:r w:rsidRPr="00227627">
        <w:rPr>
          <w:lang w:val="es-ES" w:eastAsia="es-ES"/>
        </w:rPr>
        <w:t>Notta</w:t>
      </w:r>
      <w:proofErr w:type="spellEnd"/>
      <w:r w:rsidRPr="00227627">
        <w:rPr>
          <w:lang w:val="es-ES" w:eastAsia="es-ES"/>
        </w:rPr>
        <w:t xml:space="preserve"> en 1850, el nombre de “dedo en resorte” o “en gatillo” deriva de un resalte doloroso mientras se flexiona y se extiende el dedo </w:t>
      </w:r>
      <w:proofErr w:type="gramStart"/>
      <w:r w:rsidRPr="00227627">
        <w:rPr>
          <w:lang w:val="es-ES" w:eastAsia="es-ES"/>
        </w:rPr>
        <w:t>involucrado.</w:t>
      </w:r>
      <w:r w:rsidRPr="00227627">
        <w:rPr>
          <w:vertAlign w:val="superscript"/>
          <w:lang w:val="es-ES" w:eastAsia="es-ES"/>
        </w:rPr>
        <w:t>(</w:t>
      </w:r>
      <w:proofErr w:type="gramEnd"/>
      <w:r w:rsidRPr="00227627">
        <w:rPr>
          <w:vertAlign w:val="superscript"/>
          <w:lang w:val="es-ES" w:eastAsia="es-ES"/>
        </w:rPr>
        <w:t>1)</w:t>
      </w:r>
      <w:r w:rsidRPr="00227627">
        <w:rPr>
          <w:lang w:val="es-ES" w:eastAsia="es-ES"/>
        </w:rPr>
        <w:t xml:space="preserve"> Se plantea una incidencia de 28 casos por cada 100 000 habitantes al año, con una prevalencia del 3 %. Sus manifestaciones clínicas incluyen: dolor metacarpofalángico, limitación funcional y entrabe en flexión; causados por el engrosamiento de la vaina sinovial y el engrosamiento de la vaina fibrosa por donde se desliza el tendón, en la primera polea (</w:t>
      </w:r>
      <w:proofErr w:type="spellStart"/>
      <w:r w:rsidRPr="00227627">
        <w:rPr>
          <w:lang w:val="es-ES" w:eastAsia="es-ES"/>
        </w:rPr>
        <w:t>A1</w:t>
      </w:r>
      <w:proofErr w:type="spellEnd"/>
      <w:r w:rsidRPr="00227627">
        <w:rPr>
          <w:lang w:val="es-ES" w:eastAsia="es-ES"/>
        </w:rPr>
        <w:t xml:space="preserve">), cuando el dedo se flexiona de forma </w:t>
      </w:r>
      <w:proofErr w:type="gramStart"/>
      <w:r w:rsidRPr="00227627">
        <w:rPr>
          <w:lang w:val="es-ES" w:eastAsia="es-ES"/>
        </w:rPr>
        <w:t>activa.</w:t>
      </w:r>
      <w:r w:rsidRPr="00227627">
        <w:rPr>
          <w:vertAlign w:val="superscript"/>
          <w:lang w:val="es-ES" w:eastAsia="es-ES"/>
        </w:rPr>
        <w:t>(</w:t>
      </w:r>
      <w:proofErr w:type="gramEnd"/>
      <w:r w:rsidRPr="00227627">
        <w:rPr>
          <w:vertAlign w:val="superscript"/>
          <w:lang w:val="es-ES" w:eastAsia="es-ES"/>
        </w:rPr>
        <w:t xml:space="preserve">2,3,4,5,6) </w:t>
      </w:r>
      <w:r w:rsidRPr="00227627">
        <w:rPr>
          <w:lang w:val="es-ES" w:eastAsia="es-ES"/>
        </w:rPr>
        <w:t xml:space="preserve">En casos graves, el dedo puede quedar bloqueado en flexión, lo que requiere la manipulación pasiva para la extensión. </w:t>
      </w:r>
    </w:p>
    <w:p w14:paraId="7745DE5B" w14:textId="77777777" w:rsidR="00227627" w:rsidRPr="00227627" w:rsidRDefault="00227627" w:rsidP="00227627">
      <w:pPr>
        <w:spacing w:line="360" w:lineRule="auto"/>
        <w:jc w:val="both"/>
        <w:rPr>
          <w:lang w:val="es-ES" w:eastAsia="es-ES"/>
        </w:rPr>
      </w:pPr>
      <w:r w:rsidRPr="00227627">
        <w:rPr>
          <w:lang w:val="es-ES" w:eastAsia="es-ES"/>
        </w:rPr>
        <w:t>La importancia clínico-quirúrgica de esta afección, así como su frecuente presentación y relevantes implicaciones para la calidad de vida de quien la padece, motivaron esta investigación.</w:t>
      </w:r>
    </w:p>
    <w:p w14:paraId="4E704238" w14:textId="77777777" w:rsidR="00227627" w:rsidRPr="00227627" w:rsidRDefault="00227627" w:rsidP="00227627">
      <w:pPr>
        <w:spacing w:line="360" w:lineRule="auto"/>
        <w:jc w:val="both"/>
        <w:rPr>
          <w:lang w:val="es-ES" w:eastAsia="es-ES"/>
        </w:rPr>
      </w:pPr>
      <w:r w:rsidRPr="00227627">
        <w:rPr>
          <w:lang w:val="es-ES" w:eastAsia="es-ES"/>
        </w:rPr>
        <w:t>Se realiza el presente estudio con el objetivo de caracterizar a pacientes con dedos en resorte intervenidos quirúrgicamente.</w:t>
      </w:r>
    </w:p>
    <w:p w14:paraId="43A92D3E" w14:textId="77777777" w:rsidR="00227627" w:rsidRPr="00227627" w:rsidRDefault="00227627" w:rsidP="00227627">
      <w:pPr>
        <w:spacing w:line="360" w:lineRule="auto"/>
        <w:jc w:val="both"/>
        <w:rPr>
          <w:lang w:val="es-ES" w:eastAsia="es-ES"/>
        </w:rPr>
      </w:pPr>
    </w:p>
    <w:p w14:paraId="4C3987A1" w14:textId="77777777" w:rsidR="00227627" w:rsidRPr="00227627" w:rsidRDefault="00227627" w:rsidP="00227627">
      <w:pPr>
        <w:spacing w:line="360" w:lineRule="auto"/>
        <w:jc w:val="both"/>
        <w:rPr>
          <w:lang w:val="es-ES" w:eastAsia="es-ES"/>
        </w:rPr>
      </w:pPr>
    </w:p>
    <w:p w14:paraId="5614F8BD" w14:textId="77777777" w:rsidR="00227627" w:rsidRPr="00227627" w:rsidRDefault="00227627" w:rsidP="00227627">
      <w:pPr>
        <w:spacing w:line="360" w:lineRule="auto"/>
        <w:jc w:val="center"/>
        <w:rPr>
          <w:b/>
          <w:sz w:val="32"/>
          <w:szCs w:val="32"/>
          <w:lang w:val="es-ES" w:eastAsia="es-ES"/>
        </w:rPr>
      </w:pPr>
      <w:r w:rsidRPr="00227627">
        <w:rPr>
          <w:b/>
          <w:sz w:val="32"/>
          <w:szCs w:val="32"/>
          <w:lang w:val="es-ES" w:eastAsia="es-ES"/>
        </w:rPr>
        <w:t>MÉTODOS</w:t>
      </w:r>
    </w:p>
    <w:p w14:paraId="7D974EE9" w14:textId="77777777" w:rsidR="00227627" w:rsidRPr="00227627" w:rsidRDefault="00227627" w:rsidP="00227627">
      <w:pPr>
        <w:autoSpaceDE w:val="0"/>
        <w:autoSpaceDN w:val="0"/>
        <w:adjustRightInd w:val="0"/>
        <w:spacing w:line="360" w:lineRule="auto"/>
        <w:jc w:val="center"/>
        <w:rPr>
          <w:b/>
          <w:bCs/>
          <w:sz w:val="28"/>
          <w:szCs w:val="28"/>
          <w:lang w:val="es-ES" w:eastAsia="es-ES"/>
        </w:rPr>
      </w:pPr>
      <w:r w:rsidRPr="00227627">
        <w:rPr>
          <w:b/>
          <w:bCs/>
          <w:sz w:val="28"/>
          <w:szCs w:val="28"/>
          <w:lang w:val="es-ES" w:eastAsia="es-ES"/>
        </w:rPr>
        <w:t>Tipo de estudio y contexto</w:t>
      </w:r>
    </w:p>
    <w:p w14:paraId="30BB4232" w14:textId="77777777" w:rsidR="00227627" w:rsidRPr="00227627" w:rsidRDefault="00227627" w:rsidP="00227627">
      <w:pPr>
        <w:spacing w:line="360" w:lineRule="auto"/>
        <w:jc w:val="both"/>
        <w:rPr>
          <w:lang w:val="es-ES" w:eastAsia="es-ES"/>
        </w:rPr>
      </w:pPr>
      <w:r w:rsidRPr="00227627">
        <w:rPr>
          <w:lang w:val="es-ES" w:eastAsia="es-ES"/>
        </w:rPr>
        <w:t xml:space="preserve">Se realizó un estudio observacional, descriptivo, de corte transversal, en el </w:t>
      </w:r>
      <w:bookmarkStart w:id="0" w:name="_Hlk133243732"/>
      <w:r w:rsidRPr="00227627">
        <w:rPr>
          <w:lang w:val="es-ES" w:eastAsia="es-ES"/>
        </w:rPr>
        <w:t>Hospital Docente Clínico Quirúrgico “Miguel Enríquez”</w:t>
      </w:r>
      <w:bookmarkEnd w:id="0"/>
      <w:r w:rsidRPr="00227627">
        <w:rPr>
          <w:lang w:val="es-ES" w:eastAsia="es-ES"/>
        </w:rPr>
        <w:t xml:space="preserve">, de octubre de 2021 a marzo de 2022. </w:t>
      </w:r>
    </w:p>
    <w:p w14:paraId="1AE75441" w14:textId="77777777" w:rsidR="00227627" w:rsidRPr="00227627" w:rsidRDefault="00227627" w:rsidP="00227627">
      <w:pPr>
        <w:spacing w:line="360" w:lineRule="auto"/>
        <w:jc w:val="center"/>
        <w:rPr>
          <w:sz w:val="28"/>
          <w:szCs w:val="28"/>
          <w:lang w:val="es-ES" w:eastAsia="es-ES"/>
        </w:rPr>
      </w:pPr>
      <w:r w:rsidRPr="00227627">
        <w:rPr>
          <w:b/>
          <w:bCs/>
          <w:sz w:val="28"/>
          <w:szCs w:val="28"/>
          <w:lang w:val="es-ES" w:eastAsia="es-ES"/>
        </w:rPr>
        <w:t>Sujetos</w:t>
      </w:r>
    </w:p>
    <w:p w14:paraId="3797FE28" w14:textId="77777777" w:rsidR="00227627" w:rsidRPr="00227627" w:rsidRDefault="00227627" w:rsidP="00227627">
      <w:pPr>
        <w:autoSpaceDE w:val="0"/>
        <w:autoSpaceDN w:val="0"/>
        <w:adjustRightInd w:val="0"/>
        <w:spacing w:line="360" w:lineRule="auto"/>
        <w:jc w:val="both"/>
        <w:rPr>
          <w:lang w:val="es-ES" w:eastAsia="es-ES"/>
        </w:rPr>
      </w:pPr>
      <w:r w:rsidRPr="00227627">
        <w:rPr>
          <w:lang w:val="es-ES" w:eastAsia="es-ES"/>
        </w:rPr>
        <w:t xml:space="preserve">La población de estudio estuvo constituida por 160 individuos operados en 23 turnos de cirugía menor ambulatoria (186 dedos tratados, pues hubo pacientes con más de un dedo afectado), en el periodo </w:t>
      </w:r>
      <w:r w:rsidRPr="00227627">
        <w:rPr>
          <w:lang w:val="es-ES" w:eastAsia="es-ES"/>
        </w:rPr>
        <w:lastRenderedPageBreak/>
        <w:t>mencionado, intervenidos con técnica de cirugía abierta, que contaban con una historia clínica individual completa.</w:t>
      </w:r>
    </w:p>
    <w:p w14:paraId="5CFE1561" w14:textId="77777777" w:rsidR="00227627" w:rsidRPr="00227627" w:rsidRDefault="00227627" w:rsidP="00227627">
      <w:pPr>
        <w:autoSpaceDE w:val="0"/>
        <w:autoSpaceDN w:val="0"/>
        <w:adjustRightInd w:val="0"/>
        <w:spacing w:line="360" w:lineRule="auto"/>
        <w:jc w:val="center"/>
        <w:rPr>
          <w:b/>
          <w:bCs/>
          <w:sz w:val="28"/>
          <w:szCs w:val="28"/>
          <w:lang w:val="es-ES" w:eastAsia="es-ES"/>
        </w:rPr>
      </w:pPr>
      <w:r w:rsidRPr="00227627">
        <w:rPr>
          <w:b/>
          <w:bCs/>
          <w:sz w:val="28"/>
          <w:szCs w:val="28"/>
          <w:lang w:val="es-ES" w:eastAsia="es-ES"/>
        </w:rPr>
        <w:t>Variables</w:t>
      </w:r>
    </w:p>
    <w:p w14:paraId="1A8703B5" w14:textId="77777777" w:rsidR="00227627" w:rsidRPr="00227627" w:rsidRDefault="00227627" w:rsidP="00227627">
      <w:pPr>
        <w:autoSpaceDE w:val="0"/>
        <w:autoSpaceDN w:val="0"/>
        <w:adjustRightInd w:val="0"/>
        <w:spacing w:line="360" w:lineRule="auto"/>
        <w:jc w:val="both"/>
        <w:rPr>
          <w:lang w:val="es-ES" w:eastAsia="es-ES"/>
        </w:rPr>
      </w:pPr>
      <w:r w:rsidRPr="00227627">
        <w:rPr>
          <w:lang w:val="es-ES" w:eastAsia="es-ES"/>
        </w:rPr>
        <w:t xml:space="preserve">Se estudiaron las variables: sexo, grupos de edades (en años cumplidos al efectuarse la operación, agrupados en: 20-39 años, 40-59 años, 60 años o más), número de dedos afectados, dedo afectado (primero -pulgar-, segundo -índice-, tercero -medio-, cuarto -anular- o quinto -meñique-), antecedentes patológicos personales (hipertensión arterial, asma bronquial, diabetes mellitus, epilepsia, polineuropatía, ninguno), grado de estenosis (I, III, </w:t>
      </w:r>
      <w:proofErr w:type="spellStart"/>
      <w:r w:rsidRPr="00227627">
        <w:rPr>
          <w:lang w:val="es-ES" w:eastAsia="es-ES"/>
        </w:rPr>
        <w:t>IIIA</w:t>
      </w:r>
      <w:proofErr w:type="spellEnd"/>
      <w:r w:rsidRPr="00227627">
        <w:rPr>
          <w:lang w:val="es-ES" w:eastAsia="es-ES"/>
        </w:rPr>
        <w:t xml:space="preserve">, </w:t>
      </w:r>
      <w:proofErr w:type="spellStart"/>
      <w:r w:rsidRPr="00227627">
        <w:rPr>
          <w:lang w:val="es-ES" w:eastAsia="es-ES"/>
        </w:rPr>
        <w:t>IIIB</w:t>
      </w:r>
      <w:proofErr w:type="spellEnd"/>
      <w:r w:rsidRPr="00227627">
        <w:rPr>
          <w:lang w:val="es-ES" w:eastAsia="es-ES"/>
        </w:rPr>
        <w:t xml:space="preserve"> o IV) según escala de </w:t>
      </w:r>
      <w:proofErr w:type="spellStart"/>
      <w:r w:rsidRPr="00227627">
        <w:rPr>
          <w:lang w:val="es-ES" w:eastAsia="es-ES"/>
        </w:rPr>
        <w:t>Froimson</w:t>
      </w:r>
      <w:proofErr w:type="spellEnd"/>
      <w:r w:rsidRPr="00227627">
        <w:rPr>
          <w:lang w:val="es-ES" w:eastAsia="es-ES"/>
        </w:rPr>
        <w:t>,</w:t>
      </w:r>
      <w:r w:rsidRPr="00227627">
        <w:rPr>
          <w:vertAlign w:val="superscript"/>
          <w:lang w:val="es-ES" w:eastAsia="es-ES"/>
        </w:rPr>
        <w:t xml:space="preserve">(7)  </w:t>
      </w:r>
      <w:r w:rsidRPr="00227627">
        <w:rPr>
          <w:lang w:val="es-ES" w:eastAsia="es-ES"/>
        </w:rPr>
        <w:t>que los clasifica en 4 categorías:</w:t>
      </w:r>
    </w:p>
    <w:p w14:paraId="48A5E595" w14:textId="77777777" w:rsidR="00227627" w:rsidRPr="00227627" w:rsidRDefault="00227627" w:rsidP="00C8209F">
      <w:pPr>
        <w:autoSpaceDE w:val="0"/>
        <w:autoSpaceDN w:val="0"/>
        <w:adjustRightInd w:val="0"/>
        <w:spacing w:line="360" w:lineRule="auto"/>
        <w:jc w:val="both"/>
        <w:rPr>
          <w:lang w:val="es-ES" w:eastAsia="es-ES"/>
        </w:rPr>
      </w:pPr>
    </w:p>
    <w:p w14:paraId="1F657320" w14:textId="77777777" w:rsidR="00227627" w:rsidRPr="00227627" w:rsidRDefault="00227627" w:rsidP="00C8209F">
      <w:pPr>
        <w:numPr>
          <w:ilvl w:val="0"/>
          <w:numId w:val="22"/>
        </w:numPr>
        <w:spacing w:line="360" w:lineRule="auto"/>
        <w:ind w:left="567" w:hanging="425"/>
        <w:contextualSpacing/>
        <w:jc w:val="both"/>
        <w:rPr>
          <w:color w:val="000000"/>
          <w:lang w:val="es-ES" w:eastAsia="es-ES"/>
        </w:rPr>
      </w:pPr>
      <w:r w:rsidRPr="00227627">
        <w:rPr>
          <w:lang w:val="es-ES" w:eastAsia="es-ES"/>
        </w:rPr>
        <w:t xml:space="preserve">Grado I: dolor, historia de atrapamiento, pero no es demostrable en la exploración física. Dolor a la palpación blanda de la polea </w:t>
      </w:r>
      <w:proofErr w:type="spellStart"/>
      <w:r w:rsidRPr="00227627">
        <w:rPr>
          <w:lang w:val="es-ES" w:eastAsia="es-ES"/>
        </w:rPr>
        <w:t>A1</w:t>
      </w:r>
      <w:proofErr w:type="spellEnd"/>
      <w:r w:rsidRPr="00227627">
        <w:rPr>
          <w:lang w:val="es-ES" w:eastAsia="es-ES"/>
        </w:rPr>
        <w:t>.</w:t>
      </w:r>
    </w:p>
    <w:p w14:paraId="11FE5EFB" w14:textId="77777777" w:rsidR="00227627" w:rsidRPr="00227627" w:rsidRDefault="00227627" w:rsidP="00C8209F">
      <w:pPr>
        <w:numPr>
          <w:ilvl w:val="0"/>
          <w:numId w:val="22"/>
        </w:numPr>
        <w:spacing w:line="360" w:lineRule="auto"/>
        <w:ind w:left="567" w:hanging="425"/>
        <w:contextualSpacing/>
        <w:jc w:val="both"/>
        <w:rPr>
          <w:color w:val="000000"/>
          <w:lang w:val="es-ES" w:eastAsia="es-ES"/>
        </w:rPr>
      </w:pPr>
      <w:r w:rsidRPr="00227627">
        <w:rPr>
          <w:lang w:val="es-ES" w:eastAsia="es-ES"/>
        </w:rPr>
        <w:t>Grado II: existe atrapamiento demostrable; el paciente puede extender de forma activa el dedo.</w:t>
      </w:r>
    </w:p>
    <w:p w14:paraId="668E7A2E" w14:textId="77777777" w:rsidR="00227627" w:rsidRPr="00227627" w:rsidRDefault="00227627" w:rsidP="00C8209F">
      <w:pPr>
        <w:numPr>
          <w:ilvl w:val="0"/>
          <w:numId w:val="22"/>
        </w:numPr>
        <w:spacing w:line="360" w:lineRule="auto"/>
        <w:ind w:left="567" w:hanging="425"/>
        <w:contextualSpacing/>
        <w:jc w:val="both"/>
        <w:rPr>
          <w:color w:val="000000"/>
          <w:lang w:val="es-ES" w:eastAsia="es-ES"/>
        </w:rPr>
      </w:pPr>
      <w:r w:rsidRPr="00227627">
        <w:rPr>
          <w:lang w:val="es-ES" w:eastAsia="es-ES"/>
        </w:rPr>
        <w:t>Grado III:</w:t>
      </w:r>
    </w:p>
    <w:p w14:paraId="02F21CFE" w14:textId="77777777" w:rsidR="00227627" w:rsidRPr="00227627" w:rsidRDefault="00227627" w:rsidP="00C8209F">
      <w:pPr>
        <w:numPr>
          <w:ilvl w:val="0"/>
          <w:numId w:val="23"/>
        </w:numPr>
        <w:spacing w:line="360" w:lineRule="auto"/>
        <w:contextualSpacing/>
        <w:jc w:val="both"/>
        <w:rPr>
          <w:color w:val="000000"/>
          <w:lang w:val="es-ES" w:eastAsia="es-ES"/>
        </w:rPr>
      </w:pPr>
      <w:proofErr w:type="spellStart"/>
      <w:r w:rsidRPr="00227627">
        <w:rPr>
          <w:lang w:val="es-ES" w:eastAsia="es-ES"/>
        </w:rPr>
        <w:t>IIIA</w:t>
      </w:r>
      <w:proofErr w:type="spellEnd"/>
      <w:r w:rsidRPr="00227627">
        <w:rPr>
          <w:lang w:val="es-ES" w:eastAsia="es-ES"/>
        </w:rPr>
        <w:t>: el atrapamiento es demostrable y no es posible</w:t>
      </w:r>
      <w:r w:rsidRPr="00227627" w:rsidDel="00357087">
        <w:rPr>
          <w:lang w:val="es-ES" w:eastAsia="es-ES"/>
        </w:rPr>
        <w:t xml:space="preserve"> </w:t>
      </w:r>
      <w:r w:rsidRPr="00227627">
        <w:rPr>
          <w:lang w:val="es-ES" w:eastAsia="es-ES"/>
        </w:rPr>
        <w:t xml:space="preserve">la extensión activa del dedo. </w:t>
      </w:r>
    </w:p>
    <w:p w14:paraId="1D4EED6E" w14:textId="77777777" w:rsidR="00227627" w:rsidRPr="00227627" w:rsidRDefault="00227627" w:rsidP="00C8209F">
      <w:pPr>
        <w:numPr>
          <w:ilvl w:val="0"/>
          <w:numId w:val="23"/>
        </w:numPr>
        <w:spacing w:line="360" w:lineRule="auto"/>
        <w:contextualSpacing/>
        <w:jc w:val="both"/>
        <w:rPr>
          <w:color w:val="000000"/>
          <w:lang w:val="es-ES" w:eastAsia="es-ES"/>
        </w:rPr>
      </w:pPr>
      <w:proofErr w:type="spellStart"/>
      <w:r w:rsidRPr="00227627">
        <w:rPr>
          <w:lang w:val="es-ES" w:eastAsia="es-ES"/>
        </w:rPr>
        <w:t>IIIB</w:t>
      </w:r>
      <w:proofErr w:type="spellEnd"/>
      <w:r w:rsidRPr="00227627">
        <w:rPr>
          <w:lang w:val="es-ES" w:eastAsia="es-ES"/>
        </w:rPr>
        <w:t>: no es posible la flexión activa del dedo luego del atrapamiento.</w:t>
      </w:r>
    </w:p>
    <w:p w14:paraId="77F74E6E" w14:textId="77777777" w:rsidR="00227627" w:rsidRPr="00227627" w:rsidRDefault="00227627" w:rsidP="00C8209F">
      <w:pPr>
        <w:numPr>
          <w:ilvl w:val="0"/>
          <w:numId w:val="22"/>
        </w:numPr>
        <w:spacing w:line="360" w:lineRule="auto"/>
        <w:ind w:left="567" w:hanging="425"/>
        <w:contextualSpacing/>
        <w:jc w:val="both"/>
        <w:rPr>
          <w:color w:val="000000"/>
          <w:lang w:val="es-ES" w:eastAsia="es-ES"/>
        </w:rPr>
      </w:pPr>
      <w:r w:rsidRPr="00227627">
        <w:rPr>
          <w:lang w:val="es-ES" w:eastAsia="es-ES"/>
        </w:rPr>
        <w:t>Grado IV: contractura fija en flexión de la articulación interfalángica proximal.</w:t>
      </w:r>
    </w:p>
    <w:p w14:paraId="6588CF04" w14:textId="77777777" w:rsidR="00227627" w:rsidRPr="00227627" w:rsidRDefault="00227627" w:rsidP="00C8209F">
      <w:pPr>
        <w:autoSpaceDE w:val="0"/>
        <w:autoSpaceDN w:val="0"/>
        <w:adjustRightInd w:val="0"/>
        <w:spacing w:line="360" w:lineRule="auto"/>
        <w:jc w:val="both"/>
        <w:rPr>
          <w:b/>
          <w:lang w:val="es-ES" w:eastAsia="es-ES"/>
        </w:rPr>
      </w:pPr>
    </w:p>
    <w:p w14:paraId="4C7AAC70" w14:textId="77777777" w:rsidR="00227627" w:rsidRPr="00227627" w:rsidRDefault="00227627" w:rsidP="00C8209F">
      <w:pPr>
        <w:autoSpaceDE w:val="0"/>
        <w:autoSpaceDN w:val="0"/>
        <w:adjustRightInd w:val="0"/>
        <w:spacing w:line="360" w:lineRule="auto"/>
        <w:jc w:val="center"/>
        <w:rPr>
          <w:b/>
          <w:sz w:val="28"/>
          <w:szCs w:val="28"/>
          <w:lang w:val="es-ES" w:eastAsia="es-ES"/>
        </w:rPr>
      </w:pPr>
      <w:r w:rsidRPr="00227627">
        <w:rPr>
          <w:b/>
          <w:sz w:val="28"/>
          <w:szCs w:val="28"/>
          <w:lang w:val="es-ES" w:eastAsia="es-ES"/>
        </w:rPr>
        <w:t>Recolección, procesamiento y análisis de la información</w:t>
      </w:r>
    </w:p>
    <w:p w14:paraId="19361251" w14:textId="77777777" w:rsidR="00227627" w:rsidRPr="00227627" w:rsidRDefault="00227627" w:rsidP="00227627">
      <w:pPr>
        <w:autoSpaceDE w:val="0"/>
        <w:autoSpaceDN w:val="0"/>
        <w:adjustRightInd w:val="0"/>
        <w:spacing w:line="360" w:lineRule="auto"/>
        <w:jc w:val="both"/>
        <w:rPr>
          <w:lang w:val="es-ES" w:eastAsia="es-ES"/>
        </w:rPr>
      </w:pPr>
      <w:r w:rsidRPr="00227627">
        <w:rPr>
          <w:lang w:val="es-ES" w:eastAsia="es-ES"/>
        </w:rPr>
        <w:t xml:space="preserve">Los datos se recolectaron desde las historias clínicas individuales, en planillas diseñadas con tal efecto; se exportaron a hojas de trabajo de Microsoft Excel 2016 para su procesamiento. Se realizó un análisis descriptivo, de frecuencias. Para la edad se determinaron la media, desviación estándar y recorrido. </w:t>
      </w:r>
    </w:p>
    <w:p w14:paraId="4A6967CB" w14:textId="77777777" w:rsidR="00227627" w:rsidRPr="00227627" w:rsidRDefault="00227627" w:rsidP="00227627">
      <w:pPr>
        <w:autoSpaceDE w:val="0"/>
        <w:autoSpaceDN w:val="0"/>
        <w:adjustRightInd w:val="0"/>
        <w:spacing w:line="360" w:lineRule="auto"/>
        <w:jc w:val="center"/>
        <w:rPr>
          <w:b/>
          <w:bCs/>
          <w:sz w:val="28"/>
          <w:szCs w:val="28"/>
          <w:lang w:val="es-ES" w:eastAsia="es-ES"/>
        </w:rPr>
      </w:pPr>
      <w:r w:rsidRPr="00227627">
        <w:rPr>
          <w:b/>
          <w:bCs/>
          <w:sz w:val="28"/>
          <w:szCs w:val="28"/>
          <w:lang w:val="es-ES" w:eastAsia="es-ES"/>
        </w:rPr>
        <w:t>Aspectos éticos</w:t>
      </w:r>
    </w:p>
    <w:p w14:paraId="48BFC3B1" w14:textId="77777777" w:rsidR="00227627" w:rsidRPr="00227627" w:rsidRDefault="00227627" w:rsidP="00227627">
      <w:pPr>
        <w:autoSpaceDE w:val="0"/>
        <w:autoSpaceDN w:val="0"/>
        <w:adjustRightInd w:val="0"/>
        <w:spacing w:line="360" w:lineRule="auto"/>
        <w:jc w:val="both"/>
        <w:rPr>
          <w:lang w:val="es-ES" w:eastAsia="es-ES"/>
        </w:rPr>
      </w:pPr>
      <w:r w:rsidRPr="00227627">
        <w:rPr>
          <w:lang w:val="es-ES" w:eastAsia="es-ES"/>
        </w:rPr>
        <w:t xml:space="preserve">Se cumplió con lo refrendado en la Declaración de </w:t>
      </w:r>
      <w:proofErr w:type="gramStart"/>
      <w:r w:rsidRPr="00227627">
        <w:rPr>
          <w:lang w:val="es-ES" w:eastAsia="es-ES"/>
        </w:rPr>
        <w:t>Helsinki</w:t>
      </w:r>
      <w:r w:rsidRPr="00227627">
        <w:rPr>
          <w:vertAlign w:val="superscript"/>
          <w:lang w:val="es-ES" w:eastAsia="es-ES"/>
        </w:rPr>
        <w:t>(</w:t>
      </w:r>
      <w:proofErr w:type="gramEnd"/>
      <w:r w:rsidRPr="00227627">
        <w:rPr>
          <w:vertAlign w:val="superscript"/>
          <w:lang w:val="es-ES" w:eastAsia="es-ES"/>
        </w:rPr>
        <w:t xml:space="preserve">8) </w:t>
      </w:r>
      <w:r w:rsidRPr="00227627">
        <w:rPr>
          <w:lang w:val="es-ES" w:eastAsia="es-ES"/>
        </w:rPr>
        <w:t>sobre investigaciones médicas en seres humanos. Fue aprobado por los comités científico y de ética del Hospital Docente Clínico Quirúrgico “Miguel Enríquez”.</w:t>
      </w:r>
    </w:p>
    <w:p w14:paraId="7FC33B2F" w14:textId="77777777" w:rsidR="00227627" w:rsidRPr="00227627" w:rsidRDefault="00227627" w:rsidP="00227627">
      <w:pPr>
        <w:autoSpaceDE w:val="0"/>
        <w:autoSpaceDN w:val="0"/>
        <w:adjustRightInd w:val="0"/>
        <w:spacing w:line="360" w:lineRule="auto"/>
        <w:jc w:val="both"/>
        <w:rPr>
          <w:b/>
          <w:lang w:val="es-ES" w:eastAsia="es-ES"/>
        </w:rPr>
      </w:pPr>
    </w:p>
    <w:p w14:paraId="7FC26AC3" w14:textId="77777777" w:rsidR="00227627" w:rsidRPr="00227627" w:rsidRDefault="00227627" w:rsidP="00227627">
      <w:pPr>
        <w:autoSpaceDE w:val="0"/>
        <w:autoSpaceDN w:val="0"/>
        <w:adjustRightInd w:val="0"/>
        <w:spacing w:line="360" w:lineRule="auto"/>
        <w:jc w:val="both"/>
        <w:rPr>
          <w:b/>
          <w:lang w:val="es-ES" w:eastAsia="es-ES"/>
        </w:rPr>
      </w:pPr>
    </w:p>
    <w:p w14:paraId="6086C23C" w14:textId="77777777" w:rsidR="00227627" w:rsidRPr="00227627" w:rsidRDefault="00227627" w:rsidP="00227627">
      <w:pPr>
        <w:autoSpaceDE w:val="0"/>
        <w:autoSpaceDN w:val="0"/>
        <w:adjustRightInd w:val="0"/>
        <w:spacing w:line="360" w:lineRule="auto"/>
        <w:jc w:val="center"/>
        <w:rPr>
          <w:sz w:val="32"/>
          <w:szCs w:val="32"/>
          <w:lang w:val="es-ES" w:eastAsia="es-ES"/>
        </w:rPr>
      </w:pPr>
      <w:r w:rsidRPr="00227627">
        <w:rPr>
          <w:b/>
          <w:sz w:val="32"/>
          <w:szCs w:val="32"/>
          <w:lang w:val="es-ES" w:eastAsia="es-ES"/>
        </w:rPr>
        <w:t>RESULTADOS</w:t>
      </w:r>
    </w:p>
    <w:p w14:paraId="2CD65A54" w14:textId="77777777" w:rsidR="00227627" w:rsidRPr="00227627" w:rsidRDefault="00227627" w:rsidP="00227627">
      <w:pPr>
        <w:autoSpaceDE w:val="0"/>
        <w:autoSpaceDN w:val="0"/>
        <w:adjustRightInd w:val="0"/>
        <w:spacing w:line="360" w:lineRule="auto"/>
        <w:jc w:val="both"/>
        <w:rPr>
          <w:lang w:val="es-ES" w:eastAsia="es-ES"/>
        </w:rPr>
      </w:pPr>
      <w:r w:rsidRPr="00227627">
        <w:rPr>
          <w:lang w:val="es-ES" w:eastAsia="es-ES"/>
        </w:rPr>
        <w:t>Predominaron los pacientes del sexo femenino (n= 90; 56,2 %), con edades entre los 40 y 59 años (n= 80; 50 %) (tabla 1), con una media de 51,9 ± 11,2 años. La edad mínima fue de 20 años y la máxima, de 79 años.</w:t>
      </w:r>
    </w:p>
    <w:p w14:paraId="36541CE3" w14:textId="77777777" w:rsidR="00227627" w:rsidRPr="00227627" w:rsidRDefault="00227627" w:rsidP="00227627">
      <w:pPr>
        <w:spacing w:line="360" w:lineRule="auto"/>
        <w:jc w:val="both"/>
        <w:rPr>
          <w:lang w:val="es-ES" w:eastAsia="es-ES"/>
        </w:rPr>
      </w:pPr>
    </w:p>
    <w:p w14:paraId="53E4F82C" w14:textId="77777777" w:rsidR="00227627" w:rsidRDefault="00227627" w:rsidP="00227627">
      <w:pPr>
        <w:spacing w:line="360" w:lineRule="auto"/>
        <w:jc w:val="center"/>
        <w:rPr>
          <w:sz w:val="22"/>
          <w:szCs w:val="22"/>
          <w:lang w:val="es-ES" w:eastAsia="es-ES"/>
        </w:rPr>
      </w:pPr>
      <w:r w:rsidRPr="00227627">
        <w:rPr>
          <w:b/>
          <w:sz w:val="22"/>
          <w:szCs w:val="22"/>
          <w:lang w:val="es-ES" w:eastAsia="es-ES"/>
        </w:rPr>
        <w:t xml:space="preserve">Tabla 1 – </w:t>
      </w:r>
      <w:r w:rsidRPr="00227627">
        <w:rPr>
          <w:sz w:val="22"/>
          <w:szCs w:val="22"/>
          <w:lang w:val="es-ES" w:eastAsia="es-ES"/>
        </w:rPr>
        <w:t>Pacientes según sexo y grupos de edades</w:t>
      </w:r>
    </w:p>
    <w:p w14:paraId="74982D55" w14:textId="74F3B843" w:rsidR="00F777A1" w:rsidRPr="00227627" w:rsidRDefault="00F777A1" w:rsidP="00227627">
      <w:pPr>
        <w:spacing w:line="360" w:lineRule="auto"/>
        <w:jc w:val="center"/>
        <w:rPr>
          <w:sz w:val="22"/>
          <w:szCs w:val="22"/>
          <w:lang w:val="es-ES" w:eastAsia="es-ES"/>
        </w:rPr>
      </w:pPr>
      <w:r w:rsidRPr="0006019A">
        <w:rPr>
          <w:noProof/>
        </w:rPr>
        <w:drawing>
          <wp:inline distT="0" distB="0" distL="0" distR="0" wp14:anchorId="36AE8099" wp14:editId="2B97ADCF">
            <wp:extent cx="3701415" cy="1506855"/>
            <wp:effectExtent l="0" t="0" r="0" b="0"/>
            <wp:docPr id="9" name="Imagen 9" descr="G:\gladys\2734\t01_273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gladys\2734\t01_2734.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1415" cy="1506855"/>
                    </a:xfrm>
                    <a:prstGeom prst="rect">
                      <a:avLst/>
                    </a:prstGeom>
                    <a:noFill/>
                    <a:ln>
                      <a:noFill/>
                    </a:ln>
                  </pic:spPr>
                </pic:pic>
              </a:graphicData>
            </a:graphic>
          </wp:inline>
        </w:drawing>
      </w:r>
    </w:p>
    <w:p w14:paraId="63B23EC0" w14:textId="4D7FFC1C" w:rsidR="00227627" w:rsidRDefault="00227627" w:rsidP="00794EC9">
      <w:pPr>
        <w:autoSpaceDE w:val="0"/>
        <w:autoSpaceDN w:val="0"/>
        <w:adjustRightInd w:val="0"/>
        <w:spacing w:line="360" w:lineRule="auto"/>
        <w:jc w:val="center"/>
        <w:rPr>
          <w:lang w:val="es-ES" w:eastAsia="es-ES"/>
        </w:rPr>
      </w:pPr>
    </w:p>
    <w:p w14:paraId="0DCECB57" w14:textId="77777777" w:rsidR="00227627" w:rsidRPr="00227627" w:rsidRDefault="00227627" w:rsidP="00227627">
      <w:pPr>
        <w:autoSpaceDE w:val="0"/>
        <w:autoSpaceDN w:val="0"/>
        <w:adjustRightInd w:val="0"/>
        <w:spacing w:line="360" w:lineRule="auto"/>
        <w:jc w:val="both"/>
        <w:rPr>
          <w:lang w:val="es-ES" w:eastAsia="es-ES"/>
        </w:rPr>
      </w:pPr>
      <w:r w:rsidRPr="00227627">
        <w:rPr>
          <w:lang w:val="es-ES" w:eastAsia="es-ES"/>
        </w:rPr>
        <w:t>Se intervinieron quirúrgicamente 186 dedos afectados. Destacó el grupo de edades entre 40 y 59 años (n= 98; 52,7 %), como se observa en la tabla 2.</w:t>
      </w:r>
    </w:p>
    <w:p w14:paraId="515B8D9D" w14:textId="77777777" w:rsidR="00227627" w:rsidRPr="00227627" w:rsidRDefault="00227627" w:rsidP="00227627">
      <w:pPr>
        <w:autoSpaceDE w:val="0"/>
        <w:autoSpaceDN w:val="0"/>
        <w:adjustRightInd w:val="0"/>
        <w:spacing w:line="360" w:lineRule="auto"/>
        <w:jc w:val="both"/>
        <w:rPr>
          <w:lang w:val="es-ES" w:eastAsia="es-ES"/>
        </w:rPr>
      </w:pPr>
    </w:p>
    <w:p w14:paraId="4054A50A" w14:textId="77777777" w:rsidR="00227627" w:rsidRPr="00227627" w:rsidRDefault="00227627" w:rsidP="00227627">
      <w:pPr>
        <w:autoSpaceDE w:val="0"/>
        <w:autoSpaceDN w:val="0"/>
        <w:adjustRightInd w:val="0"/>
        <w:spacing w:line="360" w:lineRule="auto"/>
        <w:jc w:val="center"/>
        <w:rPr>
          <w:sz w:val="22"/>
          <w:szCs w:val="22"/>
          <w:lang w:val="es-ES" w:eastAsia="es-ES"/>
        </w:rPr>
      </w:pPr>
      <w:r w:rsidRPr="00227627">
        <w:rPr>
          <w:b/>
          <w:sz w:val="22"/>
          <w:szCs w:val="22"/>
          <w:lang w:val="es-ES" w:eastAsia="es-ES"/>
        </w:rPr>
        <w:t xml:space="preserve">Tabla 2 </w:t>
      </w:r>
      <w:r w:rsidRPr="00227627">
        <w:rPr>
          <w:sz w:val="22"/>
          <w:szCs w:val="22"/>
          <w:lang w:val="es-ES" w:eastAsia="es-ES"/>
        </w:rPr>
        <w:t>– Pacientes según cantidad de dedos afectados y grupos de edades</w:t>
      </w:r>
    </w:p>
    <w:p w14:paraId="3352679A" w14:textId="41F79E28" w:rsidR="00227627" w:rsidRDefault="00F777A1" w:rsidP="00794EC9">
      <w:pPr>
        <w:autoSpaceDE w:val="0"/>
        <w:autoSpaceDN w:val="0"/>
        <w:adjustRightInd w:val="0"/>
        <w:spacing w:line="360" w:lineRule="auto"/>
        <w:jc w:val="center"/>
        <w:rPr>
          <w:sz w:val="20"/>
          <w:szCs w:val="20"/>
          <w:lang w:val="es-ES" w:eastAsia="es-ES"/>
        </w:rPr>
      </w:pPr>
      <w:r w:rsidRPr="0006019A">
        <w:rPr>
          <w:noProof/>
        </w:rPr>
        <w:drawing>
          <wp:inline distT="0" distB="0" distL="0" distR="0" wp14:anchorId="537B3228" wp14:editId="38400944">
            <wp:extent cx="2611755" cy="1316990"/>
            <wp:effectExtent l="0" t="0" r="0" b="0"/>
            <wp:docPr id="5" name="Imagen 5" descr="G:\gladys\2734\t02_273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G:\gladys\2734\t02_2734.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1755" cy="1316990"/>
                    </a:xfrm>
                    <a:prstGeom prst="rect">
                      <a:avLst/>
                    </a:prstGeom>
                    <a:noFill/>
                    <a:ln>
                      <a:noFill/>
                    </a:ln>
                  </pic:spPr>
                </pic:pic>
              </a:graphicData>
            </a:graphic>
          </wp:inline>
        </w:drawing>
      </w:r>
    </w:p>
    <w:p w14:paraId="525555CC" w14:textId="77777777" w:rsidR="00794EC9" w:rsidRPr="00227627" w:rsidRDefault="00794EC9" w:rsidP="00794EC9">
      <w:pPr>
        <w:autoSpaceDE w:val="0"/>
        <w:autoSpaceDN w:val="0"/>
        <w:adjustRightInd w:val="0"/>
        <w:spacing w:line="360" w:lineRule="auto"/>
        <w:jc w:val="center"/>
        <w:rPr>
          <w:sz w:val="20"/>
          <w:szCs w:val="20"/>
          <w:lang w:val="es-ES" w:eastAsia="es-ES"/>
        </w:rPr>
      </w:pPr>
    </w:p>
    <w:p w14:paraId="7A2FAABB" w14:textId="77777777" w:rsidR="00227627" w:rsidRPr="00227627" w:rsidRDefault="00227627" w:rsidP="00227627">
      <w:pPr>
        <w:autoSpaceDE w:val="0"/>
        <w:autoSpaceDN w:val="0"/>
        <w:adjustRightInd w:val="0"/>
        <w:spacing w:line="360" w:lineRule="auto"/>
        <w:jc w:val="both"/>
        <w:rPr>
          <w:lang w:val="es-ES" w:eastAsia="es-ES"/>
        </w:rPr>
      </w:pPr>
      <w:r w:rsidRPr="00227627">
        <w:rPr>
          <w:lang w:val="es-ES" w:eastAsia="es-ES"/>
        </w:rPr>
        <w:t>La tabla 3 muestra que el dedo afectado con mayor frecuencia, fue el cuarto (n= 78; 41,9 %), en el sexo femenino (n= 52; 48,6 %), seguido del tercero (n= 73; 39,2 %).</w:t>
      </w:r>
    </w:p>
    <w:p w14:paraId="11B5BA34" w14:textId="77777777" w:rsidR="00227627" w:rsidRPr="00227627" w:rsidRDefault="00227627" w:rsidP="00227627">
      <w:pPr>
        <w:autoSpaceDE w:val="0"/>
        <w:autoSpaceDN w:val="0"/>
        <w:adjustRightInd w:val="0"/>
        <w:spacing w:line="360" w:lineRule="auto"/>
        <w:jc w:val="both"/>
        <w:rPr>
          <w:lang w:val="es-ES" w:eastAsia="es-ES"/>
        </w:rPr>
      </w:pPr>
    </w:p>
    <w:p w14:paraId="55BCDD73" w14:textId="77777777" w:rsidR="00F777A1" w:rsidRDefault="00F777A1">
      <w:pPr>
        <w:rPr>
          <w:b/>
          <w:sz w:val="22"/>
          <w:szCs w:val="22"/>
          <w:lang w:val="es-ES" w:eastAsia="es-ES"/>
        </w:rPr>
      </w:pPr>
      <w:r>
        <w:rPr>
          <w:b/>
          <w:sz w:val="22"/>
          <w:szCs w:val="22"/>
          <w:lang w:val="es-ES" w:eastAsia="es-ES"/>
        </w:rPr>
        <w:br w:type="page"/>
      </w:r>
    </w:p>
    <w:p w14:paraId="03B51085" w14:textId="4713980C" w:rsidR="00227627" w:rsidRPr="00227627" w:rsidRDefault="00227627" w:rsidP="00227627">
      <w:pPr>
        <w:autoSpaceDE w:val="0"/>
        <w:autoSpaceDN w:val="0"/>
        <w:adjustRightInd w:val="0"/>
        <w:spacing w:line="360" w:lineRule="auto"/>
        <w:jc w:val="center"/>
        <w:rPr>
          <w:sz w:val="22"/>
          <w:szCs w:val="22"/>
          <w:lang w:val="es-ES" w:eastAsia="es-ES"/>
        </w:rPr>
      </w:pPr>
      <w:r w:rsidRPr="00227627">
        <w:rPr>
          <w:b/>
          <w:sz w:val="22"/>
          <w:szCs w:val="22"/>
          <w:lang w:val="es-ES" w:eastAsia="es-ES"/>
        </w:rPr>
        <w:lastRenderedPageBreak/>
        <w:t xml:space="preserve">Tabla 3 </w:t>
      </w:r>
      <w:r w:rsidRPr="00227627">
        <w:rPr>
          <w:sz w:val="22"/>
          <w:szCs w:val="22"/>
          <w:lang w:val="es-ES" w:eastAsia="es-ES"/>
        </w:rPr>
        <w:t>– Relación entre dedos afectados y sexo de los pacientes</w:t>
      </w:r>
    </w:p>
    <w:p w14:paraId="44B8367A" w14:textId="349D74E8" w:rsidR="00227627" w:rsidRDefault="00F777A1" w:rsidP="00794EC9">
      <w:pPr>
        <w:autoSpaceDE w:val="0"/>
        <w:autoSpaceDN w:val="0"/>
        <w:adjustRightInd w:val="0"/>
        <w:spacing w:line="360" w:lineRule="auto"/>
        <w:jc w:val="center"/>
        <w:rPr>
          <w:lang w:val="es-ES" w:eastAsia="es-ES"/>
        </w:rPr>
      </w:pPr>
      <w:r w:rsidRPr="0006019A">
        <w:rPr>
          <w:noProof/>
        </w:rPr>
        <w:drawing>
          <wp:inline distT="0" distB="0" distL="0" distR="0" wp14:anchorId="179AA8F2" wp14:editId="23501C64">
            <wp:extent cx="3752850" cy="1901825"/>
            <wp:effectExtent l="0" t="0" r="0" b="3175"/>
            <wp:docPr id="6" name="Imagen 6" descr="G:\gladys\2734\t03_273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gladys\2734\t03_2734.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850" cy="1901825"/>
                    </a:xfrm>
                    <a:prstGeom prst="rect">
                      <a:avLst/>
                    </a:prstGeom>
                    <a:noFill/>
                    <a:ln>
                      <a:noFill/>
                    </a:ln>
                  </pic:spPr>
                </pic:pic>
              </a:graphicData>
            </a:graphic>
          </wp:inline>
        </w:drawing>
      </w:r>
    </w:p>
    <w:p w14:paraId="2A2947D1" w14:textId="77777777" w:rsidR="00794EC9" w:rsidRPr="00227627" w:rsidRDefault="00794EC9" w:rsidP="00794EC9">
      <w:pPr>
        <w:autoSpaceDE w:val="0"/>
        <w:autoSpaceDN w:val="0"/>
        <w:adjustRightInd w:val="0"/>
        <w:spacing w:line="360" w:lineRule="auto"/>
        <w:jc w:val="center"/>
        <w:rPr>
          <w:lang w:val="es-ES" w:eastAsia="es-ES"/>
        </w:rPr>
      </w:pPr>
    </w:p>
    <w:p w14:paraId="436FA40D" w14:textId="77777777" w:rsidR="00227627" w:rsidRPr="00227627" w:rsidRDefault="00227627" w:rsidP="00227627">
      <w:pPr>
        <w:autoSpaceDE w:val="0"/>
        <w:autoSpaceDN w:val="0"/>
        <w:adjustRightInd w:val="0"/>
        <w:spacing w:line="360" w:lineRule="auto"/>
        <w:jc w:val="both"/>
        <w:rPr>
          <w:lang w:val="es-ES" w:eastAsia="es-ES"/>
        </w:rPr>
      </w:pPr>
      <w:r w:rsidRPr="00227627">
        <w:rPr>
          <w:lang w:val="es-ES" w:eastAsia="es-ES"/>
        </w:rPr>
        <w:t>El grado de estenosis más frecuente fue el II (n= 105; 56,5 %), con mayor frecuencia en el sexo femenino (n= 63; 58,9 %), como se observa en la figura 1.</w:t>
      </w:r>
    </w:p>
    <w:p w14:paraId="2CF562E3" w14:textId="77777777" w:rsidR="00227627" w:rsidRPr="00227627" w:rsidRDefault="00227627" w:rsidP="00227627">
      <w:pPr>
        <w:autoSpaceDE w:val="0"/>
        <w:autoSpaceDN w:val="0"/>
        <w:adjustRightInd w:val="0"/>
        <w:spacing w:line="360" w:lineRule="auto"/>
        <w:jc w:val="both"/>
        <w:rPr>
          <w:lang w:val="es-ES" w:eastAsia="es-ES"/>
        </w:rPr>
      </w:pPr>
    </w:p>
    <w:p w14:paraId="5CDF61F9" w14:textId="17161A81" w:rsidR="00227627" w:rsidRPr="00227627" w:rsidRDefault="00173CDD" w:rsidP="00227627">
      <w:pPr>
        <w:autoSpaceDE w:val="0"/>
        <w:autoSpaceDN w:val="0"/>
        <w:adjustRightInd w:val="0"/>
        <w:spacing w:line="360" w:lineRule="auto"/>
        <w:jc w:val="center"/>
        <w:rPr>
          <w:b/>
          <w:lang w:val="es-ES" w:eastAsia="es-ES"/>
        </w:rPr>
      </w:pPr>
      <w:r>
        <w:rPr>
          <w:b/>
          <w:noProof/>
          <w:lang w:val="es-ES" w:eastAsia="es-ES"/>
        </w:rPr>
        <w:drawing>
          <wp:inline distT="0" distB="0" distL="0" distR="0" wp14:anchorId="46038F78" wp14:editId="12829BF4">
            <wp:extent cx="5790922" cy="295788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4">
                      <a:extLst>
                        <a:ext uri="{28A0092B-C50C-407E-A947-70E740481C1C}">
                          <a14:useLocalDpi xmlns:a14="http://schemas.microsoft.com/office/drawing/2010/main" val="0"/>
                        </a:ext>
                      </a:extLst>
                    </a:blip>
                    <a:stretch>
                      <a:fillRect/>
                    </a:stretch>
                  </pic:blipFill>
                  <pic:spPr>
                    <a:xfrm>
                      <a:off x="0" y="0"/>
                      <a:ext cx="5809446" cy="2967347"/>
                    </a:xfrm>
                    <a:prstGeom prst="rect">
                      <a:avLst/>
                    </a:prstGeom>
                  </pic:spPr>
                </pic:pic>
              </a:graphicData>
            </a:graphic>
          </wp:inline>
        </w:drawing>
      </w:r>
    </w:p>
    <w:p w14:paraId="00BE808D" w14:textId="77777777" w:rsidR="00227627" w:rsidRPr="00227627" w:rsidRDefault="00227627" w:rsidP="00227627">
      <w:pPr>
        <w:autoSpaceDE w:val="0"/>
        <w:autoSpaceDN w:val="0"/>
        <w:adjustRightInd w:val="0"/>
        <w:spacing w:line="360" w:lineRule="auto"/>
        <w:jc w:val="center"/>
        <w:rPr>
          <w:sz w:val="22"/>
          <w:szCs w:val="22"/>
          <w:lang w:val="es-ES" w:eastAsia="es-ES"/>
        </w:rPr>
      </w:pPr>
      <w:r w:rsidRPr="00227627">
        <w:rPr>
          <w:b/>
          <w:sz w:val="22"/>
          <w:szCs w:val="22"/>
          <w:lang w:val="es-ES" w:eastAsia="es-ES"/>
        </w:rPr>
        <w:t xml:space="preserve">Fig. 1 – </w:t>
      </w:r>
      <w:r w:rsidRPr="00227627">
        <w:rPr>
          <w:sz w:val="22"/>
          <w:szCs w:val="22"/>
          <w:lang w:val="es-ES" w:eastAsia="es-ES"/>
        </w:rPr>
        <w:t>Dedos afectados según grado de estenosis y sexo de los pacientes.</w:t>
      </w:r>
    </w:p>
    <w:p w14:paraId="275654B3" w14:textId="77777777" w:rsidR="00227627" w:rsidRPr="00227627" w:rsidRDefault="00227627" w:rsidP="00227627">
      <w:pPr>
        <w:autoSpaceDE w:val="0"/>
        <w:autoSpaceDN w:val="0"/>
        <w:adjustRightInd w:val="0"/>
        <w:spacing w:line="360" w:lineRule="auto"/>
        <w:jc w:val="both"/>
        <w:rPr>
          <w:lang w:val="es-ES" w:eastAsia="es-ES"/>
        </w:rPr>
      </w:pPr>
    </w:p>
    <w:p w14:paraId="35FC28B4" w14:textId="73C9A777" w:rsidR="00227627" w:rsidRPr="00227627" w:rsidRDefault="00227627" w:rsidP="00227627">
      <w:pPr>
        <w:autoSpaceDE w:val="0"/>
        <w:autoSpaceDN w:val="0"/>
        <w:adjustRightInd w:val="0"/>
        <w:spacing w:line="360" w:lineRule="auto"/>
        <w:jc w:val="both"/>
        <w:rPr>
          <w:lang w:val="es-ES" w:eastAsia="es-ES"/>
        </w:rPr>
      </w:pPr>
      <w:r w:rsidRPr="00227627">
        <w:rPr>
          <w:lang w:val="es-ES" w:eastAsia="es-ES"/>
        </w:rPr>
        <w:t>El 70 % (n= 112) de los pacientes no tenía antecedentes patológicos personales. La diabetes mellitus (n=</w:t>
      </w:r>
      <w:r w:rsidR="00173CDD">
        <w:rPr>
          <w:lang w:val="es-ES" w:eastAsia="es-ES"/>
        </w:rPr>
        <w:t> </w:t>
      </w:r>
      <w:r w:rsidRPr="00227627">
        <w:rPr>
          <w:lang w:val="es-ES" w:eastAsia="es-ES"/>
        </w:rPr>
        <w:t>16; 10 %) y la hipertensión arterial (n= 15; 9,4 %) fueron las comorbilidades más frecuentes (tabla</w:t>
      </w:r>
      <w:r w:rsidR="00362286">
        <w:rPr>
          <w:lang w:val="es-ES" w:eastAsia="es-ES"/>
        </w:rPr>
        <w:t> </w:t>
      </w:r>
      <w:r w:rsidRPr="00227627">
        <w:rPr>
          <w:lang w:val="es-ES" w:eastAsia="es-ES"/>
        </w:rPr>
        <w:t xml:space="preserve">4). </w:t>
      </w:r>
    </w:p>
    <w:p w14:paraId="25B23FEC" w14:textId="77777777" w:rsidR="00227627" w:rsidRPr="00227627" w:rsidRDefault="00227627" w:rsidP="00227627">
      <w:pPr>
        <w:autoSpaceDE w:val="0"/>
        <w:autoSpaceDN w:val="0"/>
        <w:adjustRightInd w:val="0"/>
        <w:spacing w:line="360" w:lineRule="auto"/>
        <w:jc w:val="both"/>
        <w:rPr>
          <w:b/>
          <w:lang w:val="es-ES" w:eastAsia="es-ES"/>
        </w:rPr>
      </w:pPr>
    </w:p>
    <w:p w14:paraId="424AF748" w14:textId="79E17DC9" w:rsidR="00227627" w:rsidRPr="00227627" w:rsidRDefault="00227627" w:rsidP="00AD0554">
      <w:pPr>
        <w:spacing w:line="360" w:lineRule="auto"/>
        <w:jc w:val="center"/>
        <w:rPr>
          <w:sz w:val="22"/>
          <w:szCs w:val="22"/>
          <w:lang w:val="es-ES" w:eastAsia="es-ES"/>
        </w:rPr>
      </w:pPr>
      <w:r w:rsidRPr="00227627">
        <w:rPr>
          <w:b/>
          <w:sz w:val="22"/>
          <w:szCs w:val="22"/>
          <w:lang w:val="es-ES" w:eastAsia="es-ES"/>
        </w:rPr>
        <w:t xml:space="preserve">Tabla 4 </w:t>
      </w:r>
      <w:r w:rsidRPr="00227627">
        <w:rPr>
          <w:sz w:val="22"/>
          <w:szCs w:val="22"/>
          <w:lang w:val="es-ES" w:eastAsia="es-ES"/>
        </w:rPr>
        <w:t>– Pacientes según antecedentes patológicos personales y sexo</w:t>
      </w:r>
    </w:p>
    <w:p w14:paraId="1015B8BD" w14:textId="6F211347" w:rsidR="00227627" w:rsidRPr="00227627" w:rsidRDefault="00F777A1" w:rsidP="00F777A1">
      <w:pPr>
        <w:autoSpaceDE w:val="0"/>
        <w:autoSpaceDN w:val="0"/>
        <w:adjustRightInd w:val="0"/>
        <w:spacing w:line="360" w:lineRule="auto"/>
        <w:jc w:val="center"/>
        <w:rPr>
          <w:b/>
          <w:lang w:val="es-ES" w:eastAsia="es-ES"/>
        </w:rPr>
      </w:pPr>
      <w:r w:rsidRPr="0006019A">
        <w:rPr>
          <w:b/>
          <w:noProof/>
          <w:sz w:val="32"/>
          <w:szCs w:val="32"/>
        </w:rPr>
        <w:drawing>
          <wp:inline distT="0" distB="0" distL="0" distR="0" wp14:anchorId="62ED7EA1" wp14:editId="4C1FDFCC">
            <wp:extent cx="4133215" cy="2333625"/>
            <wp:effectExtent l="0" t="0" r="635" b="9525"/>
            <wp:docPr id="8" name="Imagen 8" descr="G:\gladys\2734\t04_273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G:\gladys\2734\t04_2734.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3215" cy="2333625"/>
                    </a:xfrm>
                    <a:prstGeom prst="rect">
                      <a:avLst/>
                    </a:prstGeom>
                    <a:noFill/>
                    <a:ln>
                      <a:noFill/>
                    </a:ln>
                  </pic:spPr>
                </pic:pic>
              </a:graphicData>
            </a:graphic>
          </wp:inline>
        </w:drawing>
      </w:r>
    </w:p>
    <w:p w14:paraId="2C5CE0D6" w14:textId="77777777" w:rsidR="00227627" w:rsidRPr="00227627" w:rsidRDefault="00227627" w:rsidP="00227627">
      <w:pPr>
        <w:autoSpaceDE w:val="0"/>
        <w:autoSpaceDN w:val="0"/>
        <w:adjustRightInd w:val="0"/>
        <w:spacing w:line="360" w:lineRule="auto"/>
        <w:jc w:val="both"/>
        <w:rPr>
          <w:b/>
          <w:lang w:val="es-ES" w:eastAsia="es-ES"/>
        </w:rPr>
      </w:pPr>
    </w:p>
    <w:p w14:paraId="3315307D" w14:textId="77777777" w:rsidR="00227627" w:rsidRPr="00227627" w:rsidRDefault="00227627" w:rsidP="00227627">
      <w:pPr>
        <w:autoSpaceDE w:val="0"/>
        <w:autoSpaceDN w:val="0"/>
        <w:adjustRightInd w:val="0"/>
        <w:spacing w:line="360" w:lineRule="auto"/>
        <w:jc w:val="center"/>
        <w:rPr>
          <w:b/>
          <w:sz w:val="32"/>
          <w:szCs w:val="32"/>
          <w:lang w:val="es-ES" w:eastAsia="es-ES"/>
        </w:rPr>
      </w:pPr>
      <w:r w:rsidRPr="00227627">
        <w:rPr>
          <w:b/>
          <w:sz w:val="32"/>
          <w:szCs w:val="32"/>
          <w:lang w:val="es-ES" w:eastAsia="es-ES"/>
        </w:rPr>
        <w:t>DISCUSIÓN</w:t>
      </w:r>
    </w:p>
    <w:p w14:paraId="4EF1EB66" w14:textId="77777777" w:rsidR="00227627" w:rsidRPr="00227627" w:rsidRDefault="00227627" w:rsidP="00227627">
      <w:pPr>
        <w:autoSpaceDE w:val="0"/>
        <w:autoSpaceDN w:val="0"/>
        <w:adjustRightInd w:val="0"/>
        <w:spacing w:line="360" w:lineRule="auto"/>
        <w:jc w:val="both"/>
        <w:rPr>
          <w:color w:val="000000"/>
          <w:lang w:val="es-ES" w:eastAsia="es-ES"/>
        </w:rPr>
      </w:pPr>
      <w:r w:rsidRPr="00227627">
        <w:rPr>
          <w:color w:val="000000"/>
          <w:lang w:val="es-ES" w:eastAsia="es-ES"/>
        </w:rPr>
        <w:t>La tenosinovitis estenosante digital de los tendones flexores superficial y profundo de la mano –comúnmente llamada “dedo en gatillo” o “en resorte”– es uno de los principales motivos de consulta del adulto, al cirujano de mano.</w:t>
      </w:r>
      <w:r w:rsidRPr="00227627">
        <w:rPr>
          <w:color w:val="000000"/>
          <w:vertAlign w:val="superscript"/>
          <w:lang w:val="es-ES" w:eastAsia="es-ES"/>
        </w:rPr>
        <w:t xml:space="preserve">(9) </w:t>
      </w:r>
      <w:r w:rsidRPr="00227627">
        <w:rPr>
          <w:color w:val="000000"/>
          <w:lang w:val="es-ES" w:eastAsia="es-ES"/>
        </w:rPr>
        <w:t>Es causada por un conflicto de espacio, entre el volumen de la vaina del tendón flexor y su contenido, que lleva a la contractura progresiva de la articulación interfalángica proximal.</w:t>
      </w:r>
      <w:r w:rsidRPr="00227627">
        <w:rPr>
          <w:color w:val="000000"/>
          <w:vertAlign w:val="superscript"/>
          <w:lang w:val="es-ES" w:eastAsia="es-ES"/>
        </w:rPr>
        <w:t xml:space="preserve">(10) </w:t>
      </w:r>
      <w:r w:rsidRPr="00227627">
        <w:rPr>
          <w:color w:val="000000"/>
          <w:lang w:val="es-ES" w:eastAsia="es-ES"/>
        </w:rPr>
        <w:t>La fisiopatología y el mecanismo de engatille son idiopáticos, aunque se sabe que el problema básico ocurre en la primera polea anular (</w:t>
      </w:r>
      <w:proofErr w:type="spellStart"/>
      <w:r w:rsidRPr="00227627">
        <w:rPr>
          <w:color w:val="000000"/>
          <w:lang w:val="es-ES" w:eastAsia="es-ES"/>
        </w:rPr>
        <w:t>A1</w:t>
      </w:r>
      <w:proofErr w:type="spellEnd"/>
      <w:r w:rsidRPr="00227627">
        <w:rPr>
          <w:color w:val="000000"/>
          <w:lang w:val="es-ES" w:eastAsia="es-ES"/>
        </w:rPr>
        <w:t>).</w:t>
      </w:r>
      <w:r w:rsidRPr="00227627">
        <w:rPr>
          <w:color w:val="000000"/>
          <w:vertAlign w:val="superscript"/>
          <w:lang w:val="es-ES" w:eastAsia="es-ES"/>
        </w:rPr>
        <w:t>(9,10)</w:t>
      </w:r>
    </w:p>
    <w:p w14:paraId="31E0868A" w14:textId="77777777" w:rsidR="00227627" w:rsidRPr="00227627" w:rsidRDefault="00227627" w:rsidP="00227627">
      <w:pPr>
        <w:autoSpaceDE w:val="0"/>
        <w:autoSpaceDN w:val="0"/>
        <w:adjustRightInd w:val="0"/>
        <w:spacing w:line="360" w:lineRule="auto"/>
        <w:jc w:val="both"/>
        <w:rPr>
          <w:color w:val="000000"/>
          <w:lang w:val="es-ES" w:eastAsia="es-ES"/>
        </w:rPr>
      </w:pPr>
      <w:r w:rsidRPr="00227627">
        <w:rPr>
          <w:color w:val="000000"/>
          <w:lang w:val="es-ES" w:eastAsia="es-ES"/>
        </w:rPr>
        <w:t xml:space="preserve">El dedo en resorte tiene mayor incidencia y prevalencia en mujeres. Estudios como el de </w:t>
      </w:r>
      <w:r w:rsidRPr="00227627">
        <w:rPr>
          <w:i/>
          <w:iCs/>
          <w:color w:val="000000"/>
          <w:lang w:val="es-ES" w:eastAsia="es-ES"/>
        </w:rPr>
        <w:t>Jiménez</w:t>
      </w:r>
      <w:r w:rsidRPr="00227627">
        <w:rPr>
          <w:color w:val="000000"/>
          <w:lang w:val="es-ES" w:eastAsia="es-ES"/>
        </w:rPr>
        <w:t xml:space="preserve"> y </w:t>
      </w:r>
      <w:proofErr w:type="gramStart"/>
      <w:r w:rsidRPr="00227627">
        <w:rPr>
          <w:color w:val="000000"/>
          <w:lang w:val="es-ES" w:eastAsia="es-ES"/>
        </w:rPr>
        <w:t>otros</w:t>
      </w:r>
      <w:r w:rsidRPr="00227627">
        <w:rPr>
          <w:color w:val="000000"/>
          <w:vertAlign w:val="superscript"/>
          <w:lang w:val="es-ES" w:eastAsia="es-ES"/>
        </w:rPr>
        <w:t>(</w:t>
      </w:r>
      <w:proofErr w:type="gramEnd"/>
      <w:r w:rsidRPr="00227627">
        <w:rPr>
          <w:color w:val="000000"/>
          <w:vertAlign w:val="superscript"/>
          <w:lang w:val="es-ES" w:eastAsia="es-ES"/>
        </w:rPr>
        <w:t>11)</w:t>
      </w:r>
      <w:r w:rsidRPr="00227627">
        <w:rPr>
          <w:color w:val="000000"/>
          <w:lang w:val="es-ES" w:eastAsia="es-ES"/>
        </w:rPr>
        <w:t xml:space="preserve"> y </w:t>
      </w:r>
      <w:r w:rsidRPr="00227627">
        <w:rPr>
          <w:i/>
          <w:iCs/>
          <w:color w:val="000000"/>
          <w:lang w:val="es-ES" w:eastAsia="es-ES"/>
        </w:rPr>
        <w:t>Hernández</w:t>
      </w:r>
      <w:r w:rsidRPr="00227627">
        <w:rPr>
          <w:color w:val="000000"/>
          <w:lang w:val="es-ES" w:eastAsia="es-ES"/>
        </w:rPr>
        <w:t xml:space="preserve"> y otros</w:t>
      </w:r>
      <w:r w:rsidRPr="00227627">
        <w:rPr>
          <w:color w:val="000000"/>
          <w:vertAlign w:val="superscript"/>
          <w:lang w:val="es-ES" w:eastAsia="es-ES"/>
        </w:rPr>
        <w:t>(10)</w:t>
      </w:r>
      <w:r w:rsidRPr="00227627">
        <w:rPr>
          <w:color w:val="000000"/>
          <w:lang w:val="es-ES" w:eastAsia="es-ES"/>
        </w:rPr>
        <w:t xml:space="preserve"> tienen resultados análogos al de la presente investigación. El grupo de edades predominante en el presente estudio es similar al reportado por </w:t>
      </w:r>
      <w:r w:rsidRPr="00227627">
        <w:rPr>
          <w:i/>
          <w:iCs/>
          <w:color w:val="000000"/>
          <w:lang w:val="es-ES" w:eastAsia="es-ES"/>
        </w:rPr>
        <w:t>Molina</w:t>
      </w:r>
      <w:r w:rsidRPr="00227627">
        <w:rPr>
          <w:color w:val="000000"/>
          <w:lang w:val="es-ES" w:eastAsia="es-ES"/>
        </w:rPr>
        <w:t xml:space="preserve"> y </w:t>
      </w:r>
      <w:proofErr w:type="gramStart"/>
      <w:r w:rsidRPr="00227627">
        <w:rPr>
          <w:color w:val="000000"/>
          <w:lang w:val="es-ES" w:eastAsia="es-ES"/>
        </w:rPr>
        <w:t>otros.</w:t>
      </w:r>
      <w:r w:rsidRPr="00227627">
        <w:rPr>
          <w:color w:val="000000"/>
          <w:vertAlign w:val="superscript"/>
          <w:lang w:val="es-ES" w:eastAsia="es-ES"/>
        </w:rPr>
        <w:t>(</w:t>
      </w:r>
      <w:proofErr w:type="gramEnd"/>
      <w:r w:rsidRPr="00227627">
        <w:rPr>
          <w:color w:val="000000"/>
          <w:vertAlign w:val="superscript"/>
          <w:lang w:val="es-ES" w:eastAsia="es-ES"/>
        </w:rPr>
        <w:t>12)</w:t>
      </w:r>
    </w:p>
    <w:p w14:paraId="0D9637D9" w14:textId="77777777" w:rsidR="00227627" w:rsidRPr="00227627" w:rsidRDefault="00227627" w:rsidP="00227627">
      <w:pPr>
        <w:autoSpaceDE w:val="0"/>
        <w:autoSpaceDN w:val="0"/>
        <w:adjustRightInd w:val="0"/>
        <w:spacing w:line="360" w:lineRule="auto"/>
        <w:jc w:val="both"/>
        <w:rPr>
          <w:color w:val="000000"/>
          <w:lang w:val="es-ES" w:eastAsia="es-ES"/>
        </w:rPr>
      </w:pPr>
      <w:r w:rsidRPr="00227627">
        <w:rPr>
          <w:i/>
          <w:iCs/>
          <w:color w:val="000000"/>
          <w:lang w:val="es-ES" w:eastAsia="es-ES"/>
        </w:rPr>
        <w:t>Martínez</w:t>
      </w:r>
      <w:r w:rsidRPr="00227627">
        <w:rPr>
          <w:color w:val="000000"/>
          <w:lang w:val="es-ES" w:eastAsia="es-ES"/>
        </w:rPr>
        <w:t xml:space="preserve"> y </w:t>
      </w:r>
      <w:proofErr w:type="gramStart"/>
      <w:r w:rsidRPr="00227627">
        <w:rPr>
          <w:color w:val="000000"/>
          <w:lang w:val="es-ES" w:eastAsia="es-ES"/>
        </w:rPr>
        <w:t>otros</w:t>
      </w:r>
      <w:r w:rsidRPr="00227627">
        <w:rPr>
          <w:color w:val="000000"/>
          <w:vertAlign w:val="superscript"/>
          <w:lang w:val="es-ES" w:eastAsia="es-ES"/>
        </w:rPr>
        <w:t>(</w:t>
      </w:r>
      <w:proofErr w:type="gramEnd"/>
      <w:r w:rsidRPr="00227627">
        <w:rPr>
          <w:color w:val="000000"/>
          <w:vertAlign w:val="superscript"/>
          <w:lang w:val="es-ES" w:eastAsia="es-ES"/>
        </w:rPr>
        <w:t>13)</w:t>
      </w:r>
      <w:r w:rsidRPr="00227627">
        <w:rPr>
          <w:color w:val="000000"/>
          <w:lang w:val="es-ES" w:eastAsia="es-ES"/>
        </w:rPr>
        <w:t xml:space="preserve"> y </w:t>
      </w:r>
      <w:proofErr w:type="spellStart"/>
      <w:r w:rsidRPr="00227627">
        <w:rPr>
          <w:i/>
          <w:iCs/>
          <w:color w:val="000000"/>
          <w:lang w:val="es-ES" w:eastAsia="es-ES"/>
        </w:rPr>
        <w:t>Kloeters</w:t>
      </w:r>
      <w:proofErr w:type="spellEnd"/>
      <w:r w:rsidRPr="00227627">
        <w:rPr>
          <w:color w:val="000000"/>
          <w:lang w:val="es-ES" w:eastAsia="es-ES"/>
        </w:rPr>
        <w:t xml:space="preserve"> y otros</w:t>
      </w:r>
      <w:r w:rsidRPr="00227627">
        <w:rPr>
          <w:color w:val="000000"/>
          <w:vertAlign w:val="superscript"/>
          <w:lang w:val="es-ES" w:eastAsia="es-ES"/>
        </w:rPr>
        <w:t xml:space="preserve">(14) </w:t>
      </w:r>
      <w:r w:rsidRPr="00227627">
        <w:rPr>
          <w:color w:val="000000"/>
          <w:lang w:val="es-ES" w:eastAsia="es-ES"/>
        </w:rPr>
        <w:t xml:space="preserve">coinciden con lo observado en esta investigación en torno al dedo afectado con mayor frecuencia (anular), seguido por los dedo medio e índice, así como el grado de estenosis más común (el grado II). En ese trabajo, al igual que en otras publicaciones al </w:t>
      </w:r>
      <w:proofErr w:type="gramStart"/>
      <w:r w:rsidRPr="00227627">
        <w:rPr>
          <w:color w:val="000000"/>
          <w:lang w:val="es-ES" w:eastAsia="es-ES"/>
        </w:rPr>
        <w:t>respecto,</w:t>
      </w:r>
      <w:r w:rsidRPr="00227627">
        <w:rPr>
          <w:color w:val="000000"/>
          <w:vertAlign w:val="superscript"/>
          <w:lang w:val="es-ES" w:eastAsia="es-ES"/>
        </w:rPr>
        <w:t>(</w:t>
      </w:r>
      <w:proofErr w:type="gramEnd"/>
      <w:r w:rsidRPr="00227627">
        <w:rPr>
          <w:color w:val="000000"/>
          <w:vertAlign w:val="superscript"/>
          <w:lang w:val="es-ES" w:eastAsia="es-ES"/>
        </w:rPr>
        <w:t xml:space="preserve">15,16,17,18) </w:t>
      </w:r>
      <w:r w:rsidRPr="00227627">
        <w:rPr>
          <w:color w:val="000000"/>
          <w:lang w:val="es-ES" w:eastAsia="es-ES"/>
        </w:rPr>
        <w:t xml:space="preserve">se señala la alta frecuencia de pacientes sin otras afecciones. Un dato relevante en la evaluación del riesgo de padecer esta enfermedad, es la profesión, pues quienes se desempeñan en las que requieren </w:t>
      </w:r>
      <w:r w:rsidRPr="00227627">
        <w:rPr>
          <w:color w:val="000000"/>
          <w:lang w:val="es-ES" w:eastAsia="es-ES"/>
        </w:rPr>
        <w:lastRenderedPageBreak/>
        <w:t xml:space="preserve">movimientos repetitivos de los dedos o de las manos en general, con mayor frecuencia desarrollan dedos en resorte, también tenosinovitis de Quervain; lo cual ha sido ampliamente </w:t>
      </w:r>
      <w:proofErr w:type="gramStart"/>
      <w:r w:rsidRPr="00227627">
        <w:rPr>
          <w:color w:val="000000"/>
          <w:lang w:val="es-ES" w:eastAsia="es-ES"/>
        </w:rPr>
        <w:t>fundamentado.</w:t>
      </w:r>
      <w:r w:rsidRPr="00227627">
        <w:rPr>
          <w:color w:val="000000"/>
          <w:vertAlign w:val="superscript"/>
          <w:lang w:val="es-ES" w:eastAsia="es-ES"/>
        </w:rPr>
        <w:t>(</w:t>
      </w:r>
      <w:proofErr w:type="gramEnd"/>
      <w:r w:rsidRPr="00227627">
        <w:rPr>
          <w:color w:val="000000"/>
          <w:vertAlign w:val="superscript"/>
          <w:lang w:val="es-ES" w:eastAsia="es-ES"/>
        </w:rPr>
        <w:t>19,20,21,22)</w:t>
      </w:r>
    </w:p>
    <w:p w14:paraId="56E93FE5" w14:textId="77777777" w:rsidR="00227627" w:rsidRPr="00227627" w:rsidRDefault="00227627" w:rsidP="00227627">
      <w:pPr>
        <w:autoSpaceDE w:val="0"/>
        <w:autoSpaceDN w:val="0"/>
        <w:adjustRightInd w:val="0"/>
        <w:spacing w:line="360" w:lineRule="auto"/>
        <w:jc w:val="both"/>
        <w:rPr>
          <w:color w:val="000000"/>
          <w:vertAlign w:val="superscript"/>
          <w:lang w:val="es-ES" w:eastAsia="es-ES"/>
        </w:rPr>
      </w:pPr>
      <w:r w:rsidRPr="00227627">
        <w:rPr>
          <w:color w:val="000000"/>
          <w:lang w:val="es-ES" w:eastAsia="es-ES"/>
        </w:rPr>
        <w:t xml:space="preserve">En cuanto a las comorbilidades, la tenosinovitis del flexor es una de las enfermedades de mayor frecuencia en pacientes con mano diabética y se incluyen también afecciones como: movilidad articular limitada, contractura de Dupuytren, síndrome del túnel carpiano, entre </w:t>
      </w:r>
      <w:proofErr w:type="gramStart"/>
      <w:r w:rsidRPr="00227627">
        <w:rPr>
          <w:color w:val="000000"/>
          <w:lang w:val="es-ES" w:eastAsia="es-ES"/>
        </w:rPr>
        <w:t>otras.</w:t>
      </w:r>
      <w:r w:rsidRPr="00227627">
        <w:rPr>
          <w:color w:val="000000"/>
          <w:vertAlign w:val="superscript"/>
          <w:lang w:val="es-ES" w:eastAsia="es-ES"/>
        </w:rPr>
        <w:t>(</w:t>
      </w:r>
      <w:proofErr w:type="gramEnd"/>
      <w:r w:rsidRPr="00227627">
        <w:rPr>
          <w:color w:val="000000"/>
          <w:vertAlign w:val="superscript"/>
          <w:lang w:val="es-ES" w:eastAsia="es-ES"/>
        </w:rPr>
        <w:t>23,24,25)</w:t>
      </w:r>
    </w:p>
    <w:p w14:paraId="4D4519A5" w14:textId="77777777" w:rsidR="00227627" w:rsidRPr="00227627" w:rsidRDefault="00227627" w:rsidP="00227627">
      <w:pPr>
        <w:autoSpaceDE w:val="0"/>
        <w:autoSpaceDN w:val="0"/>
        <w:adjustRightInd w:val="0"/>
        <w:spacing w:line="360" w:lineRule="auto"/>
        <w:jc w:val="both"/>
        <w:rPr>
          <w:color w:val="000000"/>
          <w:lang w:val="es-ES" w:eastAsia="es-ES"/>
        </w:rPr>
      </w:pPr>
      <w:r w:rsidRPr="00227627">
        <w:rPr>
          <w:color w:val="000000"/>
          <w:lang w:val="es-ES" w:eastAsia="es-ES"/>
        </w:rPr>
        <w:t xml:space="preserve">Como limitaciones del presente estudio se encuentra el contexto temporal y espacial, la no inclusión de otras variables de interés clínico, como la ocupación, el carácter recidivante o no de la afección, la realización de cirugías previas del mismo tipo y la mano en la que predomina la afectación. No obstante, se investiga un problema de salud, del que no existe una profusa producción científica en Cuba. </w:t>
      </w:r>
    </w:p>
    <w:p w14:paraId="6EF5A688" w14:textId="77777777" w:rsidR="00227627" w:rsidRPr="00227627" w:rsidRDefault="00227627" w:rsidP="00227627">
      <w:pPr>
        <w:autoSpaceDE w:val="0"/>
        <w:autoSpaceDN w:val="0"/>
        <w:adjustRightInd w:val="0"/>
        <w:spacing w:line="360" w:lineRule="auto"/>
        <w:jc w:val="both"/>
        <w:rPr>
          <w:lang w:val="es-ES" w:eastAsia="es-ES"/>
        </w:rPr>
      </w:pPr>
      <w:r w:rsidRPr="00227627">
        <w:rPr>
          <w:lang w:val="es-ES" w:eastAsia="es-ES"/>
        </w:rPr>
        <w:t>La afección se caracteriza por presentarse con mayor frecuencia en mujeres entre la cuarta y sexta décadas de la vida, con una estenosis de grado II de los dedos anular y medio, en presencia de ninguna o pocas comorbilidades.</w:t>
      </w:r>
    </w:p>
    <w:p w14:paraId="61029635" w14:textId="77777777" w:rsidR="00227627" w:rsidRPr="00227627" w:rsidRDefault="00227627" w:rsidP="00227627">
      <w:pPr>
        <w:autoSpaceDE w:val="0"/>
        <w:autoSpaceDN w:val="0"/>
        <w:adjustRightInd w:val="0"/>
        <w:spacing w:line="360" w:lineRule="auto"/>
        <w:jc w:val="both"/>
        <w:rPr>
          <w:lang w:val="es-ES" w:eastAsia="es-ES"/>
        </w:rPr>
      </w:pPr>
    </w:p>
    <w:p w14:paraId="3B495130" w14:textId="77777777" w:rsidR="00227627" w:rsidRPr="00227627" w:rsidRDefault="00227627" w:rsidP="00227627">
      <w:pPr>
        <w:autoSpaceDE w:val="0"/>
        <w:autoSpaceDN w:val="0"/>
        <w:adjustRightInd w:val="0"/>
        <w:spacing w:line="360" w:lineRule="auto"/>
        <w:jc w:val="both"/>
        <w:rPr>
          <w:color w:val="000000"/>
          <w:lang w:val="es-ES" w:eastAsia="es-ES"/>
        </w:rPr>
      </w:pPr>
      <w:r w:rsidRPr="00227627">
        <w:rPr>
          <w:lang w:val="es-ES" w:eastAsia="es-ES"/>
        </w:rPr>
        <w:t xml:space="preserve"> </w:t>
      </w:r>
    </w:p>
    <w:p w14:paraId="06BC616D" w14:textId="77777777" w:rsidR="00227627" w:rsidRPr="00227627" w:rsidRDefault="00227627" w:rsidP="00227627">
      <w:pPr>
        <w:autoSpaceDE w:val="0"/>
        <w:autoSpaceDN w:val="0"/>
        <w:adjustRightInd w:val="0"/>
        <w:spacing w:line="360" w:lineRule="auto"/>
        <w:jc w:val="center"/>
        <w:rPr>
          <w:b/>
          <w:color w:val="000000"/>
          <w:sz w:val="32"/>
          <w:szCs w:val="32"/>
          <w:lang w:val="en-US" w:eastAsia="es-ES"/>
        </w:rPr>
      </w:pPr>
      <w:proofErr w:type="spellStart"/>
      <w:r w:rsidRPr="00227627">
        <w:rPr>
          <w:b/>
          <w:color w:val="000000"/>
          <w:sz w:val="32"/>
          <w:szCs w:val="32"/>
          <w:lang w:val="en-US" w:eastAsia="es-ES"/>
        </w:rPr>
        <w:t>REFERENCIAS</w:t>
      </w:r>
      <w:proofErr w:type="spellEnd"/>
      <w:r w:rsidRPr="00227627">
        <w:rPr>
          <w:b/>
          <w:color w:val="000000"/>
          <w:sz w:val="32"/>
          <w:szCs w:val="32"/>
          <w:lang w:val="en-US" w:eastAsia="es-ES"/>
        </w:rPr>
        <w:t xml:space="preserve"> </w:t>
      </w:r>
      <w:proofErr w:type="spellStart"/>
      <w:r w:rsidRPr="00227627">
        <w:rPr>
          <w:b/>
          <w:color w:val="000000"/>
          <w:sz w:val="32"/>
          <w:szCs w:val="32"/>
          <w:lang w:val="en-US" w:eastAsia="es-ES"/>
        </w:rPr>
        <w:t>BIBLIOGRÁFICAS</w:t>
      </w:r>
      <w:proofErr w:type="spellEnd"/>
    </w:p>
    <w:p w14:paraId="03F254EA" w14:textId="77777777" w:rsidR="00227627" w:rsidRPr="00227627" w:rsidRDefault="00227627" w:rsidP="00227627">
      <w:pPr>
        <w:autoSpaceDE w:val="0"/>
        <w:autoSpaceDN w:val="0"/>
        <w:adjustRightInd w:val="0"/>
        <w:spacing w:line="360" w:lineRule="auto"/>
        <w:rPr>
          <w:lang w:val="en-US" w:eastAsia="es-ES"/>
        </w:rPr>
      </w:pPr>
      <w:r w:rsidRPr="00227627">
        <w:rPr>
          <w:lang w:val="en-US" w:eastAsia="es-ES"/>
        </w:rPr>
        <w:t xml:space="preserve">1. </w:t>
      </w:r>
      <w:proofErr w:type="spellStart"/>
      <w:r w:rsidRPr="00227627">
        <w:rPr>
          <w:lang w:val="en-US" w:eastAsia="es-ES"/>
        </w:rPr>
        <w:t>Elhakim</w:t>
      </w:r>
      <w:proofErr w:type="spellEnd"/>
      <w:r w:rsidRPr="00227627">
        <w:rPr>
          <w:lang w:val="en-US" w:eastAsia="es-ES"/>
        </w:rPr>
        <w:t xml:space="preserve"> A, Allah A, Ahmed A, </w:t>
      </w:r>
      <w:proofErr w:type="spellStart"/>
      <w:r w:rsidRPr="00227627">
        <w:rPr>
          <w:lang w:val="en-US" w:eastAsia="es-ES"/>
        </w:rPr>
        <w:t>Abdelkareem</w:t>
      </w:r>
      <w:proofErr w:type="spellEnd"/>
      <w:r w:rsidRPr="00227627">
        <w:rPr>
          <w:lang w:val="en-US" w:eastAsia="es-ES"/>
        </w:rPr>
        <w:t xml:space="preserve"> M, Mohamed A. </w:t>
      </w:r>
      <w:proofErr w:type="spellStart"/>
      <w:r w:rsidRPr="00227627">
        <w:rPr>
          <w:lang w:val="en-US" w:eastAsia="es-ES"/>
        </w:rPr>
        <w:t>Baqary</w:t>
      </w:r>
      <w:proofErr w:type="spellEnd"/>
      <w:r w:rsidRPr="00227627">
        <w:rPr>
          <w:lang w:val="en-US" w:eastAsia="es-ES"/>
        </w:rPr>
        <w:t xml:space="preserve"> E. Evaluation of the Accuracy of Trigger Finger Injection Using Ultrasound. Egypt J Hosp Med. 2018; 3(11):7988-96. DOI: 10.21608/</w:t>
      </w:r>
      <w:proofErr w:type="spellStart"/>
      <w:r w:rsidRPr="00227627">
        <w:rPr>
          <w:lang w:val="en-US" w:eastAsia="es-ES"/>
        </w:rPr>
        <w:t>EJHM.2018.21718</w:t>
      </w:r>
      <w:proofErr w:type="spellEnd"/>
      <w:r w:rsidRPr="00227627">
        <w:rPr>
          <w:lang w:val="en-US" w:eastAsia="es-ES"/>
        </w:rPr>
        <w:t xml:space="preserve"> </w:t>
      </w:r>
    </w:p>
    <w:p w14:paraId="02B03EF9" w14:textId="77777777" w:rsidR="00227627" w:rsidRPr="00227627" w:rsidRDefault="00227627" w:rsidP="00227627">
      <w:pPr>
        <w:autoSpaceDE w:val="0"/>
        <w:autoSpaceDN w:val="0"/>
        <w:adjustRightInd w:val="0"/>
        <w:spacing w:line="360" w:lineRule="auto"/>
        <w:rPr>
          <w:lang w:val="es-ES" w:eastAsia="es-ES"/>
        </w:rPr>
      </w:pPr>
      <w:r w:rsidRPr="00227627">
        <w:rPr>
          <w:lang w:val="en-US" w:eastAsia="es-ES"/>
        </w:rPr>
        <w:t xml:space="preserve">2. Ranjeet N, Sapkota K, Thapa P, Raj P, </w:t>
      </w:r>
      <w:proofErr w:type="spellStart"/>
      <w:r w:rsidRPr="00227627">
        <w:rPr>
          <w:lang w:val="en-US" w:eastAsia="es-ES"/>
        </w:rPr>
        <w:t>Wahegoankar</w:t>
      </w:r>
      <w:proofErr w:type="spellEnd"/>
      <w:r w:rsidRPr="00227627">
        <w:rPr>
          <w:lang w:val="en-US" w:eastAsia="es-ES"/>
        </w:rPr>
        <w:t xml:space="preserve"> K, Jung U. Trigger Finger: A Prospective </w:t>
      </w:r>
      <w:proofErr w:type="spellStart"/>
      <w:r w:rsidRPr="00227627">
        <w:rPr>
          <w:lang w:val="en-US" w:eastAsia="es-ES"/>
        </w:rPr>
        <w:t>Randomised</w:t>
      </w:r>
      <w:proofErr w:type="spellEnd"/>
      <w:r w:rsidRPr="00227627">
        <w:rPr>
          <w:lang w:val="en-US" w:eastAsia="es-ES"/>
        </w:rPr>
        <w:t xml:space="preserve"> Control Trial Comparing Percutaneous Release versus Open Release. </w:t>
      </w:r>
      <w:r w:rsidRPr="00227627">
        <w:rPr>
          <w:lang w:val="es-ES" w:eastAsia="es-ES"/>
        </w:rPr>
        <w:t xml:space="preserve">J Clin </w:t>
      </w:r>
      <w:proofErr w:type="spellStart"/>
      <w:r w:rsidRPr="00227627">
        <w:rPr>
          <w:lang w:val="es-ES" w:eastAsia="es-ES"/>
        </w:rPr>
        <w:t>Diagnostic</w:t>
      </w:r>
      <w:proofErr w:type="spellEnd"/>
      <w:r w:rsidRPr="00227627">
        <w:rPr>
          <w:lang w:val="es-ES" w:eastAsia="es-ES"/>
        </w:rPr>
        <w:t xml:space="preserve"> Res. 2018; 12(7):</w:t>
      </w:r>
      <w:proofErr w:type="spellStart"/>
      <w:r w:rsidRPr="00227627">
        <w:rPr>
          <w:lang w:val="es-ES" w:eastAsia="es-ES"/>
        </w:rPr>
        <w:t>RC05-RC08</w:t>
      </w:r>
      <w:proofErr w:type="spellEnd"/>
      <w:r w:rsidRPr="00227627">
        <w:rPr>
          <w:lang w:val="es-ES" w:eastAsia="es-ES"/>
        </w:rPr>
        <w:t xml:space="preserve">. </w:t>
      </w:r>
      <w:proofErr w:type="spellStart"/>
      <w:r w:rsidRPr="00227627">
        <w:rPr>
          <w:lang w:val="es-ES" w:eastAsia="es-ES"/>
        </w:rPr>
        <w:t>DOI</w:t>
      </w:r>
      <w:proofErr w:type="spellEnd"/>
      <w:r w:rsidRPr="00227627">
        <w:rPr>
          <w:lang w:val="es-ES" w:eastAsia="es-ES"/>
        </w:rPr>
        <w:t>: 10.7860/</w:t>
      </w:r>
      <w:proofErr w:type="spellStart"/>
      <w:r w:rsidRPr="00227627">
        <w:rPr>
          <w:lang w:val="es-ES" w:eastAsia="es-ES"/>
        </w:rPr>
        <w:t>JCDR</w:t>
      </w:r>
      <w:proofErr w:type="spellEnd"/>
      <w:r w:rsidRPr="00227627">
        <w:rPr>
          <w:lang w:val="es-ES" w:eastAsia="es-ES"/>
        </w:rPr>
        <w:t xml:space="preserve">/2018/34100.11771 </w:t>
      </w:r>
    </w:p>
    <w:p w14:paraId="3E6C7F25"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3. Romo Rodríguez R, </w:t>
      </w:r>
      <w:proofErr w:type="spellStart"/>
      <w:r w:rsidRPr="00227627">
        <w:rPr>
          <w:lang w:val="es-ES" w:eastAsia="es-ES"/>
        </w:rPr>
        <w:t>Pareyón</w:t>
      </w:r>
      <w:proofErr w:type="spellEnd"/>
      <w:r w:rsidRPr="00227627">
        <w:rPr>
          <w:lang w:val="es-ES" w:eastAsia="es-ES"/>
        </w:rPr>
        <w:t xml:space="preserve"> Valero RP. Reparación de tendones flexores con </w:t>
      </w:r>
      <w:proofErr w:type="spellStart"/>
      <w:r w:rsidRPr="00227627">
        <w:rPr>
          <w:lang w:val="es-ES" w:eastAsia="es-ES"/>
        </w:rPr>
        <w:t>WALANT</w:t>
      </w:r>
      <w:proofErr w:type="spellEnd"/>
      <w:r w:rsidRPr="00227627">
        <w:rPr>
          <w:lang w:val="es-ES" w:eastAsia="es-ES"/>
        </w:rPr>
        <w:t xml:space="preserve">: técnica quirúrgica y lesiones asociadas. Anales Médicos. 2020; 65(1):16-22. </w:t>
      </w:r>
      <w:proofErr w:type="spellStart"/>
      <w:r w:rsidRPr="00227627">
        <w:rPr>
          <w:lang w:val="es-ES" w:eastAsia="es-ES"/>
        </w:rPr>
        <w:t>DOI</w:t>
      </w:r>
      <w:proofErr w:type="spellEnd"/>
      <w:r w:rsidRPr="00227627">
        <w:rPr>
          <w:lang w:val="es-ES" w:eastAsia="es-ES"/>
        </w:rPr>
        <w:t xml:space="preserve">: 10.35366/92913  </w:t>
      </w:r>
    </w:p>
    <w:p w14:paraId="63567A1F"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4. Mendinueta-Martínez M, Herazo-Beltrán Y, Avendaño-Romero J, Toro-García L, </w:t>
      </w:r>
      <w:proofErr w:type="spellStart"/>
      <w:r w:rsidRPr="00227627">
        <w:rPr>
          <w:lang w:val="es-ES" w:eastAsia="es-ES"/>
        </w:rPr>
        <w:t>Cetares</w:t>
      </w:r>
      <w:proofErr w:type="spellEnd"/>
      <w:r w:rsidRPr="00227627">
        <w:rPr>
          <w:lang w:val="es-ES" w:eastAsia="es-ES"/>
        </w:rPr>
        <w:t xml:space="preserve">-Barrios R, Ortiz-Berrio K, </w:t>
      </w:r>
      <w:r w:rsidRPr="00227627">
        <w:rPr>
          <w:iCs/>
          <w:lang w:val="es-ES" w:eastAsia="es-ES"/>
        </w:rPr>
        <w:t>et al.</w:t>
      </w:r>
      <w:r w:rsidRPr="00227627">
        <w:rPr>
          <w:lang w:val="es-ES" w:eastAsia="es-ES"/>
        </w:rPr>
        <w:t xml:space="preserve"> Riesgo por movimiento repetitivo en los miembros superiores de trabajadores. Factores personales y laborales. </w:t>
      </w:r>
      <w:proofErr w:type="spellStart"/>
      <w:r w:rsidRPr="00227627">
        <w:rPr>
          <w:lang w:val="es-ES" w:eastAsia="es-ES"/>
        </w:rPr>
        <w:t>Arch</w:t>
      </w:r>
      <w:proofErr w:type="spellEnd"/>
      <w:r w:rsidRPr="00227627">
        <w:rPr>
          <w:lang w:val="es-ES" w:eastAsia="es-ES"/>
        </w:rPr>
        <w:t xml:space="preserve"> </w:t>
      </w:r>
      <w:proofErr w:type="spellStart"/>
      <w:r w:rsidRPr="00227627">
        <w:rPr>
          <w:lang w:val="es-ES" w:eastAsia="es-ES"/>
        </w:rPr>
        <w:t>Venez</w:t>
      </w:r>
      <w:proofErr w:type="spellEnd"/>
      <w:r w:rsidRPr="00227627">
        <w:rPr>
          <w:lang w:val="es-ES" w:eastAsia="es-ES"/>
        </w:rPr>
        <w:t xml:space="preserve"> de Farmacol y Ter. 2020; 39(6):781-790. </w:t>
      </w:r>
      <w:proofErr w:type="spellStart"/>
      <w:r w:rsidRPr="00227627">
        <w:rPr>
          <w:lang w:val="es-ES" w:eastAsia="es-ES"/>
        </w:rPr>
        <w:t>DOI</w:t>
      </w:r>
      <w:proofErr w:type="spellEnd"/>
      <w:r w:rsidRPr="00227627">
        <w:rPr>
          <w:lang w:val="es-ES" w:eastAsia="es-ES"/>
        </w:rPr>
        <w:t>: 10.5281/</w:t>
      </w:r>
      <w:proofErr w:type="spellStart"/>
      <w:r w:rsidRPr="00227627">
        <w:rPr>
          <w:lang w:val="es-ES" w:eastAsia="es-ES"/>
        </w:rPr>
        <w:t>zenodo.4407949</w:t>
      </w:r>
      <w:proofErr w:type="spellEnd"/>
      <w:r w:rsidRPr="00227627">
        <w:rPr>
          <w:lang w:val="es-ES" w:eastAsia="es-ES"/>
        </w:rPr>
        <w:t xml:space="preserve"> </w:t>
      </w:r>
    </w:p>
    <w:p w14:paraId="0797D347"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lastRenderedPageBreak/>
        <w:t xml:space="preserve">5. Organización Internacional del Trabajo (OIT). Seguridad y salud en el trabajo. 2022 [acceso: 13/10/2022]. Disponible en: </w:t>
      </w:r>
      <w:hyperlink r:id="rId16" w:history="1">
        <w:r w:rsidRPr="00227627">
          <w:rPr>
            <w:color w:val="0000FF"/>
            <w:lang w:val="es-ES" w:eastAsia="es-ES"/>
          </w:rPr>
          <w:t>https://www.ilo.org/global/topics/safety-and-health-at-work/lang--es/index.htm</w:t>
        </w:r>
      </w:hyperlink>
      <w:r w:rsidRPr="00227627">
        <w:rPr>
          <w:lang w:val="es-ES" w:eastAsia="es-ES"/>
        </w:rPr>
        <w:t xml:space="preserve"> </w:t>
      </w:r>
    </w:p>
    <w:p w14:paraId="6691005D" w14:textId="77777777" w:rsidR="00227627" w:rsidRPr="00227627" w:rsidRDefault="00227627" w:rsidP="00227627">
      <w:pPr>
        <w:autoSpaceDE w:val="0"/>
        <w:autoSpaceDN w:val="0"/>
        <w:adjustRightInd w:val="0"/>
        <w:spacing w:line="360" w:lineRule="auto"/>
        <w:rPr>
          <w:lang w:val="en-US" w:eastAsia="es-ES"/>
        </w:rPr>
      </w:pPr>
      <w:r w:rsidRPr="00227627">
        <w:rPr>
          <w:lang w:val="en-US" w:eastAsia="es-ES"/>
        </w:rPr>
        <w:t xml:space="preserve">6. Adams JE, </w:t>
      </w:r>
      <w:proofErr w:type="spellStart"/>
      <w:r w:rsidRPr="00227627">
        <w:rPr>
          <w:lang w:val="en-US" w:eastAsia="es-ES"/>
        </w:rPr>
        <w:t>Habbu</w:t>
      </w:r>
      <w:proofErr w:type="spellEnd"/>
      <w:r w:rsidRPr="00227627">
        <w:rPr>
          <w:lang w:val="en-US" w:eastAsia="es-ES"/>
        </w:rPr>
        <w:t xml:space="preserve"> R. Tendinopathies of the Hand and Wrist. J Am </w:t>
      </w:r>
      <w:proofErr w:type="spellStart"/>
      <w:r w:rsidRPr="00227627">
        <w:rPr>
          <w:lang w:val="en-US" w:eastAsia="es-ES"/>
        </w:rPr>
        <w:t>Acad</w:t>
      </w:r>
      <w:proofErr w:type="spellEnd"/>
      <w:r w:rsidRPr="00227627">
        <w:rPr>
          <w:lang w:val="en-US" w:eastAsia="es-ES"/>
        </w:rPr>
        <w:t xml:space="preserve"> </w:t>
      </w:r>
      <w:proofErr w:type="spellStart"/>
      <w:r w:rsidRPr="00227627">
        <w:rPr>
          <w:lang w:val="en-US" w:eastAsia="es-ES"/>
        </w:rPr>
        <w:t>Orthop</w:t>
      </w:r>
      <w:proofErr w:type="spellEnd"/>
      <w:r w:rsidRPr="00227627">
        <w:rPr>
          <w:lang w:val="en-US" w:eastAsia="es-ES"/>
        </w:rPr>
        <w:t xml:space="preserve"> Surg. 2015; 23(12):741-50. DOI: 10.5435/</w:t>
      </w:r>
      <w:proofErr w:type="spellStart"/>
      <w:r w:rsidRPr="00227627">
        <w:rPr>
          <w:lang w:val="en-US" w:eastAsia="es-ES"/>
        </w:rPr>
        <w:t>JAAOS</w:t>
      </w:r>
      <w:proofErr w:type="spellEnd"/>
      <w:r w:rsidRPr="00227627">
        <w:rPr>
          <w:lang w:val="en-US" w:eastAsia="es-ES"/>
        </w:rPr>
        <w:t xml:space="preserve">-D-14-00216   </w:t>
      </w:r>
    </w:p>
    <w:p w14:paraId="63C7EB1E" w14:textId="77777777" w:rsidR="00227627" w:rsidRPr="00227627" w:rsidRDefault="00227627" w:rsidP="00227627">
      <w:pPr>
        <w:autoSpaceDE w:val="0"/>
        <w:autoSpaceDN w:val="0"/>
        <w:adjustRightInd w:val="0"/>
        <w:spacing w:line="360" w:lineRule="auto"/>
        <w:rPr>
          <w:lang w:val="en-US" w:eastAsia="es-ES"/>
        </w:rPr>
      </w:pPr>
      <w:r w:rsidRPr="00227627">
        <w:rPr>
          <w:lang w:val="en-US" w:eastAsia="es-ES"/>
        </w:rPr>
        <w:t xml:space="preserve">7. </w:t>
      </w:r>
      <w:proofErr w:type="spellStart"/>
      <w:r w:rsidRPr="00227627">
        <w:rPr>
          <w:lang w:val="en-US" w:eastAsia="es-ES"/>
        </w:rPr>
        <w:t>Froimson</w:t>
      </w:r>
      <w:proofErr w:type="spellEnd"/>
      <w:r w:rsidRPr="00227627">
        <w:rPr>
          <w:lang w:val="en-US" w:eastAsia="es-ES"/>
        </w:rPr>
        <w:t xml:space="preserve"> AI. Tenosynovitis and tennis elbow. En: Green DP, editor. Operative Hand Surgery. </w:t>
      </w:r>
      <w:proofErr w:type="spellStart"/>
      <w:r w:rsidRPr="00227627">
        <w:rPr>
          <w:lang w:val="en-US" w:eastAsia="es-ES"/>
        </w:rPr>
        <w:t>3ra</w:t>
      </w:r>
      <w:proofErr w:type="spellEnd"/>
      <w:r w:rsidRPr="00227627">
        <w:rPr>
          <w:lang w:val="en-US" w:eastAsia="es-ES"/>
        </w:rPr>
        <w:t xml:space="preserve"> ed. Nueva York: Churchill Livingstone; 1995. pp. 1995-19988</w:t>
      </w:r>
    </w:p>
    <w:p w14:paraId="0793B6FE"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8. Asociación Médica Mundial (AMM). Declaración de Helsinki de la AMM – Principios éticos para las investigaciones médicas en seres humanos. Fortaleza: 64ª Asamblea General; 2013 [acceso: 13/10/2022]. Disponible en:  </w:t>
      </w:r>
      <w:hyperlink r:id="rId17" w:history="1">
        <w:r w:rsidRPr="00227627">
          <w:rPr>
            <w:color w:val="0000FF"/>
            <w:lang w:val="es-ES" w:eastAsia="es-ES"/>
          </w:rPr>
          <w:t>https://www.wma.net/es/policies-post/declaracion-de-helsinki-de-la-amm-principios-eticos-para-las-investigaciones-medicas-en-seres-humanos/</w:t>
        </w:r>
      </w:hyperlink>
      <w:r w:rsidRPr="00227627">
        <w:rPr>
          <w:lang w:val="es-ES" w:eastAsia="es-ES"/>
        </w:rPr>
        <w:t xml:space="preserve"> </w:t>
      </w:r>
    </w:p>
    <w:p w14:paraId="48DFE0A0" w14:textId="77777777" w:rsidR="00227627" w:rsidRPr="00227627" w:rsidRDefault="00227627" w:rsidP="00227627">
      <w:pPr>
        <w:autoSpaceDE w:val="0"/>
        <w:autoSpaceDN w:val="0"/>
        <w:adjustRightInd w:val="0"/>
        <w:spacing w:line="360" w:lineRule="auto"/>
        <w:rPr>
          <w:lang w:val="es-ES" w:eastAsia="es-ES"/>
        </w:rPr>
      </w:pPr>
      <w:r w:rsidRPr="00227627">
        <w:rPr>
          <w:lang w:val="en-US" w:eastAsia="es-ES"/>
        </w:rPr>
        <w:t xml:space="preserve">9. </w:t>
      </w:r>
      <w:proofErr w:type="spellStart"/>
      <w:r w:rsidRPr="00227627">
        <w:rPr>
          <w:lang w:val="en-US" w:eastAsia="es-ES"/>
        </w:rPr>
        <w:t>Canale</w:t>
      </w:r>
      <w:proofErr w:type="spellEnd"/>
      <w:r w:rsidRPr="00227627">
        <w:rPr>
          <w:lang w:val="en-US" w:eastAsia="es-ES"/>
        </w:rPr>
        <w:t xml:space="preserve"> T, Beaty J. Campbell's Operative </w:t>
      </w:r>
      <w:proofErr w:type="spellStart"/>
      <w:r w:rsidRPr="00227627">
        <w:rPr>
          <w:lang w:val="en-US" w:eastAsia="es-ES"/>
        </w:rPr>
        <w:t>Orthopaedics</w:t>
      </w:r>
      <w:proofErr w:type="spellEnd"/>
      <w:r w:rsidRPr="00227627">
        <w:rPr>
          <w:lang w:val="en-US" w:eastAsia="es-ES"/>
        </w:rPr>
        <w:t xml:space="preserve"> </w:t>
      </w:r>
      <w:proofErr w:type="spellStart"/>
      <w:r w:rsidRPr="00227627">
        <w:rPr>
          <w:lang w:val="en-US" w:eastAsia="es-ES"/>
        </w:rPr>
        <w:t>11</w:t>
      </w:r>
      <w:r w:rsidRPr="00227627">
        <w:rPr>
          <w:vertAlign w:val="superscript"/>
          <w:lang w:val="en-US" w:eastAsia="es-ES"/>
        </w:rPr>
        <w:t>na</w:t>
      </w:r>
      <w:proofErr w:type="spellEnd"/>
      <w:r w:rsidRPr="00227627">
        <w:rPr>
          <w:lang w:val="en-US" w:eastAsia="es-ES"/>
        </w:rPr>
        <w:t xml:space="preserve"> ed. </w:t>
      </w:r>
      <w:proofErr w:type="spellStart"/>
      <w:r w:rsidRPr="00227627">
        <w:rPr>
          <w:lang w:val="es-ES" w:eastAsia="es-ES"/>
        </w:rPr>
        <w:t>Vol</w:t>
      </w:r>
      <w:proofErr w:type="spellEnd"/>
      <w:r w:rsidRPr="00227627">
        <w:rPr>
          <w:lang w:val="es-ES" w:eastAsia="es-ES"/>
        </w:rPr>
        <w:t xml:space="preserve"> 3. Madrid: Elsevier; 2018.</w:t>
      </w:r>
    </w:p>
    <w:p w14:paraId="4FB9365C"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10. Hernández E, Mosquera G. Liberación percutánea del dedo en resorte. </w:t>
      </w:r>
      <w:proofErr w:type="spellStart"/>
      <w:r w:rsidRPr="00227627">
        <w:rPr>
          <w:lang w:val="es-ES" w:eastAsia="es-ES"/>
        </w:rPr>
        <w:t>Rev</w:t>
      </w:r>
      <w:proofErr w:type="spellEnd"/>
      <w:r w:rsidRPr="00227627">
        <w:rPr>
          <w:lang w:val="es-ES" w:eastAsia="es-ES"/>
        </w:rPr>
        <w:t xml:space="preserve"> </w:t>
      </w:r>
      <w:proofErr w:type="spellStart"/>
      <w:r w:rsidRPr="00227627">
        <w:rPr>
          <w:lang w:val="es-ES" w:eastAsia="es-ES"/>
        </w:rPr>
        <w:t>Arch</w:t>
      </w:r>
      <w:proofErr w:type="spellEnd"/>
      <w:r w:rsidRPr="00227627">
        <w:rPr>
          <w:lang w:val="es-ES" w:eastAsia="es-ES"/>
        </w:rPr>
        <w:t xml:space="preserve"> </w:t>
      </w:r>
      <w:proofErr w:type="spellStart"/>
      <w:r w:rsidRPr="00227627">
        <w:rPr>
          <w:lang w:val="es-ES" w:eastAsia="es-ES"/>
        </w:rPr>
        <w:t>Med</w:t>
      </w:r>
      <w:proofErr w:type="spellEnd"/>
      <w:r w:rsidRPr="00227627">
        <w:rPr>
          <w:lang w:val="es-ES" w:eastAsia="es-ES"/>
        </w:rPr>
        <w:t xml:space="preserve"> </w:t>
      </w:r>
      <w:proofErr w:type="spellStart"/>
      <w:r w:rsidRPr="00227627">
        <w:rPr>
          <w:lang w:val="es-ES" w:eastAsia="es-ES"/>
        </w:rPr>
        <w:t>Cmg</w:t>
      </w:r>
      <w:proofErr w:type="spellEnd"/>
      <w:r w:rsidRPr="00227627">
        <w:rPr>
          <w:lang w:val="es-ES" w:eastAsia="es-ES"/>
        </w:rPr>
        <w:t xml:space="preserve">. 2018 [acceso: 13/10/2022]; 22(3):303-12. Disponible en: </w:t>
      </w:r>
      <w:hyperlink r:id="rId18" w:history="1">
        <w:r w:rsidRPr="00227627">
          <w:rPr>
            <w:color w:val="0000FF"/>
            <w:lang w:val="es-ES" w:eastAsia="es-ES"/>
          </w:rPr>
          <w:t>https://revistaamc.sld.cu/index.php/amc/article/view/5357/3123</w:t>
        </w:r>
      </w:hyperlink>
      <w:r w:rsidRPr="00227627">
        <w:rPr>
          <w:lang w:val="es-ES" w:eastAsia="es-ES"/>
        </w:rPr>
        <w:t xml:space="preserve"> </w:t>
      </w:r>
    </w:p>
    <w:p w14:paraId="0F675844"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11. Jiménez I, Medina J, Marcos-García A, Garcés </w:t>
      </w:r>
      <w:proofErr w:type="spellStart"/>
      <w:r w:rsidRPr="00227627">
        <w:rPr>
          <w:lang w:val="es-ES" w:eastAsia="es-ES"/>
        </w:rPr>
        <w:t>GL</w:t>
      </w:r>
      <w:proofErr w:type="spellEnd"/>
      <w:r w:rsidRPr="00227627">
        <w:rPr>
          <w:lang w:val="es-ES" w:eastAsia="es-ES"/>
        </w:rPr>
        <w:t xml:space="preserve">. Infiltración comisural dorsal en el tratamiento del pulgar y los dedos en resorte. Estudio de una cohorte prospectiva. </w:t>
      </w:r>
      <w:proofErr w:type="spellStart"/>
      <w:r w:rsidRPr="00227627">
        <w:rPr>
          <w:lang w:val="es-ES" w:eastAsia="es-ES"/>
        </w:rPr>
        <w:t>Rev</w:t>
      </w:r>
      <w:proofErr w:type="spellEnd"/>
      <w:r w:rsidRPr="00227627">
        <w:rPr>
          <w:lang w:val="es-ES" w:eastAsia="es-ES"/>
        </w:rPr>
        <w:t xml:space="preserve"> </w:t>
      </w:r>
      <w:proofErr w:type="spellStart"/>
      <w:r w:rsidRPr="00227627">
        <w:rPr>
          <w:lang w:val="es-ES" w:eastAsia="es-ES"/>
        </w:rPr>
        <w:t>Exp</w:t>
      </w:r>
      <w:proofErr w:type="spellEnd"/>
      <w:r w:rsidRPr="00227627">
        <w:rPr>
          <w:lang w:val="es-ES" w:eastAsia="es-ES"/>
        </w:rPr>
        <w:t xml:space="preserve"> </w:t>
      </w:r>
      <w:proofErr w:type="spellStart"/>
      <w:r w:rsidRPr="00227627">
        <w:rPr>
          <w:lang w:val="es-ES" w:eastAsia="es-ES"/>
        </w:rPr>
        <w:t>Ort</w:t>
      </w:r>
      <w:proofErr w:type="spellEnd"/>
      <w:r w:rsidRPr="00227627">
        <w:rPr>
          <w:lang w:val="es-ES" w:eastAsia="es-ES"/>
        </w:rPr>
        <w:t xml:space="preserve"> y </w:t>
      </w:r>
      <w:proofErr w:type="spellStart"/>
      <w:r w:rsidRPr="00227627">
        <w:rPr>
          <w:lang w:val="es-ES" w:eastAsia="es-ES"/>
        </w:rPr>
        <w:t>Trau</w:t>
      </w:r>
      <w:proofErr w:type="spellEnd"/>
      <w:r w:rsidRPr="00227627">
        <w:rPr>
          <w:lang w:val="es-ES" w:eastAsia="es-ES"/>
        </w:rPr>
        <w:t xml:space="preserve">. 2022; 66(1):260-266. </w:t>
      </w:r>
      <w:proofErr w:type="spellStart"/>
      <w:r w:rsidRPr="00227627">
        <w:rPr>
          <w:lang w:val="es-ES" w:eastAsia="es-ES"/>
        </w:rPr>
        <w:t>DOI</w:t>
      </w:r>
      <w:proofErr w:type="spellEnd"/>
      <w:r w:rsidRPr="00227627">
        <w:rPr>
          <w:lang w:val="es-ES" w:eastAsia="es-ES"/>
        </w:rPr>
        <w:t>: 10.1016/</w:t>
      </w:r>
      <w:proofErr w:type="spellStart"/>
      <w:r w:rsidRPr="00227627">
        <w:rPr>
          <w:lang w:val="es-ES" w:eastAsia="es-ES"/>
        </w:rPr>
        <w:t>j.recot.2021.03.009</w:t>
      </w:r>
      <w:proofErr w:type="spellEnd"/>
      <w:r w:rsidRPr="00227627">
        <w:rPr>
          <w:lang w:val="es-ES" w:eastAsia="es-ES"/>
        </w:rPr>
        <w:t xml:space="preserve"> </w:t>
      </w:r>
    </w:p>
    <w:p w14:paraId="0AB1F150"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12. Molina </w:t>
      </w:r>
      <w:proofErr w:type="spellStart"/>
      <w:r w:rsidRPr="00227627">
        <w:rPr>
          <w:lang w:val="es-ES" w:eastAsia="es-ES"/>
        </w:rPr>
        <w:t>OJE</w:t>
      </w:r>
      <w:proofErr w:type="spellEnd"/>
      <w:r w:rsidRPr="00227627">
        <w:rPr>
          <w:lang w:val="es-ES" w:eastAsia="es-ES"/>
        </w:rPr>
        <w:t xml:space="preserve">, Gargollo </w:t>
      </w:r>
      <w:proofErr w:type="spellStart"/>
      <w:r w:rsidRPr="00227627">
        <w:rPr>
          <w:lang w:val="es-ES" w:eastAsia="es-ES"/>
        </w:rPr>
        <w:t>OC</w:t>
      </w:r>
      <w:proofErr w:type="spellEnd"/>
      <w:r w:rsidRPr="00227627">
        <w:rPr>
          <w:lang w:val="es-ES" w:eastAsia="es-ES"/>
        </w:rPr>
        <w:t xml:space="preserve">, Campos </w:t>
      </w:r>
      <w:proofErr w:type="spellStart"/>
      <w:r w:rsidRPr="00227627">
        <w:rPr>
          <w:lang w:val="es-ES" w:eastAsia="es-ES"/>
        </w:rPr>
        <w:t>SEI</w:t>
      </w:r>
      <w:proofErr w:type="spellEnd"/>
      <w:r w:rsidRPr="00227627">
        <w:rPr>
          <w:lang w:val="es-ES" w:eastAsia="es-ES"/>
        </w:rPr>
        <w:t xml:space="preserve">, De la Concha TM. Tenosinovitis estenosante de los dedos de la mano (dedo en gatillo). Acta </w:t>
      </w:r>
      <w:proofErr w:type="spellStart"/>
      <w:r w:rsidRPr="00227627">
        <w:rPr>
          <w:lang w:val="es-ES" w:eastAsia="es-ES"/>
        </w:rPr>
        <w:t>Med</w:t>
      </w:r>
      <w:proofErr w:type="spellEnd"/>
      <w:r w:rsidRPr="00227627">
        <w:rPr>
          <w:lang w:val="es-ES" w:eastAsia="es-ES"/>
        </w:rPr>
        <w:t xml:space="preserve">. 2020; 18(4):424-426. </w:t>
      </w:r>
      <w:proofErr w:type="spellStart"/>
      <w:r w:rsidRPr="00227627">
        <w:rPr>
          <w:lang w:val="es-ES" w:eastAsia="es-ES"/>
        </w:rPr>
        <w:t>DOI</w:t>
      </w:r>
      <w:proofErr w:type="spellEnd"/>
      <w:r w:rsidRPr="00227627">
        <w:rPr>
          <w:lang w:val="es-ES" w:eastAsia="es-ES"/>
        </w:rPr>
        <w:t xml:space="preserve">: 10.35366/97273 </w:t>
      </w:r>
    </w:p>
    <w:p w14:paraId="67833DE9"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13. Martínez </w:t>
      </w:r>
      <w:proofErr w:type="spellStart"/>
      <w:r w:rsidRPr="00227627">
        <w:rPr>
          <w:lang w:val="es-ES" w:eastAsia="es-ES"/>
        </w:rPr>
        <w:t>Gilimas</w:t>
      </w:r>
      <w:proofErr w:type="spellEnd"/>
      <w:r w:rsidRPr="00227627">
        <w:rPr>
          <w:lang w:val="es-ES" w:eastAsia="es-ES"/>
        </w:rPr>
        <w:t xml:space="preserve"> O, Fernández </w:t>
      </w:r>
      <w:proofErr w:type="spellStart"/>
      <w:r w:rsidRPr="00227627">
        <w:rPr>
          <w:lang w:val="es-ES" w:eastAsia="es-ES"/>
        </w:rPr>
        <w:t>Fernández</w:t>
      </w:r>
      <w:proofErr w:type="spellEnd"/>
      <w:r w:rsidRPr="00227627">
        <w:rPr>
          <w:lang w:val="es-ES" w:eastAsia="es-ES"/>
        </w:rPr>
        <w:t xml:space="preserve"> F, Álvarez Pérez, Curbelo Betancourt </w:t>
      </w:r>
      <w:proofErr w:type="spellStart"/>
      <w:r w:rsidRPr="00227627">
        <w:rPr>
          <w:lang w:val="es-ES" w:eastAsia="es-ES"/>
        </w:rPr>
        <w:t>Jl</w:t>
      </w:r>
      <w:proofErr w:type="spellEnd"/>
      <w:r w:rsidRPr="00227627">
        <w:rPr>
          <w:lang w:val="es-ES" w:eastAsia="es-ES"/>
        </w:rPr>
        <w:t xml:space="preserve">. Resultados de la </w:t>
      </w:r>
      <w:proofErr w:type="spellStart"/>
      <w:r w:rsidRPr="00227627">
        <w:rPr>
          <w:lang w:val="es-ES" w:eastAsia="es-ES"/>
        </w:rPr>
        <w:t>vaginotomía</w:t>
      </w:r>
      <w:proofErr w:type="spellEnd"/>
      <w:r w:rsidRPr="00227627">
        <w:rPr>
          <w:lang w:val="es-ES" w:eastAsia="es-ES"/>
        </w:rPr>
        <w:t xml:space="preserve"> percutánea con aguja del dedo en resorte en Mayabeque. </w:t>
      </w:r>
      <w:proofErr w:type="spellStart"/>
      <w:r w:rsidRPr="00227627">
        <w:rPr>
          <w:lang w:val="es-ES" w:eastAsia="es-ES"/>
        </w:rPr>
        <w:t>Medimay</w:t>
      </w:r>
      <w:proofErr w:type="spellEnd"/>
      <w:r w:rsidRPr="00227627">
        <w:rPr>
          <w:lang w:val="es-ES" w:eastAsia="es-ES"/>
        </w:rPr>
        <w:t xml:space="preserve">. 2020 [acceso: 17/10/2022]; 27(2):151-62. Disponible en: </w:t>
      </w:r>
      <w:hyperlink r:id="rId19" w:history="1">
        <w:r w:rsidRPr="00227627">
          <w:rPr>
            <w:color w:val="0000FF"/>
            <w:lang w:val="es-ES" w:eastAsia="es-ES"/>
          </w:rPr>
          <w:t>http://revcmhabana.sld.cu/index.php/rcmh/article/view/1647</w:t>
        </w:r>
      </w:hyperlink>
      <w:r w:rsidRPr="00227627">
        <w:rPr>
          <w:lang w:val="es-ES" w:eastAsia="es-ES"/>
        </w:rPr>
        <w:t xml:space="preserve"> </w:t>
      </w:r>
    </w:p>
    <w:p w14:paraId="30EB0829" w14:textId="77777777" w:rsidR="00227627" w:rsidRPr="00227627" w:rsidRDefault="00227627" w:rsidP="00227627">
      <w:pPr>
        <w:autoSpaceDE w:val="0"/>
        <w:autoSpaceDN w:val="0"/>
        <w:adjustRightInd w:val="0"/>
        <w:spacing w:line="360" w:lineRule="auto"/>
        <w:rPr>
          <w:lang w:val="es-ES" w:eastAsia="es-ES"/>
        </w:rPr>
      </w:pPr>
      <w:r w:rsidRPr="00227627">
        <w:rPr>
          <w:lang w:val="en-US" w:eastAsia="es-ES"/>
        </w:rPr>
        <w:t xml:space="preserve">14. </w:t>
      </w:r>
      <w:proofErr w:type="spellStart"/>
      <w:r w:rsidRPr="00227627">
        <w:rPr>
          <w:lang w:val="en-US" w:eastAsia="es-ES"/>
        </w:rPr>
        <w:t>Kloeters</w:t>
      </w:r>
      <w:proofErr w:type="spellEnd"/>
      <w:r w:rsidRPr="00227627">
        <w:rPr>
          <w:lang w:val="en-US" w:eastAsia="es-ES"/>
        </w:rPr>
        <w:t xml:space="preserve"> O, Ulrich DJ, </w:t>
      </w:r>
      <w:proofErr w:type="spellStart"/>
      <w:r w:rsidRPr="00227627">
        <w:rPr>
          <w:lang w:val="en-US" w:eastAsia="es-ES"/>
        </w:rPr>
        <w:t>Bloemsma</w:t>
      </w:r>
      <w:proofErr w:type="spellEnd"/>
      <w:r w:rsidRPr="00227627">
        <w:rPr>
          <w:lang w:val="en-US" w:eastAsia="es-ES"/>
        </w:rPr>
        <w:t xml:space="preserve"> G, van </w:t>
      </w:r>
      <w:proofErr w:type="spellStart"/>
      <w:r w:rsidRPr="00227627">
        <w:rPr>
          <w:lang w:val="en-US" w:eastAsia="es-ES"/>
        </w:rPr>
        <w:t>Houdt</w:t>
      </w:r>
      <w:proofErr w:type="spellEnd"/>
      <w:r w:rsidRPr="00227627">
        <w:rPr>
          <w:lang w:val="en-US" w:eastAsia="es-ES"/>
        </w:rPr>
        <w:t xml:space="preserve"> CI. Comparison of three different incision techniques in A1 pulley release on scar tissue formation and postoperative rehabilitation. </w:t>
      </w:r>
      <w:proofErr w:type="spellStart"/>
      <w:r w:rsidRPr="00227627">
        <w:rPr>
          <w:lang w:val="es-ES" w:eastAsia="es-ES"/>
        </w:rPr>
        <w:t>Arch</w:t>
      </w:r>
      <w:proofErr w:type="spellEnd"/>
      <w:r w:rsidRPr="00227627">
        <w:rPr>
          <w:lang w:val="es-ES" w:eastAsia="es-ES"/>
        </w:rPr>
        <w:t xml:space="preserve"> </w:t>
      </w:r>
      <w:proofErr w:type="spellStart"/>
      <w:r w:rsidRPr="00227627">
        <w:rPr>
          <w:lang w:val="es-ES" w:eastAsia="es-ES"/>
        </w:rPr>
        <w:t>Orthop</w:t>
      </w:r>
      <w:proofErr w:type="spellEnd"/>
      <w:r w:rsidRPr="00227627">
        <w:rPr>
          <w:lang w:val="es-ES" w:eastAsia="es-ES"/>
        </w:rPr>
        <w:t xml:space="preserve"> Trauma </w:t>
      </w:r>
      <w:proofErr w:type="spellStart"/>
      <w:r w:rsidRPr="00227627">
        <w:rPr>
          <w:lang w:val="es-ES" w:eastAsia="es-ES"/>
        </w:rPr>
        <w:t>Surg</w:t>
      </w:r>
      <w:proofErr w:type="spellEnd"/>
      <w:r w:rsidRPr="00227627">
        <w:rPr>
          <w:lang w:val="es-ES" w:eastAsia="es-ES"/>
        </w:rPr>
        <w:t xml:space="preserve">. 2016 [acceso: 17/10/2022]; 136(1): [aprox. 7 p.]. Disponible en: </w:t>
      </w:r>
      <w:hyperlink r:id="rId20" w:history="1">
        <w:r w:rsidRPr="00227627">
          <w:rPr>
            <w:color w:val="0000FF"/>
            <w:lang w:val="es-ES" w:eastAsia="es-ES"/>
          </w:rPr>
          <w:t>http://www.ncbi.nlm.nih.gov/pmc/articles/PMC4842220/</w:t>
        </w:r>
      </w:hyperlink>
      <w:r w:rsidRPr="00227627">
        <w:rPr>
          <w:lang w:val="es-ES" w:eastAsia="es-ES"/>
        </w:rPr>
        <w:t xml:space="preserve">   </w:t>
      </w:r>
    </w:p>
    <w:p w14:paraId="43A4D1AE" w14:textId="77777777" w:rsidR="00227627" w:rsidRPr="00227627" w:rsidRDefault="00227627" w:rsidP="00227627">
      <w:pPr>
        <w:autoSpaceDE w:val="0"/>
        <w:autoSpaceDN w:val="0"/>
        <w:adjustRightInd w:val="0"/>
        <w:spacing w:line="360" w:lineRule="auto"/>
        <w:rPr>
          <w:lang w:val="en-US" w:eastAsia="es-ES"/>
        </w:rPr>
      </w:pPr>
      <w:r w:rsidRPr="00227627">
        <w:rPr>
          <w:lang w:val="es-ES" w:eastAsia="es-ES"/>
        </w:rPr>
        <w:lastRenderedPageBreak/>
        <w:t xml:space="preserve">15. Becerra N, Timoteo M, Montenegro S. Trastornos musculoesqueléticos en trabajadores de transporte público de vehículos motorizados menores de Lima Norte. </w:t>
      </w:r>
      <w:r w:rsidRPr="00227627">
        <w:rPr>
          <w:lang w:val="en-US" w:eastAsia="es-ES"/>
        </w:rPr>
        <w:t>Peruvian Journal of Health Care and Global Health. 2020; 4(2):48-55. DOI: 10.22258/</w:t>
      </w:r>
      <w:proofErr w:type="spellStart"/>
      <w:r w:rsidRPr="00227627">
        <w:rPr>
          <w:lang w:val="en-US" w:eastAsia="es-ES"/>
        </w:rPr>
        <w:t>hgh.2020.42.79</w:t>
      </w:r>
      <w:proofErr w:type="spellEnd"/>
      <w:r w:rsidRPr="00227627">
        <w:rPr>
          <w:lang w:val="en-US" w:eastAsia="es-ES"/>
        </w:rPr>
        <w:t xml:space="preserve">   </w:t>
      </w:r>
    </w:p>
    <w:p w14:paraId="250CD050"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16. Hernández W, Avendaño S, Godoy F. Factores de riesgo asociados a trastornos musculo esqueléticos en las extremidades superiores en personal de salud. </w:t>
      </w:r>
      <w:proofErr w:type="spellStart"/>
      <w:r w:rsidRPr="00227627">
        <w:rPr>
          <w:lang w:val="es-ES" w:eastAsia="es-ES"/>
        </w:rPr>
        <w:t>Rev</w:t>
      </w:r>
      <w:proofErr w:type="spellEnd"/>
      <w:r w:rsidRPr="00227627">
        <w:rPr>
          <w:lang w:val="es-ES" w:eastAsia="es-ES"/>
        </w:rPr>
        <w:t xml:space="preserve"> de la Aso </w:t>
      </w:r>
      <w:proofErr w:type="spellStart"/>
      <w:r w:rsidRPr="00227627">
        <w:rPr>
          <w:lang w:val="es-ES" w:eastAsia="es-ES"/>
        </w:rPr>
        <w:t>Esp</w:t>
      </w:r>
      <w:proofErr w:type="spellEnd"/>
      <w:r w:rsidRPr="00227627">
        <w:rPr>
          <w:lang w:val="es-ES" w:eastAsia="es-ES"/>
        </w:rPr>
        <w:t xml:space="preserve"> de </w:t>
      </w:r>
      <w:proofErr w:type="spellStart"/>
      <w:r w:rsidRPr="00227627">
        <w:rPr>
          <w:lang w:val="es-ES" w:eastAsia="es-ES"/>
        </w:rPr>
        <w:t>Esps</w:t>
      </w:r>
      <w:proofErr w:type="spellEnd"/>
      <w:r w:rsidRPr="00227627">
        <w:rPr>
          <w:lang w:val="es-ES" w:eastAsia="es-ES"/>
        </w:rPr>
        <w:t xml:space="preserve"> en </w:t>
      </w:r>
      <w:proofErr w:type="spellStart"/>
      <w:r w:rsidRPr="00227627">
        <w:rPr>
          <w:lang w:val="es-ES" w:eastAsia="es-ES"/>
        </w:rPr>
        <w:t>Med</w:t>
      </w:r>
      <w:proofErr w:type="spellEnd"/>
      <w:r w:rsidRPr="00227627">
        <w:rPr>
          <w:lang w:val="es-ES" w:eastAsia="es-ES"/>
        </w:rPr>
        <w:t xml:space="preserve"> del </w:t>
      </w:r>
      <w:proofErr w:type="spellStart"/>
      <w:r w:rsidRPr="00227627">
        <w:rPr>
          <w:lang w:val="es-ES" w:eastAsia="es-ES"/>
        </w:rPr>
        <w:t>Trab</w:t>
      </w:r>
      <w:proofErr w:type="spellEnd"/>
      <w:r w:rsidRPr="00227627">
        <w:rPr>
          <w:lang w:val="es-ES" w:eastAsia="es-ES"/>
        </w:rPr>
        <w:t xml:space="preserve">. 2021 [acceso: 17/10/2022]; 30(3):307-317. Disponible en: </w:t>
      </w:r>
      <w:hyperlink r:id="rId21" w:history="1">
        <w:r w:rsidRPr="00227627">
          <w:rPr>
            <w:color w:val="0000FF"/>
            <w:lang w:val="es-ES" w:eastAsia="es-ES"/>
          </w:rPr>
          <w:t>https://scielo.isciii.es/pdf/medtra/v30n3/1132-6255-medtra-30-03-307.pdf</w:t>
        </w:r>
      </w:hyperlink>
      <w:r w:rsidRPr="00227627">
        <w:rPr>
          <w:lang w:val="es-ES" w:eastAsia="es-ES"/>
        </w:rPr>
        <w:t xml:space="preserve"> </w:t>
      </w:r>
    </w:p>
    <w:p w14:paraId="77A04734"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17. Cárdenas A, García D, Hernández W. Análisis de la relación entre factores laborales y extralaborales con sintomatología osteomuscular en miembros superiores de trabajadores administrativos. Fisioterapia. 2021; 43(4):201-209. </w:t>
      </w:r>
      <w:proofErr w:type="spellStart"/>
      <w:r w:rsidRPr="00227627">
        <w:rPr>
          <w:lang w:val="es-ES" w:eastAsia="es-ES"/>
        </w:rPr>
        <w:t>DOI</w:t>
      </w:r>
      <w:proofErr w:type="spellEnd"/>
      <w:r w:rsidRPr="00227627">
        <w:rPr>
          <w:lang w:val="es-ES" w:eastAsia="es-ES"/>
        </w:rPr>
        <w:t>: 10.1016/</w:t>
      </w:r>
      <w:proofErr w:type="spellStart"/>
      <w:r w:rsidRPr="00227627">
        <w:rPr>
          <w:lang w:val="es-ES" w:eastAsia="es-ES"/>
        </w:rPr>
        <w:t>j.ft.2020.11.003</w:t>
      </w:r>
      <w:proofErr w:type="spellEnd"/>
      <w:r w:rsidRPr="00227627">
        <w:rPr>
          <w:lang w:val="es-ES" w:eastAsia="es-ES"/>
        </w:rPr>
        <w:t xml:space="preserve">   </w:t>
      </w:r>
    </w:p>
    <w:p w14:paraId="5AD8944B"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18. Rodríguez G, Lobato J, Sánchez J, </w:t>
      </w:r>
      <w:proofErr w:type="spellStart"/>
      <w:r w:rsidRPr="00227627">
        <w:rPr>
          <w:lang w:val="es-ES" w:eastAsia="es-ES"/>
        </w:rPr>
        <w:t>Ausó</w:t>
      </w:r>
      <w:proofErr w:type="spellEnd"/>
      <w:r w:rsidRPr="00227627">
        <w:rPr>
          <w:lang w:val="es-ES" w:eastAsia="es-ES"/>
        </w:rPr>
        <w:t xml:space="preserve"> J, Antonio J. Cardona L. Influencia de los requerimientos ergonómicos y recursos preventivos percibidos en el desarrollo de bajas laborales por patología no traumática del hombro. </w:t>
      </w:r>
      <w:proofErr w:type="spellStart"/>
      <w:r w:rsidRPr="00227627">
        <w:rPr>
          <w:lang w:val="es-ES" w:eastAsia="es-ES"/>
        </w:rPr>
        <w:t>Med</w:t>
      </w:r>
      <w:proofErr w:type="spellEnd"/>
      <w:r w:rsidRPr="00227627">
        <w:rPr>
          <w:lang w:val="es-ES" w:eastAsia="es-ES"/>
        </w:rPr>
        <w:t xml:space="preserve"> Segur </w:t>
      </w:r>
      <w:proofErr w:type="spellStart"/>
      <w:r w:rsidRPr="00227627">
        <w:rPr>
          <w:lang w:val="es-ES" w:eastAsia="es-ES"/>
        </w:rPr>
        <w:t>Trab</w:t>
      </w:r>
      <w:proofErr w:type="spellEnd"/>
      <w:r w:rsidRPr="00227627">
        <w:rPr>
          <w:lang w:val="es-ES" w:eastAsia="es-ES"/>
        </w:rPr>
        <w:t xml:space="preserve">. 2019 [acceso: 17/10/2022]; 65(255):101-11. Disponible en: </w:t>
      </w:r>
      <w:hyperlink r:id="rId22" w:history="1">
        <w:r w:rsidRPr="00227627">
          <w:rPr>
            <w:color w:val="0000FF"/>
            <w:lang w:val="es-ES" w:eastAsia="es-ES"/>
          </w:rPr>
          <w:t>https://scielo.isciii.es/scielo.php?script=sci_arttext&amp;pid=S0465-</w:t>
        </w:r>
      </w:hyperlink>
      <w:r w:rsidRPr="00227627">
        <w:rPr>
          <w:lang w:val="es-ES" w:eastAsia="es-ES"/>
        </w:rPr>
        <w:t xml:space="preserve"> </w:t>
      </w:r>
    </w:p>
    <w:p w14:paraId="41BDEB92"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19. Chaves A. Tenosinovitis estenosante del tendón flexor (dedo en resorte). </w:t>
      </w:r>
      <w:proofErr w:type="spellStart"/>
      <w:r w:rsidRPr="00227627">
        <w:rPr>
          <w:lang w:val="es-ES" w:eastAsia="es-ES"/>
        </w:rPr>
        <w:t>Med</w:t>
      </w:r>
      <w:proofErr w:type="spellEnd"/>
      <w:r w:rsidRPr="00227627">
        <w:rPr>
          <w:lang w:val="es-ES" w:eastAsia="es-ES"/>
        </w:rPr>
        <w:t xml:space="preserve"> </w:t>
      </w:r>
      <w:proofErr w:type="spellStart"/>
      <w:r w:rsidRPr="00227627">
        <w:rPr>
          <w:lang w:val="es-ES" w:eastAsia="es-ES"/>
        </w:rPr>
        <w:t>Leg</w:t>
      </w:r>
      <w:proofErr w:type="spellEnd"/>
      <w:r w:rsidRPr="00227627">
        <w:rPr>
          <w:lang w:val="es-ES" w:eastAsia="es-ES"/>
        </w:rPr>
        <w:t xml:space="preserve"> Costa Rica. 2008 [acceso: 17/10/2022]; 25(1):59-65. Disponible en: </w:t>
      </w:r>
      <w:hyperlink r:id="rId23" w:history="1">
        <w:r w:rsidRPr="00227627">
          <w:rPr>
            <w:color w:val="0000FF"/>
            <w:lang w:val="es-ES" w:eastAsia="es-ES"/>
          </w:rPr>
          <w:t>https://www.scielo.sa.cr/pdf/mlcr/v25n1/art7.pdf</w:t>
        </w:r>
      </w:hyperlink>
      <w:r w:rsidRPr="00227627">
        <w:rPr>
          <w:lang w:val="es-ES" w:eastAsia="es-ES"/>
        </w:rPr>
        <w:t xml:space="preserve"> </w:t>
      </w:r>
    </w:p>
    <w:p w14:paraId="2E031037"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20. Garrafa M, García M, </w:t>
      </w:r>
      <w:proofErr w:type="spellStart"/>
      <w:r w:rsidRPr="00227627">
        <w:rPr>
          <w:lang w:val="es-ES" w:eastAsia="es-ES"/>
        </w:rPr>
        <w:t>Sanchez</w:t>
      </w:r>
      <w:proofErr w:type="spellEnd"/>
      <w:r w:rsidRPr="00227627">
        <w:rPr>
          <w:lang w:val="es-ES" w:eastAsia="es-ES"/>
        </w:rPr>
        <w:t xml:space="preserve"> G. Factores de riesgo laboral para tenosinovitis del miembro superior. </w:t>
      </w:r>
      <w:proofErr w:type="spellStart"/>
      <w:r w:rsidRPr="00227627">
        <w:rPr>
          <w:lang w:val="es-ES" w:eastAsia="es-ES"/>
        </w:rPr>
        <w:t>Med</w:t>
      </w:r>
      <w:proofErr w:type="spellEnd"/>
      <w:r w:rsidRPr="00227627">
        <w:rPr>
          <w:lang w:val="es-ES" w:eastAsia="es-ES"/>
        </w:rPr>
        <w:t xml:space="preserve"> segur </w:t>
      </w:r>
      <w:proofErr w:type="spellStart"/>
      <w:r w:rsidRPr="00227627">
        <w:rPr>
          <w:lang w:val="es-ES" w:eastAsia="es-ES"/>
        </w:rPr>
        <w:t>trab</w:t>
      </w:r>
      <w:proofErr w:type="spellEnd"/>
      <w:r w:rsidRPr="00227627">
        <w:rPr>
          <w:lang w:val="es-ES" w:eastAsia="es-ES"/>
        </w:rPr>
        <w:t xml:space="preserve">. 2015 [acceso: 17/10/2022]; 61(241):486-503. Disponible en: </w:t>
      </w:r>
      <w:hyperlink r:id="rId24" w:history="1">
        <w:r w:rsidRPr="00227627">
          <w:rPr>
            <w:color w:val="0000FF"/>
            <w:lang w:val="es-ES" w:eastAsia="es-ES"/>
          </w:rPr>
          <w:t>https://scielo.isciii.es/pdf/mesetra/v61n241/revision.pdf</w:t>
        </w:r>
      </w:hyperlink>
      <w:r w:rsidRPr="00227627">
        <w:rPr>
          <w:lang w:val="es-ES" w:eastAsia="es-ES"/>
        </w:rPr>
        <w:t xml:space="preserve"> </w:t>
      </w:r>
    </w:p>
    <w:p w14:paraId="4691CF18"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21. Morales J, Basilio R, Yovera E. Trastornos musculoesqueléticos y nivel de estrés en trabajadores del servicio de transporte público de Lima. </w:t>
      </w:r>
      <w:proofErr w:type="spellStart"/>
      <w:r w:rsidRPr="00227627">
        <w:rPr>
          <w:lang w:val="es-ES" w:eastAsia="es-ES"/>
        </w:rPr>
        <w:t>Rev</w:t>
      </w:r>
      <w:proofErr w:type="spellEnd"/>
      <w:r w:rsidRPr="00227627">
        <w:rPr>
          <w:lang w:val="es-ES" w:eastAsia="es-ES"/>
        </w:rPr>
        <w:t xml:space="preserve"> de la Aso </w:t>
      </w:r>
      <w:proofErr w:type="spellStart"/>
      <w:r w:rsidRPr="00227627">
        <w:rPr>
          <w:lang w:val="es-ES" w:eastAsia="es-ES"/>
        </w:rPr>
        <w:t>Esp</w:t>
      </w:r>
      <w:proofErr w:type="spellEnd"/>
      <w:r w:rsidRPr="00227627">
        <w:rPr>
          <w:lang w:val="es-ES" w:eastAsia="es-ES"/>
        </w:rPr>
        <w:t xml:space="preserve"> de </w:t>
      </w:r>
      <w:proofErr w:type="spellStart"/>
      <w:r w:rsidRPr="00227627">
        <w:rPr>
          <w:lang w:val="es-ES" w:eastAsia="es-ES"/>
        </w:rPr>
        <w:t>Esps</w:t>
      </w:r>
      <w:proofErr w:type="spellEnd"/>
      <w:r w:rsidRPr="00227627">
        <w:rPr>
          <w:lang w:val="es-ES" w:eastAsia="es-ES"/>
        </w:rPr>
        <w:t xml:space="preserve"> en </w:t>
      </w:r>
      <w:proofErr w:type="spellStart"/>
      <w:r w:rsidRPr="00227627">
        <w:rPr>
          <w:lang w:val="es-ES" w:eastAsia="es-ES"/>
        </w:rPr>
        <w:t>Med</w:t>
      </w:r>
      <w:proofErr w:type="spellEnd"/>
      <w:r w:rsidRPr="00227627">
        <w:rPr>
          <w:lang w:val="es-ES" w:eastAsia="es-ES"/>
        </w:rPr>
        <w:t xml:space="preserve"> del </w:t>
      </w:r>
      <w:proofErr w:type="spellStart"/>
      <w:r w:rsidRPr="00227627">
        <w:rPr>
          <w:lang w:val="es-ES" w:eastAsia="es-ES"/>
        </w:rPr>
        <w:t>Trab</w:t>
      </w:r>
      <w:proofErr w:type="spellEnd"/>
      <w:r w:rsidRPr="00227627">
        <w:rPr>
          <w:lang w:val="es-ES" w:eastAsia="es-ES"/>
        </w:rPr>
        <w:t xml:space="preserve">. 2021 [acceso: 17/10/2022]; 30(1):9-23. Disponible en: </w:t>
      </w:r>
      <w:hyperlink r:id="rId25" w:history="1">
        <w:r w:rsidRPr="00227627">
          <w:rPr>
            <w:color w:val="0000FF"/>
            <w:lang w:val="es-ES" w:eastAsia="es-ES"/>
          </w:rPr>
          <w:t>https://scielo.isciii.es/scielo.php?script=sci_arttext&amp;pid=S1132-62552021000100009</w:t>
        </w:r>
      </w:hyperlink>
      <w:r w:rsidRPr="00227627">
        <w:rPr>
          <w:lang w:val="es-ES" w:eastAsia="es-ES"/>
        </w:rPr>
        <w:t xml:space="preserve"> </w:t>
      </w:r>
    </w:p>
    <w:p w14:paraId="62C29FA3"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22. Noboa L, Iglesias J. Exposición a movimientos repetitivos y su relación con lesiones de mano – muñeca en trabajadores del área de producción de una empresa de fabricación de bolsas de papel de la ciudad de Quito. Revista de Ciencias de Seguridad y Defensa. 2021; 3(4)38. </w:t>
      </w:r>
      <w:proofErr w:type="spellStart"/>
      <w:r w:rsidRPr="00227627">
        <w:rPr>
          <w:lang w:val="es-ES" w:eastAsia="es-ES"/>
        </w:rPr>
        <w:t>DOI</w:t>
      </w:r>
      <w:proofErr w:type="spellEnd"/>
      <w:r w:rsidRPr="00227627">
        <w:rPr>
          <w:lang w:val="es-ES" w:eastAsia="es-ES"/>
        </w:rPr>
        <w:t>: 10.24133/</w:t>
      </w:r>
      <w:proofErr w:type="spellStart"/>
      <w:proofErr w:type="gramStart"/>
      <w:r w:rsidRPr="00227627">
        <w:rPr>
          <w:lang w:val="es-ES" w:eastAsia="es-ES"/>
        </w:rPr>
        <w:t>rcsd.V</w:t>
      </w:r>
      <w:proofErr w:type="gramEnd"/>
      <w:r w:rsidRPr="00227627">
        <w:rPr>
          <w:lang w:val="es-ES" w:eastAsia="es-ES"/>
        </w:rPr>
        <w:t>3N4.2018.09</w:t>
      </w:r>
      <w:proofErr w:type="spellEnd"/>
      <w:r w:rsidRPr="00227627">
        <w:rPr>
          <w:lang w:val="es-ES" w:eastAsia="es-ES"/>
        </w:rPr>
        <w:t xml:space="preserve"> </w:t>
      </w:r>
    </w:p>
    <w:p w14:paraId="5F731AD6"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lastRenderedPageBreak/>
        <w:t xml:space="preserve">23. </w:t>
      </w:r>
      <w:proofErr w:type="spellStart"/>
      <w:r w:rsidRPr="00227627">
        <w:rPr>
          <w:lang w:val="es-ES" w:eastAsia="es-ES"/>
        </w:rPr>
        <w:t>Cánaves</w:t>
      </w:r>
      <w:proofErr w:type="spellEnd"/>
      <w:r w:rsidRPr="00227627">
        <w:rPr>
          <w:lang w:val="es-ES" w:eastAsia="es-ES"/>
        </w:rPr>
        <w:t xml:space="preserve"> Y, Parón L. Síndrome de mano diabética. </w:t>
      </w:r>
      <w:proofErr w:type="spellStart"/>
      <w:r w:rsidRPr="00227627">
        <w:rPr>
          <w:lang w:val="es-ES" w:eastAsia="es-ES"/>
        </w:rPr>
        <w:t>Rev</w:t>
      </w:r>
      <w:proofErr w:type="spellEnd"/>
      <w:r w:rsidRPr="00227627">
        <w:rPr>
          <w:lang w:val="es-ES" w:eastAsia="es-ES"/>
        </w:rPr>
        <w:t xml:space="preserve"> </w:t>
      </w:r>
      <w:proofErr w:type="spellStart"/>
      <w:r w:rsidRPr="00227627">
        <w:rPr>
          <w:lang w:val="es-ES" w:eastAsia="es-ES"/>
        </w:rPr>
        <w:t>Méd</w:t>
      </w:r>
      <w:proofErr w:type="spellEnd"/>
      <w:r w:rsidRPr="00227627">
        <w:rPr>
          <w:lang w:val="es-ES" w:eastAsia="es-ES"/>
        </w:rPr>
        <w:t xml:space="preserve"> Rosario. 2013 [acceso: 17/10/2022]; 79(3):118-125. Disponible en: </w:t>
      </w:r>
      <w:hyperlink r:id="rId26" w:history="1">
        <w:r w:rsidRPr="00227627">
          <w:rPr>
            <w:color w:val="0000FF"/>
            <w:lang w:val="es-ES" w:eastAsia="es-ES"/>
          </w:rPr>
          <w:t>https://pesquisa.bvsalud.org/portal/resource/pt/lil-707382?lang=es</w:t>
        </w:r>
      </w:hyperlink>
      <w:r w:rsidRPr="00227627">
        <w:rPr>
          <w:lang w:val="es-ES" w:eastAsia="es-ES"/>
        </w:rPr>
        <w:t xml:space="preserve">   </w:t>
      </w:r>
    </w:p>
    <w:p w14:paraId="5DD96FCA"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24. García </w:t>
      </w:r>
      <w:proofErr w:type="spellStart"/>
      <w:r w:rsidRPr="00227627">
        <w:rPr>
          <w:lang w:val="es-ES" w:eastAsia="es-ES"/>
        </w:rPr>
        <w:t>García</w:t>
      </w:r>
      <w:proofErr w:type="spellEnd"/>
      <w:r w:rsidRPr="00227627">
        <w:rPr>
          <w:lang w:val="es-ES" w:eastAsia="es-ES"/>
        </w:rPr>
        <w:t xml:space="preserve"> Y, Miranda Betancourt A, Estévez Perera A, Valdés Rodríguez A, Barnés Domínguez JA. Síndrome de la mano diabética, a propósito de tres casos con limitación de la movilidad articular y lesiones complicadas del pie. </w:t>
      </w:r>
      <w:proofErr w:type="spellStart"/>
      <w:r w:rsidRPr="00227627">
        <w:rPr>
          <w:lang w:val="es-ES" w:eastAsia="es-ES"/>
        </w:rPr>
        <w:t>Rev</w:t>
      </w:r>
      <w:proofErr w:type="spellEnd"/>
      <w:r w:rsidRPr="00227627">
        <w:rPr>
          <w:lang w:val="es-ES" w:eastAsia="es-ES"/>
        </w:rPr>
        <w:t xml:space="preserve"> </w:t>
      </w:r>
      <w:proofErr w:type="gramStart"/>
      <w:r w:rsidRPr="00227627">
        <w:rPr>
          <w:lang w:val="es-ES" w:eastAsia="es-ES"/>
        </w:rPr>
        <w:t>Cubana</w:t>
      </w:r>
      <w:proofErr w:type="gramEnd"/>
      <w:r w:rsidRPr="00227627">
        <w:rPr>
          <w:lang w:val="es-ES" w:eastAsia="es-ES"/>
        </w:rPr>
        <w:t xml:space="preserve"> </w:t>
      </w:r>
      <w:proofErr w:type="spellStart"/>
      <w:r w:rsidRPr="00227627">
        <w:rPr>
          <w:lang w:val="es-ES" w:eastAsia="es-ES"/>
        </w:rPr>
        <w:t>Endocrinol</w:t>
      </w:r>
      <w:proofErr w:type="spellEnd"/>
      <w:r w:rsidRPr="00227627">
        <w:rPr>
          <w:lang w:val="es-ES" w:eastAsia="es-ES"/>
        </w:rPr>
        <w:t xml:space="preserve">. 2015 [acceso: 17/10/2022]; 26(1):33-46. Disponible en: </w:t>
      </w:r>
      <w:hyperlink r:id="rId27" w:history="1">
        <w:r w:rsidRPr="00227627">
          <w:rPr>
            <w:color w:val="0000FF"/>
            <w:lang w:val="es-ES" w:eastAsia="es-ES"/>
          </w:rPr>
          <w:t>http://scielo.sld.cu/scielo.php?script=sci_arttext&amp;pid=S1561-php?29532015000100004&amp;Ing=es</w:t>
        </w:r>
      </w:hyperlink>
      <w:r w:rsidRPr="00227627">
        <w:rPr>
          <w:lang w:val="es-ES" w:eastAsia="es-ES"/>
        </w:rPr>
        <w:t xml:space="preserve"> </w:t>
      </w:r>
    </w:p>
    <w:p w14:paraId="79A26F5F" w14:textId="77777777" w:rsidR="00227627" w:rsidRPr="00227627" w:rsidRDefault="00227627" w:rsidP="00227627">
      <w:pPr>
        <w:autoSpaceDE w:val="0"/>
        <w:autoSpaceDN w:val="0"/>
        <w:adjustRightInd w:val="0"/>
        <w:spacing w:line="360" w:lineRule="auto"/>
        <w:rPr>
          <w:lang w:val="es-ES" w:eastAsia="es-ES"/>
        </w:rPr>
      </w:pPr>
      <w:r w:rsidRPr="00227627">
        <w:rPr>
          <w:lang w:val="es-ES" w:eastAsia="es-ES"/>
        </w:rPr>
        <w:t xml:space="preserve">25. </w:t>
      </w:r>
      <w:proofErr w:type="spellStart"/>
      <w:r w:rsidRPr="00227627">
        <w:rPr>
          <w:lang w:val="es-ES" w:eastAsia="es-ES"/>
        </w:rPr>
        <w:t>Renart</w:t>
      </w:r>
      <w:proofErr w:type="spellEnd"/>
      <w:r w:rsidRPr="00227627">
        <w:rPr>
          <w:lang w:val="es-ES" w:eastAsia="es-ES"/>
        </w:rPr>
        <w:t xml:space="preserve"> </w:t>
      </w:r>
      <w:proofErr w:type="spellStart"/>
      <w:r w:rsidRPr="00227627">
        <w:rPr>
          <w:lang w:val="es-ES" w:eastAsia="es-ES"/>
        </w:rPr>
        <w:t>Proubasta</w:t>
      </w:r>
      <w:proofErr w:type="spellEnd"/>
      <w:r w:rsidRPr="00227627">
        <w:rPr>
          <w:lang w:val="es-ES" w:eastAsia="es-ES"/>
        </w:rPr>
        <w:t xml:space="preserve">. La mano diabética. </w:t>
      </w:r>
      <w:proofErr w:type="spellStart"/>
      <w:r w:rsidRPr="00227627">
        <w:rPr>
          <w:lang w:val="es-ES" w:eastAsia="es-ES"/>
        </w:rPr>
        <w:t>Rev</w:t>
      </w:r>
      <w:proofErr w:type="spellEnd"/>
      <w:r w:rsidRPr="00227627">
        <w:rPr>
          <w:lang w:val="es-ES" w:eastAsia="es-ES"/>
        </w:rPr>
        <w:t xml:space="preserve"> </w:t>
      </w:r>
      <w:proofErr w:type="spellStart"/>
      <w:r w:rsidRPr="00227627">
        <w:rPr>
          <w:lang w:val="es-ES" w:eastAsia="es-ES"/>
        </w:rPr>
        <w:t>Iberoam</w:t>
      </w:r>
      <w:proofErr w:type="spellEnd"/>
      <w:r w:rsidRPr="00227627">
        <w:rPr>
          <w:lang w:val="es-ES" w:eastAsia="es-ES"/>
        </w:rPr>
        <w:t xml:space="preserve"> </w:t>
      </w:r>
      <w:proofErr w:type="spellStart"/>
      <w:r w:rsidRPr="00227627">
        <w:rPr>
          <w:lang w:val="es-ES" w:eastAsia="es-ES"/>
        </w:rPr>
        <w:t>Cir</w:t>
      </w:r>
      <w:proofErr w:type="spellEnd"/>
      <w:r w:rsidRPr="00227627">
        <w:rPr>
          <w:lang w:val="es-ES" w:eastAsia="es-ES"/>
        </w:rPr>
        <w:t xml:space="preserve"> Mano. 2015; 43(2):135-141. </w:t>
      </w:r>
      <w:proofErr w:type="spellStart"/>
      <w:r w:rsidRPr="00227627">
        <w:rPr>
          <w:lang w:val="es-ES" w:eastAsia="es-ES"/>
        </w:rPr>
        <w:t>DOI</w:t>
      </w:r>
      <w:proofErr w:type="spellEnd"/>
      <w:r w:rsidRPr="00227627">
        <w:rPr>
          <w:lang w:val="es-ES" w:eastAsia="es-ES"/>
        </w:rPr>
        <w:t>: 10.1016/</w:t>
      </w:r>
      <w:proofErr w:type="spellStart"/>
      <w:r w:rsidRPr="00227627">
        <w:rPr>
          <w:lang w:val="es-ES" w:eastAsia="es-ES"/>
        </w:rPr>
        <w:t>j.ricma.2015.09.001</w:t>
      </w:r>
      <w:proofErr w:type="spellEnd"/>
      <w:r w:rsidRPr="00227627">
        <w:rPr>
          <w:lang w:val="es-ES" w:eastAsia="es-ES"/>
        </w:rPr>
        <w:t xml:space="preserve"> </w:t>
      </w:r>
    </w:p>
    <w:p w14:paraId="67978B4B" w14:textId="77777777" w:rsidR="00227627" w:rsidRPr="00227627" w:rsidRDefault="00227627" w:rsidP="00227627">
      <w:pPr>
        <w:autoSpaceDE w:val="0"/>
        <w:autoSpaceDN w:val="0"/>
        <w:adjustRightInd w:val="0"/>
        <w:spacing w:line="360" w:lineRule="auto"/>
        <w:jc w:val="both"/>
        <w:rPr>
          <w:lang w:val="es-ES" w:eastAsia="es-ES"/>
        </w:rPr>
      </w:pPr>
    </w:p>
    <w:p w14:paraId="3BC798C8" w14:textId="77777777" w:rsidR="00227627" w:rsidRPr="00227627" w:rsidRDefault="00227627" w:rsidP="00227627">
      <w:pPr>
        <w:autoSpaceDE w:val="0"/>
        <w:autoSpaceDN w:val="0"/>
        <w:adjustRightInd w:val="0"/>
        <w:spacing w:line="360" w:lineRule="auto"/>
        <w:jc w:val="center"/>
        <w:rPr>
          <w:b/>
          <w:lang w:val="es-ES" w:eastAsia="es-ES"/>
        </w:rPr>
      </w:pPr>
    </w:p>
    <w:p w14:paraId="733D1701" w14:textId="77777777" w:rsidR="00227627" w:rsidRPr="00227627" w:rsidRDefault="00227627" w:rsidP="00227627">
      <w:pPr>
        <w:autoSpaceDE w:val="0"/>
        <w:autoSpaceDN w:val="0"/>
        <w:adjustRightInd w:val="0"/>
        <w:spacing w:line="360" w:lineRule="auto"/>
        <w:jc w:val="center"/>
        <w:rPr>
          <w:b/>
          <w:lang w:val="es-ES" w:eastAsia="es-ES"/>
        </w:rPr>
      </w:pPr>
      <w:r w:rsidRPr="00227627">
        <w:rPr>
          <w:b/>
          <w:lang w:val="es-ES" w:eastAsia="es-ES"/>
        </w:rPr>
        <w:t>Conflictos de interés</w:t>
      </w:r>
    </w:p>
    <w:p w14:paraId="09A88637" w14:textId="77777777" w:rsidR="00227627" w:rsidRPr="00227627" w:rsidRDefault="00227627" w:rsidP="00227627">
      <w:pPr>
        <w:autoSpaceDE w:val="0"/>
        <w:autoSpaceDN w:val="0"/>
        <w:adjustRightInd w:val="0"/>
        <w:spacing w:line="360" w:lineRule="auto"/>
        <w:jc w:val="both"/>
        <w:rPr>
          <w:lang w:val="es-ES" w:eastAsia="es-ES"/>
        </w:rPr>
      </w:pPr>
      <w:r w:rsidRPr="00227627">
        <w:rPr>
          <w:lang w:val="es-ES" w:eastAsia="es-ES"/>
        </w:rPr>
        <w:t>Los autores declaran la inexistencia de conflicto de interés.</w:t>
      </w:r>
    </w:p>
    <w:p w14:paraId="2131A168" w14:textId="77777777" w:rsidR="00227627" w:rsidRPr="00227627" w:rsidRDefault="00227627" w:rsidP="00227627">
      <w:pPr>
        <w:autoSpaceDE w:val="0"/>
        <w:autoSpaceDN w:val="0"/>
        <w:adjustRightInd w:val="0"/>
        <w:spacing w:line="360" w:lineRule="auto"/>
        <w:jc w:val="both"/>
        <w:rPr>
          <w:lang w:val="es-ES" w:eastAsia="es-ES"/>
        </w:rPr>
      </w:pPr>
    </w:p>
    <w:p w14:paraId="0809D9D1" w14:textId="77777777" w:rsidR="00227627" w:rsidRPr="00227627" w:rsidRDefault="00227627" w:rsidP="00227627">
      <w:pPr>
        <w:autoSpaceDE w:val="0"/>
        <w:autoSpaceDN w:val="0"/>
        <w:adjustRightInd w:val="0"/>
        <w:spacing w:line="360" w:lineRule="auto"/>
        <w:jc w:val="center"/>
        <w:rPr>
          <w:b/>
          <w:bCs/>
          <w:iCs/>
          <w:lang w:val="es-ES" w:eastAsia="es-ES"/>
        </w:rPr>
      </w:pPr>
      <w:r w:rsidRPr="00227627">
        <w:rPr>
          <w:b/>
          <w:bCs/>
          <w:iCs/>
          <w:lang w:val="es-ES" w:eastAsia="es-ES"/>
        </w:rPr>
        <w:t>Contribuciones de los autores</w:t>
      </w:r>
    </w:p>
    <w:p w14:paraId="7CF5E1E4" w14:textId="77777777" w:rsidR="00227627" w:rsidRPr="00227627" w:rsidRDefault="00227627" w:rsidP="00227627">
      <w:pPr>
        <w:autoSpaceDE w:val="0"/>
        <w:autoSpaceDN w:val="0"/>
        <w:adjustRightInd w:val="0"/>
        <w:spacing w:line="360" w:lineRule="auto"/>
        <w:jc w:val="both"/>
        <w:rPr>
          <w:iCs/>
          <w:lang w:val="es-ES" w:eastAsia="es-ES"/>
        </w:rPr>
      </w:pPr>
      <w:r w:rsidRPr="00227627">
        <w:rPr>
          <w:iCs/>
          <w:lang w:val="es-ES" w:eastAsia="es-ES"/>
        </w:rPr>
        <w:t xml:space="preserve">Conceptualización: </w:t>
      </w:r>
      <w:r w:rsidRPr="00227627">
        <w:rPr>
          <w:i/>
          <w:iCs/>
          <w:lang w:val="es-ES" w:eastAsia="es-ES"/>
        </w:rPr>
        <w:t xml:space="preserve">Lázaro Ernesto Horta-Martínez, Melissa </w:t>
      </w:r>
      <w:proofErr w:type="spellStart"/>
      <w:r w:rsidRPr="00227627">
        <w:rPr>
          <w:i/>
          <w:iCs/>
          <w:lang w:val="es-ES" w:eastAsia="es-ES"/>
        </w:rPr>
        <w:t>Sorá</w:t>
      </w:r>
      <w:proofErr w:type="spellEnd"/>
      <w:r w:rsidRPr="00227627">
        <w:rPr>
          <w:i/>
          <w:iCs/>
          <w:lang w:val="es-ES" w:eastAsia="es-ES"/>
        </w:rPr>
        <w:t xml:space="preserve">-Rodríguez, </w:t>
      </w:r>
      <w:proofErr w:type="spellStart"/>
      <w:r w:rsidRPr="00227627">
        <w:rPr>
          <w:i/>
          <w:iCs/>
          <w:lang w:val="es-ES" w:eastAsia="es-ES"/>
        </w:rPr>
        <w:t>Hector</w:t>
      </w:r>
      <w:proofErr w:type="spellEnd"/>
      <w:r w:rsidRPr="00227627">
        <w:rPr>
          <w:i/>
          <w:iCs/>
          <w:lang w:val="es-ES" w:eastAsia="es-ES"/>
        </w:rPr>
        <w:t xml:space="preserve"> Julio Piñera-Castro.</w:t>
      </w:r>
    </w:p>
    <w:p w14:paraId="7FE7E627" w14:textId="77777777" w:rsidR="00227627" w:rsidRPr="00227627" w:rsidRDefault="00227627" w:rsidP="00227627">
      <w:pPr>
        <w:autoSpaceDE w:val="0"/>
        <w:autoSpaceDN w:val="0"/>
        <w:adjustRightInd w:val="0"/>
        <w:spacing w:line="360" w:lineRule="auto"/>
        <w:jc w:val="both"/>
        <w:rPr>
          <w:iCs/>
          <w:lang w:val="es-ES" w:eastAsia="es-ES"/>
        </w:rPr>
      </w:pPr>
      <w:r w:rsidRPr="00227627">
        <w:rPr>
          <w:iCs/>
          <w:lang w:val="es-ES" w:eastAsia="es-ES"/>
        </w:rPr>
        <w:t xml:space="preserve">Curación de datos: </w:t>
      </w:r>
      <w:r w:rsidRPr="00227627">
        <w:rPr>
          <w:i/>
          <w:iCs/>
          <w:lang w:val="es-ES" w:eastAsia="es-ES"/>
        </w:rPr>
        <w:t xml:space="preserve">Lázaro Ernesto Horta-Martínez, Melissa </w:t>
      </w:r>
      <w:proofErr w:type="spellStart"/>
      <w:r w:rsidRPr="00227627">
        <w:rPr>
          <w:i/>
          <w:iCs/>
          <w:lang w:val="es-ES" w:eastAsia="es-ES"/>
        </w:rPr>
        <w:t>Sorá</w:t>
      </w:r>
      <w:proofErr w:type="spellEnd"/>
      <w:r w:rsidRPr="00227627">
        <w:rPr>
          <w:i/>
          <w:iCs/>
          <w:lang w:val="es-ES" w:eastAsia="es-ES"/>
        </w:rPr>
        <w:t xml:space="preserve">-Rodríguez, </w:t>
      </w:r>
      <w:proofErr w:type="spellStart"/>
      <w:r w:rsidRPr="00227627">
        <w:rPr>
          <w:i/>
          <w:iCs/>
          <w:lang w:val="es-ES" w:eastAsia="es-ES"/>
        </w:rPr>
        <w:t>Hector</w:t>
      </w:r>
      <w:proofErr w:type="spellEnd"/>
      <w:r w:rsidRPr="00227627">
        <w:rPr>
          <w:i/>
          <w:iCs/>
          <w:lang w:val="es-ES" w:eastAsia="es-ES"/>
        </w:rPr>
        <w:t xml:space="preserve"> Julio Piñera-Castro.</w:t>
      </w:r>
    </w:p>
    <w:p w14:paraId="7E756FF5" w14:textId="77777777" w:rsidR="00227627" w:rsidRPr="00227627" w:rsidRDefault="00227627" w:rsidP="00227627">
      <w:pPr>
        <w:autoSpaceDE w:val="0"/>
        <w:autoSpaceDN w:val="0"/>
        <w:adjustRightInd w:val="0"/>
        <w:spacing w:line="360" w:lineRule="auto"/>
        <w:jc w:val="both"/>
        <w:rPr>
          <w:iCs/>
          <w:lang w:val="es-ES" w:eastAsia="es-ES"/>
        </w:rPr>
      </w:pPr>
      <w:r w:rsidRPr="00227627">
        <w:rPr>
          <w:iCs/>
          <w:lang w:val="es-ES" w:eastAsia="es-ES"/>
        </w:rPr>
        <w:t xml:space="preserve">Análisis formal: </w:t>
      </w:r>
      <w:r w:rsidRPr="00227627">
        <w:rPr>
          <w:i/>
          <w:iCs/>
          <w:lang w:val="es-ES" w:eastAsia="es-ES"/>
        </w:rPr>
        <w:t xml:space="preserve">Lázaro Ernesto Horta-Martínez, Melissa </w:t>
      </w:r>
      <w:proofErr w:type="spellStart"/>
      <w:r w:rsidRPr="00227627">
        <w:rPr>
          <w:i/>
          <w:iCs/>
          <w:lang w:val="es-ES" w:eastAsia="es-ES"/>
        </w:rPr>
        <w:t>Sorá</w:t>
      </w:r>
      <w:proofErr w:type="spellEnd"/>
      <w:r w:rsidRPr="00227627">
        <w:rPr>
          <w:i/>
          <w:iCs/>
          <w:lang w:val="es-ES" w:eastAsia="es-ES"/>
        </w:rPr>
        <w:t xml:space="preserve">-Rodríguez, </w:t>
      </w:r>
      <w:proofErr w:type="spellStart"/>
      <w:r w:rsidRPr="00227627">
        <w:rPr>
          <w:i/>
          <w:iCs/>
          <w:lang w:val="es-ES" w:eastAsia="es-ES"/>
        </w:rPr>
        <w:t>Hector</w:t>
      </w:r>
      <w:proofErr w:type="spellEnd"/>
      <w:r w:rsidRPr="00227627">
        <w:rPr>
          <w:i/>
          <w:iCs/>
          <w:lang w:val="es-ES" w:eastAsia="es-ES"/>
        </w:rPr>
        <w:t xml:space="preserve"> Julio Piñera-Castro.</w:t>
      </w:r>
    </w:p>
    <w:p w14:paraId="7A550BB4" w14:textId="77777777" w:rsidR="00227627" w:rsidRPr="00227627" w:rsidRDefault="00227627" w:rsidP="00227627">
      <w:pPr>
        <w:autoSpaceDE w:val="0"/>
        <w:autoSpaceDN w:val="0"/>
        <w:adjustRightInd w:val="0"/>
        <w:spacing w:line="360" w:lineRule="auto"/>
        <w:jc w:val="both"/>
        <w:rPr>
          <w:iCs/>
          <w:lang w:val="es-ES" w:eastAsia="es-ES"/>
        </w:rPr>
      </w:pPr>
      <w:r w:rsidRPr="00227627">
        <w:rPr>
          <w:iCs/>
          <w:lang w:val="es-ES" w:eastAsia="es-ES"/>
        </w:rPr>
        <w:t xml:space="preserve">Investigación: </w:t>
      </w:r>
      <w:r w:rsidRPr="00227627">
        <w:rPr>
          <w:i/>
          <w:iCs/>
          <w:lang w:val="es-ES" w:eastAsia="es-ES"/>
        </w:rPr>
        <w:t xml:space="preserve">Lázaro Ernesto Horta-Martínez, Melissa </w:t>
      </w:r>
      <w:proofErr w:type="spellStart"/>
      <w:r w:rsidRPr="00227627">
        <w:rPr>
          <w:i/>
          <w:iCs/>
          <w:lang w:val="es-ES" w:eastAsia="es-ES"/>
        </w:rPr>
        <w:t>Sorá</w:t>
      </w:r>
      <w:proofErr w:type="spellEnd"/>
      <w:r w:rsidRPr="00227627">
        <w:rPr>
          <w:i/>
          <w:iCs/>
          <w:lang w:val="es-ES" w:eastAsia="es-ES"/>
        </w:rPr>
        <w:t xml:space="preserve">-Rodríguez, </w:t>
      </w:r>
      <w:proofErr w:type="spellStart"/>
      <w:r w:rsidRPr="00227627">
        <w:rPr>
          <w:i/>
          <w:iCs/>
          <w:lang w:val="es-ES" w:eastAsia="es-ES"/>
        </w:rPr>
        <w:t>Hector</w:t>
      </w:r>
      <w:proofErr w:type="spellEnd"/>
      <w:r w:rsidRPr="00227627">
        <w:rPr>
          <w:i/>
          <w:iCs/>
          <w:lang w:val="es-ES" w:eastAsia="es-ES"/>
        </w:rPr>
        <w:t xml:space="preserve"> Julio Piñera-Castro.</w:t>
      </w:r>
    </w:p>
    <w:p w14:paraId="2BAEE26A" w14:textId="77777777" w:rsidR="00227627" w:rsidRPr="00227627" w:rsidRDefault="00227627" w:rsidP="00227627">
      <w:pPr>
        <w:autoSpaceDE w:val="0"/>
        <w:autoSpaceDN w:val="0"/>
        <w:adjustRightInd w:val="0"/>
        <w:spacing w:line="360" w:lineRule="auto"/>
        <w:jc w:val="both"/>
        <w:rPr>
          <w:iCs/>
          <w:lang w:val="es-ES" w:eastAsia="es-ES"/>
        </w:rPr>
      </w:pPr>
      <w:r w:rsidRPr="00227627">
        <w:rPr>
          <w:iCs/>
          <w:lang w:val="es-ES" w:eastAsia="es-ES"/>
        </w:rPr>
        <w:t xml:space="preserve">Metodología: </w:t>
      </w:r>
      <w:r w:rsidRPr="00227627">
        <w:rPr>
          <w:i/>
          <w:iCs/>
          <w:lang w:val="es-ES" w:eastAsia="es-ES"/>
        </w:rPr>
        <w:t xml:space="preserve">Lázaro Ernesto Horta-Martínez, Melissa </w:t>
      </w:r>
      <w:proofErr w:type="spellStart"/>
      <w:r w:rsidRPr="00227627">
        <w:rPr>
          <w:i/>
          <w:iCs/>
          <w:lang w:val="es-ES" w:eastAsia="es-ES"/>
        </w:rPr>
        <w:t>Sorá</w:t>
      </w:r>
      <w:proofErr w:type="spellEnd"/>
      <w:r w:rsidRPr="00227627">
        <w:rPr>
          <w:i/>
          <w:iCs/>
          <w:lang w:val="es-ES" w:eastAsia="es-ES"/>
        </w:rPr>
        <w:t xml:space="preserve">-Rodríguez, </w:t>
      </w:r>
      <w:proofErr w:type="spellStart"/>
      <w:r w:rsidRPr="00227627">
        <w:rPr>
          <w:i/>
          <w:iCs/>
          <w:lang w:val="es-ES" w:eastAsia="es-ES"/>
        </w:rPr>
        <w:t>Hector</w:t>
      </w:r>
      <w:proofErr w:type="spellEnd"/>
      <w:r w:rsidRPr="00227627">
        <w:rPr>
          <w:i/>
          <w:iCs/>
          <w:lang w:val="es-ES" w:eastAsia="es-ES"/>
        </w:rPr>
        <w:t xml:space="preserve"> Julio Piñera-Castro.</w:t>
      </w:r>
    </w:p>
    <w:p w14:paraId="6F30D73E" w14:textId="77777777" w:rsidR="00227627" w:rsidRPr="00227627" w:rsidRDefault="00227627" w:rsidP="00227627">
      <w:pPr>
        <w:autoSpaceDE w:val="0"/>
        <w:autoSpaceDN w:val="0"/>
        <w:adjustRightInd w:val="0"/>
        <w:spacing w:line="360" w:lineRule="auto"/>
        <w:jc w:val="both"/>
        <w:rPr>
          <w:iCs/>
          <w:lang w:val="es-ES" w:eastAsia="es-ES"/>
        </w:rPr>
      </w:pPr>
      <w:r w:rsidRPr="00227627">
        <w:rPr>
          <w:iCs/>
          <w:lang w:val="es-ES" w:eastAsia="es-ES"/>
        </w:rPr>
        <w:t xml:space="preserve">Administración del proyecto: </w:t>
      </w:r>
      <w:r w:rsidRPr="00227627">
        <w:rPr>
          <w:i/>
          <w:iCs/>
          <w:lang w:val="es-ES" w:eastAsia="es-ES"/>
        </w:rPr>
        <w:t xml:space="preserve">Lázaro Ernesto Horta-Martínez, Melissa </w:t>
      </w:r>
      <w:proofErr w:type="spellStart"/>
      <w:r w:rsidRPr="00227627">
        <w:rPr>
          <w:i/>
          <w:iCs/>
          <w:lang w:val="es-ES" w:eastAsia="es-ES"/>
        </w:rPr>
        <w:t>Sorá</w:t>
      </w:r>
      <w:proofErr w:type="spellEnd"/>
      <w:r w:rsidRPr="00227627">
        <w:rPr>
          <w:i/>
          <w:iCs/>
          <w:lang w:val="es-ES" w:eastAsia="es-ES"/>
        </w:rPr>
        <w:t xml:space="preserve">-Rodríguez, </w:t>
      </w:r>
      <w:proofErr w:type="spellStart"/>
      <w:r w:rsidRPr="00227627">
        <w:rPr>
          <w:i/>
          <w:iCs/>
          <w:lang w:val="es-ES" w:eastAsia="es-ES"/>
        </w:rPr>
        <w:t>Hector</w:t>
      </w:r>
      <w:proofErr w:type="spellEnd"/>
      <w:r w:rsidRPr="00227627">
        <w:rPr>
          <w:i/>
          <w:iCs/>
          <w:lang w:val="es-ES" w:eastAsia="es-ES"/>
        </w:rPr>
        <w:t xml:space="preserve"> Julio Piñera-Castro.</w:t>
      </w:r>
    </w:p>
    <w:p w14:paraId="3FBE6474" w14:textId="77777777" w:rsidR="00227627" w:rsidRPr="00227627" w:rsidRDefault="00227627" w:rsidP="00227627">
      <w:pPr>
        <w:autoSpaceDE w:val="0"/>
        <w:autoSpaceDN w:val="0"/>
        <w:adjustRightInd w:val="0"/>
        <w:spacing w:line="360" w:lineRule="auto"/>
        <w:jc w:val="both"/>
        <w:rPr>
          <w:iCs/>
          <w:lang w:val="es-ES" w:eastAsia="es-ES"/>
        </w:rPr>
      </w:pPr>
      <w:r w:rsidRPr="00227627">
        <w:rPr>
          <w:iCs/>
          <w:lang w:val="es-ES" w:eastAsia="es-ES"/>
        </w:rPr>
        <w:t xml:space="preserve">Validación: </w:t>
      </w:r>
      <w:r w:rsidRPr="00227627">
        <w:rPr>
          <w:i/>
          <w:iCs/>
          <w:lang w:val="es-ES" w:eastAsia="es-ES"/>
        </w:rPr>
        <w:t xml:space="preserve">Lázaro Ernesto Horta-Martínez, </w:t>
      </w:r>
      <w:proofErr w:type="spellStart"/>
      <w:r w:rsidRPr="00227627">
        <w:rPr>
          <w:i/>
          <w:iCs/>
          <w:lang w:val="es-ES" w:eastAsia="es-ES"/>
        </w:rPr>
        <w:t>Hector</w:t>
      </w:r>
      <w:proofErr w:type="spellEnd"/>
      <w:r w:rsidRPr="00227627">
        <w:rPr>
          <w:i/>
          <w:iCs/>
          <w:lang w:val="es-ES" w:eastAsia="es-ES"/>
        </w:rPr>
        <w:t xml:space="preserve"> Julio Piñera-Castro.</w:t>
      </w:r>
    </w:p>
    <w:p w14:paraId="06208498" w14:textId="77777777" w:rsidR="00227627" w:rsidRPr="00227627" w:rsidRDefault="00227627" w:rsidP="00227627">
      <w:pPr>
        <w:autoSpaceDE w:val="0"/>
        <w:autoSpaceDN w:val="0"/>
        <w:adjustRightInd w:val="0"/>
        <w:spacing w:line="360" w:lineRule="auto"/>
        <w:jc w:val="both"/>
        <w:rPr>
          <w:iCs/>
          <w:lang w:val="es-ES" w:eastAsia="es-ES"/>
        </w:rPr>
      </w:pPr>
      <w:r w:rsidRPr="00227627">
        <w:rPr>
          <w:iCs/>
          <w:lang w:val="es-ES" w:eastAsia="es-ES"/>
        </w:rPr>
        <w:t xml:space="preserve">Redacción – borrador original: </w:t>
      </w:r>
      <w:r w:rsidRPr="00227627">
        <w:rPr>
          <w:i/>
          <w:iCs/>
          <w:lang w:val="es-ES" w:eastAsia="es-ES"/>
        </w:rPr>
        <w:t xml:space="preserve">Lázaro Ernesto Horta-Martínez, Melissa </w:t>
      </w:r>
      <w:proofErr w:type="spellStart"/>
      <w:r w:rsidRPr="00227627">
        <w:rPr>
          <w:i/>
          <w:iCs/>
          <w:lang w:val="es-ES" w:eastAsia="es-ES"/>
        </w:rPr>
        <w:t>Sorá</w:t>
      </w:r>
      <w:proofErr w:type="spellEnd"/>
      <w:r w:rsidRPr="00227627">
        <w:rPr>
          <w:i/>
          <w:iCs/>
          <w:lang w:val="es-ES" w:eastAsia="es-ES"/>
        </w:rPr>
        <w:t xml:space="preserve">-Rodríguez, </w:t>
      </w:r>
      <w:proofErr w:type="spellStart"/>
      <w:r w:rsidRPr="00227627">
        <w:rPr>
          <w:i/>
          <w:iCs/>
          <w:lang w:val="es-ES" w:eastAsia="es-ES"/>
        </w:rPr>
        <w:t>Hector</w:t>
      </w:r>
      <w:proofErr w:type="spellEnd"/>
      <w:r w:rsidRPr="00227627">
        <w:rPr>
          <w:i/>
          <w:iCs/>
          <w:lang w:val="es-ES" w:eastAsia="es-ES"/>
        </w:rPr>
        <w:t xml:space="preserve"> Julio Piñera-Castro.</w:t>
      </w:r>
    </w:p>
    <w:p w14:paraId="288B7584" w14:textId="77777777" w:rsidR="00227627" w:rsidRPr="00227627" w:rsidRDefault="00227627" w:rsidP="00227627">
      <w:pPr>
        <w:autoSpaceDE w:val="0"/>
        <w:autoSpaceDN w:val="0"/>
        <w:adjustRightInd w:val="0"/>
        <w:spacing w:line="360" w:lineRule="auto"/>
        <w:jc w:val="both"/>
        <w:rPr>
          <w:iCs/>
          <w:lang w:val="es-ES" w:eastAsia="es-ES"/>
        </w:rPr>
      </w:pPr>
      <w:r w:rsidRPr="00227627">
        <w:rPr>
          <w:iCs/>
          <w:lang w:val="es-ES" w:eastAsia="es-ES"/>
        </w:rPr>
        <w:lastRenderedPageBreak/>
        <w:t xml:space="preserve">Redacción – revisión y edición: </w:t>
      </w:r>
      <w:r w:rsidRPr="00227627">
        <w:rPr>
          <w:i/>
          <w:iCs/>
          <w:lang w:val="es-ES" w:eastAsia="es-ES"/>
        </w:rPr>
        <w:t xml:space="preserve">Lázaro Ernesto Horta-Martínez, Melissa </w:t>
      </w:r>
      <w:proofErr w:type="spellStart"/>
      <w:r w:rsidRPr="00227627">
        <w:rPr>
          <w:i/>
          <w:iCs/>
          <w:lang w:val="es-ES" w:eastAsia="es-ES"/>
        </w:rPr>
        <w:t>Sorá</w:t>
      </w:r>
      <w:proofErr w:type="spellEnd"/>
      <w:r w:rsidRPr="00227627">
        <w:rPr>
          <w:i/>
          <w:iCs/>
          <w:lang w:val="es-ES" w:eastAsia="es-ES"/>
        </w:rPr>
        <w:t xml:space="preserve">-Rodríguez, </w:t>
      </w:r>
      <w:proofErr w:type="spellStart"/>
      <w:r w:rsidRPr="00227627">
        <w:rPr>
          <w:i/>
          <w:iCs/>
          <w:lang w:val="es-ES" w:eastAsia="es-ES"/>
        </w:rPr>
        <w:t>Hector</w:t>
      </w:r>
      <w:proofErr w:type="spellEnd"/>
      <w:r w:rsidRPr="00227627">
        <w:rPr>
          <w:i/>
          <w:iCs/>
          <w:lang w:val="es-ES" w:eastAsia="es-ES"/>
        </w:rPr>
        <w:t xml:space="preserve"> Julio Piñera-Castro.</w:t>
      </w:r>
    </w:p>
    <w:p w14:paraId="09280892" w14:textId="77777777" w:rsidR="00227627" w:rsidRPr="00227627" w:rsidRDefault="00227627" w:rsidP="00227627">
      <w:pPr>
        <w:autoSpaceDE w:val="0"/>
        <w:autoSpaceDN w:val="0"/>
        <w:adjustRightInd w:val="0"/>
        <w:spacing w:line="360" w:lineRule="auto"/>
        <w:jc w:val="both"/>
        <w:rPr>
          <w:iCs/>
          <w:lang w:val="es-ES" w:eastAsia="es-ES"/>
        </w:rPr>
      </w:pPr>
    </w:p>
    <w:p w14:paraId="798B10EE" w14:textId="77777777" w:rsidR="00675476" w:rsidRPr="00227627" w:rsidRDefault="00675476" w:rsidP="00EA1FEF">
      <w:pPr>
        <w:pStyle w:val="PDFRevista"/>
        <w:rPr>
          <w:lang w:val="es-ES"/>
        </w:rPr>
      </w:pPr>
    </w:p>
    <w:sectPr w:rsidR="00675476" w:rsidRPr="00227627"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F818C" w14:textId="77777777" w:rsidR="00354558" w:rsidRDefault="00354558">
      <w:r>
        <w:separator/>
      </w:r>
    </w:p>
  </w:endnote>
  <w:endnote w:type="continuationSeparator" w:id="0">
    <w:p w14:paraId="2B723502" w14:textId="77777777" w:rsidR="00354558" w:rsidRDefault="0035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C8F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E6668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F247" w14:textId="27B5595A" w:rsidR="000F3690" w:rsidRPr="00AE044C" w:rsidRDefault="00227627"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62D6165" wp14:editId="1EA7D57A">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911A76"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C3D7F2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E441AFD"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5CC469C" w14:textId="0111759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227627" w:rsidRPr="00227627">
      <w:rPr>
        <w:rFonts w:ascii="Verdana" w:hAnsi="Verdana"/>
        <w:noProof/>
        <w:sz w:val="18"/>
        <w:szCs w:val="18"/>
        <w:lang w:val="en-US" w:eastAsia="en-US"/>
      </w:rPr>
      <w:drawing>
        <wp:inline distT="0" distB="0" distL="0" distR="0" wp14:anchorId="75FE496A" wp14:editId="2C9F9485">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AEF1" w14:textId="77777777" w:rsidR="00354558" w:rsidRDefault="00354558">
      <w:r>
        <w:separator/>
      </w:r>
    </w:p>
  </w:footnote>
  <w:footnote w:type="continuationSeparator" w:id="0">
    <w:p w14:paraId="76DD1EED" w14:textId="77777777" w:rsidR="00354558" w:rsidRDefault="00354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2CA3" w14:textId="00B28486" w:rsidR="00CC376A" w:rsidRPr="00AE044C" w:rsidRDefault="00227627"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02302734</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10DD1DB" wp14:editId="4F6C16C6">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21DF6" w14:textId="1AF71210" w:rsidR="00A477DE" w:rsidRDefault="00227627">
    <w:r>
      <w:rPr>
        <w:noProof/>
      </w:rPr>
      <mc:AlternateContent>
        <mc:Choice Requires="wps">
          <w:drawing>
            <wp:anchor distT="0" distB="0" distL="114300" distR="114300" simplePos="0" relativeHeight="251654144" behindDoc="0" locked="0" layoutInCell="1" allowOverlap="1" wp14:anchorId="7A388AAF" wp14:editId="72575224">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E2DFA0"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6AB"/>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167B95"/>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A848D7"/>
    <w:multiLevelType w:val="hybridMultilevel"/>
    <w:tmpl w:val="5A084FEC"/>
    <w:lvl w:ilvl="0" w:tplc="DBD07560">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12A8F"/>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A15C29"/>
    <w:multiLevelType w:val="hybridMultilevel"/>
    <w:tmpl w:val="C12ADBC8"/>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13D92F3A"/>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B637FE"/>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F425AF"/>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F33068C"/>
    <w:multiLevelType w:val="hybridMultilevel"/>
    <w:tmpl w:val="CF267A26"/>
    <w:lvl w:ilvl="0" w:tplc="6090C9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E0454"/>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6772D4E"/>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693DA2"/>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BD806D3"/>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D2E45C8"/>
    <w:multiLevelType w:val="hybridMultilevel"/>
    <w:tmpl w:val="E43EB434"/>
    <w:lvl w:ilvl="0" w:tplc="E2F2E6BC">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50F0503"/>
    <w:multiLevelType w:val="hybridMultilevel"/>
    <w:tmpl w:val="C5340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6" w15:restartNumberingAfterBreak="0">
    <w:nsid w:val="51FA2C4C"/>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5B958DA"/>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6E26CA2"/>
    <w:multiLevelType w:val="hybridMultilevel"/>
    <w:tmpl w:val="A6D6CDB4"/>
    <w:lvl w:ilvl="0" w:tplc="6090C9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A01D8"/>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BDE6285"/>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CE60958"/>
    <w:multiLevelType w:val="hybridMultilevel"/>
    <w:tmpl w:val="4454BB94"/>
    <w:lvl w:ilvl="0" w:tplc="CCDC8C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7AF35C3"/>
    <w:multiLevelType w:val="hybridMultilevel"/>
    <w:tmpl w:val="2DE64644"/>
    <w:lvl w:ilvl="0" w:tplc="5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60377617">
    <w:abstractNumId w:val="15"/>
  </w:num>
  <w:num w:numId="2" w16cid:durableId="1726490897">
    <w:abstractNumId w:val="13"/>
  </w:num>
  <w:num w:numId="3" w16cid:durableId="1004626026">
    <w:abstractNumId w:val="16"/>
  </w:num>
  <w:num w:numId="4" w16cid:durableId="511725978">
    <w:abstractNumId w:val="10"/>
  </w:num>
  <w:num w:numId="5" w16cid:durableId="1134908757">
    <w:abstractNumId w:val="17"/>
  </w:num>
  <w:num w:numId="6" w16cid:durableId="1775830586">
    <w:abstractNumId w:val="11"/>
  </w:num>
  <w:num w:numId="7" w16cid:durableId="3477927">
    <w:abstractNumId w:val="9"/>
  </w:num>
  <w:num w:numId="8" w16cid:durableId="1414937286">
    <w:abstractNumId w:val="20"/>
  </w:num>
  <w:num w:numId="9" w16cid:durableId="1989356653">
    <w:abstractNumId w:val="3"/>
  </w:num>
  <w:num w:numId="10" w16cid:durableId="154076418">
    <w:abstractNumId w:val="19"/>
  </w:num>
  <w:num w:numId="11" w16cid:durableId="986395579">
    <w:abstractNumId w:val="6"/>
  </w:num>
  <w:num w:numId="12" w16cid:durableId="1016661854">
    <w:abstractNumId w:val="5"/>
  </w:num>
  <w:num w:numId="13" w16cid:durableId="1494490568">
    <w:abstractNumId w:val="21"/>
  </w:num>
  <w:num w:numId="14" w16cid:durableId="796262549">
    <w:abstractNumId w:val="7"/>
  </w:num>
  <w:num w:numId="15" w16cid:durableId="42674861">
    <w:abstractNumId w:val="0"/>
  </w:num>
  <w:num w:numId="16" w16cid:durableId="1595821436">
    <w:abstractNumId w:val="1"/>
  </w:num>
  <w:num w:numId="17" w16cid:durableId="1683893302">
    <w:abstractNumId w:val="12"/>
  </w:num>
  <w:num w:numId="18" w16cid:durableId="1237057862">
    <w:abstractNumId w:val="18"/>
  </w:num>
  <w:num w:numId="19" w16cid:durableId="425271990">
    <w:abstractNumId w:val="2"/>
  </w:num>
  <w:num w:numId="20" w16cid:durableId="1716192503">
    <w:abstractNumId w:val="14"/>
  </w:num>
  <w:num w:numId="21" w16cid:durableId="432433233">
    <w:abstractNumId w:val="8"/>
  </w:num>
  <w:num w:numId="22" w16cid:durableId="849487385">
    <w:abstractNumId w:val="4"/>
  </w:num>
  <w:num w:numId="23" w16cid:durableId="14186013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27"/>
    <w:rsid w:val="00057F45"/>
    <w:rsid w:val="000D3958"/>
    <w:rsid w:val="000F3690"/>
    <w:rsid w:val="001221D1"/>
    <w:rsid w:val="00165CB5"/>
    <w:rsid w:val="00173CDD"/>
    <w:rsid w:val="00180CE9"/>
    <w:rsid w:val="00227627"/>
    <w:rsid w:val="00230DD5"/>
    <w:rsid w:val="00250AE9"/>
    <w:rsid w:val="00354558"/>
    <w:rsid w:val="00362286"/>
    <w:rsid w:val="00380D64"/>
    <w:rsid w:val="00391509"/>
    <w:rsid w:val="003E03D5"/>
    <w:rsid w:val="00486BFA"/>
    <w:rsid w:val="00493701"/>
    <w:rsid w:val="004E2065"/>
    <w:rsid w:val="005508A2"/>
    <w:rsid w:val="0055115D"/>
    <w:rsid w:val="00566F71"/>
    <w:rsid w:val="005918BD"/>
    <w:rsid w:val="006173A6"/>
    <w:rsid w:val="00675476"/>
    <w:rsid w:val="00794EC9"/>
    <w:rsid w:val="007C430F"/>
    <w:rsid w:val="007D2D0C"/>
    <w:rsid w:val="007D614D"/>
    <w:rsid w:val="007F3C75"/>
    <w:rsid w:val="008A5B49"/>
    <w:rsid w:val="00960D6A"/>
    <w:rsid w:val="009A0560"/>
    <w:rsid w:val="009B0917"/>
    <w:rsid w:val="009F0F96"/>
    <w:rsid w:val="00A23C0C"/>
    <w:rsid w:val="00A477DE"/>
    <w:rsid w:val="00A71E65"/>
    <w:rsid w:val="00A84016"/>
    <w:rsid w:val="00AD0554"/>
    <w:rsid w:val="00AE044C"/>
    <w:rsid w:val="00B31971"/>
    <w:rsid w:val="00B4380A"/>
    <w:rsid w:val="00B66ECB"/>
    <w:rsid w:val="00C7523A"/>
    <w:rsid w:val="00C8209F"/>
    <w:rsid w:val="00CC1B6E"/>
    <w:rsid w:val="00CC376A"/>
    <w:rsid w:val="00CC48A1"/>
    <w:rsid w:val="00CF50E0"/>
    <w:rsid w:val="00CF7DD1"/>
    <w:rsid w:val="00D85951"/>
    <w:rsid w:val="00E62606"/>
    <w:rsid w:val="00EA1FEF"/>
    <w:rsid w:val="00EA76AF"/>
    <w:rsid w:val="00EC5A6B"/>
    <w:rsid w:val="00EE301D"/>
    <w:rsid w:val="00F777A1"/>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0D1A1"/>
  <w15:docId w15:val="{2E47C0DD-5FD5-4B8E-95D6-E1C9C846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227627"/>
  </w:style>
  <w:style w:type="paragraph" w:customStyle="1" w:styleId="Pa10">
    <w:name w:val="Pa10"/>
    <w:basedOn w:val="Normal"/>
    <w:next w:val="Normal"/>
    <w:uiPriority w:val="99"/>
    <w:rsid w:val="00227627"/>
    <w:pPr>
      <w:autoSpaceDE w:val="0"/>
      <w:autoSpaceDN w:val="0"/>
      <w:adjustRightInd w:val="0"/>
      <w:spacing w:line="201" w:lineRule="atLeast"/>
    </w:pPr>
    <w:rPr>
      <w:rFonts w:ascii="ZapfHumnst BT" w:hAnsi="ZapfHumnst BT"/>
      <w:lang w:val="es-ES" w:eastAsia="es-ES"/>
    </w:rPr>
  </w:style>
  <w:style w:type="character" w:customStyle="1" w:styleId="A8">
    <w:name w:val="A8"/>
    <w:uiPriority w:val="99"/>
    <w:rsid w:val="00227627"/>
    <w:rPr>
      <w:rFonts w:cs="ZapfHumnst BT"/>
      <w:color w:val="000000"/>
      <w:sz w:val="14"/>
      <w:szCs w:val="14"/>
    </w:rPr>
  </w:style>
  <w:style w:type="paragraph" w:customStyle="1" w:styleId="Default">
    <w:name w:val="Default"/>
    <w:rsid w:val="00227627"/>
    <w:pPr>
      <w:autoSpaceDE w:val="0"/>
      <w:autoSpaceDN w:val="0"/>
      <w:adjustRightInd w:val="0"/>
    </w:pPr>
    <w:rPr>
      <w:rFonts w:ascii="Verdana" w:hAnsi="Verdana" w:cs="Verdana"/>
      <w:color w:val="000000"/>
      <w:sz w:val="24"/>
      <w:szCs w:val="24"/>
      <w:lang w:val="es-ES" w:eastAsia="es-ES"/>
    </w:rPr>
  </w:style>
  <w:style w:type="table" w:customStyle="1" w:styleId="Tablaconcuadrcula1">
    <w:name w:val="Tabla con cuadrícula1"/>
    <w:basedOn w:val="Tablanormal"/>
    <w:next w:val="Tablaconcuadrcula"/>
    <w:uiPriority w:val="59"/>
    <w:rsid w:val="00227627"/>
    <w:rPr>
      <w:rFonts w:ascii="Calibri" w:hAnsi="Calibri"/>
      <w:sz w:val="22"/>
      <w:szCs w:val="22"/>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227627"/>
    <w:pPr>
      <w:spacing w:after="200" w:line="276" w:lineRule="auto"/>
      <w:ind w:left="720"/>
      <w:contextualSpacing/>
    </w:pPr>
    <w:rPr>
      <w:rFonts w:ascii="Calibri" w:hAnsi="Calibri"/>
      <w:sz w:val="22"/>
      <w:szCs w:val="22"/>
      <w:lang w:val="es-ES" w:eastAsia="es-ES"/>
    </w:rPr>
  </w:style>
  <w:style w:type="character" w:styleId="Refdecomentario">
    <w:name w:val="annotation reference"/>
    <w:uiPriority w:val="99"/>
    <w:semiHidden/>
    <w:unhideWhenUsed/>
    <w:rsid w:val="00227627"/>
    <w:rPr>
      <w:sz w:val="16"/>
      <w:szCs w:val="16"/>
    </w:rPr>
  </w:style>
  <w:style w:type="paragraph" w:styleId="Textocomentario">
    <w:name w:val="annotation text"/>
    <w:basedOn w:val="Normal"/>
    <w:link w:val="TextocomentarioCar"/>
    <w:uiPriority w:val="99"/>
    <w:unhideWhenUsed/>
    <w:rsid w:val="00227627"/>
    <w:pPr>
      <w:spacing w:after="200"/>
    </w:pPr>
    <w:rPr>
      <w:rFonts w:ascii="Calibri" w:hAnsi="Calibri"/>
      <w:sz w:val="20"/>
      <w:szCs w:val="20"/>
      <w:lang w:val="es-ES" w:eastAsia="es-ES"/>
    </w:rPr>
  </w:style>
  <w:style w:type="character" w:customStyle="1" w:styleId="TextocomentarioCar">
    <w:name w:val="Texto comentario Car"/>
    <w:basedOn w:val="Fuentedeprrafopredeter"/>
    <w:link w:val="Textocomentario"/>
    <w:uiPriority w:val="99"/>
    <w:rsid w:val="00227627"/>
    <w:rPr>
      <w:rFonts w:ascii="Calibri" w:hAnsi="Calibri"/>
      <w:lang w:val="es-ES" w:eastAsia="es-ES"/>
    </w:rPr>
  </w:style>
  <w:style w:type="paragraph" w:styleId="Asuntodelcomentario">
    <w:name w:val="annotation subject"/>
    <w:basedOn w:val="Textocomentario"/>
    <w:next w:val="Textocomentario"/>
    <w:link w:val="AsuntodelcomentarioCar"/>
    <w:uiPriority w:val="99"/>
    <w:semiHidden/>
    <w:unhideWhenUsed/>
    <w:rsid w:val="00227627"/>
    <w:rPr>
      <w:b/>
      <w:bCs/>
    </w:rPr>
  </w:style>
  <w:style w:type="character" w:customStyle="1" w:styleId="AsuntodelcomentarioCar">
    <w:name w:val="Asunto del comentario Car"/>
    <w:basedOn w:val="TextocomentarioCar"/>
    <w:link w:val="Asuntodelcomentario"/>
    <w:uiPriority w:val="99"/>
    <w:semiHidden/>
    <w:rsid w:val="00227627"/>
    <w:rPr>
      <w:rFonts w:ascii="Calibri" w:hAnsi="Calibri"/>
      <w:b/>
      <w:bCs/>
      <w:lang w:val="es-ES" w:eastAsia="es-ES"/>
    </w:rPr>
  </w:style>
  <w:style w:type="character" w:customStyle="1" w:styleId="Mencinsinresolver1">
    <w:name w:val="Mención sin resolver1"/>
    <w:uiPriority w:val="99"/>
    <w:semiHidden/>
    <w:unhideWhenUsed/>
    <w:rsid w:val="00227627"/>
    <w:rPr>
      <w:color w:val="605E5C"/>
      <w:shd w:val="clear" w:color="auto" w:fill="E1DFDD"/>
    </w:rPr>
  </w:style>
  <w:style w:type="character" w:styleId="Textoennegrita">
    <w:name w:val="Strong"/>
    <w:uiPriority w:val="22"/>
    <w:qFormat/>
    <w:rsid w:val="00227627"/>
    <w:rPr>
      <w:b/>
      <w:bCs/>
    </w:rPr>
  </w:style>
  <w:style w:type="character" w:styleId="nfasis">
    <w:name w:val="Emphasis"/>
    <w:uiPriority w:val="20"/>
    <w:qFormat/>
    <w:rsid w:val="00227627"/>
    <w:rPr>
      <w:i/>
      <w:iCs/>
    </w:rPr>
  </w:style>
  <w:style w:type="paragraph" w:styleId="Textoindependiente">
    <w:name w:val="Body Text"/>
    <w:basedOn w:val="Normal"/>
    <w:link w:val="TextoindependienteCar"/>
    <w:uiPriority w:val="99"/>
    <w:unhideWhenUsed/>
    <w:rsid w:val="00227627"/>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227627"/>
    <w:rPr>
      <w:rFonts w:ascii="Arial" w:hAnsi="Arial" w:cs="Arial"/>
      <w:sz w:val="12"/>
      <w:szCs w:val="12"/>
      <w:lang w:val="es-ES" w:eastAsia="es-ES"/>
    </w:rPr>
  </w:style>
  <w:style w:type="paragraph" w:styleId="Lista">
    <w:name w:val="List"/>
    <w:basedOn w:val="Normal"/>
    <w:uiPriority w:val="99"/>
    <w:unhideWhenUsed/>
    <w:rsid w:val="00227627"/>
    <w:pPr>
      <w:ind w:left="283" w:hanging="283"/>
      <w:contextualSpacing/>
    </w:pPr>
    <w:rPr>
      <w:rFonts w:ascii="Arial" w:hAnsi="Arial" w:cs="Arial"/>
      <w:sz w:val="12"/>
      <w:szCs w:val="12"/>
      <w:lang w:val="es-ES" w:eastAsia="es-ES"/>
    </w:rPr>
  </w:style>
  <w:style w:type="paragraph" w:styleId="Revisin">
    <w:name w:val="Revision"/>
    <w:hidden/>
    <w:uiPriority w:val="99"/>
    <w:semiHidden/>
    <w:rsid w:val="00227627"/>
    <w:rPr>
      <w:rFonts w:ascii="Calibri" w:hAnsi="Calibri"/>
      <w:sz w:val="22"/>
      <w:szCs w:val="22"/>
      <w:lang w:val="es-ES" w:eastAsia="es-ES"/>
    </w:rPr>
  </w:style>
  <w:style w:type="character" w:customStyle="1" w:styleId="Hipervnculovisitado1">
    <w:name w:val="Hipervínculo visitado1"/>
    <w:uiPriority w:val="99"/>
    <w:semiHidden/>
    <w:unhideWhenUsed/>
    <w:rsid w:val="00227627"/>
    <w:rPr>
      <w:color w:val="800080"/>
      <w:u w:val="single"/>
    </w:rPr>
  </w:style>
  <w:style w:type="character" w:styleId="Hipervnculovisitado">
    <w:name w:val="FollowedHyperlink"/>
    <w:basedOn w:val="Fuentedeprrafopredeter"/>
    <w:semiHidden/>
    <w:unhideWhenUsed/>
    <w:rsid w:val="002276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657-3267" TargetMode="External"/><Relationship Id="rId13" Type="http://schemas.openxmlformats.org/officeDocument/2006/relationships/image" Target="media/image3.png"/><Relationship Id="rId18" Type="http://schemas.openxmlformats.org/officeDocument/2006/relationships/hyperlink" Target="https://revistaamc.sld.cu/index.php/amc/article/view/5357/3123" TargetMode="External"/><Relationship Id="rId26" Type="http://schemas.openxmlformats.org/officeDocument/2006/relationships/hyperlink" Target="https://pesquisa.bvsalud.org/portal/resource/pt/lil-707382?lang=es" TargetMode="External"/><Relationship Id="rId3" Type="http://schemas.openxmlformats.org/officeDocument/2006/relationships/settings" Target="settings.xml"/><Relationship Id="rId21" Type="http://schemas.openxmlformats.org/officeDocument/2006/relationships/hyperlink" Target="https://scielo.isciii.es/pdf/medtra/v30n3/1132-6255-medtra-30-03-307.pdf" TargetMode="External"/><Relationship Id="rId7" Type="http://schemas.openxmlformats.org/officeDocument/2006/relationships/hyperlink" Target="https://orcid.org/0000-0001-7335-6903" TargetMode="External"/><Relationship Id="rId12" Type="http://schemas.openxmlformats.org/officeDocument/2006/relationships/image" Target="media/image2.png"/><Relationship Id="rId17" Type="http://schemas.openxmlformats.org/officeDocument/2006/relationships/hyperlink" Target="https://www.wma.net/es/policies-post/declaracion-de-helsinki-de-la-amm-principios-eticos-para-las-investigaciones-medicas-en-seres-humanos/" TargetMode="External"/><Relationship Id="rId25" Type="http://schemas.openxmlformats.org/officeDocument/2006/relationships/hyperlink" Target="https://scielo.isciii.es/scielo.php?script=sci_arttext&amp;pid=S1132-62552021000100009" TargetMode="External"/><Relationship Id="rId2" Type="http://schemas.openxmlformats.org/officeDocument/2006/relationships/styles" Target="styles.xml"/><Relationship Id="rId16" Type="http://schemas.openxmlformats.org/officeDocument/2006/relationships/hyperlink" Target="https://www.ilo.org/global/topics/safety-and-health-at-work/lang--es/index.htm" TargetMode="External"/><Relationship Id="rId20" Type="http://schemas.openxmlformats.org/officeDocument/2006/relationships/hyperlink" Target="http://www.ncbi.nlm.nih.gov/pmc/articles/PMC484222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scielo.isciii.es/pdf/mesetra/v61n241/revision.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scielo.sa.cr/pdf/mlcr/v25n1/art7.pdf" TargetMode="External"/><Relationship Id="rId28" Type="http://schemas.openxmlformats.org/officeDocument/2006/relationships/header" Target="header1.xml"/><Relationship Id="rId10" Type="http://schemas.openxmlformats.org/officeDocument/2006/relationships/hyperlink" Target="mailto:hectorpinera18100@gmail.com" TargetMode="External"/><Relationship Id="rId19" Type="http://schemas.openxmlformats.org/officeDocument/2006/relationships/hyperlink" Target="http://revcmhabana.sld.cu/index.php/rcmh/article/view/164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2491-489X" TargetMode="External"/><Relationship Id="rId14" Type="http://schemas.openxmlformats.org/officeDocument/2006/relationships/image" Target="media/image4.jpg"/><Relationship Id="rId22" Type="http://schemas.openxmlformats.org/officeDocument/2006/relationships/hyperlink" Target="https://scielo.isciii.es/scielo.php?script=sci_arttext&amp;pid=S0465-" TargetMode="External"/><Relationship Id="rId27" Type="http://schemas.openxmlformats.org/officeDocument/2006/relationships/hyperlink" Target="http://scielo.sld.cu/scielo.php?script=sci_arttext&amp;pid=S1561-php?29532015000100004&amp;Ing=es"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14</TotalTime>
  <Pages>12</Pages>
  <Words>2873</Words>
  <Characters>16380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19215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12</cp:revision>
  <cp:lastPrinted>2023-06-17T07:00:00Z</cp:lastPrinted>
  <dcterms:created xsi:type="dcterms:W3CDTF">2023-06-17T06:53:00Z</dcterms:created>
  <dcterms:modified xsi:type="dcterms:W3CDTF">2023-06-17T07:15:00Z</dcterms:modified>
</cp:coreProperties>
</file>