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F55F" w14:textId="77777777" w:rsidR="00F2707E" w:rsidRPr="00F2707E" w:rsidRDefault="00F2707E" w:rsidP="00F2707E">
      <w:pPr>
        <w:suppressAutoHyphens/>
        <w:spacing w:line="360" w:lineRule="auto"/>
        <w:jc w:val="right"/>
        <w:rPr>
          <w:rFonts w:eastAsia="Calibri"/>
          <w:color w:val="000000"/>
          <w:sz w:val="20"/>
          <w:szCs w:val="20"/>
          <w:lang w:val="es-PE" w:eastAsia="en-US"/>
        </w:rPr>
      </w:pPr>
      <w:bookmarkStart w:id="0" w:name="_Hlk111638362"/>
      <w:bookmarkStart w:id="1" w:name="_Hlk114871499"/>
      <w:r w:rsidRPr="00F2707E">
        <w:rPr>
          <w:rFonts w:eastAsia="Calibri"/>
          <w:color w:val="000000"/>
          <w:sz w:val="20"/>
          <w:szCs w:val="20"/>
          <w:lang w:val="es-PE" w:eastAsia="en-US"/>
        </w:rPr>
        <w:t>Artículo de investigación</w:t>
      </w:r>
    </w:p>
    <w:p w14:paraId="5A28303A" w14:textId="77777777" w:rsidR="00F2707E" w:rsidRPr="00F2707E" w:rsidRDefault="00F2707E" w:rsidP="00F2707E">
      <w:pPr>
        <w:suppressAutoHyphens/>
        <w:spacing w:line="360" w:lineRule="auto"/>
        <w:jc w:val="right"/>
        <w:rPr>
          <w:rFonts w:eastAsia="Calibri"/>
          <w:color w:val="000000"/>
          <w:sz w:val="20"/>
          <w:szCs w:val="20"/>
          <w:lang w:val="es-PE" w:eastAsia="en-US"/>
        </w:rPr>
      </w:pPr>
    </w:p>
    <w:p w14:paraId="52CEFE81" w14:textId="77777777" w:rsidR="00F2707E" w:rsidRPr="00F2707E" w:rsidRDefault="00F2707E" w:rsidP="00F2707E">
      <w:pPr>
        <w:suppressAutoHyphens/>
        <w:spacing w:line="360" w:lineRule="auto"/>
        <w:jc w:val="center"/>
        <w:rPr>
          <w:rFonts w:eastAsia="Calibri"/>
          <w:b/>
          <w:color w:val="00B0F0"/>
          <w:sz w:val="28"/>
          <w:szCs w:val="28"/>
          <w:lang w:val="es-ES" w:eastAsia="en-US"/>
        </w:rPr>
      </w:pPr>
      <w:bookmarkStart w:id="2" w:name="_Hlk114759190"/>
      <w:r w:rsidRPr="00F2707E">
        <w:rPr>
          <w:rFonts w:eastAsia="Calibri"/>
          <w:b/>
          <w:color w:val="000000"/>
          <w:sz w:val="28"/>
          <w:szCs w:val="28"/>
          <w:lang w:val="es-ES" w:eastAsia="en-US"/>
        </w:rPr>
        <w:t>Marcadores infecciosos asociados a factores demográficos en donantes de sangre peruanos</w:t>
      </w:r>
    </w:p>
    <w:p w14:paraId="6A06881B" w14:textId="77777777" w:rsidR="00F2707E" w:rsidRPr="00F2707E" w:rsidRDefault="00F2707E" w:rsidP="00F2707E">
      <w:pPr>
        <w:suppressAutoHyphens/>
        <w:spacing w:line="360" w:lineRule="auto"/>
        <w:jc w:val="center"/>
        <w:rPr>
          <w:rFonts w:eastAsia="Calibri"/>
          <w:bCs/>
          <w:color w:val="000000"/>
          <w:sz w:val="28"/>
          <w:szCs w:val="28"/>
          <w:lang w:val="en-US" w:eastAsia="en-US"/>
        </w:rPr>
      </w:pPr>
      <w:r w:rsidRPr="00F2707E">
        <w:rPr>
          <w:rFonts w:eastAsia="Calibri"/>
          <w:bCs/>
          <w:color w:val="000000"/>
          <w:sz w:val="28"/>
          <w:szCs w:val="28"/>
          <w:lang w:val="en-US" w:eastAsia="en-US"/>
        </w:rPr>
        <w:t>Infectious markers associated with demographic factors in Peruvian blood donors</w:t>
      </w:r>
    </w:p>
    <w:p w14:paraId="17A06D92" w14:textId="77777777" w:rsidR="00F2707E" w:rsidRPr="00F2707E" w:rsidRDefault="00F2707E" w:rsidP="00F2707E">
      <w:pPr>
        <w:suppressAutoHyphens/>
        <w:spacing w:line="360" w:lineRule="auto"/>
        <w:jc w:val="center"/>
        <w:rPr>
          <w:rFonts w:eastAsia="Calibri"/>
          <w:bCs/>
          <w:color w:val="000000"/>
          <w:lang w:val="en-US" w:eastAsia="en-US"/>
        </w:rPr>
      </w:pPr>
    </w:p>
    <w:p w14:paraId="009833E3" w14:textId="77777777" w:rsidR="00F2707E" w:rsidRPr="00F2707E" w:rsidRDefault="00F2707E" w:rsidP="00F2707E">
      <w:pPr>
        <w:suppressAutoHyphens/>
        <w:spacing w:line="360" w:lineRule="auto"/>
        <w:rPr>
          <w:rFonts w:eastAsia="Calibri"/>
          <w:bCs/>
          <w:color w:val="000000"/>
          <w:lang w:val="es-PE" w:eastAsia="en-US"/>
        </w:rPr>
      </w:pPr>
      <w:r w:rsidRPr="00F2707E">
        <w:rPr>
          <w:rFonts w:eastAsia="Calibri"/>
          <w:bCs/>
          <w:color w:val="000000"/>
          <w:lang w:val="es-PE" w:eastAsia="en-US"/>
        </w:rPr>
        <w:t>Cleofe del Pilar Yovera-Ancajima</w:t>
      </w:r>
      <w:r w:rsidRPr="00F2707E">
        <w:rPr>
          <w:rFonts w:eastAsia="Calibri"/>
          <w:bCs/>
          <w:color w:val="000000"/>
          <w:vertAlign w:val="superscript"/>
          <w:lang w:val="es-PE" w:eastAsia="en-US"/>
        </w:rPr>
        <w:t>1</w:t>
      </w:r>
      <w:r w:rsidRPr="00F2707E">
        <w:rPr>
          <w:rFonts w:eastAsia="Calibri"/>
          <w:bCs/>
          <w:color w:val="000000"/>
          <w:lang w:val="es-PE" w:eastAsia="en-US"/>
        </w:rPr>
        <w:t xml:space="preserve"> </w:t>
      </w:r>
      <w:hyperlink r:id="rId7" w:history="1">
        <w:r w:rsidRPr="00F2707E">
          <w:rPr>
            <w:rFonts w:eastAsia="Calibri"/>
            <w:bCs/>
            <w:color w:val="0000FF"/>
            <w:lang w:val="es-PE" w:eastAsia="en-US"/>
          </w:rPr>
          <w:t>https://orcid.org/0000-0003-4010-4042</w:t>
        </w:r>
      </w:hyperlink>
      <w:r w:rsidRPr="00F2707E">
        <w:rPr>
          <w:rFonts w:eastAsia="Calibri"/>
          <w:bCs/>
          <w:color w:val="000000"/>
          <w:lang w:val="es-PE" w:eastAsia="en-US"/>
        </w:rPr>
        <w:t xml:space="preserve"> </w:t>
      </w:r>
    </w:p>
    <w:p w14:paraId="6A0B47A1" w14:textId="77777777" w:rsidR="00F2707E" w:rsidRPr="00F2707E" w:rsidRDefault="00F2707E" w:rsidP="00F2707E">
      <w:pPr>
        <w:suppressAutoHyphens/>
        <w:spacing w:line="360" w:lineRule="auto"/>
        <w:rPr>
          <w:rFonts w:eastAsia="Calibri"/>
          <w:bCs/>
          <w:color w:val="000000"/>
          <w:lang w:val="en-US" w:eastAsia="en-US"/>
        </w:rPr>
      </w:pPr>
      <w:r w:rsidRPr="00F2707E">
        <w:rPr>
          <w:rFonts w:eastAsia="Calibri"/>
          <w:bCs/>
          <w:color w:val="000000"/>
          <w:lang w:val="en-US" w:eastAsia="en-US"/>
        </w:rPr>
        <w:t>William Cruz-Gonzales</w:t>
      </w:r>
      <w:r w:rsidRPr="00F2707E">
        <w:rPr>
          <w:rFonts w:eastAsia="Calibri"/>
          <w:bCs/>
          <w:color w:val="000000"/>
          <w:vertAlign w:val="superscript"/>
          <w:lang w:val="en-US" w:eastAsia="en-US"/>
        </w:rPr>
        <w:t>2</w:t>
      </w:r>
      <w:r w:rsidRPr="00F2707E">
        <w:rPr>
          <w:rFonts w:eastAsia="Calibri"/>
          <w:bCs/>
          <w:color w:val="000000"/>
          <w:lang w:val="en-US" w:eastAsia="en-US"/>
        </w:rPr>
        <w:t xml:space="preserve"> </w:t>
      </w:r>
      <w:hyperlink r:id="rId8" w:history="1">
        <w:r w:rsidRPr="00F2707E">
          <w:rPr>
            <w:rFonts w:eastAsia="Calibri"/>
            <w:bCs/>
            <w:color w:val="0000FF"/>
            <w:lang w:val="en-US" w:eastAsia="en-US"/>
          </w:rPr>
          <w:t>https://orcid.org/0000-0002-1655-5671</w:t>
        </w:r>
      </w:hyperlink>
      <w:r w:rsidRPr="00F2707E">
        <w:rPr>
          <w:rFonts w:eastAsia="Calibri"/>
          <w:bCs/>
          <w:color w:val="000000"/>
          <w:lang w:val="en-US" w:eastAsia="en-US"/>
        </w:rPr>
        <w:t xml:space="preserve"> </w:t>
      </w:r>
    </w:p>
    <w:p w14:paraId="4DC7E639" w14:textId="77777777" w:rsidR="00F2707E" w:rsidRPr="00F2707E" w:rsidRDefault="00F2707E" w:rsidP="00F2707E">
      <w:pPr>
        <w:suppressAutoHyphens/>
        <w:spacing w:line="360" w:lineRule="auto"/>
        <w:rPr>
          <w:rFonts w:eastAsia="Calibri"/>
          <w:lang w:val="es-PE" w:eastAsia="en-US"/>
        </w:rPr>
      </w:pPr>
      <w:r w:rsidRPr="00F2707E">
        <w:rPr>
          <w:rFonts w:eastAsia="Calibri"/>
          <w:bCs/>
          <w:color w:val="000000"/>
          <w:lang w:val="es-PE" w:eastAsia="en-US"/>
        </w:rPr>
        <w:t>Gloria Cruz-Gonzales</w:t>
      </w:r>
      <w:r w:rsidRPr="00F2707E">
        <w:rPr>
          <w:rFonts w:eastAsia="Calibri"/>
          <w:bCs/>
          <w:color w:val="000000"/>
          <w:vertAlign w:val="superscript"/>
          <w:lang w:val="es-PE" w:eastAsia="en-US"/>
        </w:rPr>
        <w:t xml:space="preserve">1,3 </w:t>
      </w:r>
      <w:hyperlink r:id="rId9" w:history="1">
        <w:r w:rsidRPr="00F2707E">
          <w:rPr>
            <w:rFonts w:eastAsia="Calibri"/>
            <w:bCs/>
            <w:color w:val="0000FF"/>
            <w:lang w:val="es-PE" w:eastAsia="en-US"/>
          </w:rPr>
          <w:t>https://orcid.org/0000-0003-1937-5446</w:t>
        </w:r>
      </w:hyperlink>
    </w:p>
    <w:p w14:paraId="08D7EBE2" w14:textId="77777777" w:rsidR="00F2707E" w:rsidRPr="00F2707E" w:rsidRDefault="00F2707E" w:rsidP="00F2707E">
      <w:pPr>
        <w:suppressAutoHyphens/>
        <w:spacing w:line="360" w:lineRule="auto"/>
        <w:rPr>
          <w:rFonts w:eastAsia="Calibri"/>
          <w:bCs/>
          <w:color w:val="000000"/>
          <w:lang w:val="es-CU" w:eastAsia="en-US"/>
        </w:rPr>
      </w:pPr>
      <w:proofErr w:type="spellStart"/>
      <w:r w:rsidRPr="00F2707E">
        <w:rPr>
          <w:rFonts w:eastAsia="Calibri"/>
          <w:bCs/>
          <w:color w:val="000000"/>
          <w:lang w:val="es-CU" w:eastAsia="en-US"/>
        </w:rPr>
        <w:t>Jeel</w:t>
      </w:r>
      <w:proofErr w:type="spellEnd"/>
      <w:r w:rsidRPr="00F2707E">
        <w:rPr>
          <w:rFonts w:eastAsia="Calibri"/>
          <w:bCs/>
          <w:color w:val="000000"/>
          <w:lang w:val="es-CU" w:eastAsia="en-US"/>
        </w:rPr>
        <w:t xml:space="preserve"> Moya-Salazar</w:t>
      </w:r>
      <w:r w:rsidRPr="00F2707E">
        <w:rPr>
          <w:rFonts w:eastAsia="Calibri"/>
          <w:bCs/>
          <w:color w:val="000000"/>
          <w:vertAlign w:val="superscript"/>
          <w:lang w:val="es-CU" w:eastAsia="en-US"/>
        </w:rPr>
        <w:t>4</w:t>
      </w:r>
      <w:r w:rsidRPr="00F2707E">
        <w:rPr>
          <w:rFonts w:eastAsia="Calibri"/>
          <w:bCs/>
          <w:color w:val="000000"/>
          <w:lang w:val="es-CU" w:eastAsia="en-US"/>
        </w:rPr>
        <w:t xml:space="preserve">* </w:t>
      </w:r>
      <w:hyperlink r:id="rId10" w:history="1">
        <w:r w:rsidRPr="00F2707E">
          <w:rPr>
            <w:rFonts w:eastAsia="Calibri"/>
            <w:bCs/>
            <w:color w:val="0000FF"/>
            <w:lang w:val="es-CU" w:eastAsia="en-US"/>
          </w:rPr>
          <w:t>https://orcid.org/0000-0002-7357-4940</w:t>
        </w:r>
      </w:hyperlink>
    </w:p>
    <w:p w14:paraId="5E80E20A" w14:textId="77777777" w:rsidR="00F2707E" w:rsidRPr="00F2707E" w:rsidRDefault="00F2707E" w:rsidP="00F2707E">
      <w:pPr>
        <w:suppressAutoHyphens/>
        <w:spacing w:line="360" w:lineRule="auto"/>
        <w:rPr>
          <w:rFonts w:eastAsia="Calibri"/>
          <w:bCs/>
          <w:color w:val="000000"/>
          <w:lang w:val="es-CU" w:eastAsia="en-US"/>
        </w:rPr>
      </w:pPr>
    </w:p>
    <w:bookmarkEnd w:id="0"/>
    <w:bookmarkEnd w:id="2"/>
    <w:p w14:paraId="116C8888" w14:textId="1B8F5E89" w:rsidR="00F2707E" w:rsidRPr="00F2707E" w:rsidRDefault="00F2707E" w:rsidP="00F2707E">
      <w:pPr>
        <w:suppressAutoHyphens/>
        <w:spacing w:line="360" w:lineRule="auto"/>
        <w:rPr>
          <w:rFonts w:eastAsia="Calibri"/>
          <w:bCs/>
          <w:color w:val="000000"/>
          <w:lang w:val="es-PE" w:eastAsia="en-US"/>
        </w:rPr>
      </w:pPr>
      <w:r w:rsidRPr="00F2707E">
        <w:rPr>
          <w:rFonts w:eastAsia="Calibri"/>
          <w:bCs/>
          <w:color w:val="000000"/>
          <w:vertAlign w:val="superscript"/>
          <w:lang w:val="es-PE" w:eastAsia="en-US"/>
        </w:rPr>
        <w:t>1</w:t>
      </w:r>
      <w:r w:rsidRPr="00F2707E">
        <w:rPr>
          <w:rFonts w:eastAsia="Calibri"/>
          <w:bCs/>
          <w:color w:val="000000"/>
          <w:lang w:val="es-PE" w:eastAsia="en-US"/>
        </w:rPr>
        <w:t xml:space="preserve">Universidad Nacional Federico Villarreal. Facultad de </w:t>
      </w:r>
      <w:r w:rsidR="002A5339" w:rsidRPr="00F2707E">
        <w:rPr>
          <w:rFonts w:eastAsia="Calibri"/>
          <w:bCs/>
          <w:color w:val="000000"/>
          <w:lang w:val="es-PE" w:eastAsia="en-US"/>
        </w:rPr>
        <w:t>Tecnología</w:t>
      </w:r>
      <w:r w:rsidRPr="00F2707E">
        <w:rPr>
          <w:rFonts w:eastAsia="Calibri"/>
          <w:bCs/>
          <w:color w:val="000000"/>
          <w:lang w:val="es-PE" w:eastAsia="en-US"/>
        </w:rPr>
        <w:t xml:space="preserve"> Médica. Lima, Perú.</w:t>
      </w:r>
    </w:p>
    <w:p w14:paraId="0BBE764B" w14:textId="77777777" w:rsidR="00F2707E" w:rsidRPr="00F2707E" w:rsidRDefault="00F2707E" w:rsidP="00F2707E">
      <w:pPr>
        <w:suppressAutoHyphens/>
        <w:spacing w:line="360" w:lineRule="auto"/>
        <w:rPr>
          <w:rFonts w:eastAsia="Calibri"/>
          <w:bCs/>
          <w:color w:val="000000"/>
          <w:lang w:val="es-PE" w:eastAsia="en-US"/>
        </w:rPr>
      </w:pPr>
      <w:r w:rsidRPr="00F2707E">
        <w:rPr>
          <w:rFonts w:eastAsia="Calibri"/>
          <w:bCs/>
          <w:color w:val="000000"/>
          <w:vertAlign w:val="superscript"/>
          <w:lang w:val="es-PE" w:eastAsia="en-US"/>
        </w:rPr>
        <w:t>2</w:t>
      </w:r>
      <w:r w:rsidRPr="00F2707E">
        <w:rPr>
          <w:rFonts w:eastAsia="Calibri"/>
          <w:bCs/>
          <w:color w:val="000000"/>
          <w:lang w:val="es-PE" w:eastAsia="en-US"/>
        </w:rPr>
        <w:t>Universidad Nacional Federico Villarreal. Facultad de Ciencias Financieras y Contables. Lima, Perú.</w:t>
      </w:r>
    </w:p>
    <w:p w14:paraId="24CCC728" w14:textId="77777777" w:rsidR="00F2707E" w:rsidRPr="00F2707E" w:rsidRDefault="00F2707E" w:rsidP="00F2707E">
      <w:pPr>
        <w:suppressAutoHyphens/>
        <w:spacing w:line="360" w:lineRule="auto"/>
        <w:rPr>
          <w:rFonts w:eastAsia="Calibri"/>
          <w:bCs/>
          <w:color w:val="000000"/>
          <w:lang w:val="es-PE" w:eastAsia="en-US"/>
        </w:rPr>
      </w:pPr>
      <w:r w:rsidRPr="00F2707E">
        <w:rPr>
          <w:rFonts w:eastAsia="Calibri"/>
          <w:bCs/>
          <w:color w:val="000000"/>
          <w:vertAlign w:val="superscript"/>
          <w:lang w:val="es-PE" w:eastAsia="en-US"/>
        </w:rPr>
        <w:t>3</w:t>
      </w:r>
      <w:r w:rsidRPr="00F2707E">
        <w:rPr>
          <w:rFonts w:eastAsia="Calibri"/>
          <w:bCs/>
          <w:color w:val="000000"/>
          <w:lang w:val="es-PE" w:eastAsia="en-US"/>
        </w:rPr>
        <w:t>Universidad Tecnológica del Perú. Facultad de Ciencias de la Salud. Lima, Perú.</w:t>
      </w:r>
    </w:p>
    <w:p w14:paraId="5F010DF0" w14:textId="77777777" w:rsidR="00F2707E" w:rsidRPr="00F2707E" w:rsidRDefault="00F2707E" w:rsidP="00F2707E">
      <w:pPr>
        <w:suppressAutoHyphens/>
        <w:spacing w:line="360" w:lineRule="auto"/>
        <w:rPr>
          <w:rFonts w:eastAsia="Calibri"/>
          <w:bCs/>
          <w:color w:val="000000"/>
          <w:lang w:val="es-PE" w:eastAsia="en-US"/>
        </w:rPr>
      </w:pPr>
      <w:r w:rsidRPr="00F2707E">
        <w:rPr>
          <w:rFonts w:eastAsia="Calibri"/>
          <w:bCs/>
          <w:color w:val="000000"/>
          <w:vertAlign w:val="superscript"/>
          <w:lang w:val="es-PE" w:eastAsia="en-US"/>
        </w:rPr>
        <w:t>4</w:t>
      </w:r>
      <w:r w:rsidRPr="00F2707E">
        <w:rPr>
          <w:rFonts w:eastAsia="Calibri"/>
          <w:bCs/>
          <w:color w:val="000000"/>
          <w:lang w:val="es-PE" w:eastAsia="en-US"/>
        </w:rPr>
        <w:t>Universidad Privada del Norte. Facultad de Ciencias de la Salud. Lima, Perú.</w:t>
      </w:r>
    </w:p>
    <w:p w14:paraId="4680AA2C" w14:textId="77777777" w:rsidR="00F2707E" w:rsidRPr="00F2707E" w:rsidRDefault="00F2707E" w:rsidP="00F2707E">
      <w:pPr>
        <w:suppressAutoHyphens/>
        <w:spacing w:line="360" w:lineRule="auto"/>
        <w:rPr>
          <w:rFonts w:eastAsia="Calibri"/>
          <w:bCs/>
          <w:color w:val="000000"/>
          <w:lang w:val="es-PE" w:eastAsia="en-US"/>
        </w:rPr>
      </w:pPr>
    </w:p>
    <w:p w14:paraId="510D28BC" w14:textId="507852D8" w:rsidR="00F2707E" w:rsidRPr="00E16364" w:rsidRDefault="00F2707E" w:rsidP="00F2707E">
      <w:pPr>
        <w:suppressAutoHyphens/>
        <w:spacing w:line="360" w:lineRule="auto"/>
        <w:rPr>
          <w:rFonts w:eastAsia="Calibri"/>
          <w:bCs/>
          <w:color w:val="000000"/>
          <w:lang w:val="es-PE" w:eastAsia="en-US"/>
        </w:rPr>
      </w:pPr>
      <w:r w:rsidRPr="00E16364">
        <w:rPr>
          <w:rFonts w:eastAsia="Calibri"/>
          <w:bCs/>
          <w:color w:val="000000"/>
          <w:lang w:val="es-PE" w:eastAsia="en-US"/>
        </w:rPr>
        <w:t xml:space="preserve">*Autor para la correspondencia. Correo electrónico: </w:t>
      </w:r>
      <w:hyperlink r:id="rId11" w:history="1">
        <w:r w:rsidR="0047707D" w:rsidRPr="00D72A9A">
          <w:rPr>
            <w:rStyle w:val="Hipervnculo"/>
            <w:rFonts w:eastAsia="Calibri"/>
            <w:bCs/>
            <w:lang w:val="es-PE" w:eastAsia="en-US"/>
          </w:rPr>
          <w:t>jeel.moya@upn.edu.pe</w:t>
        </w:r>
      </w:hyperlink>
      <w:r w:rsidR="00E16364" w:rsidRPr="00E16364">
        <w:rPr>
          <w:rStyle w:val="Hipervnculo"/>
          <w:rFonts w:eastAsia="Calibri"/>
          <w:bCs/>
          <w:u w:val="none"/>
          <w:lang w:val="es-PE" w:eastAsia="en-US"/>
        </w:rPr>
        <w:t>; jeelmoya@gmail.com</w:t>
      </w:r>
    </w:p>
    <w:p w14:paraId="00E08A78" w14:textId="77777777" w:rsidR="00F2707E" w:rsidRPr="00F2707E" w:rsidRDefault="00F2707E" w:rsidP="00F2707E">
      <w:pPr>
        <w:suppressAutoHyphens/>
        <w:spacing w:line="360" w:lineRule="auto"/>
        <w:rPr>
          <w:rFonts w:eastAsia="Calibri"/>
          <w:bCs/>
          <w:color w:val="000000"/>
          <w:lang w:val="es-PE" w:eastAsia="en-US"/>
        </w:rPr>
      </w:pPr>
    </w:p>
    <w:p w14:paraId="412CCCB9" w14:textId="77777777" w:rsidR="00F2707E" w:rsidRPr="00F2707E" w:rsidRDefault="00F2707E" w:rsidP="00F2707E">
      <w:pPr>
        <w:suppressAutoHyphens/>
        <w:spacing w:line="360" w:lineRule="auto"/>
        <w:rPr>
          <w:rFonts w:eastAsia="Calibri"/>
          <w:b/>
          <w:lang w:val="es-ES" w:eastAsia="en-US"/>
        </w:rPr>
      </w:pPr>
      <w:r w:rsidRPr="00F2707E">
        <w:rPr>
          <w:rFonts w:eastAsia="Calibri"/>
          <w:b/>
          <w:lang w:val="es-ES" w:eastAsia="en-US"/>
        </w:rPr>
        <w:t>RESUMEN</w:t>
      </w:r>
    </w:p>
    <w:p w14:paraId="6EB6B8B6"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b/>
          <w:bCs/>
          <w:color w:val="000000"/>
          <w:lang w:val="es-ES" w:eastAsia="en-US"/>
        </w:rPr>
        <w:t>Introducción:</w:t>
      </w:r>
      <w:r w:rsidRPr="00F2707E">
        <w:rPr>
          <w:rFonts w:eastAsia="Calibri"/>
          <w:color w:val="000000"/>
          <w:lang w:val="es-ES" w:eastAsia="en-US"/>
        </w:rPr>
        <w:t xml:space="preserve"> Las características de los donantes de sangre pueden variar entre centros de hemoterapia y pueden relacionarse con la seropositividad de marcadores infecciosos.</w:t>
      </w:r>
    </w:p>
    <w:p w14:paraId="72D90BCF"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b/>
          <w:bCs/>
          <w:color w:val="000000"/>
          <w:lang w:val="es-ES" w:eastAsia="en-US"/>
        </w:rPr>
        <w:t>Objetivo:</w:t>
      </w:r>
      <w:r w:rsidRPr="00F2707E">
        <w:rPr>
          <w:rFonts w:eastAsia="Calibri"/>
          <w:color w:val="000000"/>
          <w:lang w:val="es-ES" w:eastAsia="en-US"/>
        </w:rPr>
        <w:t xml:space="preserve"> Relacionar la seropositividad de marcadores infecciosos con los factores demográficos de los donantes de sangre peruanos.</w:t>
      </w:r>
    </w:p>
    <w:p w14:paraId="0BA70168"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b/>
          <w:bCs/>
          <w:color w:val="000000"/>
          <w:lang w:val="es-ES" w:eastAsia="en-US"/>
        </w:rPr>
        <w:t>Métodos:</w:t>
      </w:r>
      <w:r w:rsidRPr="00F2707E">
        <w:rPr>
          <w:rFonts w:eastAsia="Calibri"/>
          <w:color w:val="000000"/>
          <w:lang w:val="es-ES" w:eastAsia="en-US"/>
        </w:rPr>
        <w:t xml:space="preserve"> Estudio observacional en los bancos de sangre del hospital nacional Cayetano Heredia y el Instituto Nacional Materno Perinatal durante el año 2019. La población la conformaron los 11 936 donantes que fueron tamizados para 7 agentes infecciosos según el Programa Nacional de Hemoterapia y Banco de Sangre. Se usó la prueba </w:t>
      </w:r>
      <w:r w:rsidRPr="00F2707E">
        <w:rPr>
          <w:rFonts w:eastAsia="Calibri"/>
          <w:lang w:val="es-ES" w:eastAsia="en-US"/>
        </w:rPr>
        <w:t>de correlación de Pearson para determinar la asociación entre las variables demográficas con los marcadores infecciosos.</w:t>
      </w:r>
    </w:p>
    <w:p w14:paraId="20EDBA57"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b/>
          <w:bCs/>
          <w:color w:val="000000"/>
          <w:lang w:val="es-ES" w:eastAsia="en-US"/>
        </w:rPr>
        <w:lastRenderedPageBreak/>
        <w:t xml:space="preserve">Resultados: </w:t>
      </w:r>
      <w:r w:rsidRPr="00F2707E">
        <w:rPr>
          <w:rFonts w:eastAsia="Calibri"/>
          <w:color w:val="000000"/>
          <w:lang w:val="es-ES" w:eastAsia="en-US"/>
        </w:rPr>
        <w:t xml:space="preserve">Del total 8449 (70,8 %) fueron varones y el grupo etario de 35 a 55 años fue el más frecuente en ambos hospitales (~ 44,5 %). La mayoría de donantes procedían de la costa (4944; 41,4 %), aunque en el Hospital Nacional Cayetano Heredia hubo 734 (8,9 %) de la selva. La seropositividad fue de </w:t>
      </w:r>
      <w:r w:rsidRPr="00F2707E">
        <w:rPr>
          <w:rFonts w:eastAsia="Calibri"/>
          <w:color w:val="000000"/>
          <w:lang w:val="es-PE" w:eastAsia="en-US"/>
        </w:rPr>
        <w:t xml:space="preserve">507 (4,25 %) donaciones; los más </w:t>
      </w:r>
      <w:r w:rsidRPr="00F2707E">
        <w:rPr>
          <w:rFonts w:eastAsia="Calibri"/>
          <w:color w:val="000000"/>
          <w:lang w:val="es-ES" w:eastAsia="en-US"/>
        </w:rPr>
        <w:t xml:space="preserve">frecuentes fueron </w:t>
      </w:r>
      <w:r w:rsidRPr="00F2707E">
        <w:rPr>
          <w:rFonts w:eastAsia="Calibri"/>
          <w:color w:val="000000"/>
          <w:lang w:val="es-PE" w:eastAsia="en-US"/>
        </w:rPr>
        <w:t xml:space="preserve">el antígeno del </w:t>
      </w:r>
      <w:proofErr w:type="spellStart"/>
      <w:r w:rsidRPr="00F2707E">
        <w:rPr>
          <w:rFonts w:eastAsia="Calibri"/>
          <w:color w:val="000000"/>
          <w:lang w:val="es-ES" w:eastAsia="en-US"/>
        </w:rPr>
        <w:t>core</w:t>
      </w:r>
      <w:proofErr w:type="spellEnd"/>
      <w:r w:rsidRPr="00F2707E">
        <w:rPr>
          <w:rFonts w:eastAsia="Calibri"/>
          <w:color w:val="000000"/>
          <w:lang w:val="es-ES" w:eastAsia="en-US"/>
        </w:rPr>
        <w:t xml:space="preserve"> del virus de Hepatitis B</w:t>
      </w:r>
      <w:r w:rsidRPr="00F2707E">
        <w:rPr>
          <w:rFonts w:eastAsia="Calibri"/>
          <w:color w:val="000000"/>
          <w:lang w:val="es-PE" w:eastAsia="en-US"/>
        </w:rPr>
        <w:t xml:space="preserve">, los anticuerpos contra el </w:t>
      </w:r>
      <w:r w:rsidRPr="00F2707E">
        <w:rPr>
          <w:rFonts w:eastAsia="Calibri"/>
          <w:color w:val="000000"/>
          <w:lang w:val="es-ES" w:eastAsia="en-US"/>
        </w:rPr>
        <w:t xml:space="preserve">virus linfotrópico de células T humanas 1-2, y sífilis, con </w:t>
      </w:r>
      <w:r w:rsidRPr="00F2707E">
        <w:rPr>
          <w:rFonts w:eastAsia="Calibri"/>
          <w:color w:val="000000"/>
          <w:lang w:val="es-PE" w:eastAsia="en-US"/>
        </w:rPr>
        <w:t xml:space="preserve">51,2 %, 16,8 % y 14,9 %, </w:t>
      </w:r>
      <w:r w:rsidRPr="00F2707E">
        <w:rPr>
          <w:rFonts w:eastAsia="Calibri"/>
          <w:color w:val="000000"/>
          <w:lang w:val="es-ES" w:eastAsia="en-US"/>
        </w:rPr>
        <w:t xml:space="preserve">respectivamente. La seropositividad de los marcadores infecciosos se asoció con factores demográficos como la edad, sexo y lugar de procedencia (p&lt; 0,05). </w:t>
      </w:r>
    </w:p>
    <w:p w14:paraId="5B1260FD"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b/>
          <w:bCs/>
          <w:color w:val="000000"/>
          <w:lang w:val="es-ES" w:eastAsia="en-US"/>
        </w:rPr>
        <w:t xml:space="preserve">Conclusiones: </w:t>
      </w:r>
      <w:r w:rsidRPr="00F2707E">
        <w:rPr>
          <w:rFonts w:eastAsia="Calibri"/>
          <w:color w:val="000000"/>
          <w:lang w:val="es-ES" w:eastAsia="en-US"/>
        </w:rPr>
        <w:t xml:space="preserve">Existe relación entre los factores demográficos con la seropositividad de los marcadores infecciosos en donantes peruanos. </w:t>
      </w:r>
    </w:p>
    <w:p w14:paraId="6B1FAB64"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b/>
          <w:color w:val="000000"/>
          <w:lang w:val="es-ES" w:eastAsia="en-US"/>
        </w:rPr>
        <w:t xml:space="preserve">Palabras clave: </w:t>
      </w:r>
      <w:r w:rsidRPr="00F2707E">
        <w:rPr>
          <w:rFonts w:eastAsia="Calibri"/>
          <w:bCs/>
          <w:color w:val="000000"/>
          <w:lang w:val="es-ES" w:eastAsia="en-US"/>
        </w:rPr>
        <w:t>donación de sangre;</w:t>
      </w:r>
      <w:r w:rsidRPr="00F2707E">
        <w:rPr>
          <w:rFonts w:eastAsia="Calibri"/>
          <w:b/>
          <w:color w:val="000000"/>
          <w:lang w:val="es-ES" w:eastAsia="en-US"/>
        </w:rPr>
        <w:t xml:space="preserve"> </w:t>
      </w:r>
      <w:r w:rsidRPr="00F2707E">
        <w:rPr>
          <w:rFonts w:eastAsia="Calibri"/>
          <w:color w:val="000000"/>
          <w:lang w:val="es-ES" w:eastAsia="en-US"/>
        </w:rPr>
        <w:t xml:space="preserve">hepatitis B; tamizaje masivo; transfusión sanguínea; medicina transfusional; Perú. </w:t>
      </w:r>
    </w:p>
    <w:p w14:paraId="38FF013B" w14:textId="77777777" w:rsidR="00F2707E" w:rsidRPr="00F2707E" w:rsidRDefault="00F2707E" w:rsidP="00F2707E">
      <w:pPr>
        <w:suppressAutoHyphens/>
        <w:spacing w:line="360" w:lineRule="auto"/>
        <w:rPr>
          <w:rFonts w:eastAsia="Calibri"/>
          <w:b/>
          <w:color w:val="000000"/>
          <w:highlight w:val="yellow"/>
          <w:lang w:val="es-ES" w:eastAsia="en-US"/>
        </w:rPr>
      </w:pPr>
    </w:p>
    <w:p w14:paraId="29DF0F79" w14:textId="77777777" w:rsidR="00F2707E" w:rsidRPr="00F2707E" w:rsidRDefault="00F2707E" w:rsidP="00F2707E">
      <w:pPr>
        <w:suppressAutoHyphens/>
        <w:spacing w:line="360" w:lineRule="auto"/>
        <w:rPr>
          <w:rFonts w:eastAsia="Calibri"/>
          <w:b/>
          <w:lang w:val="en-US" w:eastAsia="en-US"/>
        </w:rPr>
      </w:pPr>
      <w:r w:rsidRPr="00F2707E">
        <w:rPr>
          <w:rFonts w:eastAsia="Calibri"/>
          <w:b/>
          <w:lang w:val="en-US" w:eastAsia="en-US"/>
        </w:rPr>
        <w:t>ABSTRACT</w:t>
      </w:r>
    </w:p>
    <w:p w14:paraId="6D616308" w14:textId="77777777" w:rsidR="00F2707E" w:rsidRPr="00F2707E" w:rsidRDefault="00F2707E" w:rsidP="00F2707E">
      <w:pPr>
        <w:suppressAutoHyphens/>
        <w:spacing w:line="360" w:lineRule="auto"/>
        <w:jc w:val="both"/>
        <w:rPr>
          <w:rFonts w:eastAsia="Calibri"/>
          <w:color w:val="000000"/>
          <w:lang w:val="en-US" w:eastAsia="en-US"/>
        </w:rPr>
      </w:pPr>
      <w:r w:rsidRPr="00F2707E">
        <w:rPr>
          <w:rFonts w:eastAsia="Calibri"/>
          <w:b/>
          <w:bCs/>
          <w:color w:val="000000"/>
          <w:lang w:val="en-US" w:eastAsia="en-US"/>
        </w:rPr>
        <w:t xml:space="preserve">Introduction: </w:t>
      </w:r>
      <w:r w:rsidRPr="00F2707E">
        <w:rPr>
          <w:rFonts w:eastAsia="Calibri"/>
          <w:color w:val="000000"/>
          <w:lang w:val="en-US" w:eastAsia="en-US"/>
        </w:rPr>
        <w:t>The characteristics of blood donors may vary between hemotherapy centers and may be related to the seropositivity of infectious markers.</w:t>
      </w:r>
    </w:p>
    <w:p w14:paraId="4C210E16" w14:textId="77777777" w:rsidR="00F2707E" w:rsidRPr="00F2707E" w:rsidRDefault="00F2707E" w:rsidP="00F2707E">
      <w:pPr>
        <w:suppressAutoHyphens/>
        <w:spacing w:line="360" w:lineRule="auto"/>
        <w:jc w:val="both"/>
        <w:rPr>
          <w:rFonts w:eastAsia="Calibri"/>
          <w:color w:val="000000"/>
          <w:lang w:val="en-US" w:eastAsia="en-US"/>
        </w:rPr>
      </w:pPr>
      <w:r w:rsidRPr="00F2707E">
        <w:rPr>
          <w:rFonts w:eastAsia="Calibri"/>
          <w:b/>
          <w:bCs/>
          <w:color w:val="000000"/>
          <w:lang w:val="en-US" w:eastAsia="en-US"/>
        </w:rPr>
        <w:t xml:space="preserve">Objective: </w:t>
      </w:r>
      <w:r w:rsidRPr="00F2707E">
        <w:rPr>
          <w:rFonts w:eastAsia="Calibri"/>
          <w:color w:val="000000"/>
          <w:lang w:val="en-US" w:eastAsia="en-US"/>
        </w:rPr>
        <w:t>To related the seropositivity of infectious markers with the demographic factors of Peruvian blood donors.</w:t>
      </w:r>
    </w:p>
    <w:p w14:paraId="2B26364A" w14:textId="77777777" w:rsidR="00F2707E" w:rsidRPr="00F2707E" w:rsidRDefault="00F2707E" w:rsidP="00F2707E">
      <w:pPr>
        <w:suppressAutoHyphens/>
        <w:spacing w:line="360" w:lineRule="auto"/>
        <w:jc w:val="both"/>
        <w:rPr>
          <w:rFonts w:eastAsia="Calibri"/>
          <w:color w:val="000000"/>
          <w:lang w:val="en-US" w:eastAsia="en-US"/>
        </w:rPr>
      </w:pPr>
      <w:r w:rsidRPr="00F2707E">
        <w:rPr>
          <w:rFonts w:eastAsia="Calibri"/>
          <w:b/>
          <w:bCs/>
          <w:color w:val="000000"/>
          <w:lang w:val="en-US" w:eastAsia="en-US"/>
        </w:rPr>
        <w:t xml:space="preserve">Methods: </w:t>
      </w:r>
      <w:r w:rsidRPr="00F2707E">
        <w:rPr>
          <w:rFonts w:eastAsia="Calibri"/>
          <w:color w:val="000000"/>
          <w:lang w:val="en-US" w:eastAsia="en-US"/>
        </w:rPr>
        <w:t>Observational in the blood banks of the Hospital Nacional Cayetano Heredia and the Instituto Nacional Materno Perinatal during 2019. The population consisted of 11,936 donors who were screened for the seven infectious agents according to the National Hemotherapy and Blood Bank Program. Pearson's correlation test was used to determine the association between demographic variables and infectious markers.</w:t>
      </w:r>
    </w:p>
    <w:p w14:paraId="73FD759E" w14:textId="1B6AD3F6" w:rsidR="00F2707E" w:rsidRPr="00F2707E" w:rsidRDefault="00F2707E" w:rsidP="00F2707E">
      <w:pPr>
        <w:suppressAutoHyphens/>
        <w:spacing w:line="360" w:lineRule="auto"/>
        <w:jc w:val="both"/>
        <w:rPr>
          <w:rFonts w:eastAsia="Calibri"/>
          <w:color w:val="000000"/>
          <w:lang w:val="en-US" w:eastAsia="en-US"/>
        </w:rPr>
      </w:pPr>
      <w:r w:rsidRPr="00F2707E">
        <w:rPr>
          <w:rFonts w:eastAsia="Calibri"/>
          <w:b/>
          <w:bCs/>
          <w:color w:val="000000"/>
          <w:lang w:val="en-US" w:eastAsia="en-US"/>
        </w:rPr>
        <w:t xml:space="preserve">Results: </w:t>
      </w:r>
      <w:r w:rsidRPr="00F2707E">
        <w:rPr>
          <w:rFonts w:eastAsia="Calibri"/>
          <w:color w:val="000000"/>
          <w:lang w:val="en-US" w:eastAsia="en-US"/>
        </w:rPr>
        <w:t xml:space="preserve">Of the total, 8,449 (70.8%) were male and the age group from 35 to 55 years was the most frequent in both hospitals (~ 44.5%). Most donors came from the coast (4,944; 41.4 %), although at the Cayetano Heredia National Hospital, there were 734 (8.9%) from the jungle. Seropositivity was 507 (4.25%) donations, then most frequent was Hepatitis B virus core antigen, antibodies against human T-cell lymphotropic virus 1-2, and syphilis, with 51.2%, 16.8%, and 14.9%, respectively. Seropositivity of </w:t>
      </w:r>
      <w:r w:rsidRPr="00F2707E">
        <w:rPr>
          <w:rFonts w:eastAsia="Calibri"/>
          <w:color w:val="000000"/>
          <w:lang w:val="en-US" w:eastAsia="en-US"/>
        </w:rPr>
        <w:lastRenderedPageBreak/>
        <w:t>infectious markers was associated with demographic factors such as age, gender, and place of origin (p&lt;</w:t>
      </w:r>
      <w:r w:rsidR="00521877">
        <w:rPr>
          <w:rFonts w:eastAsia="Calibri"/>
          <w:color w:val="000000"/>
          <w:lang w:val="en-US" w:eastAsia="en-US"/>
        </w:rPr>
        <w:t> </w:t>
      </w:r>
      <w:r w:rsidRPr="00F2707E">
        <w:rPr>
          <w:rFonts w:eastAsia="Calibri"/>
          <w:color w:val="000000"/>
          <w:lang w:val="en-US" w:eastAsia="en-US"/>
        </w:rPr>
        <w:t>0.05).</w:t>
      </w:r>
    </w:p>
    <w:p w14:paraId="5D962C34" w14:textId="77777777" w:rsidR="00F2707E" w:rsidRPr="00F2707E" w:rsidRDefault="00F2707E" w:rsidP="00F2707E">
      <w:pPr>
        <w:suppressAutoHyphens/>
        <w:spacing w:line="360" w:lineRule="auto"/>
        <w:jc w:val="both"/>
        <w:rPr>
          <w:rFonts w:eastAsia="Calibri"/>
          <w:color w:val="000000"/>
          <w:lang w:val="en-US" w:eastAsia="en-US"/>
        </w:rPr>
      </w:pPr>
      <w:r w:rsidRPr="00F2707E">
        <w:rPr>
          <w:rFonts w:eastAsia="Calibri"/>
          <w:b/>
          <w:bCs/>
          <w:color w:val="000000"/>
          <w:lang w:val="en-US" w:eastAsia="en-US"/>
        </w:rPr>
        <w:t>Conclusions:</w:t>
      </w:r>
      <w:r w:rsidRPr="00F2707E">
        <w:rPr>
          <w:rFonts w:eastAsia="Calibri"/>
          <w:color w:val="000000"/>
          <w:lang w:val="en-US" w:eastAsia="en-US"/>
        </w:rPr>
        <w:t xml:space="preserve"> There is a relationship between demographic factors with the seropositivity of infectious markers in Peruvian donors.</w:t>
      </w:r>
    </w:p>
    <w:p w14:paraId="652A9FD4" w14:textId="77777777" w:rsidR="00F2707E" w:rsidRPr="00F2707E" w:rsidRDefault="00F2707E" w:rsidP="00F2707E">
      <w:pPr>
        <w:suppressAutoHyphens/>
        <w:spacing w:line="360" w:lineRule="auto"/>
        <w:jc w:val="both"/>
        <w:rPr>
          <w:rFonts w:eastAsia="Calibri"/>
          <w:color w:val="000000"/>
          <w:lang w:val="en-US" w:eastAsia="en-US"/>
        </w:rPr>
      </w:pPr>
      <w:r w:rsidRPr="00F2707E">
        <w:rPr>
          <w:rFonts w:eastAsia="Calibri"/>
          <w:b/>
          <w:bCs/>
          <w:color w:val="000000"/>
          <w:lang w:val="en-US" w:eastAsia="en-US"/>
        </w:rPr>
        <w:t xml:space="preserve">Keywords: </w:t>
      </w:r>
      <w:r w:rsidRPr="00F2707E">
        <w:rPr>
          <w:rFonts w:eastAsia="Calibri"/>
          <w:color w:val="000000"/>
          <w:lang w:val="en-US" w:eastAsia="en-US"/>
        </w:rPr>
        <w:t>blood donation; hepatitis B; mass screening; blood transfusion; transfusion medicine; Peru.</w:t>
      </w:r>
    </w:p>
    <w:p w14:paraId="2F427929" w14:textId="77777777" w:rsidR="00F2707E" w:rsidRPr="00F2707E" w:rsidRDefault="00F2707E" w:rsidP="00F2707E">
      <w:pPr>
        <w:suppressAutoHyphens/>
        <w:spacing w:line="360" w:lineRule="auto"/>
        <w:jc w:val="both"/>
        <w:rPr>
          <w:rFonts w:eastAsia="Calibri"/>
          <w:color w:val="000000"/>
          <w:lang w:val="en-US" w:eastAsia="en-US"/>
        </w:rPr>
      </w:pPr>
    </w:p>
    <w:p w14:paraId="242ED803" w14:textId="77777777" w:rsidR="00F2707E" w:rsidRPr="00F2707E" w:rsidRDefault="00F2707E" w:rsidP="00F2707E">
      <w:pPr>
        <w:suppressAutoHyphens/>
        <w:spacing w:line="360" w:lineRule="auto"/>
        <w:jc w:val="both"/>
        <w:rPr>
          <w:rFonts w:eastAsia="Calibri"/>
          <w:color w:val="000000"/>
          <w:lang w:val="en-US" w:eastAsia="en-US"/>
        </w:rPr>
      </w:pPr>
    </w:p>
    <w:p w14:paraId="3421B4D2" w14:textId="77777777" w:rsidR="00F2707E" w:rsidRPr="00F2707E" w:rsidRDefault="00F2707E" w:rsidP="00F2707E">
      <w:pPr>
        <w:suppressAutoHyphens/>
        <w:spacing w:line="360" w:lineRule="auto"/>
        <w:jc w:val="both"/>
        <w:rPr>
          <w:rFonts w:eastAsia="Calibri"/>
          <w:color w:val="000000"/>
          <w:lang w:val="es-PE" w:eastAsia="en-US"/>
        </w:rPr>
      </w:pPr>
      <w:r w:rsidRPr="00F2707E">
        <w:rPr>
          <w:rFonts w:eastAsia="Calibri"/>
          <w:color w:val="000000"/>
          <w:lang w:val="es-PE" w:eastAsia="en-US"/>
        </w:rPr>
        <w:t>Recibido: 02/03/2023</w:t>
      </w:r>
    </w:p>
    <w:p w14:paraId="0C22ABF1" w14:textId="77777777" w:rsidR="00F2707E" w:rsidRPr="00F2707E" w:rsidRDefault="00F2707E" w:rsidP="00F2707E">
      <w:pPr>
        <w:suppressAutoHyphens/>
        <w:spacing w:line="360" w:lineRule="auto"/>
        <w:rPr>
          <w:rFonts w:eastAsia="Calibri"/>
          <w:b/>
          <w:sz w:val="32"/>
          <w:szCs w:val="32"/>
          <w:lang w:val="es-PE" w:eastAsia="en-US"/>
        </w:rPr>
      </w:pPr>
      <w:r w:rsidRPr="00F2707E">
        <w:rPr>
          <w:rFonts w:eastAsia="Calibri"/>
          <w:color w:val="000000"/>
          <w:lang w:val="es-PE" w:eastAsia="en-US"/>
        </w:rPr>
        <w:t>Aprobado: 13/09/2023</w:t>
      </w:r>
    </w:p>
    <w:p w14:paraId="292AF340" w14:textId="77777777" w:rsidR="00F2707E" w:rsidRPr="00F2707E" w:rsidRDefault="00F2707E" w:rsidP="00F2707E">
      <w:pPr>
        <w:suppressAutoHyphens/>
        <w:spacing w:line="360" w:lineRule="auto"/>
        <w:jc w:val="center"/>
        <w:rPr>
          <w:rFonts w:eastAsia="Calibri"/>
          <w:b/>
          <w:sz w:val="32"/>
          <w:szCs w:val="32"/>
          <w:lang w:val="es-PE" w:eastAsia="en-US"/>
        </w:rPr>
      </w:pPr>
    </w:p>
    <w:p w14:paraId="6FC2A8A7" w14:textId="77777777" w:rsidR="00F2707E" w:rsidRPr="00F2707E" w:rsidRDefault="00F2707E" w:rsidP="00F2707E">
      <w:pPr>
        <w:suppressAutoHyphens/>
        <w:spacing w:line="360" w:lineRule="auto"/>
        <w:jc w:val="center"/>
        <w:rPr>
          <w:rFonts w:eastAsia="Calibri"/>
          <w:b/>
          <w:sz w:val="32"/>
          <w:szCs w:val="32"/>
          <w:lang w:val="es-PE" w:eastAsia="en-US"/>
        </w:rPr>
      </w:pPr>
    </w:p>
    <w:p w14:paraId="19CCF6AC" w14:textId="77777777" w:rsidR="00F2707E" w:rsidRPr="00F2707E" w:rsidRDefault="00F2707E" w:rsidP="00F2707E">
      <w:pPr>
        <w:suppressAutoHyphens/>
        <w:spacing w:line="360" w:lineRule="auto"/>
        <w:jc w:val="center"/>
        <w:rPr>
          <w:rFonts w:eastAsia="Calibri"/>
          <w:b/>
          <w:sz w:val="32"/>
          <w:szCs w:val="32"/>
          <w:lang w:val="es-ES" w:eastAsia="en-US"/>
        </w:rPr>
      </w:pPr>
      <w:r w:rsidRPr="00F2707E">
        <w:rPr>
          <w:rFonts w:eastAsia="Calibri"/>
          <w:b/>
          <w:sz w:val="32"/>
          <w:szCs w:val="32"/>
          <w:lang w:val="es-ES" w:eastAsia="en-US"/>
        </w:rPr>
        <w:t>INTRODUCCIÓN</w:t>
      </w:r>
    </w:p>
    <w:p w14:paraId="671FDC74"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La Organización Mundial de la Salud (OMS) refiere una desigualdad en la donación de sangre entre países, ya que en los que tienen alto grado de desarrollo, la tasa de donación es de 32,1 % por cada 1000 personas; mientras que en los de bajo grado de desarrollo es de 4,6 %.</w:t>
      </w:r>
      <w:r w:rsidRPr="00F2707E">
        <w:rPr>
          <w:rFonts w:eastAsia="Calibri"/>
          <w:color w:val="000000"/>
          <w:vertAlign w:val="superscript"/>
          <w:lang w:val="es-ES" w:eastAsia="en-US"/>
        </w:rPr>
        <w:t>(1)</w:t>
      </w:r>
      <w:r w:rsidRPr="00F2707E">
        <w:rPr>
          <w:rFonts w:eastAsia="Calibri"/>
          <w:color w:val="000000"/>
          <w:lang w:val="es-ES" w:eastAsia="en-US"/>
        </w:rPr>
        <w:t xml:space="preserve"> Las transfusiones de sangre permiten salvar a millones de personas y mejorar la calidad de vida cada año, pero la falta de acceso a transfusiones seguras es una importante causa de muerte. Por ello es necesario trabajar con filtros e indicadores de calidad, para asegurar la calidad de las transfusiones.</w:t>
      </w:r>
    </w:p>
    <w:p w14:paraId="4C594247"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En Perú, en 1943, se establece el uso de la sangre, y la Cruz Roja Peruana crea el primer banco de sangre en el Hospital Dos de Mayo; así da inicio a la hemoterapia en el país.</w:t>
      </w:r>
      <w:r w:rsidRPr="00F2707E">
        <w:rPr>
          <w:rFonts w:eastAsia="Calibri"/>
          <w:color w:val="000000"/>
          <w:vertAlign w:val="superscript"/>
          <w:lang w:val="es-ES" w:eastAsia="en-US"/>
        </w:rPr>
        <w:t>(2)</w:t>
      </w:r>
    </w:p>
    <w:p w14:paraId="17508C77"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Los logros de la donación de sangre y la terapia transfusional han sido reconocidos;</w:t>
      </w:r>
      <w:r w:rsidRPr="00F2707E">
        <w:rPr>
          <w:rFonts w:eastAsia="Calibri"/>
          <w:color w:val="000000"/>
          <w:vertAlign w:val="superscript"/>
          <w:lang w:val="es-ES" w:eastAsia="en-US"/>
        </w:rPr>
        <w:t>(3)</w:t>
      </w:r>
      <w:r w:rsidRPr="00F2707E">
        <w:rPr>
          <w:rFonts w:eastAsia="Calibri"/>
          <w:color w:val="000000"/>
          <w:lang w:val="es-ES" w:eastAsia="en-US"/>
        </w:rPr>
        <w:t xml:space="preserve"> sin embargo, la falta de donación voluntaria conlleva a una alta seroprevalencia, reportada en varios hospitales de las 3 regiones del Perú. La transmisión de enfermedades infecciosas durante la transfusión de </w:t>
      </w:r>
      <w:proofErr w:type="spellStart"/>
      <w:r w:rsidRPr="00F2707E">
        <w:rPr>
          <w:rFonts w:eastAsia="Calibri"/>
          <w:color w:val="000000"/>
          <w:lang w:val="es-ES" w:eastAsia="en-US"/>
        </w:rPr>
        <w:t>hemocomponentes</w:t>
      </w:r>
      <w:proofErr w:type="spellEnd"/>
      <w:r w:rsidRPr="00F2707E">
        <w:rPr>
          <w:rFonts w:eastAsia="Calibri"/>
          <w:color w:val="000000"/>
          <w:lang w:val="es-ES" w:eastAsia="en-US"/>
        </w:rPr>
        <w:t xml:space="preserve"> es una consecuencia y un importante problema de salud pública,</w:t>
      </w:r>
      <w:r w:rsidRPr="00F2707E">
        <w:rPr>
          <w:rFonts w:eastAsia="Calibri"/>
          <w:color w:val="000000"/>
          <w:vertAlign w:val="superscript"/>
          <w:lang w:val="es-ES" w:eastAsia="en-US"/>
        </w:rPr>
        <w:t>(4)</w:t>
      </w:r>
      <w:r w:rsidRPr="00F2707E">
        <w:rPr>
          <w:rFonts w:eastAsia="Calibri"/>
          <w:color w:val="000000"/>
          <w:lang w:val="es-ES" w:eastAsia="en-US"/>
        </w:rPr>
        <w:t xml:space="preserve"> ya que no solo muestra directamente la salud de los donantes, sino que evidencia la falta de calidad de la donación, el incremento de costos y sangre perdida por unidades reactivas o indeterminadas en el tamiz transfusional.</w:t>
      </w:r>
      <w:r w:rsidRPr="00F2707E">
        <w:rPr>
          <w:rFonts w:eastAsia="Calibri"/>
          <w:color w:val="000000"/>
          <w:vertAlign w:val="superscript"/>
          <w:lang w:val="es-ES" w:eastAsia="en-US"/>
        </w:rPr>
        <w:t>(5,6)</w:t>
      </w:r>
    </w:p>
    <w:p w14:paraId="08296F93"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lastRenderedPageBreak/>
        <w:t xml:space="preserve">La seroprevalencia de enfermedades infecciosas en donantes de sangre varía de acuerdo con la región; en Irak y en Etiopia la seroprevalencia de </w:t>
      </w:r>
      <w:proofErr w:type="spellStart"/>
      <w:r w:rsidRPr="00F2707E">
        <w:rPr>
          <w:rFonts w:eastAsia="Calibri"/>
          <w:color w:val="000000"/>
          <w:lang w:val="es-ES" w:eastAsia="en-US"/>
        </w:rPr>
        <w:t>anti-core</w:t>
      </w:r>
      <w:proofErr w:type="spellEnd"/>
      <w:r w:rsidRPr="00F2707E">
        <w:rPr>
          <w:rFonts w:eastAsia="Calibri"/>
          <w:color w:val="000000"/>
          <w:lang w:val="es-ES" w:eastAsia="en-US"/>
        </w:rPr>
        <w:t xml:space="preserve"> del virus de Hepatitis B (</w:t>
      </w:r>
      <w:proofErr w:type="spellStart"/>
      <w:r w:rsidRPr="00F2707E">
        <w:rPr>
          <w:rFonts w:eastAsia="Calibri"/>
          <w:color w:val="000000"/>
          <w:lang w:val="es-ES" w:eastAsia="en-US"/>
        </w:rPr>
        <w:t>HbcAb</w:t>
      </w:r>
      <w:proofErr w:type="spellEnd"/>
      <w:r w:rsidRPr="00F2707E">
        <w:rPr>
          <w:rFonts w:eastAsia="Calibri"/>
          <w:color w:val="000000"/>
          <w:lang w:val="es-ES" w:eastAsia="en-US"/>
        </w:rPr>
        <w:t>) en donantes es de 8,2 % y 6,55 %, respectivamente.</w:t>
      </w:r>
      <w:r w:rsidRPr="00F2707E">
        <w:rPr>
          <w:rFonts w:eastAsia="Calibri"/>
          <w:color w:val="000000"/>
          <w:vertAlign w:val="superscript"/>
          <w:lang w:val="es-ES" w:eastAsia="en-US"/>
        </w:rPr>
        <w:t xml:space="preserve">(1,7) </w:t>
      </w:r>
      <w:r w:rsidRPr="00F2707E">
        <w:rPr>
          <w:rFonts w:eastAsia="Calibri"/>
          <w:color w:val="000000"/>
          <w:lang w:val="es-ES" w:eastAsia="en-US"/>
        </w:rPr>
        <w:t xml:space="preserve">La seroprevalencia de </w:t>
      </w:r>
      <w:proofErr w:type="spellStart"/>
      <w:r w:rsidRPr="00F2707E">
        <w:rPr>
          <w:rFonts w:eastAsia="Calibri"/>
          <w:color w:val="000000"/>
          <w:lang w:val="es-ES" w:eastAsia="en-US"/>
        </w:rPr>
        <w:t>HbcAb</w:t>
      </w:r>
      <w:proofErr w:type="spellEnd"/>
      <w:r w:rsidRPr="00F2707E">
        <w:rPr>
          <w:rFonts w:eastAsia="Calibri"/>
          <w:color w:val="000000"/>
          <w:lang w:val="es-ES" w:eastAsia="en-US"/>
        </w:rPr>
        <w:t xml:space="preserve"> en donantes peruanos se ha estimado entre 5,25 % y 28,2 %, con diferencias según las características de las poblaciones (costa vs. sierra).</w:t>
      </w:r>
      <w:r w:rsidRPr="00F2707E">
        <w:rPr>
          <w:rFonts w:eastAsia="Calibri"/>
          <w:color w:val="000000"/>
          <w:vertAlign w:val="superscript"/>
          <w:lang w:val="es-ES" w:eastAsia="en-US"/>
        </w:rPr>
        <w:t>(8,9)</w:t>
      </w:r>
      <w:r w:rsidRPr="00F2707E">
        <w:rPr>
          <w:rFonts w:eastAsia="Calibri"/>
          <w:color w:val="000000"/>
          <w:lang w:val="es-ES" w:eastAsia="en-US"/>
        </w:rPr>
        <w:t xml:space="preserve"> Así como la seroprevalencia de </w:t>
      </w:r>
      <w:proofErr w:type="spellStart"/>
      <w:r w:rsidRPr="00F2707E">
        <w:rPr>
          <w:rFonts w:eastAsia="Calibri"/>
          <w:color w:val="000000"/>
          <w:lang w:val="es-ES" w:eastAsia="en-US"/>
        </w:rPr>
        <w:t>HbcAb</w:t>
      </w:r>
      <w:proofErr w:type="spellEnd"/>
      <w:r w:rsidRPr="00F2707E">
        <w:rPr>
          <w:rFonts w:eastAsia="Calibri"/>
          <w:color w:val="000000"/>
          <w:lang w:val="es-ES" w:eastAsia="en-US"/>
        </w:rPr>
        <w:t xml:space="preserve"> puede variar entre regiones, los otros marcadores también fluctúan, incluso dentro de un mismo país; estos están vinculados a las características de la población de donantes; por tanto es imperioso entender las particularidades poblacionales.</w:t>
      </w:r>
      <w:r w:rsidRPr="00F2707E">
        <w:rPr>
          <w:rFonts w:eastAsia="Calibri"/>
          <w:color w:val="000000"/>
          <w:vertAlign w:val="superscript"/>
          <w:lang w:val="es-ES" w:eastAsia="en-US"/>
        </w:rPr>
        <w:t>(10)</w:t>
      </w:r>
    </w:p>
    <w:p w14:paraId="38AA12AD"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Se ha reportado en 15 países de la región, que los conocimientos de las personas sobre la donación de sangre, sus creencias, percepciones y actitudes, son importantes barreras y motivaciones para la seguridad transfusional.</w:t>
      </w:r>
      <w:r w:rsidRPr="00F2707E">
        <w:rPr>
          <w:rFonts w:eastAsia="Calibri"/>
          <w:color w:val="000000"/>
          <w:vertAlign w:val="superscript"/>
          <w:lang w:val="es-ES" w:eastAsia="en-US"/>
        </w:rPr>
        <w:t>(11)</w:t>
      </w:r>
      <w:r w:rsidRPr="00F2707E">
        <w:rPr>
          <w:rFonts w:eastAsia="Calibri"/>
          <w:color w:val="000000"/>
          <w:lang w:val="es-ES" w:eastAsia="en-US"/>
        </w:rPr>
        <w:t xml:space="preserve"> De hecho, los principales factores que influyen en el diferimiento de donantes son: el sexo masculino, la concentración de hemoglobina y la seropositividad a </w:t>
      </w:r>
      <w:proofErr w:type="spellStart"/>
      <w:r w:rsidRPr="00F2707E">
        <w:rPr>
          <w:rFonts w:eastAsia="Calibri"/>
          <w:color w:val="000000"/>
          <w:lang w:val="es-ES" w:eastAsia="en-US"/>
        </w:rPr>
        <w:t>HBcAb</w:t>
      </w:r>
      <w:proofErr w:type="spellEnd"/>
      <w:r w:rsidRPr="00F2707E">
        <w:rPr>
          <w:rFonts w:eastAsia="Calibri"/>
          <w:color w:val="000000"/>
          <w:lang w:val="es-ES" w:eastAsia="en-US"/>
        </w:rPr>
        <w:t>.</w:t>
      </w:r>
      <w:r w:rsidRPr="00F2707E">
        <w:rPr>
          <w:rFonts w:eastAsia="Calibri"/>
          <w:color w:val="000000"/>
          <w:vertAlign w:val="superscript"/>
          <w:lang w:val="es-ES" w:eastAsia="en-US"/>
        </w:rPr>
        <w:t>(12)</w:t>
      </w:r>
      <w:r w:rsidRPr="00F2707E">
        <w:rPr>
          <w:rFonts w:eastAsia="Calibri"/>
          <w:color w:val="000000"/>
          <w:lang w:val="es-ES" w:eastAsia="en-US"/>
        </w:rPr>
        <w:t xml:space="preserve"> Se han visto patrones de reactividad entre marcadores infecciosos (sífilis con VIH) en donantes peruanos.</w:t>
      </w:r>
      <w:r w:rsidRPr="00F2707E">
        <w:rPr>
          <w:rFonts w:eastAsia="Calibri"/>
          <w:color w:val="000000"/>
          <w:vertAlign w:val="superscript"/>
          <w:lang w:val="es-ES" w:eastAsia="en-US"/>
        </w:rPr>
        <w:t>(13)</w:t>
      </w:r>
      <w:r w:rsidRPr="00F2707E">
        <w:rPr>
          <w:rFonts w:eastAsia="Calibri"/>
          <w:color w:val="000000"/>
          <w:lang w:val="es-ES" w:eastAsia="en-US"/>
        </w:rPr>
        <w:t xml:space="preserve"> Conocer la situación sociocultural y demográfica relacionada con la seropositividad de marcadores infecciosos resulta importante, para entender el comportamiento de los donantes en la práctica regular de la donación, a fin de instaurar políticas de cambio y mejorar la seguridad transfusional. </w:t>
      </w:r>
    </w:p>
    <w:p w14:paraId="6F9B3A21"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El objetivo de este estudio es determinar si existe relación entre la seropositividad de marcadores infecciosos con los factores demográficos de los donantes de sangre peruanos.</w:t>
      </w:r>
    </w:p>
    <w:p w14:paraId="3112088A" w14:textId="77777777" w:rsidR="00F2707E" w:rsidRPr="00F2707E" w:rsidRDefault="00F2707E" w:rsidP="00F2707E">
      <w:pPr>
        <w:suppressAutoHyphens/>
        <w:spacing w:line="360" w:lineRule="auto"/>
        <w:jc w:val="both"/>
        <w:rPr>
          <w:rFonts w:eastAsia="Calibri"/>
          <w:color w:val="000000"/>
          <w:lang w:val="es-ES" w:eastAsia="en-US"/>
        </w:rPr>
      </w:pPr>
    </w:p>
    <w:p w14:paraId="1BDE560D" w14:textId="77777777" w:rsidR="00F2707E" w:rsidRPr="00F2707E" w:rsidRDefault="00F2707E" w:rsidP="00F2707E">
      <w:pPr>
        <w:suppressAutoHyphens/>
        <w:spacing w:line="360" w:lineRule="auto"/>
        <w:jc w:val="both"/>
        <w:rPr>
          <w:rFonts w:eastAsia="Calibri"/>
          <w:color w:val="000000"/>
          <w:lang w:val="es-ES" w:eastAsia="en-US"/>
        </w:rPr>
      </w:pPr>
    </w:p>
    <w:p w14:paraId="3B97E1E0" w14:textId="77777777" w:rsidR="00F2707E" w:rsidRPr="00F2707E" w:rsidRDefault="00F2707E" w:rsidP="00F2707E">
      <w:pPr>
        <w:suppressAutoHyphens/>
        <w:spacing w:line="360" w:lineRule="auto"/>
        <w:jc w:val="center"/>
        <w:rPr>
          <w:rFonts w:eastAsia="Calibri"/>
          <w:b/>
          <w:sz w:val="32"/>
          <w:szCs w:val="32"/>
          <w:lang w:val="es-ES" w:eastAsia="en-US"/>
        </w:rPr>
      </w:pPr>
      <w:r w:rsidRPr="00F2707E">
        <w:rPr>
          <w:rFonts w:eastAsia="Calibri"/>
          <w:b/>
          <w:sz w:val="32"/>
          <w:szCs w:val="32"/>
          <w:lang w:val="es-ES" w:eastAsia="en-US"/>
        </w:rPr>
        <w:t>MÉTODOS</w:t>
      </w:r>
    </w:p>
    <w:p w14:paraId="4CC12E35" w14:textId="77777777" w:rsidR="00F2707E" w:rsidRPr="00F2707E" w:rsidRDefault="00F2707E" w:rsidP="00F2707E">
      <w:pPr>
        <w:suppressAutoHyphens/>
        <w:spacing w:line="360" w:lineRule="auto"/>
        <w:jc w:val="center"/>
        <w:rPr>
          <w:rFonts w:eastAsia="Calibri"/>
          <w:b/>
          <w:bCs/>
          <w:color w:val="000000"/>
          <w:sz w:val="28"/>
          <w:szCs w:val="28"/>
          <w:lang w:val="es-ES" w:eastAsia="en-US"/>
        </w:rPr>
      </w:pPr>
      <w:r w:rsidRPr="00F2707E">
        <w:rPr>
          <w:rFonts w:eastAsia="Calibri"/>
          <w:b/>
          <w:bCs/>
          <w:color w:val="000000"/>
          <w:sz w:val="28"/>
          <w:szCs w:val="28"/>
          <w:lang w:val="es-ES" w:eastAsia="en-US"/>
        </w:rPr>
        <w:t>Diseño del estudio, población y criterios de inclusión</w:t>
      </w:r>
    </w:p>
    <w:p w14:paraId="2A168D4F"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 xml:space="preserve">Estudio observacional retrospectivo, realizado con donantes de sangre del Centro de Hemoterapia y Banco Tipo II del Hospital Nacional Cayetano Heredia (HNCH) y el Instituto Nacional Materno Perinatal (INMP), durante el año 2019. </w:t>
      </w:r>
    </w:p>
    <w:p w14:paraId="3E37D250"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La población del estudio lo conformaron 11 936 donantes de sangre, que cumplieron los criterios de selección del Programa Nacional de Hemoterapia y Bancos de Sangre (</w:t>
      </w:r>
      <w:r w:rsidRPr="00F2707E">
        <w:rPr>
          <w:rFonts w:eastAsia="Calibri"/>
          <w:color w:val="000000"/>
          <w:sz w:val="22"/>
          <w:szCs w:val="22"/>
          <w:lang w:val="es-ES" w:eastAsia="en-US"/>
        </w:rPr>
        <w:t>PRONAHEBAS</w:t>
      </w:r>
      <w:r w:rsidRPr="00F2707E">
        <w:rPr>
          <w:rFonts w:eastAsia="Calibri"/>
          <w:color w:val="000000"/>
          <w:lang w:val="es-ES" w:eastAsia="en-US"/>
        </w:rPr>
        <w:t>).</w:t>
      </w:r>
      <w:r w:rsidRPr="00F2707E">
        <w:rPr>
          <w:rFonts w:eastAsia="Calibri"/>
          <w:color w:val="000000"/>
          <w:vertAlign w:val="superscript"/>
          <w:lang w:val="es-ES" w:eastAsia="en-US"/>
        </w:rPr>
        <w:t>(14)</w:t>
      </w:r>
      <w:r w:rsidRPr="00F2707E">
        <w:rPr>
          <w:rFonts w:eastAsia="Calibri"/>
          <w:color w:val="000000"/>
          <w:lang w:val="es-ES" w:eastAsia="en-US"/>
        </w:rPr>
        <w:t xml:space="preserve"> </w:t>
      </w:r>
    </w:p>
    <w:p w14:paraId="7E8C0CE4"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 xml:space="preserve">Los criterios de inclusión fueron: donantes mayores de 18 años, con &gt; 50 kg, sin tatuajes, o con antecedentes de donación dentro de los 3 meses anteriores. </w:t>
      </w:r>
    </w:p>
    <w:p w14:paraId="5DD7921E"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lastRenderedPageBreak/>
        <w:t xml:space="preserve">Se excluyeron donantes &gt; 65 años de edad, con ficha de registro incompleta y con resultados de tamizaje reactivo o indeterminado. </w:t>
      </w:r>
    </w:p>
    <w:p w14:paraId="320D7C84" w14:textId="77777777" w:rsidR="00F2707E" w:rsidRPr="00F2707E" w:rsidRDefault="00F2707E" w:rsidP="00F2707E">
      <w:pPr>
        <w:suppressAutoHyphens/>
        <w:spacing w:line="360" w:lineRule="auto"/>
        <w:jc w:val="center"/>
        <w:rPr>
          <w:rFonts w:eastAsia="Calibri"/>
          <w:b/>
          <w:bCs/>
          <w:sz w:val="28"/>
          <w:szCs w:val="28"/>
          <w:lang w:val="es-ES" w:eastAsia="en-US"/>
        </w:rPr>
      </w:pPr>
      <w:r w:rsidRPr="00F2707E">
        <w:rPr>
          <w:rFonts w:eastAsia="Calibri"/>
          <w:b/>
          <w:bCs/>
          <w:sz w:val="28"/>
          <w:szCs w:val="28"/>
          <w:lang w:val="es-ES" w:eastAsia="en-US"/>
        </w:rPr>
        <w:t xml:space="preserve">Tamizaje serológico y variables </w:t>
      </w:r>
    </w:p>
    <w:p w14:paraId="4A6E91D8" w14:textId="77777777" w:rsidR="00F2707E" w:rsidRPr="00F2707E" w:rsidRDefault="00F2707E" w:rsidP="00F2707E">
      <w:pPr>
        <w:suppressAutoHyphens/>
        <w:spacing w:line="360" w:lineRule="auto"/>
        <w:jc w:val="both"/>
        <w:rPr>
          <w:rFonts w:eastAsia="Calibri"/>
          <w:color w:val="000000"/>
          <w:vertAlign w:val="superscript"/>
          <w:lang w:val="es-ES" w:eastAsia="en-US"/>
        </w:rPr>
      </w:pPr>
      <w:r w:rsidRPr="00F2707E">
        <w:rPr>
          <w:rFonts w:eastAsia="Calibri"/>
          <w:color w:val="000000"/>
          <w:lang w:val="es-ES" w:eastAsia="en-US"/>
        </w:rPr>
        <w:t xml:space="preserve">Los marcadores serológicos analizados, siguiendo los lineamientos del PRONAHEBAS fueron anticuerpos para el virus de inmunodeficiencia humana (VIH), virus linfotrópico de células T humanas (HTLV), sífilis, </w:t>
      </w:r>
      <w:proofErr w:type="spellStart"/>
      <w:r w:rsidRPr="00F2707E">
        <w:rPr>
          <w:rFonts w:eastAsia="Calibri"/>
          <w:color w:val="000000"/>
          <w:lang w:val="es-ES" w:eastAsia="en-US"/>
        </w:rPr>
        <w:t>HbcAb</w:t>
      </w:r>
      <w:proofErr w:type="spellEnd"/>
      <w:r w:rsidRPr="00F2707E">
        <w:rPr>
          <w:rFonts w:eastAsia="Calibri"/>
          <w:color w:val="000000"/>
          <w:lang w:val="es-ES" w:eastAsia="en-US"/>
        </w:rPr>
        <w:t>, antígeno de superficie para el virus hepatitis B (</w:t>
      </w:r>
      <w:proofErr w:type="spellStart"/>
      <w:r w:rsidRPr="00F2707E">
        <w:rPr>
          <w:rFonts w:eastAsia="Calibri"/>
          <w:color w:val="000000"/>
          <w:lang w:val="es-ES" w:eastAsia="en-US"/>
        </w:rPr>
        <w:t>HbsAg</w:t>
      </w:r>
      <w:proofErr w:type="spellEnd"/>
      <w:r w:rsidRPr="00F2707E">
        <w:rPr>
          <w:rFonts w:eastAsia="Calibri"/>
          <w:color w:val="000000"/>
          <w:lang w:val="es-ES" w:eastAsia="en-US"/>
        </w:rPr>
        <w:t>), anticuerpos anti-Chagas (Chagas) y antígeno para el virus de hepatitis C (VHC).</w:t>
      </w:r>
      <w:r w:rsidRPr="00F2707E">
        <w:rPr>
          <w:rFonts w:eastAsia="Calibri"/>
          <w:color w:val="000000"/>
          <w:vertAlign w:val="superscript"/>
          <w:lang w:val="es-ES" w:eastAsia="en-US"/>
        </w:rPr>
        <w:t xml:space="preserve">(15) </w:t>
      </w:r>
    </w:p>
    <w:p w14:paraId="0EDDE6A9"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El equipo utilizado para las pruebas de tamizaje en el HNCH fue LIAISON XL (</w:t>
      </w:r>
      <w:proofErr w:type="spellStart"/>
      <w:r w:rsidRPr="00F2707E">
        <w:rPr>
          <w:rFonts w:eastAsia="Calibri"/>
          <w:color w:val="000000"/>
          <w:lang w:val="es-ES" w:eastAsia="en-US"/>
        </w:rPr>
        <w:t>DiaSorin</w:t>
      </w:r>
      <w:proofErr w:type="spellEnd"/>
      <w:r w:rsidRPr="00F2707E">
        <w:rPr>
          <w:rFonts w:eastAsia="Calibri"/>
          <w:color w:val="000000"/>
          <w:lang w:val="es-ES" w:eastAsia="en-US"/>
        </w:rPr>
        <w:t xml:space="preserve">, </w:t>
      </w:r>
      <w:proofErr w:type="spellStart"/>
      <w:r w:rsidRPr="00F2707E">
        <w:rPr>
          <w:rFonts w:eastAsia="Calibri"/>
          <w:color w:val="000000"/>
          <w:lang w:val="es-ES" w:eastAsia="en-US"/>
        </w:rPr>
        <w:t>Saluggia</w:t>
      </w:r>
      <w:proofErr w:type="spellEnd"/>
      <w:r w:rsidRPr="00F2707E">
        <w:rPr>
          <w:rFonts w:eastAsia="Calibri"/>
          <w:color w:val="000000"/>
          <w:lang w:val="es-ES" w:eastAsia="en-US"/>
        </w:rPr>
        <w:t xml:space="preserve">, Italia) que utiliza la metodología de inmunoanálisis </w:t>
      </w:r>
      <w:proofErr w:type="spellStart"/>
      <w:r w:rsidRPr="00F2707E">
        <w:rPr>
          <w:rFonts w:eastAsia="Calibri"/>
          <w:color w:val="000000"/>
          <w:lang w:val="es-ES" w:eastAsia="en-US"/>
        </w:rPr>
        <w:t>quimioluminiscente</w:t>
      </w:r>
      <w:proofErr w:type="spellEnd"/>
      <w:r w:rsidRPr="00F2707E">
        <w:rPr>
          <w:rFonts w:eastAsia="Calibri"/>
          <w:color w:val="000000"/>
          <w:lang w:val="es-ES" w:eastAsia="en-US"/>
        </w:rPr>
        <w:t xml:space="preserve"> de macropartículas para la detección cualitativa de anticuerpos. En el INMP se utilizó el equipo </w:t>
      </w:r>
      <w:proofErr w:type="spellStart"/>
      <w:r w:rsidRPr="00F2707E">
        <w:rPr>
          <w:rFonts w:eastAsia="Calibri"/>
          <w:color w:val="000000"/>
          <w:lang w:val="es-ES" w:eastAsia="en-US"/>
        </w:rPr>
        <w:t>Best</w:t>
      </w:r>
      <w:proofErr w:type="spellEnd"/>
      <w:r w:rsidRPr="00F2707E">
        <w:rPr>
          <w:rFonts w:eastAsia="Calibri"/>
          <w:color w:val="000000"/>
          <w:lang w:val="es-ES" w:eastAsia="en-US"/>
        </w:rPr>
        <w:t xml:space="preserve"> 2000 (</w:t>
      </w:r>
      <w:proofErr w:type="spellStart"/>
      <w:r w:rsidRPr="00F2707E">
        <w:rPr>
          <w:rFonts w:eastAsia="Calibri"/>
          <w:color w:val="000000"/>
          <w:lang w:val="es-ES" w:eastAsia="en-US"/>
        </w:rPr>
        <w:t>Biokit</w:t>
      </w:r>
      <w:proofErr w:type="spellEnd"/>
      <w:r w:rsidRPr="00F2707E">
        <w:rPr>
          <w:rFonts w:eastAsia="Calibri"/>
          <w:color w:val="000000"/>
          <w:lang w:val="es-ES" w:eastAsia="en-US"/>
        </w:rPr>
        <w:t xml:space="preserve">, Lliçà d'Amunt, España) bajo la metodología de </w:t>
      </w:r>
      <w:proofErr w:type="spellStart"/>
      <w:r w:rsidRPr="00F2707E">
        <w:rPr>
          <w:rFonts w:eastAsia="Calibri"/>
          <w:color w:val="000000"/>
          <w:lang w:val="es-ES" w:eastAsia="en-US"/>
        </w:rPr>
        <w:t>enzimoinmunoanálisis</w:t>
      </w:r>
      <w:proofErr w:type="spellEnd"/>
      <w:r w:rsidRPr="00F2707E">
        <w:rPr>
          <w:rFonts w:eastAsia="Calibri"/>
          <w:color w:val="000000"/>
          <w:lang w:val="es-ES" w:eastAsia="en-US"/>
        </w:rPr>
        <w:t xml:space="preserve"> (ELISA) para la detección de anticuerpos.</w:t>
      </w:r>
    </w:p>
    <w:p w14:paraId="71E6970A"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Las variables del estudio fueron sexo, grupo etario, los marcadores infecciosos reactivos del tamizaje serológico en conjunto, hospital de procedencia de los donantes y ubicación demográfica (costa, sierra, selva y extranjero).</w:t>
      </w:r>
    </w:p>
    <w:p w14:paraId="363D5CEF" w14:textId="77777777" w:rsidR="00F2707E" w:rsidRPr="00F2707E" w:rsidRDefault="00F2707E" w:rsidP="00F2707E">
      <w:pPr>
        <w:suppressAutoHyphens/>
        <w:spacing w:line="360" w:lineRule="auto"/>
        <w:jc w:val="center"/>
        <w:rPr>
          <w:rFonts w:eastAsia="Calibri"/>
          <w:b/>
          <w:bCs/>
          <w:sz w:val="28"/>
          <w:szCs w:val="28"/>
          <w:lang w:val="es-ES" w:eastAsia="en-US"/>
        </w:rPr>
      </w:pPr>
      <w:r w:rsidRPr="00F2707E">
        <w:rPr>
          <w:rFonts w:eastAsia="Calibri"/>
          <w:b/>
          <w:bCs/>
          <w:sz w:val="28"/>
          <w:szCs w:val="28"/>
          <w:lang w:val="es-ES" w:eastAsia="en-US"/>
        </w:rPr>
        <w:t xml:space="preserve">Procedimiento de recolección y análisis de datos </w:t>
      </w:r>
    </w:p>
    <w:p w14:paraId="6B2311DE" w14:textId="77777777" w:rsidR="00F2707E" w:rsidRPr="00F2707E" w:rsidRDefault="00F2707E" w:rsidP="00F2707E">
      <w:pPr>
        <w:suppressAutoHyphens/>
        <w:spacing w:line="360" w:lineRule="auto"/>
        <w:jc w:val="both"/>
        <w:rPr>
          <w:rFonts w:eastAsia="Calibri"/>
          <w:lang w:val="es-ES" w:eastAsia="en-US"/>
        </w:rPr>
      </w:pPr>
      <w:r w:rsidRPr="00F2707E">
        <w:rPr>
          <w:rFonts w:eastAsia="Calibri"/>
          <w:color w:val="000000"/>
          <w:lang w:val="es-ES" w:eastAsia="en-US"/>
        </w:rPr>
        <w:t>La información, registrada en el Sistema de gestión hospitalaria (</w:t>
      </w:r>
      <w:r w:rsidRPr="00F2707E">
        <w:rPr>
          <w:rFonts w:eastAsia="Calibri"/>
          <w:color w:val="000000"/>
          <w:sz w:val="22"/>
          <w:szCs w:val="22"/>
          <w:lang w:val="es-ES" w:eastAsia="en-US"/>
        </w:rPr>
        <w:t>SIGEHOS</w:t>
      </w:r>
      <w:r w:rsidRPr="00F2707E">
        <w:rPr>
          <w:rFonts w:eastAsia="Calibri"/>
          <w:color w:val="000000"/>
          <w:lang w:val="es-ES" w:eastAsia="en-US"/>
        </w:rPr>
        <w:t xml:space="preserve">) v. 2.0, de ambos hospitales, fue codificada en una base de datos en STATA v. 14 (Stata </w:t>
      </w:r>
      <w:proofErr w:type="spellStart"/>
      <w:r w:rsidRPr="00F2707E">
        <w:rPr>
          <w:rFonts w:eastAsia="Calibri"/>
          <w:color w:val="000000"/>
          <w:lang w:val="es-ES" w:eastAsia="en-US"/>
        </w:rPr>
        <w:t>Corp</w:t>
      </w:r>
      <w:proofErr w:type="spellEnd"/>
      <w:r w:rsidRPr="00F2707E">
        <w:rPr>
          <w:rFonts w:eastAsia="Calibri"/>
          <w:color w:val="000000"/>
          <w:lang w:val="es-ES" w:eastAsia="en-US"/>
        </w:rPr>
        <w:t xml:space="preserve">, </w:t>
      </w:r>
      <w:proofErr w:type="spellStart"/>
      <w:r w:rsidRPr="00F2707E">
        <w:rPr>
          <w:rFonts w:eastAsia="Calibri"/>
          <w:color w:val="000000"/>
          <w:lang w:val="es-ES" w:eastAsia="en-US"/>
        </w:rPr>
        <w:t>Lakeway</w:t>
      </w:r>
      <w:proofErr w:type="spellEnd"/>
      <w:r w:rsidRPr="00F2707E">
        <w:rPr>
          <w:rFonts w:eastAsia="Calibri"/>
          <w:color w:val="000000"/>
          <w:lang w:val="es-ES" w:eastAsia="en-US"/>
        </w:rPr>
        <w:t xml:space="preserve"> </w:t>
      </w:r>
      <w:proofErr w:type="spellStart"/>
      <w:r w:rsidRPr="00F2707E">
        <w:rPr>
          <w:rFonts w:eastAsia="Calibri"/>
          <w:color w:val="000000"/>
          <w:lang w:val="es-ES" w:eastAsia="en-US"/>
        </w:rPr>
        <w:t>Drv</w:t>
      </w:r>
      <w:proofErr w:type="spellEnd"/>
      <w:r w:rsidRPr="00F2707E">
        <w:rPr>
          <w:rFonts w:eastAsia="Calibri"/>
          <w:color w:val="000000"/>
          <w:lang w:val="es-ES" w:eastAsia="en-US"/>
        </w:rPr>
        <w:t xml:space="preserve">, EE. UU.) y </w:t>
      </w:r>
      <w:proofErr w:type="spellStart"/>
      <w:r w:rsidRPr="00F2707E">
        <w:rPr>
          <w:rFonts w:eastAsia="Calibri"/>
          <w:color w:val="000000"/>
          <w:lang w:val="es-ES" w:eastAsia="en-US"/>
        </w:rPr>
        <w:t>GraphPad</w:t>
      </w:r>
      <w:proofErr w:type="spellEnd"/>
      <w:r w:rsidRPr="00F2707E">
        <w:rPr>
          <w:rFonts w:eastAsia="Calibri"/>
          <w:color w:val="000000"/>
          <w:lang w:val="es-ES" w:eastAsia="en-US"/>
        </w:rPr>
        <w:t xml:space="preserve"> </w:t>
      </w:r>
      <w:proofErr w:type="spellStart"/>
      <w:r w:rsidRPr="00F2707E">
        <w:rPr>
          <w:rFonts w:eastAsia="Calibri"/>
          <w:color w:val="000000"/>
          <w:lang w:val="es-ES" w:eastAsia="en-US"/>
        </w:rPr>
        <w:t>Prism</w:t>
      </w:r>
      <w:proofErr w:type="spellEnd"/>
      <w:r w:rsidRPr="00F2707E">
        <w:rPr>
          <w:rFonts w:eastAsia="Calibri"/>
          <w:color w:val="000000"/>
          <w:lang w:val="es-ES" w:eastAsia="en-US"/>
        </w:rPr>
        <w:t xml:space="preserve"> 8 (</w:t>
      </w:r>
      <w:proofErr w:type="spellStart"/>
      <w:r w:rsidRPr="00F2707E">
        <w:rPr>
          <w:rFonts w:eastAsia="Calibri"/>
          <w:color w:val="000000"/>
          <w:lang w:val="es-ES" w:eastAsia="en-US"/>
        </w:rPr>
        <w:t>Insight</w:t>
      </w:r>
      <w:proofErr w:type="spellEnd"/>
      <w:r w:rsidRPr="00F2707E">
        <w:rPr>
          <w:rFonts w:eastAsia="Calibri"/>
          <w:color w:val="000000"/>
          <w:lang w:val="es-ES" w:eastAsia="en-US"/>
        </w:rPr>
        <w:t xml:space="preserve"> </w:t>
      </w:r>
      <w:proofErr w:type="spellStart"/>
      <w:r w:rsidRPr="00F2707E">
        <w:rPr>
          <w:rFonts w:eastAsia="Calibri"/>
          <w:color w:val="000000"/>
          <w:lang w:val="es-ES" w:eastAsia="en-US"/>
        </w:rPr>
        <w:t>Partners</w:t>
      </w:r>
      <w:proofErr w:type="spellEnd"/>
      <w:r w:rsidRPr="00F2707E">
        <w:rPr>
          <w:rFonts w:eastAsia="Calibri"/>
          <w:color w:val="000000"/>
          <w:lang w:val="es-ES" w:eastAsia="en-US"/>
        </w:rPr>
        <w:t xml:space="preserve">, New York, EE. UU.), en el que se realizó el análisis descriptivo de los datos (medidas de frecuencia simple y de tendencia central) y la prueba de normalidad de </w:t>
      </w:r>
      <w:r w:rsidRPr="00F2707E">
        <w:rPr>
          <w:rFonts w:eastAsia="Calibri"/>
          <w:lang w:val="es-ES" w:eastAsia="en-US"/>
        </w:rPr>
        <w:t xml:space="preserve">datos con el test de Kolmogórov-Smirnov. Se realizó la prueba T para muestras relacionadas y la prueba de correlación de Pearson para determinar las diferencias y relaciones entre las variables del estudio (donantes y marcadores infecciosas según el centro de donación), respectivamente. Para todos los </w:t>
      </w:r>
      <w:r w:rsidRPr="00F2707E">
        <w:rPr>
          <w:rFonts w:eastAsia="Calibri"/>
          <w:i/>
          <w:lang w:val="es-ES" w:eastAsia="en-US"/>
        </w:rPr>
        <w:t>test</w:t>
      </w:r>
      <w:r w:rsidRPr="00F2707E">
        <w:rPr>
          <w:rFonts w:eastAsia="Calibri"/>
          <w:lang w:val="es-ES" w:eastAsia="en-US"/>
        </w:rPr>
        <w:t xml:space="preserve"> se consideró un umbral del valor de p de 0,05 y un intervalo de confianza (IC) de 95 % como estadísticamente significativos. </w:t>
      </w:r>
    </w:p>
    <w:p w14:paraId="3B7151B5" w14:textId="77777777" w:rsidR="00F2707E" w:rsidRPr="00F2707E" w:rsidRDefault="00F2707E" w:rsidP="00F2707E">
      <w:pPr>
        <w:suppressAutoHyphens/>
        <w:spacing w:line="360" w:lineRule="auto"/>
        <w:jc w:val="center"/>
        <w:rPr>
          <w:rFonts w:eastAsia="Calibri"/>
          <w:b/>
          <w:bCs/>
          <w:sz w:val="28"/>
          <w:szCs w:val="28"/>
          <w:lang w:val="es-ES" w:eastAsia="en-US"/>
        </w:rPr>
      </w:pPr>
      <w:r w:rsidRPr="00F2707E">
        <w:rPr>
          <w:rFonts w:eastAsia="Calibri"/>
          <w:b/>
          <w:bCs/>
          <w:sz w:val="28"/>
          <w:szCs w:val="28"/>
          <w:lang w:val="es-ES" w:eastAsia="en-US"/>
        </w:rPr>
        <w:t xml:space="preserve">Aspectos éticos </w:t>
      </w:r>
    </w:p>
    <w:p w14:paraId="05586180" w14:textId="77777777" w:rsidR="00F2707E" w:rsidRPr="00F2707E" w:rsidRDefault="00F2707E" w:rsidP="00F2707E">
      <w:pPr>
        <w:suppressAutoHyphens/>
        <w:spacing w:line="360" w:lineRule="auto"/>
        <w:jc w:val="both"/>
        <w:rPr>
          <w:rFonts w:eastAsia="Calibri"/>
          <w:vertAlign w:val="superscript"/>
          <w:lang w:val="es-ES" w:eastAsia="en-US"/>
        </w:rPr>
      </w:pPr>
      <w:r w:rsidRPr="00F2707E">
        <w:rPr>
          <w:rFonts w:eastAsia="Calibri"/>
          <w:lang w:val="es-ES" w:eastAsia="en-US"/>
        </w:rPr>
        <w:t>El estudio tuvo la aprobación del Comité de Ética del HNCH (Oficio Nº2131-2019-DG-965-OEGRRHH-496-OAD/HCH, fecha 9 de agosto, 2019) y del Comité de Ética del INMP (Carta Nº175-2019-DG-</w:t>
      </w:r>
      <w:r w:rsidRPr="00F2707E">
        <w:rPr>
          <w:rFonts w:eastAsia="Calibri"/>
          <w:lang w:val="es-ES" w:eastAsia="en-US"/>
        </w:rPr>
        <w:lastRenderedPageBreak/>
        <w:t>Nº070-OEAIDE/INMP, fecha, 02 de septiembre del 2019). Además, el estudio cumple los lineamientos de la declaración de Helsinki.</w:t>
      </w:r>
      <w:r w:rsidRPr="00F2707E">
        <w:rPr>
          <w:rFonts w:eastAsia="Calibri"/>
          <w:vertAlign w:val="superscript"/>
          <w:lang w:val="es-ES" w:eastAsia="en-US"/>
        </w:rPr>
        <w:t>(15)</w:t>
      </w:r>
      <w:bookmarkEnd w:id="1"/>
    </w:p>
    <w:p w14:paraId="2AA12FB0" w14:textId="77777777" w:rsidR="00F2707E" w:rsidRPr="00F2707E" w:rsidRDefault="00F2707E" w:rsidP="00F2707E">
      <w:pPr>
        <w:suppressAutoHyphens/>
        <w:spacing w:line="360" w:lineRule="auto"/>
        <w:jc w:val="both"/>
        <w:rPr>
          <w:rFonts w:eastAsia="Calibri"/>
          <w:vertAlign w:val="superscript"/>
          <w:lang w:val="es-ES" w:eastAsia="en-US"/>
        </w:rPr>
      </w:pPr>
    </w:p>
    <w:p w14:paraId="04AF31A8" w14:textId="77777777" w:rsidR="00F2707E" w:rsidRPr="00F2707E" w:rsidRDefault="00F2707E" w:rsidP="00F2707E">
      <w:pPr>
        <w:suppressAutoHyphens/>
        <w:spacing w:line="360" w:lineRule="auto"/>
        <w:jc w:val="both"/>
        <w:rPr>
          <w:rFonts w:eastAsia="Calibri"/>
          <w:vertAlign w:val="superscript"/>
          <w:lang w:val="es-ES" w:eastAsia="en-US"/>
        </w:rPr>
      </w:pPr>
    </w:p>
    <w:p w14:paraId="5010AEC8" w14:textId="77777777" w:rsidR="00F2707E" w:rsidRPr="00F2707E" w:rsidRDefault="00F2707E" w:rsidP="00F2707E">
      <w:pPr>
        <w:suppressAutoHyphens/>
        <w:spacing w:line="360" w:lineRule="auto"/>
        <w:jc w:val="center"/>
        <w:rPr>
          <w:rFonts w:eastAsia="Calibri"/>
          <w:b/>
          <w:sz w:val="32"/>
          <w:szCs w:val="32"/>
          <w:lang w:val="es-ES" w:eastAsia="en-US"/>
        </w:rPr>
      </w:pPr>
      <w:r w:rsidRPr="00F2707E">
        <w:rPr>
          <w:rFonts w:eastAsia="Calibri"/>
          <w:b/>
          <w:sz w:val="32"/>
          <w:szCs w:val="32"/>
          <w:lang w:val="es-ES" w:eastAsia="en-US"/>
        </w:rPr>
        <w:t>RESULTADOS</w:t>
      </w:r>
    </w:p>
    <w:p w14:paraId="2B0E03B4" w14:textId="0F35CF73"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Durante el periodo de estudio se incluyeron 11 936 donaciones, en las que 8236 (69 %) correspondieron al HNCH y 8,449 (70,8 %) fueron varones. El promedio de edad de los donantes del INMP (33,96 ± 10,32 años; IC95 % 33,5-67,5) y del HNCH (35,01 ± 9,28 años; IC95 % 34,9</w:t>
      </w:r>
      <w:r w:rsidRPr="00F2707E">
        <w:rPr>
          <w:rFonts w:eastAsia="Calibri"/>
          <w:color w:val="000000"/>
          <w:lang w:val="es-ES" w:eastAsia="en-US"/>
        </w:rPr>
        <w:noBreakHyphen/>
        <w:t>70,1) no fueron significativamente diferentes (p= 0,078). Sí se halló diferencias entre sexos (p= 0,026) y entre grupos etarios (p= 0,002) en donantes de sangre de cada hospital (tabla 1). Los donantes del grupo etario de 35 a 55 años fueron los más frecuentes en el HNCH (3485 donantes, 42,3 %) y INMP (1756 donantes, 47,5</w:t>
      </w:r>
      <w:r w:rsidR="001003D6">
        <w:rPr>
          <w:rFonts w:eastAsia="Calibri"/>
          <w:color w:val="000000"/>
          <w:lang w:val="es-ES" w:eastAsia="en-US"/>
        </w:rPr>
        <w:t> </w:t>
      </w:r>
      <w:r w:rsidRPr="00F2707E">
        <w:rPr>
          <w:rFonts w:eastAsia="Calibri"/>
          <w:color w:val="000000"/>
          <w:lang w:val="es-ES" w:eastAsia="en-US"/>
        </w:rPr>
        <w:t>%).</w:t>
      </w:r>
    </w:p>
    <w:p w14:paraId="53B0CA16" w14:textId="77777777" w:rsidR="00F2707E" w:rsidRPr="00F2707E" w:rsidRDefault="00F2707E" w:rsidP="00F2707E">
      <w:pPr>
        <w:suppressAutoHyphens/>
        <w:spacing w:line="360" w:lineRule="auto"/>
        <w:jc w:val="both"/>
        <w:rPr>
          <w:rFonts w:eastAsia="Calibri"/>
          <w:color w:val="000000"/>
          <w:lang w:val="es-ES" w:eastAsia="en-US"/>
        </w:rPr>
      </w:pPr>
    </w:p>
    <w:p w14:paraId="40458296" w14:textId="77777777" w:rsidR="00F2707E" w:rsidRPr="00F2707E" w:rsidRDefault="00F2707E" w:rsidP="00F2707E">
      <w:pPr>
        <w:suppressAutoHyphens/>
        <w:spacing w:line="360" w:lineRule="auto"/>
        <w:jc w:val="center"/>
        <w:rPr>
          <w:rFonts w:eastAsia="Calibri"/>
          <w:bCs/>
          <w:color w:val="000000"/>
          <w:sz w:val="22"/>
          <w:szCs w:val="22"/>
          <w:lang w:val="es-PE" w:eastAsia="en-US"/>
        </w:rPr>
      </w:pPr>
      <w:r w:rsidRPr="00F2707E">
        <w:rPr>
          <w:rFonts w:eastAsia="Calibri"/>
          <w:b/>
          <w:color w:val="000000"/>
          <w:sz w:val="22"/>
          <w:szCs w:val="22"/>
          <w:lang w:val="es-PE" w:eastAsia="en-US"/>
        </w:rPr>
        <w:t xml:space="preserve">Tabla 1 – </w:t>
      </w:r>
      <w:r w:rsidRPr="00F2707E">
        <w:rPr>
          <w:rFonts w:eastAsia="Calibri"/>
          <w:bCs/>
          <w:color w:val="000000"/>
          <w:sz w:val="22"/>
          <w:szCs w:val="22"/>
          <w:lang w:val="es-PE" w:eastAsia="en-US"/>
        </w:rPr>
        <w:t xml:space="preserve">Distribución de donantes según género y edad (n= 11 936) </w:t>
      </w:r>
    </w:p>
    <w:p w14:paraId="26A6B683" w14:textId="18183B63" w:rsidR="00B64F82" w:rsidRDefault="00B64F82" w:rsidP="00F2707E">
      <w:pPr>
        <w:suppressAutoHyphens/>
        <w:spacing w:line="360" w:lineRule="auto"/>
        <w:jc w:val="center"/>
        <w:rPr>
          <w:color w:val="000000"/>
          <w:sz w:val="16"/>
          <w:szCs w:val="16"/>
          <w:lang w:val="es-PE" w:eastAsia="es-PE"/>
        </w:rPr>
      </w:pPr>
      <w:r>
        <w:rPr>
          <w:noProof/>
          <w:color w:val="000000"/>
          <w:sz w:val="16"/>
          <w:szCs w:val="16"/>
          <w:lang w:val="es-PE" w:eastAsia="es-PE"/>
        </w:rPr>
        <w:drawing>
          <wp:inline distT="0" distB="0" distL="0" distR="0" wp14:anchorId="74AAF18B" wp14:editId="11584AE6">
            <wp:extent cx="5180952" cy="1447619"/>
            <wp:effectExtent l="0" t="0" r="1270" b="635"/>
            <wp:docPr id="1214397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97414" name="Imagen 1214397414"/>
                    <pic:cNvPicPr/>
                  </pic:nvPicPr>
                  <pic:blipFill>
                    <a:blip r:embed="rId12">
                      <a:extLst>
                        <a:ext uri="{28A0092B-C50C-407E-A947-70E740481C1C}">
                          <a14:useLocalDpi xmlns:a14="http://schemas.microsoft.com/office/drawing/2010/main" val="0"/>
                        </a:ext>
                      </a:extLst>
                    </a:blip>
                    <a:stretch>
                      <a:fillRect/>
                    </a:stretch>
                  </pic:blipFill>
                  <pic:spPr>
                    <a:xfrm>
                      <a:off x="0" y="0"/>
                      <a:ext cx="5180952" cy="1447619"/>
                    </a:xfrm>
                    <a:prstGeom prst="rect">
                      <a:avLst/>
                    </a:prstGeom>
                  </pic:spPr>
                </pic:pic>
              </a:graphicData>
            </a:graphic>
          </wp:inline>
        </w:drawing>
      </w:r>
    </w:p>
    <w:p w14:paraId="515B6E81" w14:textId="4B2A08F7" w:rsidR="00F2707E" w:rsidRPr="00F2707E" w:rsidRDefault="00F2707E" w:rsidP="00F2707E">
      <w:pPr>
        <w:suppressAutoHyphens/>
        <w:spacing w:line="360" w:lineRule="auto"/>
        <w:jc w:val="center"/>
        <w:rPr>
          <w:rFonts w:eastAsia="Calibri"/>
          <w:color w:val="000000"/>
          <w:sz w:val="16"/>
          <w:szCs w:val="16"/>
          <w:lang w:val="es-PE" w:eastAsia="en-US"/>
        </w:rPr>
      </w:pPr>
      <w:r w:rsidRPr="00F2707E">
        <w:rPr>
          <w:color w:val="000000"/>
          <w:sz w:val="16"/>
          <w:szCs w:val="16"/>
          <w:lang w:val="es-PE" w:eastAsia="es-PE"/>
        </w:rPr>
        <w:t>HNCH: Hospital Nacional Cayetano Heredia, INMP: Instituto Nacional Materno Perinatal.</w:t>
      </w:r>
    </w:p>
    <w:p w14:paraId="3BAB3929" w14:textId="77777777" w:rsidR="00F2707E" w:rsidRPr="00F2707E" w:rsidRDefault="00F2707E" w:rsidP="00F2707E">
      <w:pPr>
        <w:suppressAutoHyphens/>
        <w:spacing w:line="360" w:lineRule="auto"/>
        <w:jc w:val="both"/>
        <w:rPr>
          <w:rFonts w:eastAsia="Calibri"/>
          <w:color w:val="000000"/>
          <w:lang w:val="es-ES" w:eastAsia="en-US"/>
        </w:rPr>
      </w:pPr>
    </w:p>
    <w:p w14:paraId="32BC9BC2"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 xml:space="preserve">La distribución demográfica de donantes se muestra en la figura 1. Demuestra que la mayoría de los donantes fueron de la costa (4944; 41,4 %). El INMP tuvo principalmente donantes de la costa de Perú (2527; 29,35 %) en comparación con el HNCH (2417; 68,3 %), p&lt; 0,001. Por su parte la frecuencia de donantes de la sierra en el INMP y HNCH fueron 3918 (47,5 %) y 1008 (27,2 %) respectivamente (p= 0,021). Los donantes de la selva fueron 734 (8,9 %) para el HNCH y 165 (4,5 %) para el INMP, mientras que los 1167 (14,2 %) donantes del extranjero solo acudieron al HNCH (p= 0,017). </w:t>
      </w:r>
    </w:p>
    <w:p w14:paraId="08B02E5B" w14:textId="77777777" w:rsidR="00F2707E" w:rsidRPr="00F2707E" w:rsidRDefault="00F2707E" w:rsidP="00F2707E">
      <w:pPr>
        <w:suppressAutoHyphens/>
        <w:spacing w:line="360" w:lineRule="auto"/>
        <w:jc w:val="both"/>
        <w:rPr>
          <w:rFonts w:eastAsia="Calibri"/>
          <w:color w:val="000000"/>
          <w:lang w:val="es-ES" w:eastAsia="en-US"/>
        </w:rPr>
      </w:pPr>
    </w:p>
    <w:p w14:paraId="69EF1A78" w14:textId="0C68DED5" w:rsidR="00F2707E" w:rsidRPr="00F2707E" w:rsidRDefault="00F2707E" w:rsidP="00F2707E">
      <w:pPr>
        <w:suppressAutoHyphens/>
        <w:spacing w:line="360" w:lineRule="auto"/>
        <w:jc w:val="center"/>
        <w:rPr>
          <w:rFonts w:eastAsia="Calibri"/>
          <w:b/>
          <w:sz w:val="22"/>
          <w:szCs w:val="22"/>
          <w:lang w:val="es-PE" w:eastAsia="en-US"/>
        </w:rPr>
      </w:pPr>
      <w:r w:rsidRPr="00F2707E">
        <w:rPr>
          <w:rFonts w:eastAsia="Calibri"/>
          <w:b/>
          <w:noProof/>
          <w:sz w:val="22"/>
          <w:szCs w:val="22"/>
          <w:lang w:val="es-PE" w:eastAsia="en-US"/>
        </w:rPr>
        <w:lastRenderedPageBreak/>
        <w:drawing>
          <wp:inline distT="0" distB="0" distL="0" distR="0" wp14:anchorId="61BC647A" wp14:editId="0B956D90">
            <wp:extent cx="4723771" cy="3046768"/>
            <wp:effectExtent l="0" t="0" r="635" b="1270"/>
            <wp:docPr id="653715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5837" cy="3054550"/>
                    </a:xfrm>
                    <a:prstGeom prst="rect">
                      <a:avLst/>
                    </a:prstGeom>
                    <a:noFill/>
                    <a:ln>
                      <a:noFill/>
                    </a:ln>
                  </pic:spPr>
                </pic:pic>
              </a:graphicData>
            </a:graphic>
          </wp:inline>
        </w:drawing>
      </w:r>
    </w:p>
    <w:p w14:paraId="14D75D64" w14:textId="77777777" w:rsidR="00F2707E" w:rsidRPr="00F2707E" w:rsidRDefault="00F2707E" w:rsidP="00F2707E">
      <w:pPr>
        <w:suppressAutoHyphens/>
        <w:spacing w:line="360" w:lineRule="auto"/>
        <w:jc w:val="center"/>
        <w:rPr>
          <w:rFonts w:eastAsia="Calibri"/>
          <w:sz w:val="20"/>
          <w:szCs w:val="20"/>
          <w:lang w:val="es-PE" w:eastAsia="en-US"/>
        </w:rPr>
      </w:pPr>
      <w:r w:rsidRPr="00F2707E">
        <w:rPr>
          <w:rFonts w:eastAsia="Calibri"/>
          <w:sz w:val="20"/>
          <w:szCs w:val="20"/>
          <w:lang w:val="es-PE" w:eastAsia="en-US"/>
        </w:rPr>
        <w:t xml:space="preserve">Los donantes del INMP y HNCH se muestran en barras con trama rosa y gris, respectivamente. </w:t>
      </w:r>
    </w:p>
    <w:p w14:paraId="2526791B" w14:textId="77777777" w:rsidR="00F2707E" w:rsidRPr="00F2707E" w:rsidRDefault="00F2707E" w:rsidP="00F2707E">
      <w:pPr>
        <w:suppressAutoHyphens/>
        <w:spacing w:line="360" w:lineRule="auto"/>
        <w:jc w:val="center"/>
        <w:rPr>
          <w:rFonts w:eastAsia="Calibri"/>
          <w:sz w:val="16"/>
          <w:szCs w:val="16"/>
          <w:lang w:val="es-PE" w:eastAsia="en-US"/>
        </w:rPr>
      </w:pPr>
      <w:r w:rsidRPr="00F2707E">
        <w:rPr>
          <w:rFonts w:eastAsia="Calibri"/>
          <w:sz w:val="20"/>
          <w:szCs w:val="20"/>
          <w:lang w:val="es-PE" w:eastAsia="en-US"/>
        </w:rPr>
        <w:t xml:space="preserve"> *p&lt; 0,05, **p &lt; 0,001. Creado por ©</w:t>
      </w:r>
      <w:proofErr w:type="spellStart"/>
      <w:r w:rsidRPr="00F2707E">
        <w:rPr>
          <w:rFonts w:eastAsia="Calibri"/>
          <w:sz w:val="20"/>
          <w:szCs w:val="20"/>
          <w:lang w:val="es-PE" w:eastAsia="en-US"/>
        </w:rPr>
        <w:t>Jeel</w:t>
      </w:r>
      <w:proofErr w:type="spellEnd"/>
      <w:r w:rsidRPr="00F2707E">
        <w:rPr>
          <w:rFonts w:eastAsia="Calibri"/>
          <w:sz w:val="20"/>
          <w:szCs w:val="20"/>
          <w:lang w:val="es-PE" w:eastAsia="en-US"/>
        </w:rPr>
        <w:t xml:space="preserve"> Moya-Salazar en </w:t>
      </w:r>
      <w:proofErr w:type="spellStart"/>
      <w:r w:rsidRPr="00F2707E">
        <w:rPr>
          <w:rFonts w:eastAsia="Calibri"/>
          <w:sz w:val="20"/>
          <w:szCs w:val="20"/>
          <w:lang w:val="es-PE" w:eastAsia="en-US"/>
        </w:rPr>
        <w:t>GraphPad</w:t>
      </w:r>
      <w:proofErr w:type="spellEnd"/>
      <w:r w:rsidRPr="00F2707E">
        <w:rPr>
          <w:rFonts w:eastAsia="Calibri"/>
          <w:sz w:val="20"/>
          <w:szCs w:val="20"/>
          <w:lang w:val="es-PE" w:eastAsia="en-US"/>
        </w:rPr>
        <w:t xml:space="preserve"> </w:t>
      </w:r>
      <w:proofErr w:type="spellStart"/>
      <w:r w:rsidRPr="00F2707E">
        <w:rPr>
          <w:rFonts w:eastAsia="Calibri"/>
          <w:sz w:val="20"/>
          <w:szCs w:val="20"/>
          <w:lang w:val="es-PE" w:eastAsia="en-US"/>
        </w:rPr>
        <w:t>Prism</w:t>
      </w:r>
      <w:proofErr w:type="spellEnd"/>
      <w:r w:rsidRPr="00F2707E">
        <w:rPr>
          <w:rFonts w:eastAsia="Calibri"/>
          <w:sz w:val="20"/>
          <w:szCs w:val="20"/>
          <w:lang w:val="es-PE" w:eastAsia="en-US"/>
        </w:rPr>
        <w:t xml:space="preserve"> 8 Software.</w:t>
      </w:r>
    </w:p>
    <w:p w14:paraId="5000C7FD" w14:textId="77777777" w:rsidR="00F2707E" w:rsidRPr="00F2707E" w:rsidRDefault="00F2707E" w:rsidP="00F2707E">
      <w:pPr>
        <w:suppressAutoHyphens/>
        <w:spacing w:line="360" w:lineRule="auto"/>
        <w:jc w:val="center"/>
        <w:rPr>
          <w:rFonts w:eastAsia="Calibri"/>
          <w:sz w:val="22"/>
          <w:szCs w:val="22"/>
          <w:lang w:val="es-PE" w:eastAsia="en-US"/>
        </w:rPr>
      </w:pPr>
      <w:r w:rsidRPr="00F2707E">
        <w:rPr>
          <w:rFonts w:eastAsia="Calibri"/>
          <w:b/>
          <w:sz w:val="22"/>
          <w:szCs w:val="22"/>
          <w:lang w:val="es-PE" w:eastAsia="en-US"/>
        </w:rPr>
        <w:t xml:space="preserve">Fig. 1- </w:t>
      </w:r>
      <w:r w:rsidRPr="00F2707E">
        <w:rPr>
          <w:rFonts w:eastAsia="Calibri"/>
          <w:sz w:val="22"/>
          <w:szCs w:val="22"/>
          <w:lang w:val="es-PE" w:eastAsia="en-US"/>
        </w:rPr>
        <w:t>Distribución de donantes según región de procedencia en el Perú y el extranjero.</w:t>
      </w:r>
    </w:p>
    <w:p w14:paraId="4905242E" w14:textId="77777777" w:rsidR="00F2707E" w:rsidRPr="00F2707E" w:rsidRDefault="00F2707E" w:rsidP="00F2707E">
      <w:pPr>
        <w:suppressAutoHyphens/>
        <w:spacing w:line="360" w:lineRule="auto"/>
        <w:jc w:val="both"/>
        <w:rPr>
          <w:rFonts w:eastAsia="Calibri"/>
          <w:color w:val="000000"/>
          <w:sz w:val="16"/>
          <w:szCs w:val="16"/>
          <w:lang w:val="es-PE" w:eastAsia="en-US"/>
        </w:rPr>
      </w:pPr>
    </w:p>
    <w:p w14:paraId="6549C86F"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PE" w:eastAsia="en-US"/>
        </w:rPr>
        <w:t xml:space="preserve">En total se obtuvieron 507 resultados reactivos a marcadores infecciosos e hicieron una seropositividad global de 4,25 %. No se hallaron diferencias significativas entre los 241 (2,93 %) donantes reactivos del HNCH y los 266 (7,19 %) donantes del INMP (p= 0,824). </w:t>
      </w:r>
    </w:p>
    <w:p w14:paraId="5A9B2E5A" w14:textId="77777777" w:rsidR="00F2707E" w:rsidRPr="00F2707E" w:rsidRDefault="00F2707E" w:rsidP="00F2707E">
      <w:pPr>
        <w:suppressAutoHyphens/>
        <w:spacing w:line="360" w:lineRule="auto"/>
        <w:jc w:val="center"/>
        <w:rPr>
          <w:rFonts w:eastAsia="Calibri"/>
          <w:b/>
          <w:color w:val="000000"/>
          <w:sz w:val="22"/>
          <w:szCs w:val="22"/>
          <w:lang w:val="es-ES" w:eastAsia="en-US"/>
        </w:rPr>
      </w:pPr>
    </w:p>
    <w:p w14:paraId="0E4E1F58" w14:textId="77777777" w:rsidR="00F2707E" w:rsidRPr="00F2707E" w:rsidRDefault="00F2707E" w:rsidP="00F2707E">
      <w:pPr>
        <w:suppressAutoHyphens/>
        <w:spacing w:line="360" w:lineRule="auto"/>
        <w:jc w:val="center"/>
        <w:rPr>
          <w:rFonts w:eastAsia="Calibri"/>
          <w:bCs/>
          <w:color w:val="000000"/>
          <w:sz w:val="22"/>
          <w:szCs w:val="22"/>
          <w:lang w:val="es-PE" w:eastAsia="en-US"/>
        </w:rPr>
      </w:pPr>
      <w:r w:rsidRPr="00F2707E">
        <w:rPr>
          <w:rFonts w:eastAsia="Calibri"/>
          <w:b/>
          <w:color w:val="000000"/>
          <w:sz w:val="22"/>
          <w:szCs w:val="22"/>
          <w:lang w:val="es-PE" w:eastAsia="en-US"/>
        </w:rPr>
        <w:t xml:space="preserve">Tabla 2 – </w:t>
      </w:r>
      <w:r w:rsidRPr="00F2707E">
        <w:rPr>
          <w:rFonts w:eastAsia="Calibri"/>
          <w:bCs/>
          <w:color w:val="000000"/>
          <w:sz w:val="22"/>
          <w:szCs w:val="22"/>
          <w:lang w:val="es-PE" w:eastAsia="en-US"/>
        </w:rPr>
        <w:t>Frecuencia de marcadores infecciosos en donantes de sangre peruanos (n= 507)</w:t>
      </w:r>
    </w:p>
    <w:p w14:paraId="7DBD86A1" w14:textId="150565B0" w:rsidR="00B64F82" w:rsidRDefault="00B64F82" w:rsidP="00F2707E">
      <w:pPr>
        <w:suppressAutoHyphens/>
        <w:spacing w:line="360" w:lineRule="auto"/>
        <w:ind w:left="1843" w:right="1749"/>
        <w:jc w:val="center"/>
        <w:rPr>
          <w:color w:val="000000"/>
          <w:sz w:val="16"/>
          <w:szCs w:val="16"/>
          <w:lang w:val="es-PE" w:eastAsia="es-PE"/>
        </w:rPr>
      </w:pPr>
      <w:r w:rsidRPr="006D5EF1">
        <w:rPr>
          <w:noProof/>
          <w:color w:val="000000" w:themeColor="text1"/>
          <w:lang w:val="es-ES" w:eastAsia="es-ES"/>
        </w:rPr>
        <w:drawing>
          <wp:inline distT="0" distB="0" distL="0" distR="0" wp14:anchorId="0FB4CE93" wp14:editId="43364BC4">
            <wp:extent cx="3771900" cy="1862920"/>
            <wp:effectExtent l="0" t="0" r="0" b="4445"/>
            <wp:docPr id="1" name="Imagen 1" descr="G:\2738\t02_273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738\t02_2738.bmp"/>
                    <pic:cNvPicPr>
                      <a:picLocks noChangeAspect="1" noChangeArrowheads="1"/>
                    </pic:cNvPicPr>
                  </pic:nvPicPr>
                  <pic:blipFill rotWithShape="1">
                    <a:blip r:embed="rId14">
                      <a:extLst>
                        <a:ext uri="{28A0092B-C50C-407E-A947-70E740481C1C}">
                          <a14:useLocalDpi xmlns:a14="http://schemas.microsoft.com/office/drawing/2010/main" val="0"/>
                        </a:ext>
                      </a:extLst>
                    </a:blip>
                    <a:srcRect b="1718"/>
                    <a:stretch/>
                  </pic:blipFill>
                  <pic:spPr bwMode="auto">
                    <a:xfrm>
                      <a:off x="0" y="0"/>
                      <a:ext cx="3771900" cy="1862920"/>
                    </a:xfrm>
                    <a:prstGeom prst="rect">
                      <a:avLst/>
                    </a:prstGeom>
                    <a:noFill/>
                    <a:ln>
                      <a:noFill/>
                    </a:ln>
                    <a:extLst>
                      <a:ext uri="{53640926-AAD7-44D8-BBD7-CCE9431645EC}">
                        <a14:shadowObscured xmlns:a14="http://schemas.microsoft.com/office/drawing/2010/main"/>
                      </a:ext>
                    </a:extLst>
                  </pic:spPr>
                </pic:pic>
              </a:graphicData>
            </a:graphic>
          </wp:inline>
        </w:drawing>
      </w:r>
    </w:p>
    <w:p w14:paraId="29B91ACE" w14:textId="033E07CA" w:rsidR="00F2707E" w:rsidRPr="00F2707E" w:rsidRDefault="00F2707E" w:rsidP="00F2707E">
      <w:pPr>
        <w:suppressAutoHyphens/>
        <w:spacing w:line="360" w:lineRule="auto"/>
        <w:ind w:left="1843" w:right="1749"/>
        <w:jc w:val="center"/>
        <w:rPr>
          <w:color w:val="000000"/>
          <w:sz w:val="16"/>
          <w:szCs w:val="16"/>
          <w:lang w:val="es-PE" w:eastAsia="es-PE"/>
        </w:rPr>
      </w:pPr>
      <w:r w:rsidRPr="00F2707E">
        <w:rPr>
          <w:color w:val="000000"/>
          <w:sz w:val="16"/>
          <w:szCs w:val="16"/>
          <w:lang w:val="es-PE" w:eastAsia="es-PE"/>
        </w:rPr>
        <w:t xml:space="preserve">*Incluyen pruebas de antígeno y anticuerpo para VIH.  </w:t>
      </w:r>
    </w:p>
    <w:p w14:paraId="3D46220F" w14:textId="77777777" w:rsidR="00F2707E" w:rsidRPr="00F2707E" w:rsidRDefault="00F2707E" w:rsidP="00F2707E">
      <w:pPr>
        <w:suppressAutoHyphens/>
        <w:spacing w:line="360" w:lineRule="auto"/>
        <w:ind w:left="1843" w:right="1749"/>
        <w:jc w:val="center"/>
        <w:rPr>
          <w:rFonts w:eastAsia="Calibri"/>
          <w:color w:val="000000"/>
          <w:lang w:val="es-PE" w:eastAsia="en-US"/>
        </w:rPr>
      </w:pPr>
      <w:r w:rsidRPr="00F2707E">
        <w:rPr>
          <w:color w:val="000000"/>
          <w:sz w:val="16"/>
          <w:szCs w:val="16"/>
          <w:lang w:val="es-PE" w:eastAsia="es-PE"/>
        </w:rPr>
        <w:lastRenderedPageBreak/>
        <w:t>HNCH: Hospital Nacional Cayetano Heredia, INMP: Instituto Nacional Materno Perinatal.</w:t>
      </w:r>
    </w:p>
    <w:p w14:paraId="46956F64" w14:textId="77777777" w:rsidR="00F2707E" w:rsidRPr="00F2707E" w:rsidRDefault="00F2707E" w:rsidP="00F2707E">
      <w:pPr>
        <w:suppressAutoHyphens/>
        <w:spacing w:line="360" w:lineRule="auto"/>
        <w:jc w:val="center"/>
        <w:rPr>
          <w:rFonts w:eastAsia="Calibri"/>
          <w:color w:val="000000"/>
          <w:lang w:val="es-PE" w:eastAsia="en-US"/>
        </w:rPr>
      </w:pPr>
    </w:p>
    <w:p w14:paraId="562EDB44" w14:textId="77777777" w:rsidR="00F2707E" w:rsidRPr="00F2707E" w:rsidRDefault="00F2707E" w:rsidP="00F2707E">
      <w:pPr>
        <w:suppressAutoHyphens/>
        <w:spacing w:line="360" w:lineRule="auto"/>
        <w:jc w:val="both"/>
        <w:rPr>
          <w:rFonts w:eastAsia="Calibri"/>
          <w:b/>
          <w:bCs/>
          <w:sz w:val="32"/>
          <w:szCs w:val="32"/>
          <w:lang w:val="es-PE" w:eastAsia="en-US"/>
        </w:rPr>
      </w:pPr>
      <w:r w:rsidRPr="00F2707E">
        <w:rPr>
          <w:rFonts w:eastAsia="Calibri"/>
          <w:color w:val="000000"/>
          <w:lang w:val="es-PE" w:eastAsia="en-US"/>
        </w:rPr>
        <w:t xml:space="preserve">El marcador infeccioso más frecuente fue </w:t>
      </w:r>
      <w:proofErr w:type="spellStart"/>
      <w:r w:rsidRPr="00F2707E">
        <w:rPr>
          <w:rFonts w:eastAsia="Calibri"/>
          <w:color w:val="000000"/>
          <w:lang w:val="es-PE" w:eastAsia="en-US"/>
        </w:rPr>
        <w:t>HbcAb</w:t>
      </w:r>
      <w:proofErr w:type="spellEnd"/>
      <w:r w:rsidRPr="00F2707E">
        <w:rPr>
          <w:rFonts w:eastAsia="Calibri"/>
          <w:color w:val="000000"/>
          <w:lang w:val="es-PE" w:eastAsia="en-US"/>
        </w:rPr>
        <w:t xml:space="preserve"> con 274 (51,2 %) donantes, seguido de HTLV 1/2 con 90 (16,8 %) donantes y sífilis con 80 (14,9 %) donantes. Todos los resultados reactivos a marcadores de Changas (3,8 %) fueron detectados en el INMP, mientras que se obtuvo mayor frecuencia de resultados reactivos al VIH en el HNCH (6,5 % vs. 1,3 %). No se hallaron diferencias significativas entre los marcadores infecciosos. </w:t>
      </w:r>
      <w:r w:rsidRPr="00F2707E">
        <w:rPr>
          <w:rFonts w:eastAsia="Calibri"/>
          <w:color w:val="000000"/>
          <w:lang w:val="es-ES" w:eastAsia="en-US"/>
        </w:rPr>
        <w:t xml:space="preserve">La seropositividad de los marcadores infecciosos se asoció con los factores demográficos como la edad, sexo y lugar de procedencia (p&lt; 0,05). </w:t>
      </w:r>
    </w:p>
    <w:p w14:paraId="5E9EB2A4" w14:textId="77777777" w:rsidR="00F2707E" w:rsidRPr="00F2707E" w:rsidRDefault="00F2707E" w:rsidP="00F2707E">
      <w:pPr>
        <w:suppressAutoHyphens/>
        <w:spacing w:line="360" w:lineRule="auto"/>
        <w:rPr>
          <w:rFonts w:eastAsia="Calibri"/>
          <w:b/>
          <w:bCs/>
          <w:sz w:val="32"/>
          <w:szCs w:val="32"/>
          <w:lang w:val="es-ES" w:eastAsia="en-US"/>
        </w:rPr>
      </w:pPr>
    </w:p>
    <w:p w14:paraId="09382FD9" w14:textId="77777777" w:rsidR="00F2707E" w:rsidRPr="00F2707E" w:rsidRDefault="00F2707E" w:rsidP="00F2707E">
      <w:pPr>
        <w:suppressAutoHyphens/>
        <w:spacing w:line="360" w:lineRule="auto"/>
        <w:rPr>
          <w:rFonts w:eastAsia="Calibri"/>
          <w:b/>
          <w:bCs/>
          <w:sz w:val="32"/>
          <w:szCs w:val="32"/>
          <w:lang w:val="es-ES" w:eastAsia="en-US"/>
        </w:rPr>
      </w:pPr>
    </w:p>
    <w:p w14:paraId="4B904B62" w14:textId="77777777" w:rsidR="00F2707E" w:rsidRPr="00F2707E" w:rsidRDefault="00F2707E" w:rsidP="00F2707E">
      <w:pPr>
        <w:suppressAutoHyphens/>
        <w:spacing w:line="360" w:lineRule="auto"/>
        <w:jc w:val="center"/>
        <w:rPr>
          <w:rFonts w:eastAsia="Calibri"/>
          <w:b/>
          <w:bCs/>
          <w:sz w:val="32"/>
          <w:szCs w:val="32"/>
          <w:lang w:val="es-ES" w:eastAsia="en-US"/>
        </w:rPr>
      </w:pPr>
      <w:r w:rsidRPr="00F2707E">
        <w:rPr>
          <w:rFonts w:eastAsia="Calibri"/>
          <w:b/>
          <w:bCs/>
          <w:sz w:val="32"/>
          <w:szCs w:val="32"/>
          <w:lang w:val="es-ES" w:eastAsia="en-US"/>
        </w:rPr>
        <w:t>DISCUSIÓN</w:t>
      </w:r>
    </w:p>
    <w:p w14:paraId="79A8C73D"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 xml:space="preserve">Las características de los donantes variaron entre los hospitales; de ellos, 7 de cada 10 donantes fueron varones y el grupo etario de 35 a 55 años fue el más frecuente; además, los marcadores infecciosos más frecuentes fueron </w:t>
      </w:r>
      <w:proofErr w:type="spellStart"/>
      <w:r w:rsidRPr="00F2707E">
        <w:rPr>
          <w:rFonts w:eastAsia="Calibri"/>
          <w:color w:val="000000"/>
          <w:lang w:val="es-ES" w:eastAsia="en-US"/>
        </w:rPr>
        <w:t>HbcAb</w:t>
      </w:r>
      <w:proofErr w:type="spellEnd"/>
      <w:r w:rsidRPr="00F2707E">
        <w:rPr>
          <w:rFonts w:eastAsia="Calibri"/>
          <w:color w:val="000000"/>
          <w:lang w:val="es-ES" w:eastAsia="en-US"/>
        </w:rPr>
        <w:t>, HTLV y sífilis.</w:t>
      </w:r>
    </w:p>
    <w:p w14:paraId="5AF06ACA"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Este estudio es un diseño multicéntrico, que analiza donantes de 2 hospitales especializados en Lima; brinda un panorama sobre los factores relacionados con la seropositividad en los sujetos, ya que las poblaciones que acuden a ambos centros de salud son marcadamente diferentes. La inclusión de donantes del INMP, que al igual que otros centros especializados brinda atención materno-perinatal exclusiva, es por ende imperativo, estimar la seropositividad y las características de los donantes, a fin de asegurar transfusiones seguras</w:t>
      </w:r>
      <w:r w:rsidRPr="00F2707E">
        <w:rPr>
          <w:rFonts w:eastAsia="Calibri"/>
          <w:lang w:val="es-ES" w:eastAsia="en-US"/>
        </w:rPr>
        <w:t>.</w:t>
      </w:r>
      <w:r w:rsidRPr="00F2707E">
        <w:rPr>
          <w:rFonts w:eastAsia="Calibri"/>
          <w:vertAlign w:val="superscript"/>
          <w:lang w:val="es-ES" w:eastAsia="en-US"/>
        </w:rPr>
        <w:t>(13)</w:t>
      </w:r>
      <w:r w:rsidRPr="00F2707E">
        <w:rPr>
          <w:rFonts w:eastAsia="Calibri"/>
          <w:color w:val="000000"/>
          <w:lang w:val="es-ES" w:eastAsia="en-US"/>
        </w:rPr>
        <w:t xml:space="preserve"> Según la información disponible, este es el primer estudio en el INMP.</w:t>
      </w:r>
    </w:p>
    <w:p w14:paraId="543DBC7F"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 xml:space="preserve">Entre los factores estudiados se encontró relación entre la edad y reactividad; el grupo de edad con mayor reactividad está entre los 35 a 55 años, lo cual concuerda con estudios realizados por </w:t>
      </w:r>
      <w:proofErr w:type="spellStart"/>
      <w:r w:rsidRPr="00F2707E">
        <w:rPr>
          <w:rFonts w:eastAsia="Calibri"/>
          <w:i/>
          <w:color w:val="000000"/>
          <w:lang w:val="es-ES" w:eastAsia="en-US"/>
        </w:rPr>
        <w:t>Porurco</w:t>
      </w:r>
      <w:proofErr w:type="spellEnd"/>
      <w:r w:rsidRPr="00F2707E">
        <w:rPr>
          <w:rFonts w:eastAsia="Calibri"/>
          <w:i/>
          <w:iCs/>
          <w:vertAlign w:val="superscript"/>
          <w:lang w:val="es-ES" w:eastAsia="en-US"/>
        </w:rPr>
        <w:t>(</w:t>
      </w:r>
      <w:r w:rsidRPr="00F2707E">
        <w:rPr>
          <w:rFonts w:eastAsia="Calibri"/>
          <w:vertAlign w:val="superscript"/>
          <w:lang w:val="es-ES" w:eastAsia="en-US"/>
        </w:rPr>
        <w:t>16)</w:t>
      </w:r>
      <w:r w:rsidRPr="00F2707E">
        <w:rPr>
          <w:rFonts w:eastAsia="Calibri"/>
          <w:color w:val="000000"/>
          <w:lang w:val="es-ES" w:eastAsia="en-US"/>
        </w:rPr>
        <w:t xml:space="preserve"> y </w:t>
      </w:r>
      <w:r w:rsidRPr="00F2707E">
        <w:rPr>
          <w:rFonts w:eastAsia="Calibri"/>
          <w:i/>
          <w:color w:val="000000"/>
          <w:lang w:val="es-ES" w:eastAsia="en-US"/>
        </w:rPr>
        <w:t xml:space="preserve">Morales </w:t>
      </w:r>
      <w:r w:rsidRPr="00F2707E">
        <w:rPr>
          <w:rFonts w:eastAsia="Calibri"/>
          <w:color w:val="000000"/>
          <w:lang w:val="es-ES" w:eastAsia="en-US"/>
        </w:rPr>
        <w:t xml:space="preserve"> y otros</w:t>
      </w:r>
      <w:r w:rsidRPr="00F2707E">
        <w:rPr>
          <w:rFonts w:eastAsia="Calibri"/>
          <w:color w:val="000000"/>
          <w:vertAlign w:val="superscript"/>
          <w:lang w:val="es-ES" w:eastAsia="en-US"/>
        </w:rPr>
        <w:t>(</w:t>
      </w:r>
      <w:r w:rsidRPr="00F2707E">
        <w:rPr>
          <w:rFonts w:eastAsia="Calibri"/>
          <w:vertAlign w:val="superscript"/>
          <w:lang w:val="es-ES" w:eastAsia="en-US"/>
        </w:rPr>
        <w:t>17)</w:t>
      </w:r>
      <w:r w:rsidRPr="00F2707E">
        <w:rPr>
          <w:rFonts w:eastAsia="Calibri"/>
          <w:color w:val="000000"/>
          <w:lang w:val="es-ES" w:eastAsia="en-US"/>
        </w:rPr>
        <w:t xml:space="preserve"> que detectan mayor frecuencia de donaciones reactivas en el grupo etario de 30 a 41 años. Por otra parte, la prevalencia de seropositividad puede variar según grupo etario, en otros hospitales, como demuestran los estudios de </w:t>
      </w:r>
      <w:r w:rsidRPr="00F2707E">
        <w:rPr>
          <w:rFonts w:eastAsia="Calibri"/>
          <w:i/>
          <w:color w:val="000000"/>
          <w:lang w:val="es-ES" w:eastAsia="en-US"/>
        </w:rPr>
        <w:t>Escobar Amarilla</w:t>
      </w:r>
      <w:r w:rsidRPr="00F2707E">
        <w:rPr>
          <w:rFonts w:eastAsia="Calibri"/>
          <w:color w:val="000000"/>
          <w:lang w:val="es-ES" w:eastAsia="en-US"/>
        </w:rPr>
        <w:t xml:space="preserve"> y otros</w:t>
      </w:r>
      <w:r w:rsidRPr="00F2707E">
        <w:rPr>
          <w:rFonts w:eastAsia="Calibri"/>
          <w:vertAlign w:val="superscript"/>
          <w:lang w:val="es-ES" w:eastAsia="en-US"/>
        </w:rPr>
        <w:t>(18)</w:t>
      </w:r>
      <w:r w:rsidRPr="00F2707E">
        <w:rPr>
          <w:rFonts w:eastAsia="Calibri"/>
          <w:color w:val="000000"/>
          <w:lang w:val="es-ES" w:eastAsia="en-US"/>
        </w:rPr>
        <w:t xml:space="preserve"> y </w:t>
      </w:r>
      <w:r w:rsidRPr="00F2707E">
        <w:rPr>
          <w:rFonts w:eastAsia="Calibri"/>
          <w:i/>
          <w:color w:val="000000"/>
          <w:lang w:val="es-ES" w:eastAsia="en-US"/>
        </w:rPr>
        <w:t>Ríos Ramos</w:t>
      </w:r>
      <w:r w:rsidRPr="00F2707E">
        <w:rPr>
          <w:rFonts w:eastAsia="Calibri"/>
          <w:color w:val="000000"/>
          <w:lang w:val="es-ES" w:eastAsia="en-US"/>
        </w:rPr>
        <w:t xml:space="preserve"> y otros</w:t>
      </w:r>
      <w:r w:rsidRPr="00F2707E">
        <w:rPr>
          <w:rFonts w:eastAsia="Calibri"/>
          <w:vertAlign w:val="superscript"/>
          <w:lang w:val="es-ES" w:eastAsia="en-US"/>
        </w:rPr>
        <w:t xml:space="preserve">(19) </w:t>
      </w:r>
      <w:r w:rsidRPr="00F2707E">
        <w:rPr>
          <w:rFonts w:eastAsia="Calibri"/>
          <w:lang w:val="es-ES" w:eastAsia="en-US"/>
        </w:rPr>
        <w:t xml:space="preserve">en Paraguay y Cuba respectivamente. Esta diferencia en los grupos etarios seropositivos se debe a la </w:t>
      </w:r>
      <w:r w:rsidRPr="00F2707E">
        <w:rPr>
          <w:rFonts w:eastAsia="Calibri"/>
          <w:lang w:val="es-ES" w:eastAsia="en-US"/>
        </w:rPr>
        <w:lastRenderedPageBreak/>
        <w:t>afluencia de donantes de riesgo a los centros de hemoterapia, a la prevalencia de marcadores en estos grupos poblacionales y a los factores de riesgo asociados con la seropositividad.</w:t>
      </w:r>
    </w:p>
    <w:p w14:paraId="5F752A4D"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Otra característica relacionada con la seroprevalencia de marcadores infecciosos fue el sexo, pues los resultados demostraron que el 63,49 % de seropositivos fueron varones. Estos concuerdan con los estudios  realizados en Perú,</w:t>
      </w:r>
      <w:r w:rsidRPr="00F2707E">
        <w:rPr>
          <w:rFonts w:eastAsia="Calibri"/>
          <w:vertAlign w:val="superscript"/>
          <w:lang w:val="es-ES" w:eastAsia="en-US"/>
        </w:rPr>
        <w:t>(20)</w:t>
      </w:r>
      <w:r w:rsidRPr="00F2707E">
        <w:rPr>
          <w:rFonts w:eastAsia="Calibri"/>
          <w:color w:val="000000"/>
          <w:lang w:val="es-ES" w:eastAsia="en-US"/>
        </w:rPr>
        <w:t xml:space="preserve"> Paraguay,</w:t>
      </w:r>
      <w:r w:rsidRPr="00F2707E">
        <w:rPr>
          <w:rFonts w:eastAsia="Calibri"/>
          <w:vertAlign w:val="superscript"/>
          <w:lang w:val="es-ES" w:eastAsia="en-US"/>
        </w:rPr>
        <w:t>(18)</w:t>
      </w:r>
      <w:r w:rsidRPr="00F2707E">
        <w:rPr>
          <w:rFonts w:eastAsia="Calibri"/>
          <w:color w:val="000000"/>
          <w:lang w:val="es-ES" w:eastAsia="en-US"/>
        </w:rPr>
        <w:t xml:space="preserve"> Cuba,</w:t>
      </w:r>
      <w:r w:rsidRPr="00F2707E">
        <w:rPr>
          <w:rFonts w:eastAsia="Calibri"/>
          <w:vertAlign w:val="superscript"/>
          <w:lang w:val="es-ES" w:eastAsia="en-US"/>
        </w:rPr>
        <w:t>(19)</w:t>
      </w:r>
      <w:r w:rsidRPr="00F2707E">
        <w:rPr>
          <w:rFonts w:eastAsia="Calibri"/>
          <w:color w:val="000000"/>
          <w:lang w:val="es-ES" w:eastAsia="en-US"/>
        </w:rPr>
        <w:t xml:space="preserve"> Colombia,</w:t>
      </w:r>
      <w:r w:rsidRPr="00F2707E">
        <w:rPr>
          <w:rFonts w:eastAsia="Calibri"/>
          <w:vertAlign w:val="superscript"/>
          <w:lang w:val="es-ES" w:eastAsia="en-US"/>
        </w:rPr>
        <w:t>(21)</w:t>
      </w:r>
      <w:r w:rsidRPr="00F2707E">
        <w:rPr>
          <w:rFonts w:eastAsia="Calibri"/>
          <w:color w:val="000000"/>
          <w:lang w:val="es-ES" w:eastAsia="en-US"/>
        </w:rPr>
        <w:t xml:space="preserve"> Bolivia,</w:t>
      </w:r>
      <w:r w:rsidRPr="00F2707E">
        <w:rPr>
          <w:rFonts w:eastAsia="Calibri"/>
          <w:vertAlign w:val="superscript"/>
          <w:lang w:val="es-ES" w:eastAsia="en-US"/>
        </w:rPr>
        <w:t>(22)</w:t>
      </w:r>
      <w:r w:rsidRPr="00F2707E">
        <w:rPr>
          <w:rFonts w:eastAsia="Calibri"/>
          <w:color w:val="000000"/>
          <w:lang w:val="es-ES" w:eastAsia="en-US"/>
        </w:rPr>
        <w:t xml:space="preserve"> y México.</w:t>
      </w:r>
      <w:r w:rsidRPr="00F2707E">
        <w:rPr>
          <w:rFonts w:eastAsia="Calibri"/>
          <w:vertAlign w:val="superscript"/>
          <w:lang w:val="es-ES" w:eastAsia="en-US"/>
        </w:rPr>
        <w:t>(23)</w:t>
      </w:r>
      <w:r w:rsidRPr="00F2707E">
        <w:rPr>
          <w:rFonts w:eastAsia="Calibri"/>
          <w:color w:val="000000"/>
          <w:lang w:val="es-ES" w:eastAsia="en-US"/>
        </w:rPr>
        <w:t xml:space="preserve"> En conjunto, estos resultados pueden ser explicados por el dimorfismo que existe entre las enfermedades infecciosas, factores dependientes de un conjunto de componentes biológicos y sociales que afectan mayoritariamente a varones.</w:t>
      </w:r>
      <w:r w:rsidRPr="00F2707E">
        <w:rPr>
          <w:rFonts w:eastAsia="Calibri"/>
          <w:vertAlign w:val="superscript"/>
          <w:lang w:val="es-ES" w:eastAsia="en-US"/>
        </w:rPr>
        <w:t xml:space="preserve">(24) </w:t>
      </w:r>
      <w:r w:rsidRPr="00F2707E">
        <w:rPr>
          <w:rFonts w:eastAsia="Calibri"/>
          <w:lang w:val="es-ES" w:eastAsia="en-US"/>
        </w:rPr>
        <w:t>Se debe de considerar esta seroprevalencia de marcadores infecciosos discriminados por sexo, ya que pueden ser importantes puntos de control en el proceso transfusional, a fin de mejorar los procesos de atención y obtención de sangre segura.</w:t>
      </w:r>
    </w:p>
    <w:p w14:paraId="2CE4C7D5" w14:textId="77777777" w:rsidR="00F2707E" w:rsidRPr="00F2707E" w:rsidRDefault="00F2707E" w:rsidP="00F2707E">
      <w:pPr>
        <w:suppressAutoHyphens/>
        <w:spacing w:line="360" w:lineRule="auto"/>
        <w:jc w:val="both"/>
        <w:rPr>
          <w:rFonts w:eastAsia="Calibri"/>
          <w:vertAlign w:val="superscript"/>
          <w:lang w:val="es-ES" w:eastAsia="en-US"/>
        </w:rPr>
      </w:pPr>
      <w:r w:rsidRPr="00F2707E">
        <w:rPr>
          <w:rFonts w:eastAsia="Calibri"/>
          <w:color w:val="000000"/>
          <w:lang w:val="es-ES" w:eastAsia="en-US"/>
        </w:rPr>
        <w:t>El lugar de procedencia que predominó en este estudio fue la costa. Estos resultados concuerdan con algunos estudios previos en donantes de hospitales del Ministerio de Salud del Perú.</w:t>
      </w:r>
      <w:r w:rsidRPr="00F2707E">
        <w:rPr>
          <w:rFonts w:eastAsia="Calibri"/>
          <w:vertAlign w:val="superscript"/>
          <w:lang w:val="es-ES" w:eastAsia="en-US"/>
        </w:rPr>
        <w:t xml:space="preserve">(8,9,25) </w:t>
      </w:r>
      <w:r w:rsidRPr="00F2707E">
        <w:rPr>
          <w:rFonts w:eastAsia="Calibri"/>
          <w:lang w:val="es-ES" w:eastAsia="en-US"/>
        </w:rPr>
        <w:t>La seroprevalencia de marcadores infecciosos según la procedencia de los donantes, puede estar vinculado con conductas de riesgo sexual, que incrementan la probabilidad de reactividad durante el tamizaje serológico en los centros de hemoterapia y bancos de sangre.</w:t>
      </w:r>
      <w:r w:rsidRPr="00F2707E">
        <w:rPr>
          <w:rFonts w:eastAsia="Calibri"/>
          <w:vertAlign w:val="superscript"/>
          <w:lang w:val="es-ES" w:eastAsia="en-US"/>
        </w:rPr>
        <w:t>(12,26)</w:t>
      </w:r>
    </w:p>
    <w:p w14:paraId="5FD2F385"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vertAlign w:val="superscript"/>
          <w:lang w:val="es-ES" w:eastAsia="en-US"/>
        </w:rPr>
        <w:t xml:space="preserve"> </w:t>
      </w:r>
      <w:r w:rsidRPr="00F2707E">
        <w:rPr>
          <w:rFonts w:eastAsia="Calibri"/>
          <w:color w:val="000000"/>
          <w:lang w:val="es-ES" w:eastAsia="en-US"/>
        </w:rPr>
        <w:t>Es necesario que se trace un sistema de georreferenciación peruana, que permita comprender la frecuencia de marcadores infecciosos por regiones, ya que como muestran los resultados del presente estudio existió mayor afluencia de donantes de la costa al INMP, mientras que HNCH tuvo más donantes de la selva. La delimitación de la seropositividad por regiones y hospital puede ser una herramienta útil para reducir el riesgo de enfermedades infecciosas por vía transfusional y mejorar los procesos de gestión de hemoterapia, reducir la cantidad de donantes de baja calidad, incrementar la rigurosidad y pertinencia en las pruebas de tamizaje y reducir costos por sangre eliminada.</w:t>
      </w:r>
      <w:r w:rsidRPr="00F2707E">
        <w:rPr>
          <w:rFonts w:eastAsia="Calibri"/>
          <w:vertAlign w:val="superscript"/>
          <w:lang w:val="es-ES" w:eastAsia="en-US"/>
        </w:rPr>
        <w:t>(5,6,8,13)</w:t>
      </w:r>
    </w:p>
    <w:p w14:paraId="3AD5178C" w14:textId="77777777" w:rsidR="00F2707E" w:rsidRPr="00F2707E" w:rsidRDefault="00F2707E" w:rsidP="00F2707E">
      <w:pPr>
        <w:suppressAutoHyphens/>
        <w:spacing w:line="360" w:lineRule="auto"/>
        <w:jc w:val="both"/>
        <w:rPr>
          <w:rFonts w:eastAsia="Calibri"/>
          <w:color w:val="000000"/>
          <w:lang w:val="es-PE" w:eastAsia="en-US"/>
        </w:rPr>
      </w:pPr>
      <w:r w:rsidRPr="00F2707E">
        <w:rPr>
          <w:rFonts w:eastAsia="Calibri"/>
          <w:color w:val="000000"/>
          <w:lang w:val="es-ES" w:eastAsia="en-US"/>
        </w:rPr>
        <w:t>Pueden existir diferencias en la seropositividad entre donantes,</w:t>
      </w:r>
      <w:r w:rsidRPr="00F2707E">
        <w:rPr>
          <w:rFonts w:eastAsia="Calibri"/>
          <w:color w:val="000000"/>
          <w:vertAlign w:val="superscript"/>
          <w:lang w:val="es-ES" w:eastAsia="en-US"/>
        </w:rPr>
        <w:t xml:space="preserve">(10) </w:t>
      </w:r>
      <w:r w:rsidRPr="00F2707E">
        <w:rPr>
          <w:rFonts w:eastAsia="Calibri"/>
          <w:color w:val="000000"/>
          <w:lang w:val="es-ES" w:eastAsia="en-US"/>
        </w:rPr>
        <w:t xml:space="preserve">por tanto es importante conocer sus características; la seroprevalencia pueden variar entra regiones y ciudades. En el presente estudio se determinaron </w:t>
      </w:r>
      <w:proofErr w:type="spellStart"/>
      <w:r w:rsidRPr="00F2707E">
        <w:rPr>
          <w:rFonts w:eastAsia="Calibri"/>
          <w:color w:val="000000"/>
          <w:lang w:val="es-PE" w:eastAsia="en-US"/>
        </w:rPr>
        <w:t>HbcAb</w:t>
      </w:r>
      <w:proofErr w:type="spellEnd"/>
      <w:r w:rsidRPr="00F2707E">
        <w:rPr>
          <w:rFonts w:eastAsia="Calibri"/>
          <w:color w:val="000000"/>
          <w:lang w:val="es-PE" w:eastAsia="en-US"/>
        </w:rPr>
        <w:t>, HTLV 1/2 y sífilis como los marcadores infecciosos más frecuentes; afectaron a 8 de cada 10 donantes en ambos hospitales. Estos resultados coinciden con los reportes de seroprevalencia de hospitales peruanos de la costa norte (en las ciudades de Chiclayo y Trujillo),</w:t>
      </w:r>
      <w:r w:rsidRPr="00F2707E">
        <w:rPr>
          <w:rFonts w:eastAsia="Calibri"/>
          <w:color w:val="000000"/>
          <w:vertAlign w:val="superscript"/>
          <w:lang w:val="es-ES" w:eastAsia="en-US"/>
        </w:rPr>
        <w:t>(27,28)</w:t>
      </w:r>
      <w:r w:rsidRPr="00F2707E">
        <w:rPr>
          <w:rFonts w:eastAsia="Calibri"/>
          <w:color w:val="000000"/>
          <w:lang w:val="es-ES" w:eastAsia="en-US"/>
        </w:rPr>
        <w:t xml:space="preserve"> de la selva (Loreto)</w:t>
      </w:r>
      <w:r w:rsidRPr="00F2707E">
        <w:rPr>
          <w:rFonts w:eastAsia="Calibri"/>
          <w:color w:val="000000"/>
          <w:vertAlign w:val="superscript"/>
          <w:lang w:val="es-ES" w:eastAsia="en-US"/>
        </w:rPr>
        <w:t>(29)</w:t>
      </w:r>
      <w:r w:rsidRPr="00F2707E">
        <w:rPr>
          <w:rFonts w:eastAsia="Calibri"/>
          <w:color w:val="000000"/>
          <w:lang w:val="es-ES" w:eastAsia="en-US"/>
        </w:rPr>
        <w:t xml:space="preserve"> y de Lima.</w:t>
      </w:r>
      <w:r w:rsidRPr="00F2707E">
        <w:rPr>
          <w:rFonts w:eastAsia="Calibri"/>
          <w:color w:val="000000"/>
          <w:vertAlign w:val="superscript"/>
          <w:lang w:val="es-ES" w:eastAsia="en-US"/>
        </w:rPr>
        <w:t>(16,30)</w:t>
      </w:r>
      <w:r w:rsidRPr="00F2707E">
        <w:rPr>
          <w:rFonts w:eastAsia="Calibri"/>
          <w:color w:val="000000"/>
          <w:lang w:val="es-ES" w:eastAsia="en-US"/>
        </w:rPr>
        <w:t xml:space="preserve"> Sin embargo, esta seroprevalencia puede cambiar según las características </w:t>
      </w:r>
      <w:r w:rsidRPr="00F2707E">
        <w:rPr>
          <w:rFonts w:eastAsia="Calibri"/>
          <w:color w:val="000000"/>
          <w:lang w:val="es-ES" w:eastAsia="en-US"/>
        </w:rPr>
        <w:lastRenderedPageBreak/>
        <w:t>poblacionales</w:t>
      </w:r>
      <w:r w:rsidRPr="00F2707E">
        <w:rPr>
          <w:rFonts w:eastAsia="Calibri"/>
          <w:color w:val="000000"/>
          <w:vertAlign w:val="superscript"/>
          <w:lang w:val="es-ES" w:eastAsia="en-US"/>
        </w:rPr>
        <w:t>(18,19,20,21,22,23)</w:t>
      </w:r>
      <w:r w:rsidRPr="00F2707E">
        <w:rPr>
          <w:rFonts w:eastAsia="Calibri"/>
          <w:color w:val="000000"/>
          <w:lang w:val="es-ES" w:eastAsia="en-US"/>
        </w:rPr>
        <w:t xml:space="preserve"> y las frecuencias de marcadores infecciosos en la población donante. Es necesario que se desarrollen estudios para determinar la frecuencia nacional de marcadores infecciosos en Perú, desarrollar actividades de mejora de la calidad de procesos y reducir el impacto de un tamizaje seropositivo.</w:t>
      </w:r>
      <w:r w:rsidRPr="00F2707E">
        <w:rPr>
          <w:rFonts w:eastAsia="Calibri"/>
          <w:color w:val="000000"/>
          <w:vertAlign w:val="superscript"/>
          <w:lang w:val="es-ES" w:eastAsia="en-US"/>
        </w:rPr>
        <w:t>(8,13)</w:t>
      </w:r>
    </w:p>
    <w:p w14:paraId="1BF534B9"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Esta investigación tuvo las siguientes limitaciones: primero, es un estudio transversal y no se puede establecer un criterio de causalidad entre las variables; segundo, la seropositividad determinada en los hospitales centros de hemoterapia y bancos de sangre reflejan las características de los donantes, sin embargo, puede haber cambios en donantes de hospitales de otras regiones y provincias. Asimismo, los datos obtenidos indican que la prevalencia de las enfermedades de transmisión sanguínea en los donantes de sangre no es muy alta, pero merecen mayor atención desde el punto de vista de la investigación.</w:t>
      </w:r>
    </w:p>
    <w:p w14:paraId="28F44F09"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 xml:space="preserve">Este estudio demuestra una relación entre los factores demográficos con la seropositividad de los marcadores infecciosos en 11 936 donantes peruanos. La edad, sexo y procedencia son las características que se asociaron significativamente; </w:t>
      </w:r>
      <w:proofErr w:type="spellStart"/>
      <w:r w:rsidRPr="00F2707E">
        <w:rPr>
          <w:rFonts w:eastAsia="Calibri"/>
          <w:color w:val="000000"/>
          <w:lang w:val="es-ES" w:eastAsia="en-US"/>
        </w:rPr>
        <w:t>HbcAb</w:t>
      </w:r>
      <w:proofErr w:type="spellEnd"/>
      <w:r w:rsidRPr="00F2707E">
        <w:rPr>
          <w:rFonts w:eastAsia="Calibri"/>
          <w:color w:val="000000"/>
          <w:lang w:val="es-ES" w:eastAsia="en-US"/>
        </w:rPr>
        <w:t>, HTLV y sífilis son los marcadores infecciosos más frecuentes.</w:t>
      </w:r>
    </w:p>
    <w:p w14:paraId="3F88DE17" w14:textId="77777777" w:rsidR="00F2707E" w:rsidRPr="00F2707E" w:rsidRDefault="00F2707E" w:rsidP="00F2707E">
      <w:pPr>
        <w:suppressAutoHyphens/>
        <w:spacing w:line="360" w:lineRule="auto"/>
        <w:jc w:val="both"/>
        <w:rPr>
          <w:rFonts w:eastAsia="Calibri"/>
          <w:color w:val="000000"/>
          <w:lang w:val="es-ES" w:eastAsia="en-US"/>
        </w:rPr>
      </w:pPr>
      <w:r w:rsidRPr="00F2707E">
        <w:rPr>
          <w:rFonts w:eastAsia="Calibri"/>
          <w:color w:val="000000"/>
          <w:lang w:val="es-ES" w:eastAsia="en-US"/>
        </w:rPr>
        <w:t>Existe relación entre los factores demográficos con la seropositividad de los marcadores infecciosos en donantes peruanos.</w:t>
      </w:r>
    </w:p>
    <w:p w14:paraId="00BCFFB0" w14:textId="77777777" w:rsidR="00F2707E" w:rsidRPr="00F2707E" w:rsidRDefault="00F2707E" w:rsidP="00F2707E">
      <w:pPr>
        <w:suppressAutoHyphens/>
        <w:spacing w:line="360" w:lineRule="auto"/>
        <w:jc w:val="both"/>
        <w:rPr>
          <w:rFonts w:eastAsia="Calibri"/>
          <w:color w:val="000000"/>
          <w:lang w:val="es-ES" w:eastAsia="en-US"/>
        </w:rPr>
      </w:pPr>
    </w:p>
    <w:p w14:paraId="6DA9A28E" w14:textId="77777777" w:rsidR="00F2707E" w:rsidRPr="00F2707E" w:rsidRDefault="00F2707E" w:rsidP="00F2707E">
      <w:pPr>
        <w:suppressAutoHyphens/>
        <w:spacing w:line="360" w:lineRule="auto"/>
        <w:jc w:val="both"/>
        <w:rPr>
          <w:rFonts w:eastAsia="Calibri"/>
          <w:color w:val="000000"/>
          <w:lang w:val="es-ES" w:eastAsia="en-US"/>
        </w:rPr>
      </w:pPr>
    </w:p>
    <w:p w14:paraId="1FCE1474" w14:textId="77777777" w:rsidR="00F2707E" w:rsidRPr="00F2707E" w:rsidRDefault="00F2707E" w:rsidP="00F2707E">
      <w:pPr>
        <w:suppressAutoHyphens/>
        <w:spacing w:line="360" w:lineRule="auto"/>
        <w:jc w:val="center"/>
        <w:rPr>
          <w:rFonts w:eastAsia="Calibri"/>
          <w:b/>
          <w:color w:val="000000"/>
          <w:sz w:val="32"/>
          <w:szCs w:val="32"/>
          <w:lang w:val="es-PE" w:eastAsia="en-US"/>
        </w:rPr>
      </w:pPr>
      <w:r w:rsidRPr="00F2707E">
        <w:rPr>
          <w:rFonts w:eastAsia="Calibri"/>
          <w:b/>
          <w:sz w:val="32"/>
          <w:szCs w:val="32"/>
          <w:lang w:val="es-PE" w:eastAsia="en-US"/>
        </w:rPr>
        <w:t>REFERENCIAS BIBLIOGRÁFICAS</w:t>
      </w:r>
    </w:p>
    <w:p w14:paraId="3FF376B0" w14:textId="292C91D0"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t>1. Herrera HA, Bermúdez FM, Beltrán D, Mantilla. A. Algoritmo para pruebas infecciosas pruebas infecciosas (HIV, HBSAG, HCV, Chagas y sífilis) en banco de sangre. Colombia. Red Nacional de sangre. Boletín Informativo No. 2. Salud Transfusional. 2010 [acceso: 24/12/2022]; 5(14):1-4. Disponible en:</w:t>
      </w:r>
      <w:r w:rsidRPr="00F2707E">
        <w:rPr>
          <w:rFonts w:eastAsia="Calibri"/>
          <w:color w:val="0000FF"/>
          <w:lang w:val="es-PE" w:eastAsia="en-US"/>
        </w:rPr>
        <w:t xml:space="preserve"> </w:t>
      </w:r>
      <w:r w:rsidR="00A92455">
        <w:rPr>
          <w:rFonts w:eastAsia="Calibri"/>
          <w:color w:val="0000FF"/>
          <w:lang w:val="es-PE" w:eastAsia="en-US"/>
        </w:rPr>
        <w:t xml:space="preserve"> </w:t>
      </w:r>
      <w:hyperlink r:id="rId15" w:history="1">
        <w:r w:rsidR="00A92455" w:rsidRPr="00D72A9A">
          <w:rPr>
            <w:rStyle w:val="Hipervnculo"/>
            <w:rFonts w:eastAsia="Calibri"/>
            <w:lang w:val="es-PE" w:eastAsia="en-US"/>
          </w:rPr>
          <w:t>https://www.ins.gov.co/Direcciones/RedesSaludPublica/DonacionSangre/Publicaciones/Algoritmo%20para%20pruebas%20infecciosas%20en%20Banco%20de%20Sangre%20-%20Julio%202010.pdf</w:t>
        </w:r>
      </w:hyperlink>
      <w:r w:rsidRPr="00F2707E">
        <w:rPr>
          <w:rFonts w:eastAsia="Calibri"/>
          <w:color w:val="0000FF"/>
          <w:lang w:val="es-PE" w:eastAsia="en-US"/>
        </w:rPr>
        <w:t xml:space="preserve"> </w:t>
      </w:r>
    </w:p>
    <w:p w14:paraId="7A1D21E3"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t>2. Organización Panamericana de la Salud. Aumentan los donantes voluntarios de sangre. Washington, D.C: OPS/AMS; 2015. [acceso: 24/12/2022]. Disponible en:</w:t>
      </w:r>
      <w:r w:rsidRPr="00F2707E">
        <w:rPr>
          <w:rFonts w:eastAsia="Calibri"/>
          <w:color w:val="0000FF"/>
          <w:lang w:val="es-PE" w:eastAsia="en-US"/>
        </w:rPr>
        <w:t xml:space="preserve"> </w:t>
      </w:r>
      <w:hyperlink r:id="rId16" w:history="1">
        <w:r w:rsidRPr="00F2707E">
          <w:rPr>
            <w:rFonts w:eastAsia="Calibri"/>
            <w:color w:val="0000FF"/>
            <w:lang w:val="es-PE" w:eastAsia="en-US"/>
          </w:rPr>
          <w:t>https://www.paho.org/hq/index.php?option=com_content&amp;view=article&amp;id=13408:voluntary-blood-</w:t>
        </w:r>
        <w:r w:rsidRPr="00F2707E">
          <w:rPr>
            <w:rFonts w:eastAsia="Calibri"/>
            <w:color w:val="0000FF"/>
            <w:lang w:val="es-PE" w:eastAsia="en-US"/>
          </w:rPr>
          <w:lastRenderedPageBreak/>
          <w:t>donors-are-increasing-but-the-numbers-are-not-enough-to-ensure-sufficient-blood-supplies&amp;Itemid=1926&amp;lang=es</w:t>
        </w:r>
      </w:hyperlink>
      <w:r w:rsidRPr="00F2707E">
        <w:rPr>
          <w:rFonts w:eastAsia="Calibri"/>
          <w:color w:val="0000FF"/>
          <w:lang w:val="es-PE" w:eastAsia="en-US"/>
        </w:rPr>
        <w:t xml:space="preserve"> </w:t>
      </w:r>
    </w:p>
    <w:p w14:paraId="4AAA0D81" w14:textId="77777777" w:rsidR="00F2707E" w:rsidRPr="00F2707E" w:rsidRDefault="00F2707E" w:rsidP="00F2707E">
      <w:pPr>
        <w:suppressAutoHyphens/>
        <w:spacing w:line="360" w:lineRule="auto"/>
        <w:rPr>
          <w:rFonts w:eastAsia="Calibri"/>
          <w:lang w:val="es-PE" w:eastAsia="en-US"/>
        </w:rPr>
      </w:pPr>
      <w:r w:rsidRPr="00F2707E">
        <w:rPr>
          <w:rFonts w:eastAsia="Calibri"/>
          <w:lang w:val="es-PE" w:eastAsia="en-US"/>
        </w:rPr>
        <w:t>3. Colegio Médico del Perú. Libro del bicentenario de la independencia nacional 1821-2021. Lima: Fondo Editorial Comunicacional CMP; 2021.</w:t>
      </w:r>
    </w:p>
    <w:p w14:paraId="78D4FA6E" w14:textId="77777777" w:rsidR="00F2707E" w:rsidRPr="00F2707E" w:rsidRDefault="00F2707E" w:rsidP="00F2707E">
      <w:pPr>
        <w:suppressAutoHyphens/>
        <w:spacing w:line="360" w:lineRule="auto"/>
        <w:rPr>
          <w:rFonts w:eastAsia="Calibri"/>
          <w:lang w:val="en-US" w:eastAsia="en-US"/>
        </w:rPr>
      </w:pPr>
      <w:r w:rsidRPr="00F2707E">
        <w:rPr>
          <w:rFonts w:eastAsia="Calibri"/>
          <w:lang w:val="es-PE" w:eastAsia="en-US"/>
        </w:rPr>
        <w:t xml:space="preserve">4. </w:t>
      </w:r>
      <w:proofErr w:type="spellStart"/>
      <w:r w:rsidRPr="00F2707E">
        <w:rPr>
          <w:rFonts w:eastAsia="Calibri"/>
          <w:lang w:val="es-PE" w:eastAsia="en-US"/>
        </w:rPr>
        <w:t>Buseri</w:t>
      </w:r>
      <w:proofErr w:type="spellEnd"/>
      <w:r w:rsidRPr="00F2707E">
        <w:rPr>
          <w:rFonts w:eastAsia="Calibri"/>
          <w:lang w:val="es-PE" w:eastAsia="en-US"/>
        </w:rPr>
        <w:t xml:space="preserve"> FI, </w:t>
      </w:r>
      <w:proofErr w:type="spellStart"/>
      <w:r w:rsidRPr="00F2707E">
        <w:rPr>
          <w:rFonts w:eastAsia="Calibri"/>
          <w:lang w:val="es-PE" w:eastAsia="en-US"/>
        </w:rPr>
        <w:t>Muhibi</w:t>
      </w:r>
      <w:proofErr w:type="spellEnd"/>
      <w:r w:rsidRPr="00F2707E">
        <w:rPr>
          <w:rFonts w:eastAsia="Calibri"/>
          <w:lang w:val="es-PE" w:eastAsia="en-US"/>
        </w:rPr>
        <w:t xml:space="preserve"> MA, Jeremiah ZA. </w:t>
      </w:r>
      <w:r w:rsidRPr="00F2707E">
        <w:rPr>
          <w:rFonts w:eastAsia="Calibri"/>
          <w:lang w:val="en-US" w:eastAsia="en-US"/>
        </w:rPr>
        <w:t xml:space="preserve">Sero-epidemiology of transfusion- transmissible infectious diseases among blood donors in Osogbo, south-west Nigeria. Blood </w:t>
      </w:r>
      <w:proofErr w:type="spellStart"/>
      <w:r w:rsidRPr="00F2707E">
        <w:rPr>
          <w:rFonts w:eastAsia="Calibri"/>
          <w:lang w:val="en-US" w:eastAsia="en-US"/>
        </w:rPr>
        <w:t>Transfus</w:t>
      </w:r>
      <w:proofErr w:type="spellEnd"/>
      <w:r w:rsidRPr="00F2707E">
        <w:rPr>
          <w:rFonts w:eastAsia="Calibri"/>
          <w:lang w:val="en-US" w:eastAsia="en-US"/>
        </w:rPr>
        <w:t>. 2009; 7(4): 293–9. DOI: 10.2450/2009.0071-08</w:t>
      </w:r>
    </w:p>
    <w:p w14:paraId="1D9855BC"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n-US" w:eastAsia="en-US"/>
        </w:rPr>
        <w:t xml:space="preserve">5. Pan American Health Organization. Supply of Blood for Transfusion in Latin American and Caribbean Countries, 2014 and 2015. </w:t>
      </w:r>
      <w:r w:rsidRPr="00F2707E">
        <w:rPr>
          <w:rFonts w:eastAsia="Calibri"/>
          <w:lang w:val="es-PE" w:eastAsia="en-US"/>
        </w:rPr>
        <w:t xml:space="preserve">Washington D.C.: PAHO. 2016 [acceso: 15/01/2023]. Disponible en: </w:t>
      </w:r>
      <w:hyperlink r:id="rId17" w:history="1">
        <w:r w:rsidRPr="00F2707E">
          <w:rPr>
            <w:rFonts w:eastAsia="Calibri"/>
            <w:color w:val="0000FF"/>
            <w:lang w:val="es-PE" w:eastAsia="en-US"/>
          </w:rPr>
          <w:t>https://iris.paho.org/bitstream/handle/10665.2/34083/9789275119587-eng.pdf?sequence=1&amp;isAllowed=y</w:t>
        </w:r>
      </w:hyperlink>
      <w:r w:rsidRPr="00F2707E">
        <w:rPr>
          <w:rFonts w:eastAsia="Calibri"/>
          <w:color w:val="0000FF"/>
          <w:lang w:val="es-PE" w:eastAsia="en-US"/>
        </w:rPr>
        <w:t xml:space="preserve">  </w:t>
      </w:r>
    </w:p>
    <w:p w14:paraId="781DC5DD" w14:textId="77777777" w:rsidR="00F2707E" w:rsidRPr="00F2707E" w:rsidRDefault="00F2707E" w:rsidP="00F2707E">
      <w:pPr>
        <w:suppressAutoHyphens/>
        <w:spacing w:line="360" w:lineRule="auto"/>
        <w:rPr>
          <w:rFonts w:eastAsia="Calibri"/>
          <w:lang w:val="es-PE" w:eastAsia="en-US"/>
        </w:rPr>
      </w:pPr>
      <w:r w:rsidRPr="00F2707E">
        <w:rPr>
          <w:rFonts w:eastAsia="Calibri"/>
          <w:lang w:val="es-PE" w:eastAsia="en-US"/>
        </w:rPr>
        <w:t xml:space="preserve">6. Moya-Salazar </w:t>
      </w:r>
      <w:proofErr w:type="spellStart"/>
      <w:r w:rsidRPr="00F2707E">
        <w:rPr>
          <w:rFonts w:eastAsia="Calibri"/>
          <w:lang w:val="es-PE" w:eastAsia="en-US"/>
        </w:rPr>
        <w:t>Jeel</w:t>
      </w:r>
      <w:proofErr w:type="spellEnd"/>
      <w:r w:rsidRPr="00F2707E">
        <w:rPr>
          <w:rFonts w:eastAsia="Calibri"/>
          <w:lang w:val="es-PE" w:eastAsia="en-US"/>
        </w:rPr>
        <w:t xml:space="preserve">, Pio-Dávila Liz, Díaz R Rommel. Depleción del suministro de sangre y costo por donaciones indeterminadas del Hospital Nacional Guillermo Almenara Irigoyen. </w:t>
      </w:r>
      <w:proofErr w:type="spellStart"/>
      <w:r w:rsidRPr="00F2707E">
        <w:rPr>
          <w:rFonts w:eastAsia="Calibri"/>
          <w:lang w:val="es-PE" w:eastAsia="en-US"/>
        </w:rPr>
        <w:t>Horiz</w:t>
      </w:r>
      <w:proofErr w:type="spellEnd"/>
      <w:r w:rsidRPr="00F2707E">
        <w:rPr>
          <w:rFonts w:eastAsia="Calibri"/>
          <w:lang w:val="es-PE" w:eastAsia="en-US"/>
        </w:rPr>
        <w:t xml:space="preserve">. </w:t>
      </w:r>
      <w:proofErr w:type="spellStart"/>
      <w:r w:rsidRPr="00F2707E">
        <w:rPr>
          <w:rFonts w:eastAsia="Calibri"/>
          <w:lang w:val="es-PE" w:eastAsia="en-US"/>
        </w:rPr>
        <w:t>Med</w:t>
      </w:r>
      <w:proofErr w:type="spellEnd"/>
      <w:r w:rsidRPr="00F2707E">
        <w:rPr>
          <w:rFonts w:eastAsia="Calibri"/>
          <w:lang w:val="es-PE" w:eastAsia="en-US"/>
        </w:rPr>
        <w:t>.  2017; 17(1): 31-7. DOI: 10.24265/horizmed.2017.v17n1.06</w:t>
      </w:r>
    </w:p>
    <w:p w14:paraId="293CB4CF" w14:textId="77777777" w:rsidR="00F2707E" w:rsidRPr="00F2707E" w:rsidRDefault="00F2707E" w:rsidP="00F2707E">
      <w:pPr>
        <w:suppressAutoHyphens/>
        <w:spacing w:line="360" w:lineRule="auto"/>
        <w:rPr>
          <w:rFonts w:eastAsia="Calibri"/>
          <w:lang w:val="es-PE" w:eastAsia="en-US"/>
        </w:rPr>
      </w:pPr>
      <w:r w:rsidRPr="00F2707E">
        <w:rPr>
          <w:rFonts w:eastAsia="Calibri"/>
          <w:lang w:val="es-PE" w:eastAsia="en-US"/>
        </w:rPr>
        <w:t xml:space="preserve">7. Muñoz-Gámez JA, Salmerón J. Prevalencia de la hepatitis B y C en España: se necesitan más datos. </w:t>
      </w:r>
      <w:proofErr w:type="spellStart"/>
      <w:r w:rsidRPr="00F2707E">
        <w:rPr>
          <w:rFonts w:eastAsia="Calibri"/>
          <w:lang w:val="es-PE" w:eastAsia="en-US"/>
        </w:rPr>
        <w:t>Rev</w:t>
      </w:r>
      <w:proofErr w:type="spellEnd"/>
      <w:r w:rsidRPr="00F2707E">
        <w:rPr>
          <w:rFonts w:eastAsia="Calibri"/>
          <w:lang w:val="es-PE" w:eastAsia="en-US"/>
        </w:rPr>
        <w:t xml:space="preserve"> </w:t>
      </w:r>
      <w:proofErr w:type="spellStart"/>
      <w:r w:rsidRPr="00F2707E">
        <w:rPr>
          <w:rFonts w:eastAsia="Calibri"/>
          <w:lang w:val="es-PE" w:eastAsia="en-US"/>
        </w:rPr>
        <w:t>Esp</w:t>
      </w:r>
      <w:proofErr w:type="spellEnd"/>
      <w:r w:rsidRPr="00F2707E">
        <w:rPr>
          <w:rFonts w:eastAsia="Calibri"/>
          <w:lang w:val="es-PE" w:eastAsia="en-US"/>
        </w:rPr>
        <w:t xml:space="preserve"> </w:t>
      </w:r>
      <w:proofErr w:type="spellStart"/>
      <w:r w:rsidRPr="00F2707E">
        <w:rPr>
          <w:rFonts w:eastAsia="Calibri"/>
          <w:lang w:val="es-PE" w:eastAsia="en-US"/>
        </w:rPr>
        <w:t>Enferm</w:t>
      </w:r>
      <w:proofErr w:type="spellEnd"/>
      <w:r w:rsidRPr="00F2707E">
        <w:rPr>
          <w:rFonts w:eastAsia="Calibri"/>
          <w:lang w:val="es-PE" w:eastAsia="en-US"/>
        </w:rPr>
        <w:t xml:space="preserve"> </w:t>
      </w:r>
      <w:proofErr w:type="spellStart"/>
      <w:r w:rsidRPr="00F2707E">
        <w:rPr>
          <w:rFonts w:eastAsia="Calibri"/>
          <w:lang w:val="es-PE" w:eastAsia="en-US"/>
        </w:rPr>
        <w:t>Dig</w:t>
      </w:r>
      <w:proofErr w:type="spellEnd"/>
      <w:r w:rsidRPr="00F2707E">
        <w:rPr>
          <w:rFonts w:eastAsia="Calibri"/>
          <w:lang w:val="es-PE" w:eastAsia="en-US"/>
        </w:rPr>
        <w:t xml:space="preserve">. 2013; 105(5): 245-248. DOI: 10.4321/S1130-01082013000500001. </w:t>
      </w:r>
    </w:p>
    <w:p w14:paraId="18F1370D" w14:textId="77777777" w:rsidR="00F2707E" w:rsidRPr="00F2707E" w:rsidRDefault="00F2707E" w:rsidP="00F2707E">
      <w:pPr>
        <w:suppressAutoHyphens/>
        <w:spacing w:line="360" w:lineRule="auto"/>
        <w:rPr>
          <w:rFonts w:eastAsia="Calibri"/>
          <w:lang w:val="en-US" w:eastAsia="en-US"/>
        </w:rPr>
      </w:pPr>
      <w:r w:rsidRPr="00F2707E">
        <w:rPr>
          <w:rFonts w:eastAsia="Calibri"/>
          <w:lang w:val="es-PE" w:eastAsia="en-US"/>
        </w:rPr>
        <w:t xml:space="preserve">8. Moya-Salazar J, </w:t>
      </w:r>
      <w:proofErr w:type="spellStart"/>
      <w:r w:rsidRPr="00F2707E">
        <w:rPr>
          <w:rFonts w:eastAsia="Calibri"/>
          <w:lang w:val="es-PE" w:eastAsia="en-US"/>
        </w:rPr>
        <w:t>Ubidia-Incio</w:t>
      </w:r>
      <w:proofErr w:type="spellEnd"/>
      <w:r w:rsidRPr="00F2707E">
        <w:rPr>
          <w:rFonts w:eastAsia="Calibri"/>
          <w:lang w:val="es-PE" w:eastAsia="en-US"/>
        </w:rPr>
        <w:t xml:space="preserve"> R, </w:t>
      </w:r>
      <w:proofErr w:type="spellStart"/>
      <w:r w:rsidRPr="00F2707E">
        <w:rPr>
          <w:rFonts w:eastAsia="Calibri"/>
          <w:lang w:val="es-PE" w:eastAsia="en-US"/>
        </w:rPr>
        <w:t>Incio</w:t>
      </w:r>
      <w:proofErr w:type="spellEnd"/>
      <w:r w:rsidRPr="00F2707E">
        <w:rPr>
          <w:rFonts w:eastAsia="Calibri"/>
          <w:lang w:val="es-PE" w:eastAsia="en-US"/>
        </w:rPr>
        <w:t xml:space="preserve">-Grande M, Blejer JL, </w:t>
      </w:r>
      <w:proofErr w:type="spellStart"/>
      <w:r w:rsidRPr="00F2707E">
        <w:rPr>
          <w:rFonts w:eastAsia="Calibri"/>
          <w:lang w:val="es-PE" w:eastAsia="en-US"/>
        </w:rPr>
        <w:t>Gonzalez</w:t>
      </w:r>
      <w:proofErr w:type="spellEnd"/>
      <w:r w:rsidRPr="00F2707E">
        <w:rPr>
          <w:rFonts w:eastAsia="Calibri"/>
          <w:lang w:val="es-PE" w:eastAsia="en-US"/>
        </w:rPr>
        <w:t xml:space="preserve"> CA. </w:t>
      </w:r>
      <w:r w:rsidRPr="00F2707E">
        <w:rPr>
          <w:rFonts w:eastAsia="Calibri"/>
          <w:lang w:val="en-US" w:eastAsia="en-US"/>
        </w:rPr>
        <w:t xml:space="preserve">Seroprevalence, cost per donation and reduction in blood supply due to positive and indeterminate results for infectious markers in a blood bank in Lima, Peru. Rev Bras </w:t>
      </w:r>
      <w:proofErr w:type="spellStart"/>
      <w:r w:rsidRPr="00F2707E">
        <w:rPr>
          <w:rFonts w:eastAsia="Calibri"/>
          <w:lang w:val="en-US" w:eastAsia="en-US"/>
        </w:rPr>
        <w:t>Hematol</w:t>
      </w:r>
      <w:proofErr w:type="spellEnd"/>
      <w:r w:rsidRPr="00F2707E">
        <w:rPr>
          <w:rFonts w:eastAsia="Calibri"/>
          <w:lang w:val="en-US" w:eastAsia="en-US"/>
        </w:rPr>
        <w:t xml:space="preserve"> </w:t>
      </w:r>
      <w:proofErr w:type="spellStart"/>
      <w:r w:rsidRPr="00F2707E">
        <w:rPr>
          <w:rFonts w:eastAsia="Calibri"/>
          <w:lang w:val="en-US" w:eastAsia="en-US"/>
        </w:rPr>
        <w:t>Hemoter</w:t>
      </w:r>
      <w:proofErr w:type="spellEnd"/>
      <w:r w:rsidRPr="00F2707E">
        <w:rPr>
          <w:rFonts w:eastAsia="Calibri"/>
          <w:lang w:val="en-US" w:eastAsia="en-US"/>
        </w:rPr>
        <w:t xml:space="preserve">. 2017; 39(2):102-7. DOI: 10.1016/j.bjhh.2016.11.007 </w:t>
      </w:r>
    </w:p>
    <w:p w14:paraId="78D9BCFE" w14:textId="77777777" w:rsidR="00F2707E" w:rsidRPr="00F2707E" w:rsidRDefault="00F2707E" w:rsidP="00F2707E">
      <w:pPr>
        <w:suppressAutoHyphens/>
        <w:spacing w:line="360" w:lineRule="auto"/>
        <w:rPr>
          <w:rFonts w:eastAsia="Calibri"/>
          <w:lang w:val="en-US" w:eastAsia="en-US"/>
        </w:rPr>
      </w:pPr>
      <w:r w:rsidRPr="00F2707E">
        <w:rPr>
          <w:rFonts w:eastAsia="Calibri"/>
          <w:lang w:val="en-US" w:eastAsia="en-US"/>
        </w:rPr>
        <w:t xml:space="preserve">9. Ramírez-Soto MC, </w:t>
      </w:r>
      <w:proofErr w:type="spellStart"/>
      <w:r w:rsidRPr="00F2707E">
        <w:rPr>
          <w:rFonts w:eastAsia="Calibri"/>
          <w:lang w:val="en-US" w:eastAsia="en-US"/>
        </w:rPr>
        <w:t>Huichi-Atamari</w:t>
      </w:r>
      <w:proofErr w:type="spellEnd"/>
      <w:r w:rsidRPr="00F2707E">
        <w:rPr>
          <w:rFonts w:eastAsia="Calibri"/>
          <w:lang w:val="en-US" w:eastAsia="en-US"/>
        </w:rPr>
        <w:t xml:space="preserve"> M. Prevalence of hepatitis B and human T-lymphotropic virus infection among blood donors at a hospital in the south-central highlands of Peru. </w:t>
      </w:r>
      <w:proofErr w:type="spellStart"/>
      <w:r w:rsidRPr="00F2707E">
        <w:rPr>
          <w:rFonts w:eastAsia="Calibri"/>
          <w:lang w:val="en-US" w:eastAsia="en-US"/>
        </w:rPr>
        <w:t>Transfus</w:t>
      </w:r>
      <w:proofErr w:type="spellEnd"/>
      <w:r w:rsidRPr="00F2707E">
        <w:rPr>
          <w:rFonts w:eastAsia="Calibri"/>
          <w:lang w:val="en-US" w:eastAsia="en-US"/>
        </w:rPr>
        <w:t xml:space="preserve"> Med. 2018; 28(3):263-5. DOI: 10.1111/tme.12451 </w:t>
      </w:r>
    </w:p>
    <w:p w14:paraId="54346338" w14:textId="77777777" w:rsidR="00F2707E" w:rsidRPr="00F2707E" w:rsidRDefault="00F2707E" w:rsidP="00F2707E">
      <w:pPr>
        <w:suppressAutoHyphens/>
        <w:spacing w:line="360" w:lineRule="auto"/>
        <w:rPr>
          <w:rFonts w:eastAsia="Calibri"/>
          <w:lang w:val="en-US" w:eastAsia="en-US"/>
        </w:rPr>
      </w:pPr>
      <w:r w:rsidRPr="00F2707E">
        <w:rPr>
          <w:rFonts w:eastAsia="Calibri"/>
          <w:lang w:val="en-US" w:eastAsia="en-US"/>
        </w:rPr>
        <w:t xml:space="preserve">10. Murphy MF, Roberts DJ, </w:t>
      </w:r>
      <w:proofErr w:type="spellStart"/>
      <w:r w:rsidRPr="00F2707E">
        <w:rPr>
          <w:rFonts w:eastAsia="Calibri"/>
          <w:lang w:val="en-US" w:eastAsia="en-US"/>
        </w:rPr>
        <w:t>Yazer</w:t>
      </w:r>
      <w:proofErr w:type="spellEnd"/>
      <w:r w:rsidRPr="00F2707E">
        <w:rPr>
          <w:rFonts w:eastAsia="Calibri"/>
          <w:lang w:val="en-US" w:eastAsia="en-US"/>
        </w:rPr>
        <w:t xml:space="preserve"> MH, Dunbar NM. Practical Transfusion Medicine. 6 Edition. New Jersey: Wiley-Blackwell; 2022.</w:t>
      </w:r>
    </w:p>
    <w:p w14:paraId="78CF3A6D"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t xml:space="preserve">11. García GM, Sáenz de Tejada E, Cruz JR. Estudio de factores socioculturales relacionados con la donación voluntaria de sangre en las Américas. </w:t>
      </w:r>
      <w:proofErr w:type="spellStart"/>
      <w:r w:rsidRPr="00F2707E">
        <w:rPr>
          <w:rFonts w:eastAsia="Calibri"/>
          <w:lang w:val="es-PE" w:eastAsia="en-US"/>
        </w:rPr>
        <w:t>Rev</w:t>
      </w:r>
      <w:proofErr w:type="spellEnd"/>
      <w:r w:rsidRPr="00F2707E">
        <w:rPr>
          <w:rFonts w:eastAsia="Calibri"/>
          <w:lang w:val="es-PE" w:eastAsia="en-US"/>
        </w:rPr>
        <w:t xml:space="preserve"> </w:t>
      </w:r>
      <w:proofErr w:type="spellStart"/>
      <w:r w:rsidRPr="00F2707E">
        <w:rPr>
          <w:rFonts w:eastAsia="Calibri"/>
          <w:lang w:val="es-PE" w:eastAsia="en-US"/>
        </w:rPr>
        <w:t>Panam</w:t>
      </w:r>
      <w:proofErr w:type="spellEnd"/>
      <w:r w:rsidRPr="00F2707E">
        <w:rPr>
          <w:rFonts w:eastAsia="Calibri"/>
          <w:lang w:val="es-PE" w:eastAsia="en-US"/>
        </w:rPr>
        <w:t xml:space="preserve"> Salud Pública. 2003 [acceso: 15/01/2023]; 13(2/3):85-90. Disponible en: </w:t>
      </w:r>
      <w:hyperlink r:id="rId18" w:history="1">
        <w:r w:rsidRPr="00F2707E">
          <w:rPr>
            <w:rFonts w:eastAsia="Calibri"/>
            <w:color w:val="0000FF"/>
            <w:lang w:val="es-PE" w:eastAsia="en-US"/>
          </w:rPr>
          <w:t>https://www.scielosp.org/pdf/rpsp/2003.v13n2-3/85-90/es</w:t>
        </w:r>
      </w:hyperlink>
      <w:r w:rsidRPr="00F2707E">
        <w:rPr>
          <w:rFonts w:eastAsia="Calibri"/>
          <w:color w:val="0000FF"/>
          <w:lang w:val="es-PE" w:eastAsia="en-US"/>
        </w:rPr>
        <w:t xml:space="preserve">  </w:t>
      </w:r>
    </w:p>
    <w:p w14:paraId="410154B2"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lastRenderedPageBreak/>
        <w:t>12. Lozada V. Causas de diferimiento de los postulantes a donantes de sangre total en el servicio de banco de sangre y hemoterapia del Hospital Regional de Cajamarca de Julio A Diciembre Del 2013 [Tesis de licenciatura]. Cajamarca: Universidad Nacional de Cajamarca. 2014. [acceso: 15/01/2023]. Disponible en:</w:t>
      </w:r>
      <w:r w:rsidRPr="00F2707E">
        <w:rPr>
          <w:rFonts w:eastAsia="Calibri"/>
          <w:color w:val="0000FF"/>
          <w:lang w:val="es-PE" w:eastAsia="en-US"/>
        </w:rPr>
        <w:t xml:space="preserve"> </w:t>
      </w:r>
      <w:hyperlink r:id="rId19" w:history="1">
        <w:r w:rsidRPr="00F2707E">
          <w:rPr>
            <w:rFonts w:eastAsia="Calibri"/>
            <w:color w:val="0000FF"/>
            <w:lang w:val="es-PE" w:eastAsia="en-US"/>
          </w:rPr>
          <w:t>https://repositorio.unc.edu.pe/bitstream/handle/20.500.14074/44/T%20362.1784%20L925%202014.pdf?sequence=1&amp;isAllowed=y</w:t>
        </w:r>
      </w:hyperlink>
      <w:r w:rsidRPr="00F2707E">
        <w:rPr>
          <w:rFonts w:eastAsia="Calibri"/>
          <w:color w:val="0000FF"/>
          <w:lang w:val="es-PE" w:eastAsia="en-US"/>
        </w:rPr>
        <w:t xml:space="preserve">  </w:t>
      </w:r>
    </w:p>
    <w:p w14:paraId="6B1AF61F"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n-US" w:eastAsia="en-US"/>
        </w:rPr>
        <w:t xml:space="preserve">13. Moya SJ, </w:t>
      </w:r>
      <w:proofErr w:type="spellStart"/>
      <w:r w:rsidRPr="00F2707E">
        <w:rPr>
          <w:rFonts w:eastAsia="Calibri"/>
          <w:lang w:val="en-US" w:eastAsia="en-US"/>
        </w:rPr>
        <w:t>Julcamanyan</w:t>
      </w:r>
      <w:proofErr w:type="spellEnd"/>
      <w:r w:rsidRPr="00F2707E">
        <w:rPr>
          <w:rFonts w:eastAsia="Calibri"/>
          <w:lang w:val="en-US" w:eastAsia="en-US"/>
        </w:rPr>
        <w:t xml:space="preserve"> TE. Seroprevalence infectious markers causing loss of donations in the blood bank service in HONADOMANI SB 2008-2013. </w:t>
      </w:r>
      <w:proofErr w:type="spellStart"/>
      <w:r w:rsidRPr="00F2707E">
        <w:rPr>
          <w:rFonts w:eastAsia="Calibri"/>
          <w:lang w:val="es-PE" w:eastAsia="en-US"/>
        </w:rPr>
        <w:t>Horiz</w:t>
      </w:r>
      <w:proofErr w:type="spellEnd"/>
      <w:r w:rsidRPr="00F2707E">
        <w:rPr>
          <w:rFonts w:eastAsia="Calibri"/>
          <w:lang w:val="es-PE" w:eastAsia="en-US"/>
        </w:rPr>
        <w:t xml:space="preserve"> </w:t>
      </w:r>
      <w:proofErr w:type="spellStart"/>
      <w:r w:rsidRPr="00F2707E">
        <w:rPr>
          <w:rFonts w:eastAsia="Calibri"/>
          <w:lang w:val="es-PE" w:eastAsia="en-US"/>
        </w:rPr>
        <w:t>Med</w:t>
      </w:r>
      <w:proofErr w:type="spellEnd"/>
      <w:r w:rsidRPr="00F2707E">
        <w:rPr>
          <w:rFonts w:eastAsia="Calibri"/>
          <w:lang w:val="es-PE" w:eastAsia="en-US"/>
        </w:rPr>
        <w:t>. 2014 [acceso: 24/12/2022]; 14 (4):6-14. Disponible en:</w:t>
      </w:r>
      <w:r w:rsidRPr="00F2707E">
        <w:rPr>
          <w:rFonts w:eastAsia="Calibri"/>
          <w:color w:val="0000FF"/>
          <w:lang w:val="es-PE" w:eastAsia="en-US"/>
        </w:rPr>
        <w:t xml:space="preserve">  </w:t>
      </w:r>
      <w:hyperlink r:id="rId20" w:history="1">
        <w:r w:rsidRPr="00F2707E">
          <w:rPr>
            <w:rFonts w:eastAsia="Calibri"/>
            <w:color w:val="0000FF"/>
            <w:lang w:val="es-PE" w:eastAsia="en-US"/>
          </w:rPr>
          <w:t>http://www.scielo.org.pe/pdf/hm/v14n4/a02v14n4.pdf</w:t>
        </w:r>
      </w:hyperlink>
      <w:r w:rsidRPr="00F2707E">
        <w:rPr>
          <w:rFonts w:eastAsia="Calibri"/>
          <w:color w:val="0000FF"/>
          <w:lang w:val="es-PE" w:eastAsia="en-US"/>
        </w:rPr>
        <w:t xml:space="preserve">  </w:t>
      </w:r>
    </w:p>
    <w:p w14:paraId="0460EBB7"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t>14. Programa Nacional de Hemoterapia y Bancos de Sangre. Sistema Nacional de Gestión de Calidad del PRONAHEBAS. Manual de Procedimientos. Lima: Ministerio de Salud; 2003. [acceso: 24/12/2022]. Disponible en:</w:t>
      </w:r>
      <w:r w:rsidRPr="00F2707E">
        <w:rPr>
          <w:rFonts w:eastAsia="Calibri"/>
          <w:color w:val="0000FF"/>
          <w:lang w:val="es-PE" w:eastAsia="en-US"/>
        </w:rPr>
        <w:t xml:space="preserve"> </w:t>
      </w:r>
      <w:hyperlink r:id="rId21" w:history="1">
        <w:r w:rsidRPr="00F2707E">
          <w:rPr>
            <w:rFonts w:eastAsia="Calibri"/>
            <w:color w:val="0000FF"/>
            <w:lang w:val="es-PE" w:eastAsia="en-US"/>
          </w:rPr>
          <w:t>http://bvs.minsa.gob.pe/local/MINSA/1129_DGSP0260-1.pdf</w:t>
        </w:r>
      </w:hyperlink>
      <w:r w:rsidRPr="00F2707E">
        <w:rPr>
          <w:rFonts w:eastAsia="Calibri"/>
          <w:color w:val="0000FF"/>
          <w:lang w:val="es-PE" w:eastAsia="en-US"/>
        </w:rPr>
        <w:t xml:space="preserve">  </w:t>
      </w:r>
    </w:p>
    <w:p w14:paraId="153F870D" w14:textId="77777777" w:rsidR="00F2707E" w:rsidRPr="00F2707E" w:rsidRDefault="00F2707E" w:rsidP="00F2707E">
      <w:pPr>
        <w:suppressAutoHyphens/>
        <w:spacing w:line="360" w:lineRule="auto"/>
        <w:rPr>
          <w:rFonts w:eastAsia="Calibri"/>
          <w:lang w:val="es-PE" w:eastAsia="en-US"/>
        </w:rPr>
      </w:pPr>
      <w:r w:rsidRPr="00F2707E">
        <w:rPr>
          <w:rFonts w:eastAsia="Calibri"/>
          <w:lang w:val="en-US" w:eastAsia="en-US"/>
        </w:rPr>
        <w:t xml:space="preserve">15. World Medical Association. World Medical Association Declaration of Helsinki: ethical principles for medical research involving human subjects. </w:t>
      </w:r>
      <w:r w:rsidRPr="00F2707E">
        <w:rPr>
          <w:rFonts w:eastAsia="Calibri"/>
          <w:lang w:val="es-PE" w:eastAsia="en-US"/>
        </w:rPr>
        <w:t xml:space="preserve">JAMA. 2013; 310(20): 2191-4. DOI: 10.1001/jama.2013.281053 </w:t>
      </w:r>
    </w:p>
    <w:p w14:paraId="412CC0B5"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t xml:space="preserve">16. </w:t>
      </w:r>
      <w:proofErr w:type="spellStart"/>
      <w:r w:rsidRPr="00F2707E">
        <w:rPr>
          <w:rFonts w:eastAsia="Calibri"/>
          <w:lang w:val="es-PE" w:eastAsia="en-US"/>
        </w:rPr>
        <w:t>Porurco</w:t>
      </w:r>
      <w:proofErr w:type="spellEnd"/>
      <w:r w:rsidRPr="00F2707E">
        <w:rPr>
          <w:rFonts w:eastAsia="Calibri"/>
          <w:lang w:val="es-PE" w:eastAsia="en-US"/>
        </w:rPr>
        <w:t xml:space="preserve"> CNM. Seroprevalencia de marcadores infecciosos en donantes atendidos en el Instituto Nacional De Salud Del Niño San Borja durante el período 2019-2020 [Tesis de especialidad]. Lima: Universidad de San Martin de Porres, Facultad de Medicina; 2021. [acceso: 15/01/2023]. Disponible en:</w:t>
      </w:r>
      <w:r w:rsidRPr="00F2707E">
        <w:rPr>
          <w:rFonts w:eastAsia="Calibri"/>
          <w:color w:val="0000FF"/>
          <w:lang w:val="es-PE" w:eastAsia="en-US"/>
        </w:rPr>
        <w:t xml:space="preserve"> </w:t>
      </w:r>
      <w:hyperlink r:id="rId22" w:history="1">
        <w:r w:rsidRPr="00F2707E">
          <w:rPr>
            <w:rFonts w:eastAsia="Calibri"/>
            <w:color w:val="0000FF"/>
            <w:lang w:val="es-PE" w:eastAsia="en-US"/>
          </w:rPr>
          <w:t>https://repositorio.usmp.edu.pe/bitstream/handle/20.500.12727/9940/urco_nmc.pdf?sequence=1&amp;isAllowed=y</w:t>
        </w:r>
      </w:hyperlink>
      <w:r w:rsidRPr="00F2707E">
        <w:rPr>
          <w:rFonts w:eastAsia="Calibri"/>
          <w:color w:val="0000FF"/>
          <w:lang w:val="es-PE" w:eastAsia="en-US"/>
        </w:rPr>
        <w:t xml:space="preserve">  </w:t>
      </w:r>
    </w:p>
    <w:p w14:paraId="6CE9C86D" w14:textId="77777777" w:rsidR="00F2707E" w:rsidRPr="00F2707E" w:rsidRDefault="00F2707E" w:rsidP="00F2707E">
      <w:pPr>
        <w:suppressAutoHyphens/>
        <w:spacing w:line="360" w:lineRule="auto"/>
        <w:rPr>
          <w:rFonts w:eastAsia="Calibri"/>
          <w:color w:val="0000FF"/>
          <w:lang w:val="en-US" w:eastAsia="en-US"/>
        </w:rPr>
      </w:pPr>
      <w:r w:rsidRPr="00F2707E">
        <w:rPr>
          <w:rFonts w:eastAsia="Calibri"/>
          <w:lang w:val="es-PE" w:eastAsia="en-US"/>
        </w:rPr>
        <w:t xml:space="preserve">17. Morales J, Fuentes-Rivera J, Delgado-Silva CA. Infección por virus T-linfotrópico humano en donantes de sangre en un hospital nacional de Lima. </w:t>
      </w:r>
      <w:r w:rsidRPr="00F2707E">
        <w:rPr>
          <w:rFonts w:eastAsia="Calibri"/>
          <w:lang w:val="en-US" w:eastAsia="en-US"/>
        </w:rPr>
        <w:t>Peruvian Journal of Health Care and Global Health. 2021 [</w:t>
      </w:r>
      <w:proofErr w:type="spellStart"/>
      <w:r w:rsidRPr="00F2707E">
        <w:rPr>
          <w:rFonts w:eastAsia="Calibri"/>
          <w:lang w:val="en-US" w:eastAsia="en-US"/>
        </w:rPr>
        <w:t>acceso</w:t>
      </w:r>
      <w:proofErr w:type="spellEnd"/>
      <w:r w:rsidRPr="00F2707E">
        <w:rPr>
          <w:rFonts w:eastAsia="Calibri"/>
          <w:lang w:val="en-US" w:eastAsia="en-US"/>
        </w:rPr>
        <w:t xml:space="preserve">: 24/12/2022]; 5(1):21-6. Disponible </w:t>
      </w:r>
      <w:proofErr w:type="spellStart"/>
      <w:r w:rsidRPr="00F2707E">
        <w:rPr>
          <w:rFonts w:eastAsia="Calibri"/>
          <w:lang w:val="en-US" w:eastAsia="en-US"/>
        </w:rPr>
        <w:t>en</w:t>
      </w:r>
      <w:proofErr w:type="spellEnd"/>
      <w:r w:rsidRPr="00F2707E">
        <w:rPr>
          <w:rFonts w:eastAsia="Calibri"/>
          <w:lang w:val="en-US" w:eastAsia="en-US"/>
        </w:rPr>
        <w:t>:</w:t>
      </w:r>
      <w:r w:rsidRPr="00F2707E">
        <w:rPr>
          <w:rFonts w:eastAsia="Calibri"/>
          <w:color w:val="0000FF"/>
          <w:lang w:val="en-US" w:eastAsia="en-US"/>
        </w:rPr>
        <w:t xml:space="preserve"> </w:t>
      </w:r>
      <w:hyperlink r:id="rId23" w:history="1">
        <w:r w:rsidRPr="00F2707E">
          <w:rPr>
            <w:rFonts w:eastAsia="Calibri"/>
            <w:color w:val="0000FF"/>
            <w:lang w:val="en-US" w:eastAsia="en-US"/>
          </w:rPr>
          <w:t>http://revista.uch.edu.pe/index.php/hgh/article/view/75</w:t>
        </w:r>
      </w:hyperlink>
      <w:r w:rsidRPr="00F2707E">
        <w:rPr>
          <w:rFonts w:eastAsia="Calibri"/>
          <w:color w:val="0000FF"/>
          <w:lang w:val="en-US" w:eastAsia="en-US"/>
        </w:rPr>
        <w:t xml:space="preserve"> </w:t>
      </w:r>
    </w:p>
    <w:p w14:paraId="5FBAF448" w14:textId="77777777" w:rsidR="00F2707E" w:rsidRPr="00F2707E" w:rsidRDefault="00F2707E" w:rsidP="00F2707E">
      <w:pPr>
        <w:suppressAutoHyphens/>
        <w:spacing w:line="360" w:lineRule="auto"/>
        <w:rPr>
          <w:rFonts w:eastAsia="Calibri"/>
          <w:lang w:val="es-PE" w:eastAsia="en-US"/>
        </w:rPr>
      </w:pPr>
      <w:r w:rsidRPr="00F2707E">
        <w:rPr>
          <w:rFonts w:eastAsia="Calibri"/>
          <w:lang w:val="es-PE" w:eastAsia="en-US"/>
        </w:rPr>
        <w:t xml:space="preserve">18. Escobar Amarilla MN, Montiel CR, Galeano IO. Serologías reactivas en donantes del Banco de Sangre del Hospital de Clínicas, Paraguay. </w:t>
      </w:r>
      <w:proofErr w:type="spellStart"/>
      <w:r w:rsidRPr="00F2707E">
        <w:rPr>
          <w:rFonts w:eastAsia="Calibri"/>
          <w:lang w:val="es-PE" w:eastAsia="en-US"/>
        </w:rPr>
        <w:t>Rev</w:t>
      </w:r>
      <w:proofErr w:type="spellEnd"/>
      <w:r w:rsidRPr="00F2707E">
        <w:rPr>
          <w:rFonts w:eastAsia="Calibri"/>
          <w:lang w:val="es-PE" w:eastAsia="en-US"/>
        </w:rPr>
        <w:t xml:space="preserve"> virtual </w:t>
      </w:r>
      <w:proofErr w:type="spellStart"/>
      <w:r w:rsidRPr="00F2707E">
        <w:rPr>
          <w:rFonts w:eastAsia="Calibri"/>
          <w:lang w:val="es-PE" w:eastAsia="en-US"/>
        </w:rPr>
        <w:t>Soc</w:t>
      </w:r>
      <w:proofErr w:type="spellEnd"/>
      <w:r w:rsidRPr="00F2707E">
        <w:rPr>
          <w:rFonts w:eastAsia="Calibri"/>
          <w:lang w:val="es-PE" w:eastAsia="en-US"/>
        </w:rPr>
        <w:t xml:space="preserve"> </w:t>
      </w:r>
      <w:proofErr w:type="spellStart"/>
      <w:r w:rsidRPr="00F2707E">
        <w:rPr>
          <w:rFonts w:eastAsia="Calibri"/>
          <w:lang w:val="es-PE" w:eastAsia="en-US"/>
        </w:rPr>
        <w:t>Parag</w:t>
      </w:r>
      <w:proofErr w:type="spellEnd"/>
      <w:r w:rsidRPr="00F2707E">
        <w:rPr>
          <w:rFonts w:eastAsia="Calibri"/>
          <w:lang w:val="es-PE" w:eastAsia="en-US"/>
        </w:rPr>
        <w:t xml:space="preserve"> </w:t>
      </w:r>
      <w:proofErr w:type="spellStart"/>
      <w:r w:rsidRPr="00F2707E">
        <w:rPr>
          <w:rFonts w:eastAsia="Calibri"/>
          <w:lang w:val="es-PE" w:eastAsia="en-US"/>
        </w:rPr>
        <w:t>Med</w:t>
      </w:r>
      <w:proofErr w:type="spellEnd"/>
      <w:r w:rsidRPr="00F2707E">
        <w:rPr>
          <w:rFonts w:eastAsia="Calibri"/>
          <w:lang w:val="es-PE" w:eastAsia="en-US"/>
        </w:rPr>
        <w:t xml:space="preserve"> </w:t>
      </w:r>
      <w:proofErr w:type="spellStart"/>
      <w:r w:rsidRPr="00F2707E">
        <w:rPr>
          <w:rFonts w:eastAsia="Calibri"/>
          <w:lang w:val="es-PE" w:eastAsia="en-US"/>
        </w:rPr>
        <w:t>Int</w:t>
      </w:r>
      <w:proofErr w:type="spellEnd"/>
      <w:r w:rsidRPr="00F2707E">
        <w:rPr>
          <w:rFonts w:eastAsia="Calibri"/>
          <w:lang w:val="es-PE" w:eastAsia="en-US"/>
        </w:rPr>
        <w:t>. 2021; 8(1): 85-93. DOI 10.18004/</w:t>
      </w:r>
      <w:proofErr w:type="spellStart"/>
      <w:r w:rsidRPr="00F2707E">
        <w:rPr>
          <w:rFonts w:eastAsia="Calibri"/>
          <w:lang w:val="es-PE" w:eastAsia="en-US"/>
        </w:rPr>
        <w:t>rvspmi</w:t>
      </w:r>
      <w:proofErr w:type="spellEnd"/>
      <w:r w:rsidRPr="00F2707E">
        <w:rPr>
          <w:rFonts w:eastAsia="Calibri"/>
          <w:lang w:val="es-PE" w:eastAsia="en-US"/>
        </w:rPr>
        <w:t>/2312-3893/2021.08.01.85</w:t>
      </w:r>
    </w:p>
    <w:p w14:paraId="223A6392"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lastRenderedPageBreak/>
        <w:t xml:space="preserve">19. Ramos Ríos MA, Hernández Díaz E, Miranda Gómez O, </w:t>
      </w:r>
      <w:proofErr w:type="spellStart"/>
      <w:r w:rsidRPr="00F2707E">
        <w:rPr>
          <w:rFonts w:eastAsia="Calibri"/>
          <w:lang w:val="es-PE" w:eastAsia="en-US"/>
        </w:rPr>
        <w:t>Prevot</w:t>
      </w:r>
      <w:proofErr w:type="spellEnd"/>
      <w:r w:rsidRPr="00F2707E">
        <w:rPr>
          <w:rFonts w:eastAsia="Calibri"/>
          <w:lang w:val="es-PE" w:eastAsia="en-US"/>
        </w:rPr>
        <w:t xml:space="preserve"> Cazón V, Bocourt Rodríguez A, </w:t>
      </w:r>
      <w:proofErr w:type="spellStart"/>
      <w:r w:rsidRPr="00F2707E">
        <w:rPr>
          <w:rFonts w:eastAsia="Calibri"/>
          <w:lang w:val="es-PE" w:eastAsia="en-US"/>
        </w:rPr>
        <w:t>Sorá</w:t>
      </w:r>
      <w:proofErr w:type="spellEnd"/>
      <w:r w:rsidRPr="00F2707E">
        <w:rPr>
          <w:rFonts w:eastAsia="Calibri"/>
          <w:lang w:val="es-PE" w:eastAsia="en-US"/>
        </w:rPr>
        <w:t xml:space="preserve"> Pérez D. Incidencia de marcadores serológicos en donantes de sangre. </w:t>
      </w:r>
      <w:proofErr w:type="spellStart"/>
      <w:r w:rsidRPr="00F2707E">
        <w:rPr>
          <w:rFonts w:eastAsia="Calibri"/>
          <w:lang w:val="es-PE" w:eastAsia="en-US"/>
        </w:rPr>
        <w:t>Rev</w:t>
      </w:r>
      <w:proofErr w:type="spellEnd"/>
      <w:r w:rsidRPr="00F2707E">
        <w:rPr>
          <w:rFonts w:eastAsia="Calibri"/>
          <w:lang w:val="es-PE" w:eastAsia="en-US"/>
        </w:rPr>
        <w:t xml:space="preserve"> </w:t>
      </w:r>
      <w:proofErr w:type="spellStart"/>
      <w:r w:rsidRPr="00F2707E">
        <w:rPr>
          <w:rFonts w:eastAsia="Calibri"/>
          <w:lang w:val="es-PE" w:eastAsia="en-US"/>
        </w:rPr>
        <w:t>Cub</w:t>
      </w:r>
      <w:proofErr w:type="spellEnd"/>
      <w:r w:rsidRPr="00F2707E">
        <w:rPr>
          <w:rFonts w:eastAsia="Calibri"/>
          <w:lang w:val="es-PE" w:eastAsia="en-US"/>
        </w:rPr>
        <w:t xml:space="preserve"> </w:t>
      </w:r>
      <w:proofErr w:type="spellStart"/>
      <w:r w:rsidRPr="00F2707E">
        <w:rPr>
          <w:rFonts w:eastAsia="Calibri"/>
          <w:lang w:val="es-PE" w:eastAsia="en-US"/>
        </w:rPr>
        <w:t>Med</w:t>
      </w:r>
      <w:proofErr w:type="spellEnd"/>
      <w:r w:rsidRPr="00F2707E">
        <w:rPr>
          <w:rFonts w:eastAsia="Calibri"/>
          <w:lang w:val="es-PE" w:eastAsia="en-US"/>
        </w:rPr>
        <w:t xml:space="preserve"> Mil. 2014 [acceso: 25/12/2022]; 43(4): 441-8. Disponible en:</w:t>
      </w:r>
      <w:r w:rsidRPr="00F2707E">
        <w:rPr>
          <w:rFonts w:eastAsia="Calibri"/>
          <w:color w:val="0000FF"/>
          <w:lang w:val="es-PE" w:eastAsia="en-US"/>
        </w:rPr>
        <w:t xml:space="preserve"> </w:t>
      </w:r>
      <w:hyperlink r:id="rId24" w:history="1">
        <w:r w:rsidRPr="00F2707E">
          <w:rPr>
            <w:rFonts w:eastAsia="Calibri"/>
            <w:color w:val="0000FF"/>
            <w:lang w:val="es-PE" w:eastAsia="en-US"/>
          </w:rPr>
          <w:t>http://scielo.sld.cu/scielo.php?script=sci_arttext&amp;pid=S0138-65572014000400004&amp;lng=es</w:t>
        </w:r>
      </w:hyperlink>
      <w:r w:rsidRPr="00F2707E">
        <w:rPr>
          <w:rFonts w:eastAsia="Calibri"/>
          <w:color w:val="0000FF"/>
          <w:lang w:val="es-PE" w:eastAsia="en-US"/>
        </w:rPr>
        <w:t xml:space="preserve"> </w:t>
      </w:r>
    </w:p>
    <w:p w14:paraId="350AA3B8"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t xml:space="preserve">20. </w:t>
      </w:r>
      <w:proofErr w:type="spellStart"/>
      <w:r w:rsidRPr="00F2707E">
        <w:rPr>
          <w:rFonts w:eastAsia="Calibri"/>
          <w:lang w:val="es-PE" w:eastAsia="en-US"/>
        </w:rPr>
        <w:t>Llactahuaman</w:t>
      </w:r>
      <w:proofErr w:type="spellEnd"/>
      <w:r w:rsidRPr="00F2707E">
        <w:rPr>
          <w:rFonts w:eastAsia="Calibri"/>
          <w:lang w:val="es-PE" w:eastAsia="en-US"/>
        </w:rPr>
        <w:t xml:space="preserve"> SCY, Rojas CL. Marcadores infecciosos transmisibles y su relación con variables demográficas en donantes – Hospital Nacional Hipólito Unanue [Tesis de licenciatura]. Lima: Universidad Nacional Federico Villareal, Facultad de Tecnología Médica; 2018. [acceso: 25/12/2022]. Disponible en:</w:t>
      </w:r>
      <w:r w:rsidRPr="00F2707E">
        <w:rPr>
          <w:rFonts w:eastAsia="Calibri"/>
          <w:color w:val="0000FF"/>
          <w:lang w:val="es-PE" w:eastAsia="en-US"/>
        </w:rPr>
        <w:t xml:space="preserve"> </w:t>
      </w:r>
      <w:hyperlink r:id="rId25" w:history="1">
        <w:r w:rsidRPr="00F2707E">
          <w:rPr>
            <w:rFonts w:eastAsia="Calibri"/>
            <w:color w:val="0000FF"/>
            <w:lang w:val="es-PE" w:eastAsia="en-US"/>
          </w:rPr>
          <w:t>https://repositorio.unfv.edu.pe/handle/20.500.13084/2527</w:t>
        </w:r>
      </w:hyperlink>
      <w:r w:rsidRPr="00F2707E">
        <w:rPr>
          <w:rFonts w:eastAsia="Calibri"/>
          <w:color w:val="0000FF"/>
          <w:lang w:val="es-PE" w:eastAsia="en-US"/>
        </w:rPr>
        <w:t xml:space="preserve">   </w:t>
      </w:r>
    </w:p>
    <w:p w14:paraId="74378EDA" w14:textId="77777777" w:rsidR="00F2707E" w:rsidRPr="00F2707E" w:rsidRDefault="00F2707E" w:rsidP="00F2707E">
      <w:pPr>
        <w:suppressAutoHyphens/>
        <w:spacing w:line="360" w:lineRule="auto"/>
        <w:rPr>
          <w:rFonts w:eastAsia="Calibri"/>
          <w:color w:val="0000FF"/>
          <w:lang w:val="es-PE" w:eastAsia="en-US"/>
        </w:rPr>
      </w:pPr>
      <w:r w:rsidRPr="00F2707E">
        <w:rPr>
          <w:rFonts w:eastAsia="Calibri"/>
          <w:lang w:val="es-PE" w:eastAsia="en-US"/>
        </w:rPr>
        <w:t xml:space="preserve">21. Medina-Alfonso MI, Forero-Pulido SM, Suescún-Carrero SH. Prevalencia de marcadores serológicos en donantes de sangre de Boyacá, Colombia, 2014-2015. </w:t>
      </w:r>
      <w:proofErr w:type="spellStart"/>
      <w:r w:rsidRPr="00F2707E">
        <w:rPr>
          <w:rFonts w:eastAsia="Calibri"/>
          <w:lang w:val="es-PE" w:eastAsia="en-US"/>
        </w:rPr>
        <w:t>Rev</w:t>
      </w:r>
      <w:proofErr w:type="spellEnd"/>
      <w:r w:rsidRPr="00F2707E">
        <w:rPr>
          <w:rFonts w:eastAsia="Calibri"/>
          <w:lang w:val="es-PE" w:eastAsia="en-US"/>
        </w:rPr>
        <w:t xml:space="preserve"> </w:t>
      </w:r>
      <w:proofErr w:type="spellStart"/>
      <w:r w:rsidRPr="00F2707E">
        <w:rPr>
          <w:rFonts w:eastAsia="Calibri"/>
          <w:lang w:val="es-PE" w:eastAsia="en-US"/>
        </w:rPr>
        <w:t>Cub</w:t>
      </w:r>
      <w:proofErr w:type="spellEnd"/>
      <w:r w:rsidRPr="00F2707E">
        <w:rPr>
          <w:rFonts w:eastAsia="Calibri"/>
          <w:lang w:val="es-PE" w:eastAsia="en-US"/>
        </w:rPr>
        <w:t xml:space="preserve"> Salud Pública. 2020 [acceso: 25/12/2022]; 46(1): e1415. Disponible en:</w:t>
      </w:r>
      <w:r w:rsidRPr="00F2707E">
        <w:rPr>
          <w:rFonts w:eastAsia="Calibri"/>
          <w:color w:val="0000FF"/>
          <w:lang w:val="es-PE" w:eastAsia="en-US"/>
        </w:rPr>
        <w:t xml:space="preserve"> </w:t>
      </w:r>
      <w:hyperlink r:id="rId26" w:history="1">
        <w:r w:rsidRPr="00F2707E">
          <w:rPr>
            <w:rFonts w:eastAsia="Calibri"/>
            <w:color w:val="0000FF"/>
            <w:lang w:val="es-PE" w:eastAsia="en-US"/>
          </w:rPr>
          <w:t>https://www.scielosp.org/article/rcsp/2020.v46n1/e1415/#</w:t>
        </w:r>
      </w:hyperlink>
      <w:r w:rsidRPr="00F2707E">
        <w:rPr>
          <w:rFonts w:eastAsia="Calibri"/>
          <w:color w:val="0000FF"/>
          <w:lang w:val="es-PE" w:eastAsia="en-US"/>
        </w:rPr>
        <w:t xml:space="preserve">  </w:t>
      </w:r>
    </w:p>
    <w:p w14:paraId="12702634" w14:textId="77777777" w:rsidR="00F2707E" w:rsidRPr="00F2707E" w:rsidRDefault="00F2707E" w:rsidP="00F2707E">
      <w:pPr>
        <w:suppressAutoHyphens/>
        <w:spacing w:line="360" w:lineRule="auto"/>
        <w:rPr>
          <w:rFonts w:eastAsia="Calibri"/>
          <w:color w:val="0000FF"/>
          <w:lang w:val="es-PE" w:eastAsia="en-US"/>
        </w:rPr>
      </w:pPr>
      <w:r w:rsidRPr="00BF7252">
        <w:rPr>
          <w:rFonts w:eastAsia="Calibri"/>
          <w:lang w:val="es-PE" w:eastAsia="en-US"/>
        </w:rPr>
        <w:t xml:space="preserve">22. Zapata ISA. Prevalencia de </w:t>
      </w:r>
      <w:proofErr w:type="spellStart"/>
      <w:r w:rsidRPr="00BF7252">
        <w:rPr>
          <w:rFonts w:eastAsia="Calibri"/>
          <w:lang w:val="es-PE" w:eastAsia="en-US"/>
        </w:rPr>
        <w:t>serologia</w:t>
      </w:r>
      <w:proofErr w:type="spellEnd"/>
      <w:r w:rsidRPr="00BF7252">
        <w:rPr>
          <w:rFonts w:eastAsia="Calibri"/>
          <w:lang w:val="es-PE" w:eastAsia="en-US"/>
        </w:rPr>
        <w:t xml:space="preserve"> reactiva a HIV, VHB, VHC, Chagas y </w:t>
      </w:r>
      <w:proofErr w:type="spellStart"/>
      <w:r w:rsidRPr="00BF7252">
        <w:rPr>
          <w:rFonts w:eastAsia="Calibri"/>
          <w:lang w:val="es-PE" w:eastAsia="en-US"/>
        </w:rPr>
        <w:t>Sifilis</w:t>
      </w:r>
      <w:proofErr w:type="spellEnd"/>
      <w:r w:rsidRPr="00BF7252">
        <w:rPr>
          <w:rFonts w:eastAsia="Calibri"/>
          <w:lang w:val="es-PE" w:eastAsia="en-US"/>
        </w:rPr>
        <w:t xml:space="preserve"> en donantes del Banco de Sangre de Referencia Cochabamba entre los años 2017 – 2021 [Tesis de licenciatura] Cochabamba: Universidad Mayor de San Simón, Escuela de Postgrado; 2022. [acceso: 15/01/2023]. Disponible en: </w:t>
      </w:r>
      <w:hyperlink r:id="rId27" w:history="1">
        <w:r w:rsidRPr="00F2707E">
          <w:rPr>
            <w:rFonts w:eastAsia="Calibri"/>
            <w:color w:val="0000FF"/>
            <w:lang w:val="es-PE" w:eastAsia="en-US"/>
          </w:rPr>
          <w:t>http://ddigital.umss.edu.bo:8080/jspui/handle/123456789/30169</w:t>
        </w:r>
      </w:hyperlink>
      <w:r w:rsidRPr="00F2707E">
        <w:rPr>
          <w:rFonts w:eastAsia="Calibri"/>
          <w:color w:val="0000FF"/>
          <w:lang w:val="es-PE" w:eastAsia="en-US"/>
        </w:rPr>
        <w:t xml:space="preserve">  </w:t>
      </w:r>
    </w:p>
    <w:p w14:paraId="737646AB" w14:textId="77777777" w:rsidR="00F2707E" w:rsidRPr="00F2707E" w:rsidRDefault="00F2707E" w:rsidP="00F2707E">
      <w:pPr>
        <w:suppressAutoHyphens/>
        <w:spacing w:line="360" w:lineRule="auto"/>
        <w:rPr>
          <w:rFonts w:eastAsia="Calibri"/>
          <w:color w:val="0000FF"/>
          <w:lang w:val="es-PE" w:eastAsia="en-US"/>
        </w:rPr>
      </w:pPr>
      <w:r w:rsidRPr="00BF7252">
        <w:rPr>
          <w:rFonts w:eastAsia="Calibri"/>
          <w:lang w:val="es-PE" w:eastAsia="en-US"/>
        </w:rPr>
        <w:t xml:space="preserve">23. Villela VEC, Ontiveros VCI. Prevalencia de marcadores infecciosos en disponentes de sangre del IMSS "Hospital General De Zona No. 3" de Navojoa, Sonora durante el ciclo 2020-2013 [Tesis de licenciatura]. </w:t>
      </w:r>
      <w:proofErr w:type="spellStart"/>
      <w:r w:rsidRPr="00BF7252">
        <w:rPr>
          <w:rFonts w:eastAsia="Calibri"/>
          <w:lang w:val="es-PE" w:eastAsia="en-US"/>
        </w:rPr>
        <w:t>Novoja</w:t>
      </w:r>
      <w:proofErr w:type="spellEnd"/>
      <w:r w:rsidRPr="00BF7252">
        <w:rPr>
          <w:rFonts w:eastAsia="Calibri"/>
          <w:lang w:val="es-PE" w:eastAsia="en-US"/>
        </w:rPr>
        <w:t xml:space="preserve">: Universidad de Sonora, Departamento de Ciencias Químico Biológicas y Agropecuarias; 2017. [acceso: 25/12/2022]. Disponible en: </w:t>
      </w:r>
      <w:hyperlink r:id="rId28" w:history="1">
        <w:r w:rsidRPr="00F2707E">
          <w:rPr>
            <w:rFonts w:eastAsia="Calibri"/>
            <w:color w:val="0000FF"/>
            <w:lang w:val="es-PE" w:eastAsia="en-US"/>
          </w:rPr>
          <w:t>http://www.repositorioinstitucional.uson.mx/handle/20.500.12984/2008</w:t>
        </w:r>
      </w:hyperlink>
      <w:r w:rsidRPr="00F2707E">
        <w:rPr>
          <w:rFonts w:eastAsia="Calibri"/>
          <w:color w:val="0000FF"/>
          <w:lang w:val="es-PE" w:eastAsia="en-US"/>
        </w:rPr>
        <w:t xml:space="preserve">  </w:t>
      </w:r>
    </w:p>
    <w:p w14:paraId="1B820DA7" w14:textId="77777777" w:rsidR="00F2707E" w:rsidRPr="00D06881" w:rsidRDefault="00F2707E" w:rsidP="00F2707E">
      <w:pPr>
        <w:suppressAutoHyphens/>
        <w:spacing w:line="360" w:lineRule="auto"/>
        <w:rPr>
          <w:rFonts w:eastAsia="Calibri"/>
          <w:lang w:val="en-US" w:eastAsia="en-US"/>
        </w:rPr>
      </w:pPr>
      <w:r w:rsidRPr="00BF7252">
        <w:rPr>
          <w:rFonts w:eastAsia="Calibri"/>
          <w:lang w:val="es-PE" w:eastAsia="en-US"/>
        </w:rPr>
        <w:t xml:space="preserve">24. Gay L, </w:t>
      </w:r>
      <w:proofErr w:type="spellStart"/>
      <w:r w:rsidRPr="00BF7252">
        <w:rPr>
          <w:rFonts w:eastAsia="Calibri"/>
          <w:lang w:val="es-PE" w:eastAsia="en-US"/>
        </w:rPr>
        <w:t>Melenotte</w:t>
      </w:r>
      <w:proofErr w:type="spellEnd"/>
      <w:r w:rsidRPr="00BF7252">
        <w:rPr>
          <w:rFonts w:eastAsia="Calibri"/>
          <w:lang w:val="es-PE" w:eastAsia="en-US"/>
        </w:rPr>
        <w:t xml:space="preserve"> C, </w:t>
      </w:r>
      <w:proofErr w:type="spellStart"/>
      <w:r w:rsidRPr="00BF7252">
        <w:rPr>
          <w:rFonts w:eastAsia="Calibri"/>
          <w:lang w:val="es-PE" w:eastAsia="en-US"/>
        </w:rPr>
        <w:t>Lakbar</w:t>
      </w:r>
      <w:proofErr w:type="spellEnd"/>
      <w:r w:rsidRPr="00BF7252">
        <w:rPr>
          <w:rFonts w:eastAsia="Calibri"/>
          <w:lang w:val="es-PE" w:eastAsia="en-US"/>
        </w:rPr>
        <w:t xml:space="preserve"> I, </w:t>
      </w:r>
      <w:proofErr w:type="spellStart"/>
      <w:r w:rsidRPr="00BF7252">
        <w:rPr>
          <w:rFonts w:eastAsia="Calibri"/>
          <w:lang w:val="es-PE" w:eastAsia="en-US"/>
        </w:rPr>
        <w:t>Mezouar</w:t>
      </w:r>
      <w:proofErr w:type="spellEnd"/>
      <w:r w:rsidRPr="00BF7252">
        <w:rPr>
          <w:rFonts w:eastAsia="Calibri"/>
          <w:lang w:val="es-PE" w:eastAsia="en-US"/>
        </w:rPr>
        <w:t xml:space="preserve"> S, </w:t>
      </w:r>
      <w:proofErr w:type="spellStart"/>
      <w:r w:rsidRPr="00BF7252">
        <w:rPr>
          <w:rFonts w:eastAsia="Calibri"/>
          <w:lang w:val="es-PE" w:eastAsia="en-US"/>
        </w:rPr>
        <w:t>Devaux</w:t>
      </w:r>
      <w:proofErr w:type="spellEnd"/>
      <w:r w:rsidRPr="00BF7252">
        <w:rPr>
          <w:rFonts w:eastAsia="Calibri"/>
          <w:lang w:val="es-PE" w:eastAsia="en-US"/>
        </w:rPr>
        <w:t xml:space="preserve"> C, Raoult D, et al. </w:t>
      </w:r>
      <w:r w:rsidRPr="00BF7252">
        <w:rPr>
          <w:rFonts w:eastAsia="Calibri"/>
          <w:lang w:val="en-US" w:eastAsia="en-US"/>
        </w:rPr>
        <w:t xml:space="preserve">Sexual Dimorphism and Gender in Infectious Diseases. </w:t>
      </w:r>
      <w:r w:rsidRPr="00D06881">
        <w:rPr>
          <w:rFonts w:eastAsia="Calibri"/>
          <w:lang w:val="en-US" w:eastAsia="en-US"/>
        </w:rPr>
        <w:t>Front. Immunol. 2021; 12: 698121. DOI: 10.3389/fimmu.2021.698121</w:t>
      </w:r>
    </w:p>
    <w:p w14:paraId="67527923" w14:textId="77777777" w:rsidR="00F2707E" w:rsidRPr="00F2707E" w:rsidRDefault="00F2707E" w:rsidP="00F2707E">
      <w:pPr>
        <w:suppressAutoHyphens/>
        <w:spacing w:line="360" w:lineRule="auto"/>
        <w:rPr>
          <w:rFonts w:eastAsia="Calibri"/>
          <w:color w:val="0000FF"/>
          <w:lang w:val="es-PE" w:eastAsia="en-US"/>
        </w:rPr>
      </w:pPr>
      <w:r w:rsidRPr="00BF7252">
        <w:rPr>
          <w:rFonts w:eastAsia="Calibri"/>
          <w:lang w:val="es-PE" w:eastAsia="en-US"/>
        </w:rPr>
        <w:t xml:space="preserve">25. </w:t>
      </w:r>
      <w:proofErr w:type="spellStart"/>
      <w:r w:rsidRPr="00BF7252">
        <w:rPr>
          <w:rFonts w:eastAsia="Calibri"/>
          <w:lang w:val="es-PE" w:eastAsia="en-US"/>
        </w:rPr>
        <w:t>Quichca</w:t>
      </w:r>
      <w:proofErr w:type="spellEnd"/>
      <w:r w:rsidRPr="00BF7252">
        <w:rPr>
          <w:rFonts w:eastAsia="Calibri"/>
          <w:lang w:val="es-PE" w:eastAsia="en-US"/>
        </w:rPr>
        <w:t xml:space="preserve"> HL. Prevalencia de marcadores serológicos en donantes de sangre del Hospital Sergio E. Bernales - Collique en el periodo 2010-2015 [Tesis de licenciatura]. Lima: Universidad Alas Peruanas, Facultad de Medicina Humana y Ciencias de la Salud; 2016. [acceso: 25/12/2022]. Disponible en: </w:t>
      </w:r>
      <w:hyperlink r:id="rId29" w:history="1">
        <w:r w:rsidRPr="00F2707E">
          <w:rPr>
            <w:rFonts w:eastAsia="Calibri"/>
            <w:color w:val="0000FF"/>
            <w:lang w:val="es-PE" w:eastAsia="en-US"/>
          </w:rPr>
          <w:t>https://renati.sunedu.gob.pe/handle/sunedu/3060890</w:t>
        </w:r>
      </w:hyperlink>
      <w:r w:rsidRPr="00F2707E">
        <w:rPr>
          <w:rFonts w:eastAsia="Calibri"/>
          <w:color w:val="0000FF"/>
          <w:lang w:val="es-PE" w:eastAsia="en-US"/>
        </w:rPr>
        <w:t xml:space="preserve">  </w:t>
      </w:r>
    </w:p>
    <w:p w14:paraId="61FE19C4" w14:textId="77777777" w:rsidR="00F2707E" w:rsidRPr="00F2707E" w:rsidRDefault="00F2707E" w:rsidP="00F2707E">
      <w:pPr>
        <w:suppressAutoHyphens/>
        <w:spacing w:line="360" w:lineRule="auto"/>
        <w:rPr>
          <w:rFonts w:eastAsia="Calibri"/>
          <w:color w:val="0000FF"/>
          <w:lang w:val="es-PE" w:eastAsia="en-US"/>
        </w:rPr>
      </w:pPr>
      <w:r w:rsidRPr="00BF7252">
        <w:rPr>
          <w:rFonts w:eastAsia="Calibri"/>
          <w:lang w:val="es-PE" w:eastAsia="en-US"/>
        </w:rPr>
        <w:lastRenderedPageBreak/>
        <w:t xml:space="preserve">26. Gutiérrez R. Vázquez L. Identificación de factores de riesgo en donadores de sangre como estrategia para aumentar la calidad en la obtención y la seguridad en la transfusión sanguínea, así como la seguridad del donador” – México - </w:t>
      </w:r>
      <w:proofErr w:type="spellStart"/>
      <w:r w:rsidRPr="00BF7252">
        <w:rPr>
          <w:rFonts w:eastAsia="Calibri"/>
          <w:lang w:val="es-PE" w:eastAsia="en-US"/>
        </w:rPr>
        <w:t>Rev</w:t>
      </w:r>
      <w:proofErr w:type="spellEnd"/>
      <w:r w:rsidRPr="00BF7252">
        <w:rPr>
          <w:rFonts w:eastAsia="Calibri"/>
          <w:lang w:val="es-PE" w:eastAsia="en-US"/>
        </w:rPr>
        <w:t xml:space="preserve"> </w:t>
      </w:r>
      <w:proofErr w:type="spellStart"/>
      <w:r w:rsidRPr="00BF7252">
        <w:rPr>
          <w:rFonts w:eastAsia="Calibri"/>
          <w:lang w:val="es-PE" w:eastAsia="en-US"/>
        </w:rPr>
        <w:t>Latinoam</w:t>
      </w:r>
      <w:proofErr w:type="spellEnd"/>
      <w:r w:rsidRPr="00BF7252">
        <w:rPr>
          <w:rFonts w:eastAsia="Calibri"/>
          <w:lang w:val="es-PE" w:eastAsia="en-US"/>
        </w:rPr>
        <w:t xml:space="preserve"> Patol Clin </w:t>
      </w:r>
      <w:proofErr w:type="spellStart"/>
      <w:r w:rsidRPr="00BF7252">
        <w:rPr>
          <w:rFonts w:eastAsia="Calibri"/>
          <w:lang w:val="es-PE" w:eastAsia="en-US"/>
        </w:rPr>
        <w:t>Med</w:t>
      </w:r>
      <w:proofErr w:type="spellEnd"/>
      <w:r w:rsidRPr="00BF7252">
        <w:rPr>
          <w:rFonts w:eastAsia="Calibri"/>
          <w:lang w:val="es-PE" w:eastAsia="en-US"/>
        </w:rPr>
        <w:t xml:space="preserve"> </w:t>
      </w:r>
      <w:proofErr w:type="spellStart"/>
      <w:r w:rsidRPr="00BF7252">
        <w:rPr>
          <w:rFonts w:eastAsia="Calibri"/>
          <w:lang w:val="es-PE" w:eastAsia="en-US"/>
        </w:rPr>
        <w:t>Lab</w:t>
      </w:r>
      <w:proofErr w:type="spellEnd"/>
      <w:r w:rsidRPr="00BF7252">
        <w:rPr>
          <w:rFonts w:eastAsia="Calibri"/>
          <w:lang w:val="es-PE" w:eastAsia="en-US"/>
        </w:rPr>
        <w:t xml:space="preserve">. 2015 [acceso: 25/12/2022]; 62(3):183-6. Disponible en: </w:t>
      </w:r>
      <w:hyperlink r:id="rId30" w:history="1">
        <w:r w:rsidRPr="00F2707E">
          <w:rPr>
            <w:rFonts w:eastAsia="Calibri"/>
            <w:color w:val="0000FF"/>
            <w:lang w:val="es-PE" w:eastAsia="en-US"/>
          </w:rPr>
          <w:t>http://www.medigraphic.com/pdfs/patol/pt- 2015/pt153g.pdf</w:t>
        </w:r>
      </w:hyperlink>
      <w:r w:rsidRPr="00F2707E">
        <w:rPr>
          <w:rFonts w:eastAsia="Calibri"/>
          <w:color w:val="0000FF"/>
          <w:lang w:val="es-PE" w:eastAsia="en-US"/>
        </w:rPr>
        <w:t xml:space="preserve">  </w:t>
      </w:r>
    </w:p>
    <w:p w14:paraId="6C2F5D2D" w14:textId="77777777" w:rsidR="00F2707E" w:rsidRPr="00BF7252" w:rsidRDefault="00F2707E" w:rsidP="00F2707E">
      <w:pPr>
        <w:suppressAutoHyphens/>
        <w:spacing w:line="360" w:lineRule="auto"/>
        <w:rPr>
          <w:rFonts w:eastAsia="Calibri"/>
          <w:lang w:val="es-PE" w:eastAsia="en-US"/>
        </w:rPr>
      </w:pPr>
      <w:r w:rsidRPr="00BF7252">
        <w:rPr>
          <w:rFonts w:eastAsia="Calibri"/>
          <w:lang w:val="es-PE" w:eastAsia="en-US"/>
        </w:rPr>
        <w:t xml:space="preserve">27. </w:t>
      </w:r>
      <w:proofErr w:type="spellStart"/>
      <w:r w:rsidRPr="00BF7252">
        <w:rPr>
          <w:rFonts w:eastAsia="Calibri"/>
          <w:lang w:val="es-PE" w:eastAsia="en-US"/>
        </w:rPr>
        <w:t>Chaquila</w:t>
      </w:r>
      <w:proofErr w:type="spellEnd"/>
      <w:r w:rsidRPr="00BF7252">
        <w:rPr>
          <w:rFonts w:eastAsia="Calibri"/>
          <w:lang w:val="es-PE" w:eastAsia="en-US"/>
        </w:rPr>
        <w:t xml:space="preserve"> J. </w:t>
      </w:r>
      <w:proofErr w:type="spellStart"/>
      <w:r w:rsidRPr="00BF7252">
        <w:rPr>
          <w:rFonts w:eastAsia="Calibri"/>
          <w:lang w:val="es-PE" w:eastAsia="en-US"/>
        </w:rPr>
        <w:t>Seroreactividad</w:t>
      </w:r>
      <w:proofErr w:type="spellEnd"/>
      <w:r w:rsidRPr="00BF7252">
        <w:rPr>
          <w:rFonts w:eastAsia="Calibri"/>
          <w:lang w:val="es-PE" w:eastAsia="en-US"/>
        </w:rPr>
        <w:t xml:space="preserve"> en donantes del servicio de hemoterapia y banco de sangre del hospital Almanzor Aguinaga Asenjo-EsSalud Chiclayo [Tesis de licenciatura]. Jaén: Universidad Nacional de Jaén; 2018. [acceso: 25/12/2022]. Disponible en: </w:t>
      </w:r>
      <w:hyperlink r:id="rId31" w:history="1">
        <w:r w:rsidRPr="00BF7252">
          <w:rPr>
            <w:rFonts w:eastAsia="Calibri"/>
            <w:lang w:val="es-PE" w:eastAsia="en-US"/>
          </w:rPr>
          <w:t>https://repositorio.unj.edu.pe/handle/UNJ/292</w:t>
        </w:r>
      </w:hyperlink>
      <w:r w:rsidRPr="00BF7252">
        <w:rPr>
          <w:rFonts w:eastAsia="Calibri"/>
          <w:lang w:val="es-PE" w:eastAsia="en-US"/>
        </w:rPr>
        <w:t xml:space="preserve">  </w:t>
      </w:r>
    </w:p>
    <w:p w14:paraId="7016738B" w14:textId="77777777" w:rsidR="00F2707E" w:rsidRPr="00F2707E" w:rsidRDefault="00F2707E" w:rsidP="00F2707E">
      <w:pPr>
        <w:suppressAutoHyphens/>
        <w:spacing w:line="360" w:lineRule="auto"/>
        <w:rPr>
          <w:rFonts w:eastAsia="Calibri"/>
          <w:color w:val="0000FF"/>
          <w:lang w:val="es-PE" w:eastAsia="en-US"/>
        </w:rPr>
      </w:pPr>
      <w:r w:rsidRPr="00BF7252">
        <w:rPr>
          <w:rFonts w:eastAsia="Calibri"/>
          <w:lang w:val="es-PE" w:eastAsia="en-US"/>
        </w:rPr>
        <w:t xml:space="preserve">28. Concepción M, Concepción L, Marchena M, Estrada L. Frecuencia de marcadores serológicos de infecciones transmisibles por transfusión sanguínea en donantes voluntarios en un hospital de Trujillo, Perú. Rev. Cuerpo </w:t>
      </w:r>
      <w:proofErr w:type="spellStart"/>
      <w:r w:rsidRPr="00BF7252">
        <w:rPr>
          <w:rFonts w:eastAsia="Calibri"/>
          <w:lang w:val="es-PE" w:eastAsia="en-US"/>
        </w:rPr>
        <w:t>Med</w:t>
      </w:r>
      <w:proofErr w:type="spellEnd"/>
      <w:r w:rsidRPr="00BF7252">
        <w:rPr>
          <w:rFonts w:eastAsia="Calibri"/>
          <w:lang w:val="es-PE" w:eastAsia="en-US"/>
        </w:rPr>
        <w:t xml:space="preserve">. HNAAA. 2014 [acceso: 25/12/2022]; 7(3): 18-22. Disponible en: </w:t>
      </w:r>
      <w:hyperlink r:id="rId32" w:history="1">
        <w:r w:rsidRPr="00F2707E">
          <w:rPr>
            <w:rFonts w:eastAsia="Calibri"/>
            <w:color w:val="0000FF"/>
            <w:lang w:val="es-PE" w:eastAsia="en-US"/>
          </w:rPr>
          <w:t>https://www.imbiomed.com.mx/articulo.php?id=103389</w:t>
        </w:r>
      </w:hyperlink>
      <w:r w:rsidRPr="00F2707E">
        <w:rPr>
          <w:rFonts w:eastAsia="Calibri"/>
          <w:color w:val="0000FF"/>
          <w:lang w:val="es-PE" w:eastAsia="en-US"/>
        </w:rPr>
        <w:t xml:space="preserve">  </w:t>
      </w:r>
    </w:p>
    <w:p w14:paraId="285B806D" w14:textId="77777777" w:rsidR="00F2707E" w:rsidRPr="00F2707E" w:rsidRDefault="00F2707E" w:rsidP="00F2707E">
      <w:pPr>
        <w:suppressAutoHyphens/>
        <w:spacing w:line="360" w:lineRule="auto"/>
        <w:rPr>
          <w:rFonts w:eastAsia="Calibri"/>
          <w:color w:val="0000FF"/>
          <w:lang w:val="es-PE" w:eastAsia="en-US"/>
        </w:rPr>
      </w:pPr>
      <w:r w:rsidRPr="00BF7252">
        <w:rPr>
          <w:rFonts w:eastAsia="Calibri"/>
          <w:lang w:val="es-PE" w:eastAsia="en-US"/>
        </w:rPr>
        <w:t xml:space="preserve">29. Ríos M. Seroprevalencia de marcadores infecciosos en donantes del Banco de sangre del hospital Regional de Loreto, 2008-2016 [Tesis de licenciatura]. Iquitos: Universidad Nacional Autónoma de la Amazonia, Facultad de Medicina Humana; 2017. [acceso: 25/12/2022]. Disponible en: </w:t>
      </w:r>
      <w:hyperlink r:id="rId33" w:history="1">
        <w:r w:rsidRPr="00F2707E">
          <w:rPr>
            <w:rFonts w:eastAsia="Calibri"/>
            <w:color w:val="0000FF"/>
            <w:lang w:val="es-PE" w:eastAsia="en-US"/>
          </w:rPr>
          <w:t>https://repositorio.unapiquitos.edu.pe/handle/20.500.12737/4435</w:t>
        </w:r>
      </w:hyperlink>
      <w:r w:rsidRPr="00F2707E">
        <w:rPr>
          <w:rFonts w:eastAsia="Calibri"/>
          <w:color w:val="0000FF"/>
          <w:lang w:val="es-PE" w:eastAsia="en-US"/>
        </w:rPr>
        <w:t xml:space="preserve">  </w:t>
      </w:r>
    </w:p>
    <w:p w14:paraId="595AA2D9" w14:textId="77777777" w:rsidR="00F2707E" w:rsidRPr="00F2707E" w:rsidRDefault="00F2707E" w:rsidP="00F2707E">
      <w:pPr>
        <w:suppressAutoHyphens/>
        <w:spacing w:line="360" w:lineRule="auto"/>
        <w:rPr>
          <w:rFonts w:eastAsia="Calibri"/>
          <w:lang w:val="es-PE" w:eastAsia="en-US"/>
        </w:rPr>
      </w:pPr>
      <w:r w:rsidRPr="00BF7252">
        <w:rPr>
          <w:rFonts w:eastAsia="Calibri"/>
          <w:lang w:val="es-PE" w:eastAsia="en-US"/>
        </w:rPr>
        <w:t xml:space="preserve">30. Diaz M. Enfermedades infectocontagiosas en postulantes a donantes de sangre Hospital Nacional Daniel Alcides Carrión 2014-2015 [Tesis de licenciatura]. Lima: Universidad Nacional Federico Villareal, Facultad de Medicina; 2018. [acceso: 25/12/2022]. Disponible en: </w:t>
      </w:r>
      <w:hyperlink r:id="rId34" w:history="1">
        <w:r w:rsidRPr="00F2707E">
          <w:rPr>
            <w:rFonts w:eastAsia="Calibri"/>
            <w:color w:val="0000FF"/>
            <w:lang w:val="es-PE" w:eastAsia="en-US"/>
          </w:rPr>
          <w:t>https://alicia.concytec.gob.pe/vufind/Record/RUNF_be72c7df24f8c04b50137af5f9055b5e</w:t>
        </w:r>
      </w:hyperlink>
      <w:r w:rsidRPr="00F2707E">
        <w:rPr>
          <w:rFonts w:eastAsia="Calibri"/>
          <w:color w:val="0000FF"/>
          <w:lang w:val="es-PE" w:eastAsia="en-US"/>
        </w:rPr>
        <w:t xml:space="preserve"> </w:t>
      </w:r>
      <w:r w:rsidRPr="00F2707E">
        <w:rPr>
          <w:rFonts w:eastAsia="Calibri"/>
          <w:lang w:val="es-PE" w:eastAsia="en-US"/>
        </w:rPr>
        <w:t xml:space="preserve"> </w:t>
      </w:r>
    </w:p>
    <w:p w14:paraId="05264317" w14:textId="77777777" w:rsidR="00F2707E" w:rsidRPr="00F2707E" w:rsidRDefault="00F2707E" w:rsidP="00F2707E">
      <w:pPr>
        <w:suppressAutoHyphens/>
        <w:spacing w:line="360" w:lineRule="auto"/>
        <w:rPr>
          <w:rFonts w:eastAsia="Calibri"/>
          <w:bCs/>
          <w:color w:val="000000"/>
          <w:lang w:val="es-PE" w:eastAsia="en-US"/>
        </w:rPr>
      </w:pPr>
    </w:p>
    <w:p w14:paraId="27E87E2F" w14:textId="77777777" w:rsidR="00F2707E" w:rsidRPr="00F2707E" w:rsidRDefault="00F2707E" w:rsidP="00F2707E">
      <w:pPr>
        <w:suppressAutoHyphens/>
        <w:spacing w:line="360" w:lineRule="auto"/>
        <w:rPr>
          <w:rFonts w:eastAsia="Calibri"/>
          <w:bCs/>
          <w:color w:val="000000"/>
          <w:lang w:val="es-PE" w:eastAsia="en-US"/>
        </w:rPr>
      </w:pPr>
    </w:p>
    <w:p w14:paraId="1D3D86BA" w14:textId="77777777" w:rsidR="00F2707E" w:rsidRPr="00F2707E" w:rsidRDefault="00F2707E" w:rsidP="00F2707E">
      <w:pPr>
        <w:suppressAutoHyphens/>
        <w:spacing w:line="360" w:lineRule="auto"/>
        <w:jc w:val="center"/>
        <w:rPr>
          <w:rFonts w:eastAsia="Calibri"/>
          <w:b/>
          <w:color w:val="000000"/>
          <w:lang w:val="es-ES" w:eastAsia="en-US"/>
        </w:rPr>
      </w:pPr>
      <w:r w:rsidRPr="00F2707E">
        <w:rPr>
          <w:rFonts w:eastAsia="Calibri"/>
          <w:b/>
          <w:color w:val="000000"/>
          <w:lang w:val="es-ES" w:eastAsia="en-US"/>
        </w:rPr>
        <w:t>Conflictos de interés</w:t>
      </w:r>
    </w:p>
    <w:p w14:paraId="5C664325" w14:textId="77777777" w:rsidR="00F2707E" w:rsidRPr="00F2707E" w:rsidRDefault="00F2707E" w:rsidP="00F2707E">
      <w:pPr>
        <w:suppressAutoHyphens/>
        <w:spacing w:line="360" w:lineRule="auto"/>
        <w:jc w:val="both"/>
        <w:rPr>
          <w:rFonts w:eastAsia="Calibri"/>
          <w:bCs/>
          <w:color w:val="000000"/>
          <w:lang w:val="es-ES" w:eastAsia="en-US"/>
        </w:rPr>
      </w:pPr>
      <w:r w:rsidRPr="00F2707E">
        <w:rPr>
          <w:rFonts w:eastAsia="Calibri"/>
          <w:bCs/>
          <w:color w:val="000000"/>
          <w:lang w:val="es-ES" w:eastAsia="en-US"/>
        </w:rPr>
        <w:t>Los autores plantean no tener conflictos de interés en relación con el artículo que se presenta.</w:t>
      </w:r>
    </w:p>
    <w:p w14:paraId="5A2AB769" w14:textId="77777777" w:rsidR="00F2707E" w:rsidRPr="00F2707E" w:rsidRDefault="00F2707E" w:rsidP="00F2707E">
      <w:pPr>
        <w:suppressAutoHyphens/>
        <w:spacing w:line="360" w:lineRule="auto"/>
        <w:jc w:val="both"/>
        <w:rPr>
          <w:rFonts w:eastAsia="Calibri"/>
          <w:b/>
          <w:color w:val="000000"/>
          <w:lang w:val="es-ES" w:eastAsia="en-US"/>
        </w:rPr>
      </w:pPr>
    </w:p>
    <w:p w14:paraId="33CB103C" w14:textId="77777777" w:rsidR="00F2707E" w:rsidRPr="00F2707E" w:rsidRDefault="00F2707E" w:rsidP="00F2707E">
      <w:pPr>
        <w:suppressAutoHyphens/>
        <w:spacing w:line="360" w:lineRule="auto"/>
        <w:jc w:val="center"/>
        <w:rPr>
          <w:rFonts w:eastAsia="Calibri"/>
          <w:b/>
          <w:color w:val="000000"/>
          <w:lang w:val="es-ES" w:eastAsia="en-US"/>
        </w:rPr>
      </w:pPr>
      <w:r w:rsidRPr="00F2707E">
        <w:rPr>
          <w:rFonts w:eastAsia="Calibri"/>
          <w:b/>
          <w:color w:val="000000"/>
          <w:lang w:val="es-ES" w:eastAsia="en-US"/>
        </w:rPr>
        <w:t>Contribuciones de los autores</w:t>
      </w:r>
    </w:p>
    <w:p w14:paraId="103AA684"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 xml:space="preserve">Conceptualización: </w:t>
      </w:r>
      <w:r w:rsidRPr="00F2707E">
        <w:rPr>
          <w:rFonts w:eastAsia="Calibri"/>
          <w:i/>
          <w:iCs/>
          <w:lang w:val="es-PE" w:eastAsia="en-US"/>
        </w:rPr>
        <w:t xml:space="preserve">Gloria Cruz-Gonzales, Cleofe del Pilar Yovera-Ancajima, William Cruz-Gonzales, </w:t>
      </w:r>
      <w:proofErr w:type="spellStart"/>
      <w:r w:rsidRPr="00F2707E">
        <w:rPr>
          <w:rFonts w:eastAsia="Calibri"/>
          <w:i/>
          <w:iCs/>
          <w:lang w:val="es-PE" w:eastAsia="en-US"/>
        </w:rPr>
        <w:t>Jeel</w:t>
      </w:r>
      <w:proofErr w:type="spellEnd"/>
      <w:r w:rsidRPr="00F2707E">
        <w:rPr>
          <w:rFonts w:eastAsia="Calibri"/>
          <w:i/>
          <w:iCs/>
          <w:lang w:val="es-PE" w:eastAsia="en-US"/>
        </w:rPr>
        <w:t xml:space="preserve"> Moya-Salazar.</w:t>
      </w:r>
    </w:p>
    <w:p w14:paraId="3512CBD4"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lastRenderedPageBreak/>
        <w:t xml:space="preserve">Curación de datos: </w:t>
      </w:r>
      <w:r w:rsidRPr="00F2707E">
        <w:rPr>
          <w:rFonts w:eastAsia="Calibri"/>
          <w:i/>
          <w:iCs/>
          <w:lang w:val="es-PE" w:eastAsia="en-US"/>
        </w:rPr>
        <w:t xml:space="preserve">Gloria Cruz-Gonzales, Cleofe del Pilar Yovera-Ancajima, William Cruz-Gonzales, </w:t>
      </w:r>
      <w:proofErr w:type="spellStart"/>
      <w:r w:rsidRPr="00F2707E">
        <w:rPr>
          <w:rFonts w:eastAsia="Calibri"/>
          <w:i/>
          <w:iCs/>
          <w:lang w:val="es-PE" w:eastAsia="en-US"/>
        </w:rPr>
        <w:t>Jeel</w:t>
      </w:r>
      <w:proofErr w:type="spellEnd"/>
      <w:r w:rsidRPr="00F2707E">
        <w:rPr>
          <w:rFonts w:eastAsia="Calibri"/>
          <w:i/>
          <w:iCs/>
          <w:lang w:val="es-PE" w:eastAsia="en-US"/>
        </w:rPr>
        <w:t xml:space="preserve"> Moya-Salazar.</w:t>
      </w:r>
    </w:p>
    <w:p w14:paraId="2D224E7F"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 xml:space="preserve">Análisis formal: </w:t>
      </w:r>
      <w:r w:rsidRPr="00F2707E">
        <w:rPr>
          <w:rFonts w:eastAsia="Calibri"/>
          <w:i/>
          <w:iCs/>
          <w:lang w:val="es-PE" w:eastAsia="en-US"/>
        </w:rPr>
        <w:t xml:space="preserve">Gloria Cruz-Gonzales, Cleofe del Pilar Yovera-Ancajima, William Cruz-Gonzales, </w:t>
      </w:r>
      <w:proofErr w:type="spellStart"/>
      <w:r w:rsidRPr="00F2707E">
        <w:rPr>
          <w:rFonts w:eastAsia="Calibri"/>
          <w:i/>
          <w:iCs/>
          <w:lang w:val="es-PE" w:eastAsia="en-US"/>
        </w:rPr>
        <w:t>Jeel</w:t>
      </w:r>
      <w:proofErr w:type="spellEnd"/>
      <w:r w:rsidRPr="00F2707E">
        <w:rPr>
          <w:rFonts w:eastAsia="Calibri"/>
          <w:i/>
          <w:iCs/>
          <w:lang w:val="es-PE" w:eastAsia="en-US"/>
        </w:rPr>
        <w:t xml:space="preserve"> Moya-Salazar.</w:t>
      </w:r>
    </w:p>
    <w:p w14:paraId="182A26BF"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Adquisición de fondos:</w:t>
      </w:r>
      <w:r w:rsidRPr="00F2707E">
        <w:rPr>
          <w:rFonts w:eastAsia="Calibri"/>
          <w:bCs/>
          <w:i/>
          <w:iCs/>
          <w:lang w:val="es-ES" w:eastAsia="en-US"/>
        </w:rPr>
        <w:t xml:space="preserve"> </w:t>
      </w:r>
      <w:r w:rsidRPr="00F2707E">
        <w:rPr>
          <w:rFonts w:eastAsia="Calibri"/>
          <w:i/>
          <w:iCs/>
          <w:lang w:val="es-PE" w:eastAsia="en-US"/>
        </w:rPr>
        <w:t>Gloria Cruz-Gonzales.</w:t>
      </w:r>
    </w:p>
    <w:p w14:paraId="241D213D"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 xml:space="preserve">Investigación: </w:t>
      </w:r>
      <w:r w:rsidRPr="00F2707E">
        <w:rPr>
          <w:rFonts w:eastAsia="Calibri"/>
          <w:i/>
          <w:iCs/>
          <w:lang w:val="es-PE" w:eastAsia="en-US"/>
        </w:rPr>
        <w:t xml:space="preserve">Gloria Cruz-Gonzales, Cleofe del Pilar Yovera-Ancajima. </w:t>
      </w:r>
    </w:p>
    <w:p w14:paraId="0C90EF50"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 xml:space="preserve">Metodología: </w:t>
      </w:r>
      <w:r w:rsidRPr="00F2707E">
        <w:rPr>
          <w:rFonts w:eastAsia="Calibri"/>
          <w:i/>
          <w:iCs/>
          <w:lang w:val="es-PE" w:eastAsia="en-US"/>
        </w:rPr>
        <w:t>Gloria Cruz-Gonzales, William Cruz-Gonzales.</w:t>
      </w:r>
    </w:p>
    <w:p w14:paraId="2F3994D9"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Administración del proyecto:</w:t>
      </w:r>
      <w:r w:rsidRPr="00F2707E">
        <w:rPr>
          <w:rFonts w:eastAsia="Calibri"/>
          <w:bCs/>
          <w:i/>
          <w:iCs/>
          <w:lang w:val="es-ES" w:eastAsia="en-US"/>
        </w:rPr>
        <w:t xml:space="preserve"> </w:t>
      </w:r>
      <w:proofErr w:type="spellStart"/>
      <w:r w:rsidRPr="00F2707E">
        <w:rPr>
          <w:rFonts w:eastAsia="Calibri"/>
          <w:i/>
          <w:iCs/>
          <w:lang w:val="es-PE" w:eastAsia="en-US"/>
        </w:rPr>
        <w:t>Jeel</w:t>
      </w:r>
      <w:proofErr w:type="spellEnd"/>
      <w:r w:rsidRPr="00F2707E">
        <w:rPr>
          <w:rFonts w:eastAsia="Calibri"/>
          <w:i/>
          <w:iCs/>
          <w:lang w:val="es-PE" w:eastAsia="en-US"/>
        </w:rPr>
        <w:t xml:space="preserve"> Moya-Salazar.</w:t>
      </w:r>
    </w:p>
    <w:p w14:paraId="4F1018EE"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 xml:space="preserve">Supervisión: </w:t>
      </w:r>
      <w:r w:rsidRPr="00F2707E">
        <w:rPr>
          <w:rFonts w:eastAsia="Calibri"/>
          <w:i/>
          <w:iCs/>
          <w:lang w:val="es-PE" w:eastAsia="en-US"/>
        </w:rPr>
        <w:t>Gloria Cruz-Gonzales.</w:t>
      </w:r>
    </w:p>
    <w:p w14:paraId="379942F8"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 xml:space="preserve">Validación: </w:t>
      </w:r>
      <w:proofErr w:type="spellStart"/>
      <w:r w:rsidRPr="00F2707E">
        <w:rPr>
          <w:rFonts w:eastAsia="Calibri"/>
          <w:i/>
          <w:iCs/>
          <w:lang w:val="es-PE" w:eastAsia="en-US"/>
        </w:rPr>
        <w:t>Jeel</w:t>
      </w:r>
      <w:proofErr w:type="spellEnd"/>
      <w:r w:rsidRPr="00F2707E">
        <w:rPr>
          <w:rFonts w:eastAsia="Calibri"/>
          <w:i/>
          <w:iCs/>
          <w:lang w:val="es-PE" w:eastAsia="en-US"/>
        </w:rPr>
        <w:t xml:space="preserve"> Moya-Salazar.</w:t>
      </w:r>
    </w:p>
    <w:p w14:paraId="0DAAFC23" w14:textId="77777777" w:rsidR="00F2707E" w:rsidRPr="00F2707E" w:rsidRDefault="00F2707E" w:rsidP="00F2707E">
      <w:pPr>
        <w:suppressAutoHyphens/>
        <w:spacing w:line="360" w:lineRule="auto"/>
        <w:jc w:val="both"/>
        <w:rPr>
          <w:rFonts w:eastAsia="Calibri"/>
          <w:i/>
          <w:iCs/>
          <w:lang w:val="es-PE" w:eastAsia="en-US"/>
        </w:rPr>
      </w:pPr>
      <w:r w:rsidRPr="00F2707E">
        <w:rPr>
          <w:rFonts w:eastAsia="Calibri"/>
          <w:bCs/>
          <w:lang w:val="es-ES" w:eastAsia="en-US"/>
        </w:rPr>
        <w:t xml:space="preserve">Redacción – borrador original: </w:t>
      </w:r>
      <w:r w:rsidRPr="00F2707E">
        <w:rPr>
          <w:rFonts w:eastAsia="Calibri"/>
          <w:i/>
          <w:iCs/>
          <w:lang w:val="es-PE" w:eastAsia="en-US"/>
        </w:rPr>
        <w:t>Gloria Cruz-Gonzales, Cleofe del Pilar Yovera-Ancajima, William Cruz-Gonzales.</w:t>
      </w:r>
    </w:p>
    <w:p w14:paraId="73978E99" w14:textId="77777777" w:rsidR="00F2707E" w:rsidRPr="00F2707E" w:rsidRDefault="00F2707E" w:rsidP="00F2707E">
      <w:pPr>
        <w:suppressAutoHyphens/>
        <w:spacing w:line="360" w:lineRule="auto"/>
        <w:jc w:val="both"/>
        <w:rPr>
          <w:rFonts w:eastAsia="Calibri"/>
          <w:b/>
          <w:color w:val="000000"/>
          <w:lang w:val="es-PE" w:eastAsia="en-US"/>
        </w:rPr>
      </w:pPr>
      <w:r w:rsidRPr="00F2707E">
        <w:rPr>
          <w:rFonts w:eastAsia="Calibri"/>
          <w:bCs/>
          <w:lang w:val="es-ES" w:eastAsia="en-US"/>
        </w:rPr>
        <w:t xml:space="preserve">Redacción – revisión y edición: </w:t>
      </w:r>
      <w:r w:rsidRPr="00F2707E">
        <w:rPr>
          <w:rFonts w:eastAsia="Calibri"/>
          <w:i/>
          <w:iCs/>
          <w:lang w:val="es-PE" w:eastAsia="en-US"/>
        </w:rPr>
        <w:t xml:space="preserve">Gloria Cruz-Gonzales, Cleofe del Pilar Yovera-Ancajima, William Cruz-Gonzales, </w:t>
      </w:r>
      <w:proofErr w:type="spellStart"/>
      <w:r w:rsidRPr="00F2707E">
        <w:rPr>
          <w:rFonts w:eastAsia="Calibri"/>
          <w:i/>
          <w:iCs/>
          <w:lang w:val="es-PE" w:eastAsia="en-US"/>
        </w:rPr>
        <w:t>Jeel</w:t>
      </w:r>
      <w:proofErr w:type="spellEnd"/>
      <w:r w:rsidRPr="00F2707E">
        <w:rPr>
          <w:rFonts w:eastAsia="Calibri"/>
          <w:i/>
          <w:iCs/>
          <w:lang w:val="es-PE" w:eastAsia="en-US"/>
        </w:rPr>
        <w:t xml:space="preserve"> Moya-Salazar.</w:t>
      </w:r>
    </w:p>
    <w:p w14:paraId="18467327" w14:textId="77777777" w:rsidR="00675476" w:rsidRPr="0055115D" w:rsidRDefault="00675476" w:rsidP="00EA1FEF">
      <w:pPr>
        <w:pStyle w:val="PDFRevista"/>
      </w:pPr>
    </w:p>
    <w:sectPr w:rsidR="00675476" w:rsidRPr="0055115D"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676F" w14:textId="77777777" w:rsidR="00F40EF1" w:rsidRDefault="00F40EF1">
      <w:r>
        <w:separator/>
      </w:r>
    </w:p>
  </w:endnote>
  <w:endnote w:type="continuationSeparator" w:id="0">
    <w:p w14:paraId="1E985B00" w14:textId="77777777" w:rsidR="00F40EF1" w:rsidRDefault="00F4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737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4D826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CB0A" w14:textId="0678DE74" w:rsidR="000F3690" w:rsidRPr="00AE044C" w:rsidRDefault="00F2707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5CD7236" wp14:editId="07C75E49">
              <wp:simplePos x="0" y="0"/>
              <wp:positionH relativeFrom="column">
                <wp:posOffset>3810</wp:posOffset>
              </wp:positionH>
              <wp:positionV relativeFrom="paragraph">
                <wp:posOffset>50165</wp:posOffset>
              </wp:positionV>
              <wp:extent cx="6286500" cy="19050"/>
              <wp:effectExtent l="19050" t="19050" r="0" b="0"/>
              <wp:wrapNone/>
              <wp:docPr id="200893144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0249BB"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FF72B47" w14:textId="77777777" w:rsidR="00675476" w:rsidRPr="00AE044C" w:rsidRDefault="00F40EF1" w:rsidP="00391509">
    <w:pPr>
      <w:pStyle w:val="Piedepgina"/>
      <w:ind w:right="360"/>
      <w:rPr>
        <w:sz w:val="22"/>
        <w:szCs w:val="22"/>
      </w:rPr>
    </w:pPr>
    <w:hyperlink r:id="rId1" w:history="1">
      <w:r w:rsidR="00391509" w:rsidRPr="00AE044C">
        <w:rPr>
          <w:rStyle w:val="Hipervnculo"/>
          <w:sz w:val="22"/>
          <w:szCs w:val="22"/>
        </w:rPr>
        <w:t>http://scielo.sld.cu</w:t>
      </w:r>
    </w:hyperlink>
  </w:p>
  <w:p w14:paraId="58442B51" w14:textId="77777777" w:rsidR="00391509" w:rsidRPr="00AE044C" w:rsidRDefault="00F40EF1"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A3EAB2D" w14:textId="169B182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2707E" w:rsidRPr="00F2707E">
      <w:rPr>
        <w:rFonts w:ascii="Verdana" w:hAnsi="Verdana"/>
        <w:noProof/>
        <w:sz w:val="18"/>
        <w:szCs w:val="18"/>
        <w:lang w:val="en-US" w:eastAsia="en-US"/>
      </w:rPr>
      <w:drawing>
        <wp:inline distT="0" distB="0" distL="0" distR="0" wp14:anchorId="45A35384" wp14:editId="1B43E454">
          <wp:extent cx="641350" cy="146050"/>
          <wp:effectExtent l="0" t="0" r="0" b="0"/>
          <wp:docPr id="84695419"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BC80" w14:textId="77777777" w:rsidR="00F40EF1" w:rsidRDefault="00F40EF1">
      <w:r>
        <w:separator/>
      </w:r>
    </w:p>
  </w:footnote>
  <w:footnote w:type="continuationSeparator" w:id="0">
    <w:p w14:paraId="31BE2652" w14:textId="77777777" w:rsidR="00F40EF1" w:rsidRDefault="00F4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4829" w14:textId="32151C1B" w:rsidR="00CC376A" w:rsidRPr="00AE044C" w:rsidRDefault="00F2707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noProof/>
      </w:rPr>
      <w:drawing>
        <wp:anchor distT="0" distB="0" distL="114300" distR="114300" simplePos="0" relativeHeight="251663360" behindDoc="1" locked="0" layoutInCell="1" allowOverlap="1" wp14:anchorId="3FD9C147" wp14:editId="40A26BFA">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:e02302738</w:t>
    </w:r>
  </w:p>
  <w:p w14:paraId="58B1052A" w14:textId="4EE59389" w:rsidR="00A477DE" w:rsidRDefault="00F2707E">
    <w:r>
      <w:rPr>
        <w:noProof/>
      </w:rPr>
      <mc:AlternateContent>
        <mc:Choice Requires="wps">
          <w:drawing>
            <wp:anchor distT="0" distB="0" distL="114300" distR="114300" simplePos="0" relativeHeight="251654144" behindDoc="0" locked="0" layoutInCell="1" allowOverlap="1" wp14:anchorId="1FD8A8B9" wp14:editId="3B1C7C9E">
              <wp:simplePos x="0" y="0"/>
              <wp:positionH relativeFrom="column">
                <wp:posOffset>635</wp:posOffset>
              </wp:positionH>
              <wp:positionV relativeFrom="paragraph">
                <wp:posOffset>42545</wp:posOffset>
              </wp:positionV>
              <wp:extent cx="6307455" cy="28575"/>
              <wp:effectExtent l="19050" t="19050" r="17145" b="9525"/>
              <wp:wrapNone/>
              <wp:docPr id="78259676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88480E"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52B0"/>
    <w:multiLevelType w:val="multilevel"/>
    <w:tmpl w:val="EA5EBF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823BE3"/>
    <w:multiLevelType w:val="hybridMultilevel"/>
    <w:tmpl w:val="DCC63C8A"/>
    <w:lvl w:ilvl="0" w:tplc="280A000F">
      <w:start w:val="1"/>
      <w:numFmt w:val="decimal"/>
      <w:lvlText w:val="%1."/>
      <w:lvlJc w:val="left"/>
      <w:pPr>
        <w:ind w:left="1069"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F326608"/>
    <w:multiLevelType w:val="hybridMultilevel"/>
    <w:tmpl w:val="2D383428"/>
    <w:lvl w:ilvl="0" w:tplc="0409000B">
      <w:start w:val="524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6A4D5C98"/>
    <w:multiLevelType w:val="hybridMultilevel"/>
    <w:tmpl w:val="C422F144"/>
    <w:lvl w:ilvl="0" w:tplc="547695C2">
      <w:start w:val="5241"/>
      <w:numFmt w:val="decimal"/>
      <w:lvlText w:val="%1"/>
      <w:lvlJc w:val="left"/>
      <w:pPr>
        <w:ind w:left="744" w:hanging="384"/>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9062618"/>
    <w:multiLevelType w:val="multilevel"/>
    <w:tmpl w:val="22EC0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7E"/>
    <w:rsid w:val="00057F45"/>
    <w:rsid w:val="000D3958"/>
    <w:rsid w:val="000F3690"/>
    <w:rsid w:val="001003D6"/>
    <w:rsid w:val="001221D1"/>
    <w:rsid w:val="00135F47"/>
    <w:rsid w:val="00165CB5"/>
    <w:rsid w:val="00180CE9"/>
    <w:rsid w:val="00230DD5"/>
    <w:rsid w:val="00250AE9"/>
    <w:rsid w:val="002A5339"/>
    <w:rsid w:val="00304813"/>
    <w:rsid w:val="00355E99"/>
    <w:rsid w:val="00380D64"/>
    <w:rsid w:val="00391509"/>
    <w:rsid w:val="003E03D5"/>
    <w:rsid w:val="0047707D"/>
    <w:rsid w:val="00486BFA"/>
    <w:rsid w:val="00493701"/>
    <w:rsid w:val="004E2065"/>
    <w:rsid w:val="00521877"/>
    <w:rsid w:val="005508A2"/>
    <w:rsid w:val="0055115D"/>
    <w:rsid w:val="00566F71"/>
    <w:rsid w:val="005918BD"/>
    <w:rsid w:val="006173A6"/>
    <w:rsid w:val="00675476"/>
    <w:rsid w:val="00676945"/>
    <w:rsid w:val="007C430F"/>
    <w:rsid w:val="007D2D0C"/>
    <w:rsid w:val="007D614D"/>
    <w:rsid w:val="00915D3C"/>
    <w:rsid w:val="00960D6A"/>
    <w:rsid w:val="0098003E"/>
    <w:rsid w:val="009A0560"/>
    <w:rsid w:val="009B0917"/>
    <w:rsid w:val="009F0F96"/>
    <w:rsid w:val="00A23C0C"/>
    <w:rsid w:val="00A477DE"/>
    <w:rsid w:val="00A66186"/>
    <w:rsid w:val="00A71E65"/>
    <w:rsid w:val="00A92455"/>
    <w:rsid w:val="00AE044C"/>
    <w:rsid w:val="00B31971"/>
    <w:rsid w:val="00B4380A"/>
    <w:rsid w:val="00B64F82"/>
    <w:rsid w:val="00B66ECB"/>
    <w:rsid w:val="00BF7252"/>
    <w:rsid w:val="00C7523A"/>
    <w:rsid w:val="00CC1B6E"/>
    <w:rsid w:val="00CC376A"/>
    <w:rsid w:val="00CC48A1"/>
    <w:rsid w:val="00CF50E0"/>
    <w:rsid w:val="00D06881"/>
    <w:rsid w:val="00D206D8"/>
    <w:rsid w:val="00D85951"/>
    <w:rsid w:val="00E16364"/>
    <w:rsid w:val="00E62606"/>
    <w:rsid w:val="00E85533"/>
    <w:rsid w:val="00EA1FEF"/>
    <w:rsid w:val="00EC5A6B"/>
    <w:rsid w:val="00EE301D"/>
    <w:rsid w:val="00F2707E"/>
    <w:rsid w:val="00F40EF1"/>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FE453"/>
  <w15:docId w15:val="{7077AA1A-E168-433F-83EF-87B00C5C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F2707E"/>
  </w:style>
  <w:style w:type="character" w:customStyle="1" w:styleId="EnlacedeInternet">
    <w:name w:val="Enlace de Internet"/>
    <w:uiPriority w:val="99"/>
    <w:unhideWhenUsed/>
    <w:rsid w:val="00F2707E"/>
    <w:rPr>
      <w:color w:val="0000FF"/>
      <w:u w:val="single"/>
    </w:rPr>
  </w:style>
  <w:style w:type="character" w:customStyle="1" w:styleId="PrrafodelistaCar">
    <w:name w:val="Párrafo de lista Car"/>
    <w:link w:val="Prrafodelista"/>
    <w:uiPriority w:val="34"/>
    <w:qFormat/>
    <w:locked/>
    <w:rsid w:val="00F2707E"/>
    <w:rPr>
      <w:rFonts w:ascii="Calibri" w:eastAsia="Calibri" w:hAnsi="Calibri"/>
    </w:rPr>
  </w:style>
  <w:style w:type="character" w:customStyle="1" w:styleId="TextonotaalfinalCar">
    <w:name w:val="Texto nota al final Car"/>
    <w:link w:val="Textonotaalfinal"/>
    <w:uiPriority w:val="99"/>
    <w:semiHidden/>
    <w:qFormat/>
    <w:rsid w:val="00F2707E"/>
  </w:style>
  <w:style w:type="character" w:customStyle="1" w:styleId="Ancladenotafinal">
    <w:name w:val="Ancla de nota final"/>
    <w:rsid w:val="00F2707E"/>
    <w:rPr>
      <w:vertAlign w:val="superscript"/>
    </w:rPr>
  </w:style>
  <w:style w:type="character" w:customStyle="1" w:styleId="EndnoteCharacters">
    <w:name w:val="Endnote Characters"/>
    <w:uiPriority w:val="99"/>
    <w:semiHidden/>
    <w:unhideWhenUsed/>
    <w:qFormat/>
    <w:rsid w:val="00F2707E"/>
    <w:rPr>
      <w:vertAlign w:val="superscript"/>
    </w:rPr>
  </w:style>
  <w:style w:type="character" w:styleId="Refdecomentario">
    <w:name w:val="annotation reference"/>
    <w:uiPriority w:val="99"/>
    <w:semiHidden/>
    <w:unhideWhenUsed/>
    <w:qFormat/>
    <w:rsid w:val="00F2707E"/>
    <w:rPr>
      <w:sz w:val="16"/>
      <w:szCs w:val="16"/>
    </w:rPr>
  </w:style>
  <w:style w:type="character" w:customStyle="1" w:styleId="TextocomentarioCar">
    <w:name w:val="Texto comentario Car"/>
    <w:link w:val="Textocomentario"/>
    <w:uiPriority w:val="99"/>
    <w:qFormat/>
    <w:rsid w:val="00F2707E"/>
  </w:style>
  <w:style w:type="character" w:customStyle="1" w:styleId="AsuntodelcomentarioCar">
    <w:name w:val="Asunto del comentario Car"/>
    <w:link w:val="Asuntodelcomentario"/>
    <w:uiPriority w:val="99"/>
    <w:semiHidden/>
    <w:qFormat/>
    <w:rsid w:val="00F2707E"/>
    <w:rPr>
      <w:b/>
      <w:bCs/>
    </w:rPr>
  </w:style>
  <w:style w:type="character" w:customStyle="1" w:styleId="Mencinsinresolver1">
    <w:name w:val="Mención sin resolver1"/>
    <w:uiPriority w:val="99"/>
    <w:semiHidden/>
    <w:unhideWhenUsed/>
    <w:qFormat/>
    <w:rsid w:val="00F2707E"/>
    <w:rPr>
      <w:color w:val="605E5C"/>
      <w:shd w:val="clear" w:color="auto" w:fill="E1DFDD"/>
    </w:rPr>
  </w:style>
  <w:style w:type="character" w:customStyle="1" w:styleId="Caracteresdenotafinal">
    <w:name w:val="Caracteres de nota final"/>
    <w:qFormat/>
    <w:rsid w:val="00F2707E"/>
  </w:style>
  <w:style w:type="paragraph" w:styleId="Ttulo">
    <w:name w:val="Title"/>
    <w:basedOn w:val="Normal"/>
    <w:next w:val="Textoindependiente"/>
    <w:link w:val="TtuloCar"/>
    <w:qFormat/>
    <w:rsid w:val="00F2707E"/>
    <w:pPr>
      <w:keepNext/>
      <w:suppressAutoHyphens/>
      <w:spacing w:before="240" w:after="120" w:line="276" w:lineRule="auto"/>
    </w:pPr>
    <w:rPr>
      <w:rFonts w:ascii="Liberation Sans" w:eastAsia="Microsoft YaHei" w:hAnsi="Liberation Sans" w:cs="Arial"/>
      <w:sz w:val="28"/>
      <w:szCs w:val="28"/>
      <w:lang w:val="es-PE" w:eastAsia="en-US"/>
    </w:rPr>
  </w:style>
  <w:style w:type="character" w:customStyle="1" w:styleId="TtuloCar">
    <w:name w:val="Título Car"/>
    <w:basedOn w:val="Fuentedeprrafopredeter"/>
    <w:link w:val="Ttulo"/>
    <w:rsid w:val="00F2707E"/>
    <w:rPr>
      <w:rFonts w:ascii="Liberation Sans" w:eastAsia="Microsoft YaHei" w:hAnsi="Liberation Sans" w:cs="Arial"/>
      <w:sz w:val="28"/>
      <w:szCs w:val="28"/>
      <w:lang w:val="es-PE"/>
    </w:rPr>
  </w:style>
  <w:style w:type="paragraph" w:styleId="Textoindependiente">
    <w:name w:val="Body Text"/>
    <w:basedOn w:val="Normal"/>
    <w:link w:val="TextoindependienteCar"/>
    <w:rsid w:val="00F2707E"/>
    <w:pPr>
      <w:suppressAutoHyphens/>
      <w:spacing w:after="140" w:line="276" w:lineRule="auto"/>
    </w:pPr>
    <w:rPr>
      <w:rFonts w:ascii="Calibri" w:eastAsia="Calibri" w:hAnsi="Calibri" w:cs="Calibri"/>
      <w:sz w:val="22"/>
      <w:szCs w:val="22"/>
      <w:lang w:val="es-PE" w:eastAsia="en-US"/>
    </w:rPr>
  </w:style>
  <w:style w:type="character" w:customStyle="1" w:styleId="TextoindependienteCar">
    <w:name w:val="Texto independiente Car"/>
    <w:basedOn w:val="Fuentedeprrafopredeter"/>
    <w:link w:val="Textoindependiente"/>
    <w:rsid w:val="00F2707E"/>
    <w:rPr>
      <w:rFonts w:ascii="Calibri" w:eastAsia="Calibri" w:hAnsi="Calibri" w:cs="Calibri"/>
      <w:sz w:val="22"/>
      <w:szCs w:val="22"/>
      <w:lang w:val="es-PE"/>
    </w:rPr>
  </w:style>
  <w:style w:type="paragraph" w:styleId="Lista">
    <w:name w:val="List"/>
    <w:basedOn w:val="Textoindependiente"/>
    <w:rsid w:val="00F2707E"/>
    <w:rPr>
      <w:rFonts w:cs="Arial"/>
    </w:rPr>
  </w:style>
  <w:style w:type="paragraph" w:styleId="Descripcin">
    <w:name w:val="caption"/>
    <w:basedOn w:val="Normal"/>
    <w:qFormat/>
    <w:rsid w:val="00F2707E"/>
    <w:pPr>
      <w:suppressLineNumbers/>
      <w:suppressAutoHyphens/>
      <w:spacing w:before="120" w:after="120" w:line="276" w:lineRule="auto"/>
    </w:pPr>
    <w:rPr>
      <w:rFonts w:ascii="Calibri" w:eastAsia="Calibri" w:hAnsi="Calibri" w:cs="Arial"/>
      <w:i/>
      <w:iCs/>
      <w:lang w:val="es-PE" w:eastAsia="en-US"/>
    </w:rPr>
  </w:style>
  <w:style w:type="paragraph" w:customStyle="1" w:styleId="ndice">
    <w:name w:val="Índice"/>
    <w:basedOn w:val="Normal"/>
    <w:qFormat/>
    <w:rsid w:val="00F2707E"/>
    <w:pPr>
      <w:suppressLineNumbers/>
      <w:suppressAutoHyphens/>
      <w:spacing w:after="200" w:line="276" w:lineRule="auto"/>
    </w:pPr>
    <w:rPr>
      <w:rFonts w:ascii="Calibri" w:eastAsia="Calibri" w:hAnsi="Calibri" w:cs="Arial"/>
      <w:sz w:val="22"/>
      <w:szCs w:val="22"/>
      <w:lang w:val="es-PE" w:eastAsia="en-US"/>
    </w:rPr>
  </w:style>
  <w:style w:type="paragraph" w:styleId="Prrafodelista">
    <w:name w:val="List Paragraph"/>
    <w:basedOn w:val="Normal"/>
    <w:link w:val="PrrafodelistaCar"/>
    <w:uiPriority w:val="34"/>
    <w:qFormat/>
    <w:rsid w:val="00F2707E"/>
    <w:pPr>
      <w:suppressAutoHyphens/>
      <w:spacing w:after="200" w:line="276" w:lineRule="auto"/>
      <w:ind w:left="720"/>
      <w:contextualSpacing/>
    </w:pPr>
    <w:rPr>
      <w:rFonts w:ascii="Calibri" w:eastAsia="Calibri" w:hAnsi="Calibri"/>
      <w:sz w:val="20"/>
      <w:szCs w:val="20"/>
      <w:lang w:val="en-US" w:eastAsia="en-US"/>
    </w:rPr>
  </w:style>
  <w:style w:type="paragraph" w:styleId="Textonotaalfinal">
    <w:name w:val="endnote text"/>
    <w:basedOn w:val="Normal"/>
    <w:link w:val="TextonotaalfinalCar"/>
    <w:uiPriority w:val="99"/>
    <w:semiHidden/>
    <w:unhideWhenUsed/>
    <w:rsid w:val="00F2707E"/>
    <w:pPr>
      <w:suppressAutoHyphens/>
    </w:pPr>
    <w:rPr>
      <w:sz w:val="20"/>
      <w:szCs w:val="20"/>
      <w:lang w:val="en-US" w:eastAsia="en-US"/>
    </w:rPr>
  </w:style>
  <w:style w:type="character" w:customStyle="1" w:styleId="TextonotaalfinalCar1">
    <w:name w:val="Texto nota al final Car1"/>
    <w:basedOn w:val="Fuentedeprrafopredeter"/>
    <w:uiPriority w:val="99"/>
    <w:semiHidden/>
    <w:rsid w:val="00F2707E"/>
    <w:rPr>
      <w:lang w:val="es-ES_tradnl" w:eastAsia="es-ES_tradnl"/>
    </w:rPr>
  </w:style>
  <w:style w:type="character" w:customStyle="1" w:styleId="TextodegloboCar1">
    <w:name w:val="Texto de globo Car1"/>
    <w:uiPriority w:val="99"/>
    <w:semiHidden/>
    <w:rsid w:val="00F2707E"/>
    <w:rPr>
      <w:rFonts w:ascii="Segoe UI" w:hAnsi="Segoe UI" w:cs="Segoe UI"/>
      <w:sz w:val="18"/>
      <w:szCs w:val="18"/>
    </w:rPr>
  </w:style>
  <w:style w:type="paragraph" w:styleId="Textocomentario">
    <w:name w:val="annotation text"/>
    <w:basedOn w:val="Normal"/>
    <w:link w:val="TextocomentarioCar"/>
    <w:uiPriority w:val="99"/>
    <w:unhideWhenUsed/>
    <w:qFormat/>
    <w:rsid w:val="00F2707E"/>
    <w:pPr>
      <w:suppressAutoHyphens/>
      <w:spacing w:after="200"/>
    </w:pPr>
    <w:rPr>
      <w:sz w:val="20"/>
      <w:szCs w:val="20"/>
      <w:lang w:val="en-US" w:eastAsia="en-US"/>
    </w:rPr>
  </w:style>
  <w:style w:type="character" w:customStyle="1" w:styleId="TextocomentarioCar1">
    <w:name w:val="Texto comentario Car1"/>
    <w:basedOn w:val="Fuentedeprrafopredeter"/>
    <w:uiPriority w:val="99"/>
    <w:semiHidden/>
    <w:rsid w:val="00F2707E"/>
    <w:rPr>
      <w:lang w:val="es-ES_tradnl" w:eastAsia="es-ES_tradnl"/>
    </w:rPr>
  </w:style>
  <w:style w:type="paragraph" w:styleId="Asuntodelcomentario">
    <w:name w:val="annotation subject"/>
    <w:basedOn w:val="Textocomentario"/>
    <w:next w:val="Textocomentario"/>
    <w:link w:val="AsuntodelcomentarioCar"/>
    <w:uiPriority w:val="99"/>
    <w:semiHidden/>
    <w:unhideWhenUsed/>
    <w:qFormat/>
    <w:rsid w:val="00F2707E"/>
    <w:rPr>
      <w:b/>
      <w:bCs/>
    </w:rPr>
  </w:style>
  <w:style w:type="character" w:customStyle="1" w:styleId="AsuntodelcomentarioCar1">
    <w:name w:val="Asunto del comentario Car1"/>
    <w:basedOn w:val="TextocomentarioCar1"/>
    <w:uiPriority w:val="99"/>
    <w:semiHidden/>
    <w:rsid w:val="00F2707E"/>
    <w:rPr>
      <w:b/>
      <w:bCs/>
      <w:lang w:val="es-ES_tradnl" w:eastAsia="es-ES_tradnl"/>
    </w:rPr>
  </w:style>
  <w:style w:type="character" w:customStyle="1" w:styleId="Mencinsinresolver2">
    <w:name w:val="Mención sin resolver2"/>
    <w:uiPriority w:val="99"/>
    <w:semiHidden/>
    <w:unhideWhenUsed/>
    <w:rsid w:val="00F2707E"/>
    <w:rPr>
      <w:color w:val="605E5C"/>
      <w:shd w:val="clear" w:color="auto" w:fill="E1DFDD"/>
    </w:rPr>
  </w:style>
  <w:style w:type="paragraph" w:styleId="Revisin">
    <w:name w:val="Revision"/>
    <w:hidden/>
    <w:uiPriority w:val="99"/>
    <w:semiHidden/>
    <w:rsid w:val="00F2707E"/>
    <w:rPr>
      <w:rFonts w:ascii="Calibri" w:eastAsia="Calibri" w:hAnsi="Calibri" w:cs="Calibri"/>
      <w:sz w:val="22"/>
      <w:szCs w:val="22"/>
      <w:lang w:val="es-PE"/>
    </w:rPr>
  </w:style>
  <w:style w:type="character" w:customStyle="1" w:styleId="Mencinsinresolver3">
    <w:name w:val="Mención sin resolver3"/>
    <w:uiPriority w:val="99"/>
    <w:semiHidden/>
    <w:unhideWhenUsed/>
    <w:rsid w:val="00F2707E"/>
    <w:rPr>
      <w:color w:val="605E5C"/>
      <w:shd w:val="clear" w:color="auto" w:fill="E1DFDD"/>
    </w:rPr>
  </w:style>
  <w:style w:type="table" w:customStyle="1" w:styleId="Tablaconcuadrcula1">
    <w:name w:val="Tabla con cuadrícula1"/>
    <w:basedOn w:val="Tablanormal"/>
    <w:next w:val="Tablaconcuadrcula"/>
    <w:uiPriority w:val="59"/>
    <w:rsid w:val="00F2707E"/>
    <w:pPr>
      <w:suppressAutoHyphens/>
    </w:pPr>
    <w:rPr>
      <w:rFonts w:ascii="Calibri" w:eastAsia="Calibri" w:hAnsi="Calibri" w:cs="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707E"/>
    <w:pPr>
      <w:suppressAutoHyphens/>
    </w:pPr>
    <w:rPr>
      <w:rFonts w:ascii="Calibri" w:eastAsia="Calibri" w:hAnsi="Calibri" w:cs="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uiPriority w:val="99"/>
    <w:semiHidden/>
    <w:unhideWhenUsed/>
    <w:rsid w:val="00F2707E"/>
    <w:rPr>
      <w:color w:val="605E5C"/>
      <w:shd w:val="clear" w:color="auto" w:fill="E1DFDD"/>
    </w:rPr>
  </w:style>
  <w:style w:type="character" w:styleId="nfasis">
    <w:name w:val="Emphasis"/>
    <w:uiPriority w:val="20"/>
    <w:qFormat/>
    <w:rsid w:val="00F2707E"/>
    <w:rPr>
      <w:i/>
      <w:iCs/>
    </w:rPr>
  </w:style>
  <w:style w:type="character" w:customStyle="1" w:styleId="Mencinsinresolver5">
    <w:name w:val="Mención sin resolver5"/>
    <w:uiPriority w:val="99"/>
    <w:semiHidden/>
    <w:unhideWhenUsed/>
    <w:rsid w:val="00F2707E"/>
    <w:rPr>
      <w:color w:val="605E5C"/>
      <w:shd w:val="clear" w:color="auto" w:fill="E1DFDD"/>
    </w:rPr>
  </w:style>
  <w:style w:type="character" w:styleId="Hipervnculovisitado">
    <w:name w:val="FollowedHyperlink"/>
    <w:uiPriority w:val="99"/>
    <w:semiHidden/>
    <w:unhideWhenUsed/>
    <w:rsid w:val="00F2707E"/>
    <w:rPr>
      <w:color w:val="800080"/>
      <w:u w:val="single"/>
    </w:rPr>
  </w:style>
  <w:style w:type="character" w:customStyle="1" w:styleId="Mencinsinresolver6">
    <w:name w:val="Mención sin resolver6"/>
    <w:uiPriority w:val="99"/>
    <w:semiHidden/>
    <w:unhideWhenUsed/>
    <w:rsid w:val="00F2707E"/>
    <w:rPr>
      <w:color w:val="605E5C"/>
      <w:shd w:val="clear" w:color="auto" w:fill="E1DFDD"/>
    </w:rPr>
  </w:style>
  <w:style w:type="character" w:customStyle="1" w:styleId="Mencinsinresolver7">
    <w:name w:val="Mención sin resolver7"/>
    <w:uiPriority w:val="99"/>
    <w:semiHidden/>
    <w:unhideWhenUsed/>
    <w:rsid w:val="00F27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scielosp.org/pdf/rpsp/2003.v13n2-3/85-90/es" TargetMode="External"/><Relationship Id="rId26" Type="http://schemas.openxmlformats.org/officeDocument/2006/relationships/hyperlink" Target="https://www.scielosp.org/article/rcsp/2020.v46n1/e1415/" TargetMode="External"/><Relationship Id="rId39" Type="http://schemas.openxmlformats.org/officeDocument/2006/relationships/theme" Target="theme/theme1.xml"/><Relationship Id="rId21" Type="http://schemas.openxmlformats.org/officeDocument/2006/relationships/hyperlink" Target="http://bvs.minsa.gob.pe/local/MINSA/1129_DGSP0260-1.pdf" TargetMode="External"/><Relationship Id="rId34" Type="http://schemas.openxmlformats.org/officeDocument/2006/relationships/hyperlink" Target="https://alicia.concytec.gob.pe/vufind/Record/RUNF_be72c7df24f8c04b50137af5f9055b5e" TargetMode="External"/><Relationship Id="rId7" Type="http://schemas.openxmlformats.org/officeDocument/2006/relationships/hyperlink" Target="https://orcid.org/0000-0003-4010-4042" TargetMode="External"/><Relationship Id="rId12" Type="http://schemas.openxmlformats.org/officeDocument/2006/relationships/image" Target="media/image1.png"/><Relationship Id="rId17" Type="http://schemas.openxmlformats.org/officeDocument/2006/relationships/hyperlink" Target="https://iris.paho.org/bitstream/handle/10665.2/34083/9789275119587-eng.pdf?sequence=1&amp;isAllowed=y" TargetMode="External"/><Relationship Id="rId25" Type="http://schemas.openxmlformats.org/officeDocument/2006/relationships/hyperlink" Target="https://repositorio.unfv.edu.pe/handle/20.500.13084/2527" TargetMode="External"/><Relationship Id="rId33" Type="http://schemas.openxmlformats.org/officeDocument/2006/relationships/hyperlink" Target="https://repositorio.unapiquitos.edu.pe/handle/20.500.12737/443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aho.org/hq/index.php?option=com_content&amp;view=article&amp;id=13408:voluntary-blood-donors-are-increasing-but-the-numbers-are-not-enough-to-ensure-sufficient-blood-supplies&amp;Itemid=1926&amp;lang=es" TargetMode="External"/><Relationship Id="rId20" Type="http://schemas.openxmlformats.org/officeDocument/2006/relationships/hyperlink" Target="http://www.scielo.org.pe/pdf/hm/v14n4/a02v14n4.pdf" TargetMode="External"/><Relationship Id="rId29" Type="http://schemas.openxmlformats.org/officeDocument/2006/relationships/hyperlink" Target="https://renati.sunedu.gob.pe/handle/sunedu/30608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el.moya@upn.edu.pe" TargetMode="External"/><Relationship Id="rId24" Type="http://schemas.openxmlformats.org/officeDocument/2006/relationships/hyperlink" Target="http://scielo.sld.cu/scielo.php?script=sci_arttext&amp;pid=S0138-65572014000400004&amp;lng=es" TargetMode="External"/><Relationship Id="rId32" Type="http://schemas.openxmlformats.org/officeDocument/2006/relationships/hyperlink" Target="https://www.imbiomed.com.mx/articulo.php?id=103389"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ns.gov.co/Direcciones/RedesSaludPublica/DonacionSangre/Publicaciones/Algoritmo%20para%20pruebas%20infecciosas%20en%20Banco%20de%20Sangre%20-%20Julio%202010.pdf" TargetMode="External"/><Relationship Id="rId23" Type="http://schemas.openxmlformats.org/officeDocument/2006/relationships/hyperlink" Target="http://revista.uch.edu.pe/index.php/hgh/article/view/75" TargetMode="External"/><Relationship Id="rId28" Type="http://schemas.openxmlformats.org/officeDocument/2006/relationships/hyperlink" Target="http://www.repositorioinstitucional.uson.mx/handle/20.500.12984/2008" TargetMode="External"/><Relationship Id="rId36" Type="http://schemas.openxmlformats.org/officeDocument/2006/relationships/footer" Target="footer1.xml"/><Relationship Id="rId10" Type="http://schemas.openxmlformats.org/officeDocument/2006/relationships/hyperlink" Target="https://orcid.org/0000-0002-7357-4940" TargetMode="External"/><Relationship Id="rId19" Type="http://schemas.openxmlformats.org/officeDocument/2006/relationships/hyperlink" Target="https://repositorio.unc.edu.pe/bitstream/handle/20.500.14074/44/T%20362.1784%20L925%202014.pdf?sequence=1&amp;isAllowed=y" TargetMode="External"/><Relationship Id="rId31" Type="http://schemas.openxmlformats.org/officeDocument/2006/relationships/hyperlink" Target="https://repositorio.unj.edu.pe/handle/UNJ/292" TargetMode="External"/><Relationship Id="rId4" Type="http://schemas.openxmlformats.org/officeDocument/2006/relationships/webSettings" Target="webSettings.xml"/><Relationship Id="rId9" Type="http://schemas.openxmlformats.org/officeDocument/2006/relationships/hyperlink" Target="https://orcid.org/0000-0003-1937-5446" TargetMode="External"/><Relationship Id="rId14" Type="http://schemas.openxmlformats.org/officeDocument/2006/relationships/image" Target="media/image3.png"/><Relationship Id="rId22" Type="http://schemas.openxmlformats.org/officeDocument/2006/relationships/hyperlink" Target="https://repositorio.usmp.edu.pe/bitstream/handle/20.500.12727/9940/urco_nmc.pdf?sequence=1&amp;isAllowed=y" TargetMode="External"/><Relationship Id="rId27" Type="http://schemas.openxmlformats.org/officeDocument/2006/relationships/hyperlink" Target="http://ddigital.umss.edu.bo:8080/jspui/handle/123456789/30169" TargetMode="External"/><Relationship Id="rId30" Type="http://schemas.openxmlformats.org/officeDocument/2006/relationships/hyperlink" Target="http://www.medigraphic.com/pdfs/patol/pt-%202015/pt153g.pdf" TargetMode="External"/><Relationship Id="rId35" Type="http://schemas.openxmlformats.org/officeDocument/2006/relationships/header" Target="header1.xml"/><Relationship Id="rId8" Type="http://schemas.openxmlformats.org/officeDocument/2006/relationships/hyperlink" Target="https://orcid.org/0000-0002-1655-5671"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15</Pages>
  <Words>4727</Words>
  <Characters>26002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30668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ViceRRector PostGrado</cp:lastModifiedBy>
  <cp:revision>14</cp:revision>
  <cp:lastPrinted>2023-11-14T01:42:00Z</cp:lastPrinted>
  <dcterms:created xsi:type="dcterms:W3CDTF">2023-10-23T18:24:00Z</dcterms:created>
  <dcterms:modified xsi:type="dcterms:W3CDTF">2023-11-14T01:45:00Z</dcterms:modified>
</cp:coreProperties>
</file>