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34B2" w14:textId="77777777" w:rsidR="00FF5ECD" w:rsidRPr="00FF5ECD" w:rsidRDefault="00FF5ECD" w:rsidP="00FF5ECD">
      <w:pPr>
        <w:tabs>
          <w:tab w:val="left" w:pos="1365"/>
        </w:tabs>
        <w:suppressAutoHyphens/>
        <w:autoSpaceDN w:val="0"/>
        <w:spacing w:line="360" w:lineRule="auto"/>
        <w:jc w:val="right"/>
        <w:rPr>
          <w:rFonts w:eastAsia="Calibri"/>
          <w:sz w:val="20"/>
          <w:szCs w:val="20"/>
          <w:lang w:val="es-ES" w:eastAsia="en-US"/>
        </w:rPr>
      </w:pPr>
      <w:r w:rsidRPr="00FF5ECD">
        <w:rPr>
          <w:rFonts w:eastAsia="Calibri"/>
          <w:sz w:val="20"/>
          <w:szCs w:val="20"/>
          <w:lang w:val="es-ES" w:eastAsia="en-US"/>
        </w:rPr>
        <w:t>Artículo de investigación</w:t>
      </w:r>
    </w:p>
    <w:p w14:paraId="52CF4EDB" w14:textId="77777777" w:rsidR="00FF5ECD" w:rsidRPr="00FF5ECD" w:rsidRDefault="00FF5ECD" w:rsidP="00FF5ECD">
      <w:pPr>
        <w:suppressAutoHyphens/>
        <w:autoSpaceDN w:val="0"/>
        <w:spacing w:line="360" w:lineRule="auto"/>
        <w:rPr>
          <w:rFonts w:eastAsia="Calibri"/>
          <w:lang w:val="es-ES" w:eastAsia="en-US"/>
        </w:rPr>
      </w:pPr>
    </w:p>
    <w:p w14:paraId="7610F841" w14:textId="7EC7F5F5" w:rsidR="00FF5ECD" w:rsidRPr="00FF5ECD" w:rsidRDefault="00FF5ECD" w:rsidP="00FF5ECD">
      <w:pPr>
        <w:tabs>
          <w:tab w:val="left" w:pos="5145"/>
        </w:tabs>
        <w:suppressAutoHyphens/>
        <w:autoSpaceDN w:val="0"/>
        <w:spacing w:line="360" w:lineRule="auto"/>
        <w:jc w:val="center"/>
        <w:rPr>
          <w:rFonts w:eastAsia="Calibri"/>
          <w:b/>
          <w:sz w:val="28"/>
          <w:szCs w:val="28"/>
          <w:lang w:val="es-ES" w:eastAsia="en-US"/>
        </w:rPr>
      </w:pPr>
      <w:r w:rsidRPr="00FF5ECD">
        <w:rPr>
          <w:rFonts w:eastAsia="Calibri"/>
          <w:b/>
          <w:sz w:val="28"/>
          <w:szCs w:val="28"/>
          <w:lang w:val="es-ES" w:eastAsia="en-US"/>
        </w:rPr>
        <w:t>Escala de gravedad según la histología de las estructuras placentarias en la corioamni</w:t>
      </w:r>
      <w:r w:rsidR="00AD7DAC">
        <w:rPr>
          <w:rFonts w:eastAsia="Calibri"/>
          <w:b/>
          <w:sz w:val="28"/>
          <w:szCs w:val="28"/>
          <w:lang w:val="es-ES" w:eastAsia="en-US"/>
        </w:rPr>
        <w:t>o</w:t>
      </w:r>
      <w:r w:rsidRPr="00FF5ECD">
        <w:rPr>
          <w:rFonts w:eastAsia="Calibri"/>
          <w:b/>
          <w:sz w:val="28"/>
          <w:szCs w:val="28"/>
          <w:lang w:val="es-ES" w:eastAsia="en-US"/>
        </w:rPr>
        <w:t>nitis histológica</w:t>
      </w:r>
    </w:p>
    <w:p w14:paraId="0410C782" w14:textId="5833B00A" w:rsidR="00FF5ECD" w:rsidRPr="00FF5ECD" w:rsidRDefault="00FF5ECD" w:rsidP="00FF5ECD">
      <w:pPr>
        <w:tabs>
          <w:tab w:val="left" w:pos="5145"/>
        </w:tabs>
        <w:suppressAutoHyphens/>
        <w:autoSpaceDN w:val="0"/>
        <w:spacing w:line="360" w:lineRule="auto"/>
        <w:jc w:val="center"/>
        <w:rPr>
          <w:rFonts w:eastAsia="Calibri"/>
          <w:sz w:val="28"/>
          <w:szCs w:val="28"/>
          <w:lang w:val="en-US" w:eastAsia="en-US"/>
        </w:rPr>
      </w:pPr>
      <w:r w:rsidRPr="00FF5ECD">
        <w:rPr>
          <w:rFonts w:eastAsia="Calibri"/>
          <w:sz w:val="28"/>
          <w:szCs w:val="28"/>
          <w:lang w:val="en-US" w:eastAsia="en-US"/>
        </w:rPr>
        <w:t>Scale of severity according to histology of placental structures in histological chorioamni</w:t>
      </w:r>
      <w:r w:rsidR="00AD7DAC">
        <w:rPr>
          <w:rFonts w:eastAsia="Calibri"/>
          <w:sz w:val="28"/>
          <w:szCs w:val="28"/>
          <w:lang w:val="en-US" w:eastAsia="en-US"/>
        </w:rPr>
        <w:t>o</w:t>
      </w:r>
      <w:r w:rsidRPr="00FF5ECD">
        <w:rPr>
          <w:rFonts w:eastAsia="Calibri"/>
          <w:sz w:val="28"/>
          <w:szCs w:val="28"/>
          <w:lang w:val="en-US" w:eastAsia="en-US"/>
        </w:rPr>
        <w:t>nitis</w:t>
      </w:r>
    </w:p>
    <w:p w14:paraId="12C27D4D" w14:textId="77777777" w:rsidR="00FF5ECD" w:rsidRPr="00FF5ECD" w:rsidRDefault="00FF5ECD" w:rsidP="00FF5ECD">
      <w:pPr>
        <w:tabs>
          <w:tab w:val="left" w:pos="5145"/>
        </w:tabs>
        <w:suppressAutoHyphens/>
        <w:autoSpaceDN w:val="0"/>
        <w:spacing w:line="360" w:lineRule="auto"/>
        <w:jc w:val="both"/>
        <w:rPr>
          <w:rFonts w:eastAsia="Calibri"/>
          <w:lang w:val="en-US" w:eastAsia="en-US"/>
        </w:rPr>
      </w:pPr>
    </w:p>
    <w:p w14:paraId="4A4DB9DB"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r w:rsidRPr="00FF5ECD">
        <w:rPr>
          <w:rFonts w:eastAsia="Calibri"/>
          <w:lang w:val="es-ES" w:eastAsia="en-US"/>
        </w:rPr>
        <w:t xml:space="preserve">Rafael Ferrer </w:t>
      </w:r>
      <w:proofErr w:type="spellStart"/>
      <w:r w:rsidRPr="00FF5ECD">
        <w:rPr>
          <w:rFonts w:eastAsia="Calibri"/>
          <w:lang w:val="es-ES" w:eastAsia="en-US"/>
        </w:rPr>
        <w:t>Montoya</w:t>
      </w:r>
      <w:r w:rsidRPr="00FF5ECD">
        <w:rPr>
          <w:rFonts w:eastAsia="Calibri"/>
          <w:vertAlign w:val="superscript"/>
          <w:lang w:val="es-ES" w:eastAsia="en-US"/>
        </w:rPr>
        <w:t>1</w:t>
      </w:r>
      <w:proofErr w:type="spellEnd"/>
      <w:r w:rsidRPr="00FF5ECD">
        <w:rPr>
          <w:rFonts w:eastAsia="Calibri"/>
          <w:vertAlign w:val="superscript"/>
          <w:lang w:val="es-ES" w:eastAsia="en-US"/>
        </w:rPr>
        <w:t xml:space="preserve"> </w:t>
      </w:r>
      <w:r w:rsidRPr="00FF5ECD">
        <w:rPr>
          <w:rFonts w:eastAsia="Calibri"/>
          <w:lang w:val="es-ES" w:eastAsia="en-US"/>
        </w:rPr>
        <w:t xml:space="preserve">⃰  </w:t>
      </w:r>
      <w:hyperlink r:id="rId7" w:history="1">
        <w:r w:rsidRPr="00FF5ECD">
          <w:rPr>
            <w:rFonts w:eastAsia="Calibri"/>
            <w:color w:val="0563C1"/>
            <w:u w:color="000000"/>
            <w:lang w:val="es-ES" w:eastAsia="en-US"/>
          </w:rPr>
          <w:t>https://orcid.org/0000-0001-5235-7675</w:t>
        </w:r>
      </w:hyperlink>
      <w:r w:rsidRPr="00FF5ECD">
        <w:rPr>
          <w:rFonts w:eastAsia="Calibri"/>
          <w:lang w:val="es-ES" w:eastAsia="en-US"/>
        </w:rPr>
        <w:t xml:space="preserve"> </w:t>
      </w:r>
    </w:p>
    <w:p w14:paraId="22DFD9F5" w14:textId="77777777" w:rsidR="00FF5ECD" w:rsidRPr="00FF5ECD" w:rsidRDefault="00FF5ECD" w:rsidP="00FF5ECD">
      <w:pPr>
        <w:tabs>
          <w:tab w:val="left" w:pos="5145"/>
        </w:tabs>
        <w:suppressAutoHyphens/>
        <w:autoSpaceDN w:val="0"/>
        <w:spacing w:line="360" w:lineRule="auto"/>
        <w:jc w:val="both"/>
        <w:rPr>
          <w:rFonts w:eastAsia="Calibri"/>
          <w:lang w:val="es-MX" w:eastAsia="en-US"/>
        </w:rPr>
      </w:pPr>
      <w:proofErr w:type="spellStart"/>
      <w:r w:rsidRPr="00FF5ECD">
        <w:rPr>
          <w:rFonts w:eastAsia="Calibri"/>
          <w:lang w:val="es-MX" w:eastAsia="en-US"/>
        </w:rPr>
        <w:t>Johani</w:t>
      </w:r>
      <w:proofErr w:type="spellEnd"/>
      <w:r w:rsidRPr="00FF5ECD">
        <w:rPr>
          <w:rFonts w:eastAsia="Calibri"/>
          <w:lang w:val="es-MX" w:eastAsia="en-US"/>
        </w:rPr>
        <w:t xml:space="preserve"> García </w:t>
      </w:r>
      <w:proofErr w:type="spellStart"/>
      <w:r w:rsidRPr="00FF5ECD">
        <w:rPr>
          <w:rFonts w:eastAsia="Calibri"/>
          <w:lang w:val="es-MX" w:eastAsia="en-US"/>
        </w:rPr>
        <w:t>Mederos</w:t>
      </w:r>
      <w:r w:rsidRPr="00FF5ECD">
        <w:rPr>
          <w:rFonts w:eastAsia="Calibri"/>
          <w:vertAlign w:val="superscript"/>
          <w:lang w:val="es-MX" w:eastAsia="en-US"/>
        </w:rPr>
        <w:t>1</w:t>
      </w:r>
      <w:proofErr w:type="spellEnd"/>
      <w:r w:rsidRPr="00FF5ECD">
        <w:rPr>
          <w:rFonts w:eastAsia="Calibri"/>
          <w:vertAlign w:val="superscript"/>
          <w:lang w:val="es-MX" w:eastAsia="en-US"/>
        </w:rPr>
        <w:t xml:space="preserve"> </w:t>
      </w:r>
      <w:hyperlink r:id="rId8" w:history="1">
        <w:r w:rsidRPr="00FF5ECD">
          <w:rPr>
            <w:rFonts w:eastAsia="Calibri"/>
            <w:color w:val="0563C1"/>
            <w:u w:color="000000"/>
            <w:lang w:val="es-MX" w:eastAsia="en-US"/>
          </w:rPr>
          <w:t>https://orcid.org/0000-0003-2518-0434</w:t>
        </w:r>
      </w:hyperlink>
      <w:r w:rsidRPr="00FF5ECD">
        <w:rPr>
          <w:rFonts w:eastAsia="Calibri"/>
          <w:vertAlign w:val="superscript"/>
          <w:lang w:val="es-MX" w:eastAsia="en-US"/>
        </w:rPr>
        <w:t xml:space="preserve"> </w:t>
      </w:r>
    </w:p>
    <w:p w14:paraId="00B945DA"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r w:rsidRPr="00FF5ECD">
        <w:rPr>
          <w:rFonts w:eastAsia="Calibri"/>
          <w:lang w:val="es-ES" w:eastAsia="en-US"/>
        </w:rPr>
        <w:t xml:space="preserve">Tatiana Cedeño </w:t>
      </w:r>
      <w:proofErr w:type="spellStart"/>
      <w:r w:rsidRPr="00FF5ECD">
        <w:rPr>
          <w:rFonts w:eastAsia="Calibri"/>
          <w:lang w:val="es-ES" w:eastAsia="en-US"/>
        </w:rPr>
        <w:t>Escalona</w:t>
      </w:r>
      <w:r w:rsidRPr="00FF5ECD">
        <w:rPr>
          <w:rFonts w:eastAsia="Calibri"/>
          <w:vertAlign w:val="superscript"/>
          <w:lang w:val="es-ES" w:eastAsia="en-US"/>
        </w:rPr>
        <w:t>1</w:t>
      </w:r>
      <w:proofErr w:type="spellEnd"/>
      <w:r w:rsidRPr="00FF5ECD">
        <w:rPr>
          <w:rFonts w:eastAsia="Calibri"/>
          <w:vertAlign w:val="superscript"/>
          <w:lang w:val="es-ES" w:eastAsia="en-US"/>
        </w:rPr>
        <w:t xml:space="preserve"> </w:t>
      </w:r>
      <w:hyperlink r:id="rId9" w:history="1">
        <w:r w:rsidRPr="00FF5ECD">
          <w:rPr>
            <w:rFonts w:eastAsia="Calibri"/>
            <w:color w:val="0563C1"/>
            <w:u w:color="000000"/>
            <w:lang w:val="es-ES" w:eastAsia="en-US"/>
          </w:rPr>
          <w:t>https://orcid.org/0000-0003-1819-5363</w:t>
        </w:r>
      </w:hyperlink>
      <w:r w:rsidRPr="00FF5ECD">
        <w:rPr>
          <w:rFonts w:eastAsia="Calibri"/>
          <w:lang w:val="es-ES" w:eastAsia="en-US"/>
        </w:rPr>
        <w:t xml:space="preserve"> </w:t>
      </w:r>
    </w:p>
    <w:p w14:paraId="5EB9785C"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proofErr w:type="spellStart"/>
      <w:r w:rsidRPr="00FF5ECD">
        <w:rPr>
          <w:rFonts w:eastAsia="Calibri"/>
          <w:lang w:val="es-ES" w:eastAsia="en-US"/>
        </w:rPr>
        <w:t>Yenia</w:t>
      </w:r>
      <w:proofErr w:type="spellEnd"/>
      <w:r w:rsidRPr="00FF5ECD">
        <w:rPr>
          <w:rFonts w:eastAsia="Calibri"/>
          <w:lang w:val="es-ES" w:eastAsia="en-US"/>
        </w:rPr>
        <w:t xml:space="preserve"> Díaz </w:t>
      </w:r>
      <w:proofErr w:type="spellStart"/>
      <w:r w:rsidRPr="00FF5ECD">
        <w:rPr>
          <w:rFonts w:eastAsia="Calibri"/>
          <w:lang w:val="es-ES" w:eastAsia="en-US"/>
        </w:rPr>
        <w:t>Fonseca</w:t>
      </w:r>
      <w:r w:rsidRPr="00FF5ECD">
        <w:rPr>
          <w:rFonts w:eastAsia="Calibri"/>
          <w:vertAlign w:val="superscript"/>
          <w:lang w:val="es-ES" w:eastAsia="en-US"/>
        </w:rPr>
        <w:t>1</w:t>
      </w:r>
      <w:proofErr w:type="spellEnd"/>
      <w:r w:rsidRPr="00FF5ECD">
        <w:rPr>
          <w:rFonts w:eastAsia="Calibri"/>
          <w:lang w:val="es-ES" w:eastAsia="en-US"/>
        </w:rPr>
        <w:t xml:space="preserve"> </w:t>
      </w:r>
      <w:hyperlink r:id="rId10" w:history="1">
        <w:r w:rsidRPr="00FF5ECD">
          <w:rPr>
            <w:rFonts w:eastAsia="Calibri"/>
            <w:color w:val="0563C1"/>
            <w:u w:color="000000"/>
            <w:lang w:val="es-ES" w:eastAsia="en-US"/>
          </w:rPr>
          <w:t>https://orcid.org/0000-0002-3638-8583</w:t>
        </w:r>
      </w:hyperlink>
      <w:r w:rsidRPr="00FF5ECD">
        <w:rPr>
          <w:rFonts w:eastAsia="Calibri"/>
          <w:lang w:val="es-ES" w:eastAsia="en-US"/>
        </w:rPr>
        <w:t xml:space="preserve">   </w:t>
      </w:r>
    </w:p>
    <w:p w14:paraId="0C4B5C29"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r w:rsidRPr="00FF5ECD">
        <w:rPr>
          <w:rFonts w:eastAsia="Calibri"/>
          <w:lang w:val="es-ES" w:eastAsia="en-US"/>
        </w:rPr>
        <w:t xml:space="preserve">Reinaldo López </w:t>
      </w:r>
      <w:proofErr w:type="spellStart"/>
      <w:r w:rsidRPr="00FF5ECD">
        <w:rPr>
          <w:rFonts w:eastAsia="Calibri"/>
          <w:lang w:val="es-ES" w:eastAsia="en-US"/>
        </w:rPr>
        <w:t>Barroso</w:t>
      </w:r>
      <w:r w:rsidRPr="00FF5ECD">
        <w:rPr>
          <w:rFonts w:eastAsia="Calibri"/>
          <w:vertAlign w:val="superscript"/>
          <w:lang w:val="es-ES" w:eastAsia="en-US"/>
        </w:rPr>
        <w:t>2</w:t>
      </w:r>
      <w:proofErr w:type="spellEnd"/>
      <w:r w:rsidRPr="00FF5ECD">
        <w:rPr>
          <w:rFonts w:eastAsia="Calibri"/>
          <w:lang w:val="es-ES" w:eastAsia="en-US"/>
        </w:rPr>
        <w:t xml:space="preserve"> </w:t>
      </w:r>
      <w:hyperlink r:id="rId11" w:history="1">
        <w:r w:rsidRPr="00FF5ECD">
          <w:rPr>
            <w:rFonts w:eastAsia="Calibri"/>
            <w:color w:val="0563C1"/>
            <w:u w:color="000000"/>
            <w:lang w:val="es-ES" w:eastAsia="en-US"/>
          </w:rPr>
          <w:t>https://orcid.org/0000-0003-4694-2434</w:t>
        </w:r>
      </w:hyperlink>
      <w:r w:rsidRPr="00FF5ECD">
        <w:rPr>
          <w:rFonts w:eastAsia="Calibri"/>
          <w:lang w:val="es-ES" w:eastAsia="en-US"/>
        </w:rPr>
        <w:t xml:space="preserve"> </w:t>
      </w:r>
      <w:r w:rsidRPr="00FF5ECD">
        <w:rPr>
          <w:rFonts w:eastAsia="Calibri"/>
          <w:vertAlign w:val="superscript"/>
          <w:lang w:val="es-ES" w:eastAsia="en-US"/>
        </w:rPr>
        <w:t xml:space="preserve"> </w:t>
      </w:r>
    </w:p>
    <w:p w14:paraId="421B3DB4" w14:textId="77777777" w:rsidR="00FF5ECD" w:rsidRPr="00FF5ECD" w:rsidRDefault="00FF5ECD" w:rsidP="00FF5ECD">
      <w:pPr>
        <w:tabs>
          <w:tab w:val="left" w:pos="5145"/>
        </w:tabs>
        <w:suppressAutoHyphens/>
        <w:autoSpaceDN w:val="0"/>
        <w:spacing w:line="360" w:lineRule="auto"/>
        <w:jc w:val="both"/>
        <w:rPr>
          <w:rFonts w:eastAsia="Calibri"/>
          <w:highlight w:val="yellow"/>
          <w:vertAlign w:val="superscript"/>
          <w:lang w:val="es-ES" w:eastAsia="en-US"/>
        </w:rPr>
      </w:pPr>
    </w:p>
    <w:p w14:paraId="2A1AEDB2"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proofErr w:type="spellStart"/>
      <w:r w:rsidRPr="00FF5ECD">
        <w:rPr>
          <w:rFonts w:eastAsia="Calibri"/>
          <w:vertAlign w:val="superscript"/>
          <w:lang w:val="es-ES" w:eastAsia="en-US"/>
        </w:rPr>
        <w:t>1</w:t>
      </w:r>
      <w:r w:rsidRPr="00FF5ECD">
        <w:rPr>
          <w:rFonts w:eastAsia="Calibri"/>
          <w:lang w:val="es-ES" w:eastAsia="en-US"/>
        </w:rPr>
        <w:t>Universidad</w:t>
      </w:r>
      <w:proofErr w:type="spellEnd"/>
      <w:r w:rsidRPr="00FF5ECD">
        <w:rPr>
          <w:rFonts w:eastAsia="Calibri"/>
          <w:lang w:val="es-ES" w:eastAsia="en-US"/>
        </w:rPr>
        <w:t xml:space="preserve"> de Ciencias Médicas de Granma. Hospital General Provincial “Carlos Manuel de </w:t>
      </w:r>
      <w:proofErr w:type="spellStart"/>
      <w:r w:rsidRPr="00FF5ECD">
        <w:rPr>
          <w:rFonts w:eastAsia="Calibri"/>
          <w:lang w:val="es-ES" w:eastAsia="en-US"/>
        </w:rPr>
        <w:t>Céspedes</w:t>
      </w:r>
      <w:proofErr w:type="spellEnd"/>
      <w:r w:rsidRPr="00FF5ECD">
        <w:rPr>
          <w:rFonts w:eastAsia="Calibri"/>
          <w:lang w:val="es-ES" w:eastAsia="en-US"/>
        </w:rPr>
        <w:t xml:space="preserve">”. Granma, Bayamo, Cuba. </w:t>
      </w:r>
    </w:p>
    <w:p w14:paraId="661D8E31"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proofErr w:type="spellStart"/>
      <w:r w:rsidRPr="00FF5ECD">
        <w:rPr>
          <w:rFonts w:eastAsia="Calibri"/>
          <w:vertAlign w:val="superscript"/>
          <w:lang w:val="es-ES" w:eastAsia="en-US"/>
        </w:rPr>
        <w:t>2</w:t>
      </w:r>
      <w:r w:rsidRPr="00FF5ECD">
        <w:rPr>
          <w:rFonts w:eastAsia="Calibri"/>
          <w:lang w:val="es-ES" w:eastAsia="en-US"/>
        </w:rPr>
        <w:t>Universidad</w:t>
      </w:r>
      <w:proofErr w:type="spellEnd"/>
      <w:r w:rsidRPr="00FF5ECD">
        <w:rPr>
          <w:rFonts w:eastAsia="Calibri"/>
          <w:lang w:val="es-ES" w:eastAsia="en-US"/>
        </w:rPr>
        <w:t xml:space="preserve"> de Ciencias Médicas de Santiago de Cuba. Hospital General “Juan Bruno Zayas”. Santiago de Cuba, Cuba.</w:t>
      </w:r>
    </w:p>
    <w:p w14:paraId="16E4E76A"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p>
    <w:p w14:paraId="668E796A" w14:textId="6EB5BDB5" w:rsidR="00FF5ECD" w:rsidRPr="00FF5ECD" w:rsidRDefault="00FF5ECD" w:rsidP="00FF5ECD">
      <w:pPr>
        <w:tabs>
          <w:tab w:val="left" w:pos="5145"/>
        </w:tabs>
        <w:suppressAutoHyphens/>
        <w:autoSpaceDN w:val="0"/>
        <w:spacing w:line="360" w:lineRule="auto"/>
        <w:jc w:val="both"/>
        <w:rPr>
          <w:rFonts w:eastAsia="Calibri"/>
          <w:lang w:val="es-ES" w:eastAsia="en-US"/>
        </w:rPr>
      </w:pPr>
      <w:r w:rsidRPr="00FF5ECD">
        <w:rPr>
          <w:rFonts w:eastAsia="Calibri"/>
          <w:b/>
          <w:lang w:val="es-ES" w:eastAsia="en-US"/>
        </w:rPr>
        <w:t>*</w:t>
      </w:r>
      <w:r w:rsidRPr="00FF5ECD">
        <w:rPr>
          <w:rFonts w:eastAsia="Calibri"/>
          <w:lang w:val="es-ES" w:eastAsia="en-US"/>
        </w:rPr>
        <w:t xml:space="preserve">Autor para la correspondencia. Correo electrónico: </w:t>
      </w:r>
      <w:hyperlink r:id="rId12" w:history="1">
        <w:r w:rsidRPr="00FF5ECD">
          <w:rPr>
            <w:rFonts w:eastAsia="Calibri"/>
            <w:u w:color="000000"/>
            <w:lang w:val="es-ES" w:eastAsia="en-US"/>
          </w:rPr>
          <w:t>montoyar.grm@infomed.sld.cu</w:t>
        </w:r>
      </w:hyperlink>
      <w:r w:rsidR="00693639">
        <w:rPr>
          <w:rFonts w:eastAsia="Calibri"/>
          <w:u w:color="000000"/>
          <w:lang w:val="es-ES" w:eastAsia="en-US"/>
        </w:rPr>
        <w:t xml:space="preserve"> </w:t>
      </w:r>
    </w:p>
    <w:p w14:paraId="02D4C249" w14:textId="77777777" w:rsidR="00FF5ECD" w:rsidRPr="00FF5ECD" w:rsidRDefault="00FF5ECD" w:rsidP="00FF5ECD">
      <w:pPr>
        <w:tabs>
          <w:tab w:val="left" w:pos="5145"/>
        </w:tabs>
        <w:suppressAutoHyphens/>
        <w:autoSpaceDN w:val="0"/>
        <w:spacing w:line="360" w:lineRule="auto"/>
        <w:jc w:val="both"/>
        <w:rPr>
          <w:rFonts w:eastAsia="Calibri"/>
          <w:lang w:val="es-ES" w:eastAsia="en-US"/>
        </w:rPr>
      </w:pPr>
    </w:p>
    <w:p w14:paraId="372E17C7" w14:textId="77777777" w:rsidR="00FF5ECD" w:rsidRPr="00FF5ECD" w:rsidRDefault="00FF5ECD" w:rsidP="00FF5ECD">
      <w:pPr>
        <w:suppressAutoHyphens/>
        <w:autoSpaceDN w:val="0"/>
        <w:spacing w:line="360" w:lineRule="auto"/>
        <w:jc w:val="both"/>
        <w:rPr>
          <w:rFonts w:eastAsia="Calibri"/>
          <w:b/>
          <w:lang w:val="es-ES" w:eastAsia="en-US"/>
        </w:rPr>
      </w:pPr>
      <w:r w:rsidRPr="00FF5ECD">
        <w:rPr>
          <w:rFonts w:eastAsia="Calibri"/>
          <w:b/>
          <w:lang w:val="es-ES" w:eastAsia="en-US"/>
        </w:rPr>
        <w:t>RESUMEN</w:t>
      </w:r>
    </w:p>
    <w:p w14:paraId="7E52FC0B"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b/>
          <w:lang w:val="es-ES" w:eastAsia="en-US"/>
        </w:rPr>
        <w:t>Introducción</w:t>
      </w:r>
      <w:r w:rsidRPr="00FF5ECD">
        <w:rPr>
          <w:rFonts w:eastAsia="Malgun Gothic"/>
          <w:b/>
          <w:bCs/>
          <w:lang w:val="es-ES" w:eastAsia="en-US"/>
        </w:rPr>
        <w:t>:</w:t>
      </w:r>
      <w:r w:rsidRPr="00FF5ECD">
        <w:rPr>
          <w:rFonts w:eastAsia="Malgun Gothic"/>
          <w:lang w:val="es-ES" w:eastAsia="en-US"/>
        </w:rPr>
        <w:t xml:space="preserve"> La infección bacteriana de inicio precoz es una afección del neonato que constituye una causa importante de morbilidad y mortalidad neonatal.</w:t>
      </w:r>
    </w:p>
    <w:p w14:paraId="509C1F2A"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Malgun Gothic"/>
          <w:b/>
          <w:lang w:val="es-ES" w:eastAsia="en-US"/>
        </w:rPr>
        <w:t>Objetivo</w:t>
      </w:r>
      <w:r w:rsidRPr="00FF5ECD">
        <w:rPr>
          <w:rFonts w:eastAsia="Malgun Gothic"/>
          <w:b/>
          <w:bCs/>
          <w:lang w:val="es-ES" w:eastAsia="en-US"/>
        </w:rPr>
        <w:t>:</w:t>
      </w:r>
      <w:r w:rsidRPr="00FF5ECD">
        <w:rPr>
          <w:rFonts w:eastAsia="Calibri"/>
          <w:lang w:val="es-ES" w:eastAsia="en-US"/>
        </w:rPr>
        <w:t xml:space="preserve"> Identificar en neonatos pretérminos la corioamnionitis histológica como factor de riesgo y su influencia en la infección neonatal, así como la construcción de una escala de gravedad en la histología de las estructuras placentarias. </w:t>
      </w:r>
    </w:p>
    <w:p w14:paraId="10648120"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b/>
          <w:lang w:val="es-ES" w:eastAsia="en-US"/>
        </w:rPr>
        <w:lastRenderedPageBreak/>
        <w:t>Método</w:t>
      </w:r>
      <w:r w:rsidRPr="00FF5ECD">
        <w:rPr>
          <w:rFonts w:eastAsia="Malgun Gothic"/>
          <w:lang w:val="es-ES" w:eastAsia="en-US"/>
        </w:rPr>
        <w:t xml:space="preserve">: Se realizó una investigación analítica de casos y controles cuya muestra estuvo constituida por 450 recién nacidos (casos) con infección bacteriana precoz de inicio precoz y 900 recién nacidos (controles) que no presentaron dicha afección en las primeras 72 horas de vida. </w:t>
      </w:r>
    </w:p>
    <w:p w14:paraId="7ABA6D8E"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b/>
          <w:lang w:val="es-ES" w:eastAsia="en-US"/>
        </w:rPr>
        <w:t>Resultado:</w:t>
      </w:r>
      <w:r w:rsidRPr="00FF5ECD">
        <w:rPr>
          <w:rFonts w:eastAsia="Malgun Gothic"/>
          <w:lang w:val="es-ES" w:eastAsia="en-US"/>
        </w:rPr>
        <w:t xml:space="preserve"> La corioamnionitis histológica se diagnosticó en 96 recién nacidos para el 21,3 %, con </w:t>
      </w:r>
      <w:proofErr w:type="spellStart"/>
      <w:r w:rsidRPr="00FF5ECD">
        <w:rPr>
          <w:rFonts w:eastAsia="Malgun Gothic"/>
          <w:i/>
          <w:iCs/>
          <w:lang w:val="es-ES" w:eastAsia="en-US"/>
        </w:rPr>
        <w:t>odd</w:t>
      </w:r>
      <w:proofErr w:type="spellEnd"/>
      <w:r w:rsidRPr="00FF5ECD">
        <w:rPr>
          <w:rFonts w:eastAsia="Malgun Gothic"/>
          <w:i/>
          <w:iCs/>
          <w:lang w:val="es-ES" w:eastAsia="en-US"/>
        </w:rPr>
        <w:t xml:space="preserve"> ratio</w:t>
      </w:r>
      <w:r w:rsidRPr="00FF5ECD">
        <w:rPr>
          <w:rFonts w:eastAsia="Malgun Gothic"/>
          <w:lang w:val="es-ES" w:eastAsia="en-US"/>
        </w:rPr>
        <w:t xml:space="preserve"> (</w:t>
      </w:r>
      <w:proofErr w:type="spellStart"/>
      <w:r w:rsidRPr="00FF5ECD">
        <w:rPr>
          <w:rFonts w:eastAsia="Malgun Gothic"/>
          <w:lang w:val="es-ES" w:eastAsia="en-US"/>
        </w:rPr>
        <w:t>OR</w:t>
      </w:r>
      <w:proofErr w:type="spellEnd"/>
      <w:r w:rsidRPr="00FF5ECD">
        <w:rPr>
          <w:rFonts w:eastAsia="Malgun Gothic"/>
          <w:lang w:val="es-ES" w:eastAsia="en-US"/>
        </w:rPr>
        <w:t xml:space="preserve">)= 26,84; intervalo de confianza (IC) 95 %: [13,40-53,75] con p= 0,000; en los controles solo 9 recién nacidos presentaron histología placentaria positiva (1,0 %) de las 96 placentas con histología positiva; 20 pertenecieron al grupo A (ligero) (20,8 %); 45 placentas al grupo B (moderado) (46,9 %) y 31 al grupo C (grave) (32,3 %); de las 9 placentas analizadas en los controles solo 7 pertenecieron al grupo de las ligeras que representan el 77,8 %  y en los casos un 20,8 %. </w:t>
      </w:r>
    </w:p>
    <w:p w14:paraId="5D09E4FC"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b/>
          <w:lang w:val="es-ES" w:eastAsia="en-US"/>
        </w:rPr>
        <w:t>Conclusiones</w:t>
      </w:r>
      <w:r w:rsidRPr="00FF5ECD">
        <w:rPr>
          <w:rFonts w:eastAsia="Malgun Gothic"/>
          <w:lang w:val="es-ES" w:eastAsia="en-US"/>
        </w:rPr>
        <w:t>: La corioamnionitis histológica constituye un factor de riesgo importante y significativo, se construyó una escala de gravedad en las placentas con histología positivas, esta clasificación representa un aporte teórico, pues al aumentar la gravedad es más evidente la clínica de infección bacteriana en neonatos pretérminos.</w:t>
      </w:r>
    </w:p>
    <w:p w14:paraId="5FA26FE3" w14:textId="77777777" w:rsidR="00FF5ECD" w:rsidRPr="00FF5ECD" w:rsidRDefault="00FF5ECD" w:rsidP="00FF5ECD">
      <w:pPr>
        <w:tabs>
          <w:tab w:val="right" w:pos="8838"/>
        </w:tabs>
        <w:suppressAutoHyphens/>
        <w:autoSpaceDN w:val="0"/>
        <w:spacing w:line="360" w:lineRule="auto"/>
        <w:jc w:val="both"/>
        <w:rPr>
          <w:rFonts w:eastAsia="Malgun Gothic"/>
          <w:lang w:val="es-ES" w:eastAsia="en-US"/>
        </w:rPr>
      </w:pPr>
      <w:r w:rsidRPr="00FF5ECD">
        <w:rPr>
          <w:rFonts w:eastAsia="Malgun Gothic"/>
          <w:b/>
          <w:lang w:val="es-ES" w:eastAsia="en-US"/>
        </w:rPr>
        <w:t>Palabras claves</w:t>
      </w:r>
      <w:r w:rsidRPr="00FF5ECD">
        <w:rPr>
          <w:rFonts w:eastAsia="Malgun Gothic"/>
          <w:lang w:val="es-ES" w:eastAsia="en-US"/>
        </w:rPr>
        <w:t>: corioamnionitis; histología; investigación; morbilidad; placenta.</w:t>
      </w:r>
      <w:r w:rsidRPr="00FF5ECD">
        <w:rPr>
          <w:rFonts w:eastAsia="Malgun Gothic"/>
          <w:lang w:val="es-ES" w:eastAsia="en-US"/>
        </w:rPr>
        <w:tab/>
      </w:r>
    </w:p>
    <w:p w14:paraId="75AB3738" w14:textId="77777777" w:rsidR="00FF5ECD" w:rsidRPr="00FF5ECD" w:rsidRDefault="00FF5ECD" w:rsidP="00FF5ECD">
      <w:pPr>
        <w:suppressAutoHyphens/>
        <w:autoSpaceDN w:val="0"/>
        <w:spacing w:line="360" w:lineRule="auto"/>
        <w:jc w:val="both"/>
        <w:rPr>
          <w:rFonts w:eastAsia="Malgun Gothic"/>
          <w:lang w:val="es-ES" w:eastAsia="en-US"/>
        </w:rPr>
      </w:pPr>
    </w:p>
    <w:p w14:paraId="447264CB" w14:textId="77777777" w:rsidR="00FF5ECD" w:rsidRPr="00FF5ECD" w:rsidRDefault="00FF5ECD" w:rsidP="00FF5ECD">
      <w:pPr>
        <w:suppressAutoHyphens/>
        <w:autoSpaceDN w:val="0"/>
        <w:spacing w:line="360" w:lineRule="auto"/>
        <w:jc w:val="both"/>
        <w:rPr>
          <w:rFonts w:eastAsia="Malgun Gothic"/>
          <w:b/>
          <w:lang w:val="en-US" w:eastAsia="en-US"/>
        </w:rPr>
      </w:pPr>
      <w:r w:rsidRPr="00FF5ECD">
        <w:rPr>
          <w:rFonts w:eastAsia="Malgun Gothic"/>
          <w:b/>
          <w:lang w:val="en-US" w:eastAsia="en-US"/>
        </w:rPr>
        <w:t xml:space="preserve">ABSTRACT </w:t>
      </w:r>
    </w:p>
    <w:p w14:paraId="7391868D" w14:textId="77777777" w:rsidR="00FF5ECD" w:rsidRPr="00FF5ECD" w:rsidRDefault="00FF5ECD" w:rsidP="00FF5ECD">
      <w:pPr>
        <w:suppressAutoHyphens/>
        <w:autoSpaceDN w:val="0"/>
        <w:spacing w:line="360" w:lineRule="auto"/>
        <w:jc w:val="both"/>
        <w:rPr>
          <w:rFonts w:eastAsia="Malgun Gothic"/>
          <w:lang w:val="en-US" w:eastAsia="en-US"/>
        </w:rPr>
      </w:pPr>
      <w:r w:rsidRPr="00FF5ECD">
        <w:rPr>
          <w:rFonts w:eastAsia="Malgun Gothic"/>
          <w:b/>
          <w:lang w:val="en-US" w:eastAsia="en-US"/>
        </w:rPr>
        <w:t>Introduction:</w:t>
      </w:r>
      <w:r w:rsidRPr="00FF5ECD">
        <w:rPr>
          <w:rFonts w:eastAsia="Malgun Gothic"/>
          <w:lang w:val="en-US" w:eastAsia="en-US"/>
        </w:rPr>
        <w:t xml:space="preserve"> Early onset bacterial infection is a neonate condition that is an important cause of neonatal morbidity and mortality.</w:t>
      </w:r>
    </w:p>
    <w:p w14:paraId="30E3C204" w14:textId="77777777" w:rsidR="00FF5ECD" w:rsidRPr="00FF5ECD" w:rsidRDefault="00FF5ECD" w:rsidP="00FF5ECD">
      <w:pPr>
        <w:suppressAutoHyphens/>
        <w:autoSpaceDN w:val="0"/>
        <w:spacing w:line="360" w:lineRule="auto"/>
        <w:jc w:val="both"/>
        <w:rPr>
          <w:rFonts w:eastAsia="Malgun Gothic"/>
          <w:lang w:val="en-US" w:eastAsia="en-US"/>
        </w:rPr>
      </w:pPr>
      <w:r w:rsidRPr="00FF5ECD">
        <w:rPr>
          <w:rFonts w:eastAsia="Malgun Gothic"/>
          <w:b/>
          <w:lang w:val="en-US" w:eastAsia="en-US"/>
        </w:rPr>
        <w:t>Objective:</w:t>
      </w:r>
      <w:r w:rsidRPr="00FF5ECD">
        <w:rPr>
          <w:rFonts w:eastAsia="Malgun Gothic"/>
          <w:lang w:val="en-US" w:eastAsia="en-US"/>
        </w:rPr>
        <w:t xml:space="preserve"> To identify histological chorioamnionitis as a risk factor and its influence on neonatal infection in preterm neonates, as well as the construction of a severity scale in the histology of placental structures. </w:t>
      </w:r>
    </w:p>
    <w:p w14:paraId="2C96D16C" w14:textId="77777777" w:rsidR="00FF5ECD" w:rsidRPr="00FF5ECD" w:rsidRDefault="00FF5ECD" w:rsidP="00FF5ECD">
      <w:pPr>
        <w:suppressAutoHyphens/>
        <w:autoSpaceDN w:val="0"/>
        <w:spacing w:line="360" w:lineRule="auto"/>
        <w:jc w:val="both"/>
        <w:rPr>
          <w:rFonts w:eastAsia="Malgun Gothic"/>
          <w:lang w:val="en-US" w:eastAsia="en-US"/>
        </w:rPr>
      </w:pPr>
      <w:r w:rsidRPr="00FF5ECD">
        <w:rPr>
          <w:rFonts w:eastAsia="Malgun Gothic"/>
          <w:b/>
          <w:lang w:val="en-US" w:eastAsia="en-US"/>
        </w:rPr>
        <w:t>Method:</w:t>
      </w:r>
      <w:r w:rsidRPr="00FF5ECD">
        <w:rPr>
          <w:rFonts w:eastAsia="Malgun Gothic"/>
          <w:lang w:val="en-US" w:eastAsia="en-US"/>
        </w:rPr>
        <w:t xml:space="preserve"> An analytical investigation of cases and controls was carried out, whose sample consisted of 450 newborns (cases) with early bacterial infection of early onset and 900 newborns (controls) who did not present this condition in the first 72 hours of life.</w:t>
      </w:r>
    </w:p>
    <w:p w14:paraId="30ECD807" w14:textId="77777777" w:rsidR="00FF5ECD" w:rsidRPr="00FF5ECD" w:rsidRDefault="00FF5ECD" w:rsidP="00FF5ECD">
      <w:pPr>
        <w:suppressAutoHyphens/>
        <w:autoSpaceDN w:val="0"/>
        <w:spacing w:line="360" w:lineRule="auto"/>
        <w:jc w:val="both"/>
        <w:rPr>
          <w:rFonts w:eastAsia="Malgun Gothic"/>
          <w:lang w:val="en-US" w:eastAsia="en-US"/>
        </w:rPr>
      </w:pPr>
      <w:r w:rsidRPr="00FF5ECD">
        <w:rPr>
          <w:rFonts w:eastAsia="Malgun Gothic"/>
          <w:b/>
          <w:lang w:val="en-US" w:eastAsia="en-US"/>
        </w:rPr>
        <w:t>Result:</w:t>
      </w:r>
      <w:r w:rsidRPr="00FF5ECD">
        <w:rPr>
          <w:rFonts w:eastAsia="Malgun Gothic"/>
          <w:lang w:val="en-US" w:eastAsia="en-US"/>
        </w:rPr>
        <w:t xml:space="preserve"> Histological chorioamnionitis was diagnosed in 96 newborns for 21.3 %, with odd ratio (OR) = 26.84; 95% confidence interval (CI): [13.40-53.75] with p= 0.000; In controls, only 9 infants had positive placental histology (1.0%) of the 96 placentas with positive histology; 20 belonged to group A (light) (20.8%); 45 placentas to group B (moderate) (46.9%) and 31 to group C (severe) (32.3%); Of the 9 </w:t>
      </w:r>
      <w:r w:rsidRPr="00FF5ECD">
        <w:rPr>
          <w:rFonts w:eastAsia="Malgun Gothic"/>
          <w:lang w:val="en-US" w:eastAsia="en-US"/>
        </w:rPr>
        <w:lastRenderedPageBreak/>
        <w:t xml:space="preserve">placentas analyzed in the controls, only 7 belonged to the group of light placentas that represent 77.8% and in cases 20.8%. </w:t>
      </w:r>
    </w:p>
    <w:p w14:paraId="09285C70" w14:textId="77777777" w:rsidR="00FF5ECD" w:rsidRPr="00FF5ECD" w:rsidRDefault="00FF5ECD" w:rsidP="00FF5ECD">
      <w:pPr>
        <w:suppressAutoHyphens/>
        <w:autoSpaceDN w:val="0"/>
        <w:spacing w:line="360" w:lineRule="auto"/>
        <w:jc w:val="both"/>
        <w:rPr>
          <w:rFonts w:eastAsia="Malgun Gothic"/>
          <w:lang w:val="en-US" w:eastAsia="en-US"/>
        </w:rPr>
      </w:pPr>
      <w:r w:rsidRPr="00FF5ECD">
        <w:rPr>
          <w:rFonts w:eastAsia="Malgun Gothic"/>
          <w:b/>
          <w:lang w:val="en-US" w:eastAsia="en-US"/>
        </w:rPr>
        <w:t>Conclusions:</w:t>
      </w:r>
      <w:r w:rsidRPr="00FF5ECD">
        <w:rPr>
          <w:rFonts w:eastAsia="Malgun Gothic"/>
          <w:lang w:val="en-US" w:eastAsia="en-US"/>
        </w:rPr>
        <w:t xml:space="preserve"> Histological chorioamnionitis is an important and significant risk factor, a severity scale was constructed in placentas with positive histology, this classification represents a theoretical contribution, since when increasing the </w:t>
      </w:r>
      <w:proofErr w:type="gramStart"/>
      <w:r w:rsidRPr="00FF5ECD">
        <w:rPr>
          <w:rFonts w:eastAsia="Malgun Gothic"/>
          <w:lang w:val="en-US" w:eastAsia="en-US"/>
        </w:rPr>
        <w:t>severity</w:t>
      </w:r>
      <w:proofErr w:type="gramEnd"/>
      <w:r w:rsidRPr="00FF5ECD">
        <w:rPr>
          <w:rFonts w:eastAsia="Malgun Gothic"/>
          <w:lang w:val="en-US" w:eastAsia="en-US"/>
        </w:rPr>
        <w:t xml:space="preserve"> the clinical bacterial infection in preterm neonates is more evident.</w:t>
      </w:r>
    </w:p>
    <w:p w14:paraId="6C6EEAA2" w14:textId="77777777" w:rsidR="00FF5ECD" w:rsidRPr="00FF5ECD" w:rsidRDefault="00FF5ECD" w:rsidP="00FF5ECD">
      <w:pPr>
        <w:suppressAutoHyphens/>
        <w:autoSpaceDN w:val="0"/>
        <w:spacing w:line="360" w:lineRule="auto"/>
        <w:jc w:val="both"/>
        <w:rPr>
          <w:rFonts w:eastAsia="Malgun Gothic"/>
          <w:lang w:val="en-US" w:eastAsia="en-US"/>
        </w:rPr>
      </w:pPr>
      <w:r w:rsidRPr="00FF5ECD">
        <w:rPr>
          <w:rFonts w:eastAsia="Malgun Gothic"/>
          <w:b/>
          <w:lang w:val="en-US" w:eastAsia="en-US"/>
        </w:rPr>
        <w:t>Keywords:</w:t>
      </w:r>
      <w:r w:rsidRPr="00FF5ECD">
        <w:rPr>
          <w:rFonts w:eastAsia="Malgun Gothic"/>
          <w:lang w:val="en-US" w:eastAsia="en-US"/>
        </w:rPr>
        <w:t xml:space="preserve"> chorioamnionitis; histology; research; morbidity; placenta.</w:t>
      </w:r>
    </w:p>
    <w:p w14:paraId="762C40A9" w14:textId="77777777" w:rsidR="00FF5ECD" w:rsidRPr="00FF5ECD" w:rsidRDefault="00FF5ECD" w:rsidP="00FF5ECD">
      <w:pPr>
        <w:suppressAutoHyphens/>
        <w:autoSpaceDN w:val="0"/>
        <w:spacing w:line="360" w:lineRule="auto"/>
        <w:jc w:val="both"/>
        <w:rPr>
          <w:rFonts w:eastAsia="Malgun Gothic"/>
          <w:lang w:val="en-US" w:eastAsia="en-US"/>
        </w:rPr>
      </w:pPr>
    </w:p>
    <w:p w14:paraId="1AB97E52" w14:textId="77777777" w:rsidR="00FF5ECD" w:rsidRPr="00FF5ECD" w:rsidRDefault="00FF5ECD" w:rsidP="00FF5ECD">
      <w:pPr>
        <w:suppressAutoHyphens/>
        <w:autoSpaceDN w:val="0"/>
        <w:spacing w:line="360" w:lineRule="auto"/>
        <w:jc w:val="both"/>
        <w:rPr>
          <w:rFonts w:eastAsia="Malgun Gothic"/>
          <w:lang w:val="en-US" w:eastAsia="en-US"/>
        </w:rPr>
      </w:pPr>
    </w:p>
    <w:p w14:paraId="592FCB0E" w14:textId="77777777" w:rsidR="00FF5ECD" w:rsidRPr="00FF5ECD" w:rsidRDefault="00FF5ECD" w:rsidP="00FF5ECD">
      <w:pPr>
        <w:suppressAutoHyphens/>
        <w:autoSpaceDN w:val="0"/>
        <w:spacing w:line="360" w:lineRule="auto"/>
        <w:jc w:val="both"/>
        <w:rPr>
          <w:rFonts w:eastAsia="Malgun Gothic"/>
          <w:lang w:val="es-MX" w:eastAsia="en-US"/>
        </w:rPr>
      </w:pPr>
      <w:r w:rsidRPr="00FF5ECD">
        <w:rPr>
          <w:rFonts w:eastAsia="Malgun Gothic"/>
          <w:lang w:val="es-MX" w:eastAsia="en-US"/>
        </w:rPr>
        <w:t>Recibido: 27/01/2023</w:t>
      </w:r>
    </w:p>
    <w:p w14:paraId="198DCBEE" w14:textId="77777777" w:rsidR="00FF5ECD" w:rsidRPr="00FF5ECD" w:rsidRDefault="00FF5ECD" w:rsidP="00FF5ECD">
      <w:pPr>
        <w:suppressAutoHyphens/>
        <w:autoSpaceDN w:val="0"/>
        <w:spacing w:line="360" w:lineRule="auto"/>
        <w:jc w:val="both"/>
        <w:rPr>
          <w:rFonts w:eastAsia="Malgun Gothic"/>
          <w:lang w:val="es-MX" w:eastAsia="en-US"/>
        </w:rPr>
      </w:pPr>
      <w:r w:rsidRPr="00FF5ECD">
        <w:rPr>
          <w:rFonts w:eastAsia="Malgun Gothic"/>
          <w:lang w:val="es-MX" w:eastAsia="en-US"/>
        </w:rPr>
        <w:t>Aprobado: 08/05/2023</w:t>
      </w:r>
    </w:p>
    <w:p w14:paraId="6FD515E4" w14:textId="77777777" w:rsidR="00FF5ECD" w:rsidRPr="00FF5ECD" w:rsidRDefault="00FF5ECD" w:rsidP="00FF5ECD">
      <w:pPr>
        <w:suppressAutoHyphens/>
        <w:autoSpaceDN w:val="0"/>
        <w:spacing w:line="360" w:lineRule="auto"/>
        <w:jc w:val="both"/>
        <w:rPr>
          <w:rFonts w:eastAsia="Malgun Gothic"/>
          <w:b/>
          <w:lang w:val="es-MX" w:eastAsia="en-US"/>
        </w:rPr>
      </w:pPr>
    </w:p>
    <w:p w14:paraId="5CB5C104" w14:textId="77777777" w:rsidR="00FF5ECD" w:rsidRPr="00FF5ECD" w:rsidRDefault="00FF5ECD" w:rsidP="00FF5ECD">
      <w:pPr>
        <w:suppressAutoHyphens/>
        <w:autoSpaceDN w:val="0"/>
        <w:spacing w:line="360" w:lineRule="auto"/>
        <w:jc w:val="both"/>
        <w:rPr>
          <w:rFonts w:eastAsia="Malgun Gothic"/>
          <w:lang w:val="es-MX" w:eastAsia="en-US"/>
        </w:rPr>
      </w:pPr>
    </w:p>
    <w:p w14:paraId="43BA9397" w14:textId="77777777" w:rsidR="00FF5ECD" w:rsidRPr="00FF5ECD" w:rsidRDefault="00FF5ECD" w:rsidP="00FF5ECD">
      <w:pPr>
        <w:tabs>
          <w:tab w:val="left" w:pos="1365"/>
        </w:tabs>
        <w:suppressAutoHyphens/>
        <w:autoSpaceDN w:val="0"/>
        <w:spacing w:line="360" w:lineRule="auto"/>
        <w:jc w:val="center"/>
        <w:rPr>
          <w:rFonts w:eastAsia="Calibri"/>
          <w:b/>
          <w:sz w:val="32"/>
          <w:szCs w:val="32"/>
          <w:lang w:val="es-ES" w:eastAsia="en-US"/>
        </w:rPr>
      </w:pPr>
      <w:r w:rsidRPr="00FF5ECD">
        <w:rPr>
          <w:rFonts w:eastAsia="Calibri"/>
          <w:b/>
          <w:sz w:val="32"/>
          <w:szCs w:val="32"/>
          <w:lang w:val="es-ES" w:eastAsia="en-US"/>
        </w:rPr>
        <w:t>INTRODUCCIÓN</w:t>
      </w:r>
    </w:p>
    <w:p w14:paraId="67BCD93A" w14:textId="77777777" w:rsidR="00FF5ECD" w:rsidRPr="00FF5ECD" w:rsidRDefault="00FF5ECD" w:rsidP="00FF5ECD">
      <w:pPr>
        <w:suppressAutoHyphens/>
        <w:autoSpaceDN w:val="0"/>
        <w:spacing w:line="360" w:lineRule="auto"/>
        <w:jc w:val="both"/>
        <w:rPr>
          <w:rFonts w:eastAsia="Calibri"/>
          <w:vertAlign w:val="superscript"/>
          <w:lang w:eastAsia="en-US"/>
        </w:rPr>
      </w:pPr>
      <w:r w:rsidRPr="00FF5ECD">
        <w:rPr>
          <w:rFonts w:eastAsia="Calibri"/>
          <w:lang w:eastAsia="en-US"/>
        </w:rPr>
        <w:t>En los últimos años se han conseguido avances importantes en el conocimiento de la epidemiología y la fisiopatología de la infección bacteriana neonatal. Existen nuevos esquemas de tratamiento y se ha logrado una mayor efectividad y respuesta que se añade a los beneficios mostrados por otras medidas en el tratamiento de los niños críticamente enfermos, Aunque los estudios</w:t>
      </w:r>
      <w:r w:rsidRPr="00FF5ECD">
        <w:rPr>
          <w:rFonts w:eastAsia="Calibri"/>
          <w:vertAlign w:val="superscript"/>
          <w:lang w:eastAsia="en-US"/>
        </w:rPr>
        <w:t xml:space="preserve"> </w:t>
      </w:r>
      <w:r w:rsidRPr="00FF5ECD">
        <w:rPr>
          <w:rFonts w:eastAsia="Calibri"/>
          <w:lang w:eastAsia="en-US"/>
        </w:rPr>
        <w:t xml:space="preserve">sobre la epidemiología de la infección presentan limitaciones y gran variabilidad de datos y </w:t>
      </w:r>
      <w:proofErr w:type="gramStart"/>
      <w:r w:rsidRPr="00FF5ECD">
        <w:rPr>
          <w:rFonts w:eastAsia="Calibri"/>
          <w:lang w:eastAsia="en-US"/>
        </w:rPr>
        <w:t>diseños.</w:t>
      </w:r>
      <w:r w:rsidRPr="00FF5ECD">
        <w:rPr>
          <w:rFonts w:eastAsia="Calibri"/>
          <w:vertAlign w:val="superscript"/>
          <w:lang w:eastAsia="en-US"/>
        </w:rPr>
        <w:t>(</w:t>
      </w:r>
      <w:proofErr w:type="gramEnd"/>
      <w:r w:rsidRPr="00FF5ECD">
        <w:rPr>
          <w:rFonts w:eastAsia="Calibri"/>
          <w:vertAlign w:val="superscript"/>
          <w:lang w:eastAsia="en-US"/>
        </w:rPr>
        <w:t>1,2,3)</w:t>
      </w:r>
    </w:p>
    <w:p w14:paraId="52E669F3" w14:textId="77777777" w:rsidR="00FF5ECD" w:rsidRPr="00FF5ECD" w:rsidRDefault="00FF5ECD" w:rsidP="00FF5ECD">
      <w:pPr>
        <w:suppressAutoHyphens/>
        <w:autoSpaceDN w:val="0"/>
        <w:spacing w:line="360" w:lineRule="auto"/>
        <w:jc w:val="both"/>
        <w:rPr>
          <w:rFonts w:eastAsia="Calibri"/>
          <w:vertAlign w:val="superscript"/>
          <w:lang w:val="es-ES" w:eastAsia="en-US"/>
        </w:rPr>
      </w:pPr>
      <w:r w:rsidRPr="00FF5ECD">
        <w:rPr>
          <w:rFonts w:eastAsia="Calibri"/>
          <w:lang w:val="es-ES" w:eastAsia="en-US"/>
        </w:rPr>
        <w:t>Se define como corioamnionitis histológica (</w:t>
      </w:r>
      <w:proofErr w:type="spellStart"/>
      <w:r w:rsidRPr="00FF5ECD">
        <w:rPr>
          <w:rFonts w:eastAsia="Calibri"/>
          <w:lang w:val="es-ES" w:eastAsia="en-US"/>
        </w:rPr>
        <w:t>CAH</w:t>
      </w:r>
      <w:proofErr w:type="spellEnd"/>
      <w:r w:rsidRPr="00FF5ECD">
        <w:rPr>
          <w:rFonts w:eastAsia="Calibri"/>
          <w:lang w:val="es-ES" w:eastAsia="en-US"/>
        </w:rPr>
        <w:t xml:space="preserve">) el conjunto de cambios inflamatorios de la placenta, el cordón y las membranas ovulares que ocurren en respuesta a la invasión del líquido amniótico por microrganismos procedentes del canal del parto, se caracteriza por el hallazgo de leucocitos polimorfonucleares de origen materno en las membranas ovulares y en la placa </w:t>
      </w:r>
      <w:proofErr w:type="spellStart"/>
      <w:r w:rsidRPr="00FF5ECD">
        <w:rPr>
          <w:rFonts w:eastAsia="Calibri"/>
          <w:lang w:val="es-ES" w:eastAsia="en-US"/>
        </w:rPr>
        <w:t>corial</w:t>
      </w:r>
      <w:proofErr w:type="spellEnd"/>
      <w:r w:rsidRPr="00FF5ECD">
        <w:rPr>
          <w:rFonts w:eastAsia="Calibri"/>
          <w:lang w:val="es-ES" w:eastAsia="en-US"/>
        </w:rPr>
        <w:t xml:space="preserve">, se reconoce como respuesta fetal histológica al hallazgo de migración de polimorfonucleares en las paredes de los vasos fetales de la placa </w:t>
      </w:r>
      <w:proofErr w:type="spellStart"/>
      <w:r w:rsidRPr="00FF5ECD">
        <w:rPr>
          <w:rFonts w:eastAsia="Calibri"/>
          <w:lang w:val="es-ES" w:eastAsia="en-US"/>
        </w:rPr>
        <w:t>corial</w:t>
      </w:r>
      <w:proofErr w:type="spellEnd"/>
      <w:r w:rsidRPr="00FF5ECD">
        <w:rPr>
          <w:rFonts w:eastAsia="Calibri"/>
          <w:lang w:val="es-ES" w:eastAsia="en-US"/>
        </w:rPr>
        <w:t xml:space="preserve"> y del cordón umbilical en dirección al amnios.</w:t>
      </w:r>
      <w:r w:rsidRPr="00FF5ECD">
        <w:rPr>
          <w:rFonts w:eastAsia="Calibri"/>
          <w:vertAlign w:val="superscript"/>
          <w:lang w:val="es-ES" w:eastAsia="en-US"/>
        </w:rPr>
        <w:t>(2,3,4)</w:t>
      </w:r>
    </w:p>
    <w:p w14:paraId="6C7B6DFC" w14:textId="77777777" w:rsidR="00FF5ECD" w:rsidRPr="00FF5ECD" w:rsidRDefault="00FF5ECD" w:rsidP="00FF5ECD">
      <w:pPr>
        <w:suppressAutoHyphens/>
        <w:autoSpaceDN w:val="0"/>
        <w:spacing w:line="360" w:lineRule="auto"/>
        <w:jc w:val="both"/>
        <w:rPr>
          <w:rFonts w:eastAsia="Calibri"/>
          <w:vertAlign w:val="superscript"/>
          <w:lang w:eastAsia="en-US"/>
        </w:rPr>
      </w:pPr>
      <w:r w:rsidRPr="00FF5ECD">
        <w:rPr>
          <w:rFonts w:eastAsia="Calibri"/>
          <w:lang w:val="es-ES" w:eastAsia="en-US"/>
        </w:rPr>
        <w:t xml:space="preserve">La corioamnionitis es una afección propia del embarazo, que se manifiesta por medio de diferentes síntomas, tanto en la madre como en el feto y en su estado previo, la infección </w:t>
      </w:r>
      <w:proofErr w:type="spellStart"/>
      <w:r w:rsidRPr="00FF5ECD">
        <w:rPr>
          <w:rFonts w:eastAsia="Calibri"/>
          <w:lang w:val="es-ES" w:eastAsia="en-US"/>
        </w:rPr>
        <w:t>intraamniótica</w:t>
      </w:r>
      <w:proofErr w:type="spellEnd"/>
      <w:r w:rsidRPr="00FF5ECD">
        <w:rPr>
          <w:rFonts w:eastAsia="Calibri"/>
          <w:lang w:val="es-ES" w:eastAsia="en-US"/>
        </w:rPr>
        <w:t xml:space="preserve"> es asintomática. El principal criterio para el diagnóstico de corioamnionitis es clínico; cuando se sospecha </w:t>
      </w:r>
      <w:r w:rsidRPr="00FF5ECD">
        <w:rPr>
          <w:rFonts w:eastAsia="Calibri"/>
          <w:lang w:val="es-ES" w:eastAsia="en-US"/>
        </w:rPr>
        <w:lastRenderedPageBreak/>
        <w:t xml:space="preserve">o diagnostica el caso, es esencial que ocurra el parto, independiente de la edad </w:t>
      </w:r>
      <w:proofErr w:type="gramStart"/>
      <w:r w:rsidRPr="00FF5ECD">
        <w:rPr>
          <w:rFonts w:eastAsia="Calibri"/>
          <w:lang w:val="es-ES" w:eastAsia="en-US"/>
        </w:rPr>
        <w:t>gestacional.</w:t>
      </w:r>
      <w:r w:rsidRPr="00FF5ECD">
        <w:rPr>
          <w:rFonts w:eastAsia="Calibri"/>
          <w:vertAlign w:val="superscript"/>
          <w:lang w:val="es-ES" w:eastAsia="en-US"/>
        </w:rPr>
        <w:t>(</w:t>
      </w:r>
      <w:proofErr w:type="gramEnd"/>
      <w:r w:rsidRPr="00FF5ECD">
        <w:rPr>
          <w:rFonts w:eastAsia="Calibri"/>
          <w:vertAlign w:val="superscript"/>
          <w:lang w:val="es-ES" w:eastAsia="en-US"/>
        </w:rPr>
        <w:t xml:space="preserve">2,3) </w:t>
      </w:r>
      <w:r w:rsidRPr="00FF5ECD">
        <w:rPr>
          <w:rFonts w:eastAsia="Calibri"/>
          <w:lang w:val="es-ES" w:eastAsia="en-US"/>
        </w:rPr>
        <w:t xml:space="preserve">El diagnóstico clínico se correlaciona con la lesión histológica, con baja sensibilidad y elevada especificidad. Se trata de una lesión que, con frecuencia es silenciosa y se diagnostica por el patólogo luego del nacimiento. La sospecha clínica de infección ovular es sugestiva de lesión histológica avanzada, con afectación del </w:t>
      </w:r>
      <w:proofErr w:type="gramStart"/>
      <w:r w:rsidRPr="00FF5ECD">
        <w:rPr>
          <w:rFonts w:eastAsia="Calibri"/>
          <w:lang w:val="es-ES" w:eastAsia="en-US"/>
        </w:rPr>
        <w:t>feto.</w:t>
      </w:r>
      <w:r w:rsidRPr="00FF5ECD">
        <w:rPr>
          <w:rFonts w:eastAsia="Calibri"/>
          <w:vertAlign w:val="superscript"/>
          <w:lang w:val="es-ES" w:eastAsia="en-US"/>
        </w:rPr>
        <w:t>(</w:t>
      </w:r>
      <w:proofErr w:type="gramEnd"/>
      <w:r w:rsidRPr="00FF5ECD">
        <w:rPr>
          <w:rFonts w:eastAsia="Calibri"/>
          <w:vertAlign w:val="superscript"/>
          <w:lang w:val="es-ES" w:eastAsia="en-US"/>
        </w:rPr>
        <w:t>4,5,6)</w:t>
      </w:r>
      <w:r w:rsidRPr="00FF5ECD">
        <w:rPr>
          <w:rFonts w:eastAsia="Calibri"/>
          <w:lang w:val="es-ES" w:eastAsia="en-US"/>
        </w:rPr>
        <w:t xml:space="preserve"> La corioamnionitis histológica se asocia al trabajo de parto pretérmino e infección clínica temprana. Cuando hay respuesta inflamatoria fetal en el estudio de la placenta, se asocia a </w:t>
      </w:r>
      <w:proofErr w:type="spellStart"/>
      <w:r w:rsidRPr="00FF5ECD">
        <w:rPr>
          <w:rFonts w:eastAsia="Calibri"/>
          <w:lang w:val="es-ES" w:eastAsia="en-US"/>
        </w:rPr>
        <w:t>broncodisplasia</w:t>
      </w:r>
      <w:proofErr w:type="spellEnd"/>
      <w:r w:rsidRPr="00FF5ECD">
        <w:rPr>
          <w:rFonts w:eastAsia="Calibri"/>
          <w:lang w:val="es-ES" w:eastAsia="en-US"/>
        </w:rPr>
        <w:t xml:space="preserve"> pulmonar y enterocolitis necrotizante en el neonato </w:t>
      </w:r>
      <w:proofErr w:type="gramStart"/>
      <w:r w:rsidRPr="00FF5ECD">
        <w:rPr>
          <w:rFonts w:eastAsia="Calibri"/>
          <w:lang w:val="es-ES" w:eastAsia="en-US"/>
        </w:rPr>
        <w:t>pretérmino.</w:t>
      </w:r>
      <w:r w:rsidRPr="00FF5ECD">
        <w:rPr>
          <w:rFonts w:eastAsia="Calibri"/>
          <w:vertAlign w:val="superscript"/>
          <w:lang w:val="es-ES" w:eastAsia="en-US"/>
        </w:rPr>
        <w:t>(</w:t>
      </w:r>
      <w:proofErr w:type="gramEnd"/>
      <w:r w:rsidRPr="00FF5ECD">
        <w:rPr>
          <w:rFonts w:eastAsia="Calibri"/>
          <w:vertAlign w:val="superscript"/>
          <w:lang w:val="es-ES" w:eastAsia="en-US"/>
        </w:rPr>
        <w:t>7,8,9)</w:t>
      </w:r>
    </w:p>
    <w:p w14:paraId="56374D2A"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eastAsia="en-US"/>
        </w:rPr>
        <w:t xml:space="preserve">La infección perinatal es de mal pronóstico para el neonato. La madre es una de las fuentes de la infección, que incluye la colonización materna del aparato genital. La infección cérvico-vaginal se asocia con la colonización del líquido amniótico y juega un papel importante en la iniciación del trabajo de parto </w:t>
      </w:r>
      <w:proofErr w:type="gramStart"/>
      <w:r w:rsidRPr="00FF5ECD">
        <w:rPr>
          <w:rFonts w:eastAsia="Calibri"/>
          <w:lang w:eastAsia="en-US"/>
        </w:rPr>
        <w:t>prematuro.</w:t>
      </w:r>
      <w:r w:rsidRPr="00FF5ECD">
        <w:rPr>
          <w:rFonts w:eastAsia="Calibri"/>
          <w:vertAlign w:val="superscript"/>
          <w:lang w:eastAsia="en-US"/>
        </w:rPr>
        <w:t>(</w:t>
      </w:r>
      <w:proofErr w:type="gramEnd"/>
      <w:r w:rsidRPr="00FF5ECD">
        <w:rPr>
          <w:rFonts w:eastAsia="Calibri"/>
          <w:vertAlign w:val="superscript"/>
          <w:lang w:eastAsia="en-US"/>
        </w:rPr>
        <w:t>10,11,12)</w:t>
      </w:r>
    </w:p>
    <w:p w14:paraId="22981E66" w14:textId="77777777" w:rsidR="00FF5ECD" w:rsidRPr="00FF5ECD" w:rsidRDefault="00FF5ECD" w:rsidP="00FF5ECD">
      <w:pPr>
        <w:suppressAutoHyphens/>
        <w:autoSpaceDN w:val="0"/>
        <w:spacing w:line="360" w:lineRule="auto"/>
        <w:jc w:val="both"/>
        <w:rPr>
          <w:rFonts w:eastAsia="Calibri"/>
          <w:lang w:eastAsia="en-US"/>
        </w:rPr>
      </w:pPr>
      <w:r w:rsidRPr="00FF5ECD">
        <w:rPr>
          <w:rFonts w:eastAsia="Calibri"/>
          <w:lang w:eastAsia="en-US"/>
        </w:rPr>
        <w:t xml:space="preserve">Entre los factores de la sepsis neonatal se encuentra la infección vaginal, factor determinante para la infección </w:t>
      </w:r>
      <w:proofErr w:type="spellStart"/>
      <w:r w:rsidRPr="00FF5ECD">
        <w:rPr>
          <w:rFonts w:eastAsia="Calibri"/>
          <w:lang w:eastAsia="en-US"/>
        </w:rPr>
        <w:t>intraamniótica</w:t>
      </w:r>
      <w:proofErr w:type="spellEnd"/>
      <w:r w:rsidRPr="00FF5ECD">
        <w:rPr>
          <w:rFonts w:eastAsia="Calibri"/>
          <w:lang w:eastAsia="en-US"/>
        </w:rPr>
        <w:t xml:space="preserve"> ascendente cérvico-vaginal que genera una </w:t>
      </w:r>
      <w:proofErr w:type="spellStart"/>
      <w:r w:rsidRPr="00FF5ECD">
        <w:rPr>
          <w:rFonts w:eastAsia="Calibri"/>
          <w:lang w:eastAsia="en-US"/>
        </w:rPr>
        <w:t>deciduitis</w:t>
      </w:r>
      <w:proofErr w:type="spellEnd"/>
      <w:r w:rsidRPr="00FF5ECD">
        <w:rPr>
          <w:rFonts w:eastAsia="Calibri"/>
          <w:lang w:eastAsia="en-US"/>
        </w:rPr>
        <w:t xml:space="preserve">, </w:t>
      </w:r>
      <w:proofErr w:type="spellStart"/>
      <w:r w:rsidRPr="00FF5ECD">
        <w:rPr>
          <w:rFonts w:eastAsia="Calibri"/>
          <w:lang w:eastAsia="en-US"/>
        </w:rPr>
        <w:t>corionitis</w:t>
      </w:r>
      <w:proofErr w:type="spellEnd"/>
      <w:r w:rsidRPr="00FF5ECD">
        <w:rPr>
          <w:rFonts w:eastAsia="Calibri"/>
          <w:lang w:eastAsia="en-US"/>
        </w:rPr>
        <w:t xml:space="preserve"> y </w:t>
      </w:r>
      <w:proofErr w:type="spellStart"/>
      <w:r w:rsidRPr="00FF5ECD">
        <w:rPr>
          <w:rFonts w:eastAsia="Calibri"/>
          <w:lang w:eastAsia="en-US"/>
        </w:rPr>
        <w:t>amnionitis</w:t>
      </w:r>
      <w:proofErr w:type="spellEnd"/>
      <w:r w:rsidRPr="00FF5ECD">
        <w:rPr>
          <w:rFonts w:eastAsia="Calibri"/>
          <w:lang w:eastAsia="en-US"/>
        </w:rPr>
        <w:t xml:space="preserve">, que causa infección en el feto, la cual puede ser localizada o </w:t>
      </w:r>
      <w:proofErr w:type="gramStart"/>
      <w:r w:rsidRPr="00FF5ECD">
        <w:rPr>
          <w:rFonts w:eastAsia="Calibri"/>
          <w:lang w:eastAsia="en-US"/>
        </w:rPr>
        <w:t>generalizada.</w:t>
      </w:r>
      <w:r w:rsidRPr="00FF5ECD">
        <w:rPr>
          <w:rFonts w:eastAsia="Calibri"/>
          <w:vertAlign w:val="superscript"/>
          <w:lang w:eastAsia="en-US"/>
        </w:rPr>
        <w:t>(</w:t>
      </w:r>
      <w:proofErr w:type="gramEnd"/>
      <w:r w:rsidRPr="00FF5ECD">
        <w:rPr>
          <w:rFonts w:eastAsia="Calibri"/>
          <w:vertAlign w:val="superscript"/>
          <w:lang w:eastAsia="en-US"/>
        </w:rPr>
        <w:t>13,14)</w:t>
      </w:r>
    </w:p>
    <w:p w14:paraId="40D2F63D"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eastAsia="en-US"/>
        </w:rPr>
        <w:t>L</w:t>
      </w:r>
      <w:r w:rsidRPr="00FF5ECD">
        <w:rPr>
          <w:rFonts w:eastAsia="Calibri"/>
          <w:lang w:val="es-ES" w:eastAsia="en-US"/>
        </w:rPr>
        <w:t xml:space="preserve">a triada infección vaginal, rotura prematura de membranas (RPM) y amenaza de parto pretérmino, muchas veces concomitante con corioamnionitis, son factores de riesgo de </w:t>
      </w:r>
      <w:proofErr w:type="gramStart"/>
      <w:r w:rsidRPr="00FF5ECD">
        <w:rPr>
          <w:rFonts w:eastAsia="Calibri"/>
          <w:lang w:val="es-ES" w:eastAsia="en-US"/>
        </w:rPr>
        <w:t>prematuridad.</w:t>
      </w:r>
      <w:r w:rsidRPr="00FF5ECD">
        <w:rPr>
          <w:rFonts w:eastAsia="Calibri"/>
          <w:vertAlign w:val="superscript"/>
          <w:lang w:val="es-ES" w:eastAsia="en-US"/>
        </w:rPr>
        <w:t>(</w:t>
      </w:r>
      <w:proofErr w:type="gramEnd"/>
      <w:r w:rsidRPr="00FF5ECD">
        <w:rPr>
          <w:rFonts w:eastAsia="Calibri"/>
          <w:vertAlign w:val="superscript"/>
          <w:lang w:val="es-ES" w:eastAsia="en-US"/>
        </w:rPr>
        <w:t>4,6,15)</w:t>
      </w:r>
    </w:p>
    <w:p w14:paraId="783D4B10" w14:textId="77777777" w:rsidR="00FF5ECD" w:rsidRPr="00FF5ECD" w:rsidRDefault="00FF5ECD" w:rsidP="00FF5ECD">
      <w:pPr>
        <w:suppressAutoHyphens/>
        <w:autoSpaceDN w:val="0"/>
        <w:spacing w:line="360" w:lineRule="auto"/>
        <w:jc w:val="both"/>
        <w:rPr>
          <w:rFonts w:eastAsia="Calibri"/>
          <w:lang w:val="es-ES" w:eastAsia="es-ES"/>
        </w:rPr>
      </w:pPr>
      <w:r w:rsidRPr="00FF5ECD">
        <w:rPr>
          <w:rFonts w:eastAsia="Calibri"/>
          <w:lang w:val="es-ES" w:eastAsia="es-ES"/>
        </w:rPr>
        <w:t xml:space="preserve">La positividad de la histología placentaria es un factor de riesgo de infección bacteriana de inicio precoz, en el recién nacido pretérmino. Es importante conocer la histología en la estructura placentaria; mientras se observe la presencia de polimorfonucleares en el cordón umbilical y sus vasos, más grave es la infección para el neonato. </w:t>
      </w:r>
    </w:p>
    <w:p w14:paraId="62759AE6" w14:textId="53861831"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t>En el trabajo se pone a prueba la hipótesis de que una clasificación de gravedad de la corioamni</w:t>
      </w:r>
      <w:r w:rsidR="004B7AE7">
        <w:rPr>
          <w:rFonts w:eastAsia="Calibri"/>
          <w:lang w:val="es-ES" w:eastAsia="en-US"/>
        </w:rPr>
        <w:t>o</w:t>
      </w:r>
      <w:r w:rsidRPr="00FF5ECD">
        <w:rPr>
          <w:rFonts w:eastAsia="Calibri"/>
          <w:lang w:val="es-ES" w:eastAsia="en-US"/>
        </w:rPr>
        <w:t>nitis histológica, basada en sus factores de riesgo, permite una mejor estratificación del riesgo de esta afección en recién nacidos pretérmino.</w:t>
      </w:r>
    </w:p>
    <w:p w14:paraId="54C44D95" w14:textId="6DBEFEDE"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t>Es objetivo de este trabajo es elaborar una clasificación de gravedad en la histología de las estructuras placentarias en la corioamni</w:t>
      </w:r>
      <w:r w:rsidR="004B7AE7">
        <w:rPr>
          <w:rFonts w:eastAsia="Calibri"/>
          <w:lang w:val="es-ES" w:eastAsia="en-US"/>
        </w:rPr>
        <w:t>o</w:t>
      </w:r>
      <w:r w:rsidRPr="00FF5ECD">
        <w:rPr>
          <w:rFonts w:eastAsia="Calibri"/>
          <w:lang w:val="es-ES" w:eastAsia="en-US"/>
        </w:rPr>
        <w:t>nitis histológica.</w:t>
      </w:r>
    </w:p>
    <w:p w14:paraId="09E139C7" w14:textId="77777777" w:rsidR="00FF5ECD" w:rsidRPr="00FF5ECD" w:rsidRDefault="00FF5ECD" w:rsidP="00FF5ECD">
      <w:pPr>
        <w:suppressAutoHyphens/>
        <w:autoSpaceDN w:val="0"/>
        <w:spacing w:line="360" w:lineRule="auto"/>
        <w:jc w:val="both"/>
        <w:rPr>
          <w:rFonts w:eastAsia="Calibri"/>
          <w:lang w:val="es-ES" w:eastAsia="en-US"/>
        </w:rPr>
      </w:pPr>
    </w:p>
    <w:p w14:paraId="2072494F" w14:textId="77777777" w:rsidR="00FF5ECD" w:rsidRPr="00FF5ECD" w:rsidRDefault="00FF5ECD" w:rsidP="00FF5ECD">
      <w:pPr>
        <w:suppressAutoHyphens/>
        <w:autoSpaceDN w:val="0"/>
        <w:spacing w:line="360" w:lineRule="auto"/>
        <w:jc w:val="both"/>
        <w:rPr>
          <w:rFonts w:eastAsia="Calibri"/>
          <w:lang w:val="es-ES" w:eastAsia="en-US"/>
        </w:rPr>
      </w:pPr>
    </w:p>
    <w:p w14:paraId="04E37DBA" w14:textId="77777777" w:rsidR="004B7AE7" w:rsidRDefault="004B7AE7">
      <w:pPr>
        <w:rPr>
          <w:rFonts w:eastAsia="Calibri"/>
          <w:b/>
          <w:sz w:val="32"/>
          <w:szCs w:val="32"/>
          <w:lang w:val="es-ES" w:eastAsia="en-US"/>
        </w:rPr>
      </w:pPr>
      <w:r>
        <w:rPr>
          <w:rFonts w:eastAsia="Calibri"/>
          <w:b/>
          <w:sz w:val="32"/>
          <w:szCs w:val="32"/>
          <w:lang w:val="es-ES" w:eastAsia="en-US"/>
        </w:rPr>
        <w:br w:type="page"/>
      </w:r>
    </w:p>
    <w:p w14:paraId="5B731026" w14:textId="53447904" w:rsidR="00FF5ECD" w:rsidRPr="00FF5ECD" w:rsidRDefault="00FF5ECD" w:rsidP="00FF5ECD">
      <w:pPr>
        <w:suppressAutoHyphens/>
        <w:autoSpaceDN w:val="0"/>
        <w:spacing w:line="360" w:lineRule="auto"/>
        <w:jc w:val="center"/>
        <w:rPr>
          <w:rFonts w:eastAsia="Calibri"/>
          <w:b/>
          <w:sz w:val="32"/>
          <w:szCs w:val="32"/>
          <w:lang w:val="es-ES" w:eastAsia="en-US"/>
        </w:rPr>
      </w:pPr>
      <w:r w:rsidRPr="00FF5ECD">
        <w:rPr>
          <w:rFonts w:eastAsia="Calibri"/>
          <w:b/>
          <w:sz w:val="32"/>
          <w:szCs w:val="32"/>
          <w:lang w:val="es-ES" w:eastAsia="en-US"/>
        </w:rPr>
        <w:lastRenderedPageBreak/>
        <w:t>MÉTODOS</w:t>
      </w:r>
    </w:p>
    <w:p w14:paraId="683F6156" w14:textId="77777777" w:rsidR="00FF5ECD" w:rsidRPr="00FF5ECD" w:rsidRDefault="00FF5ECD" w:rsidP="00FF5ECD">
      <w:pPr>
        <w:suppressAutoHyphens/>
        <w:autoSpaceDN w:val="0"/>
        <w:spacing w:line="360" w:lineRule="auto"/>
        <w:jc w:val="center"/>
        <w:rPr>
          <w:rFonts w:eastAsia="Calibri"/>
          <w:b/>
          <w:sz w:val="28"/>
          <w:szCs w:val="28"/>
          <w:lang w:val="es-ES" w:eastAsia="en-US"/>
        </w:rPr>
      </w:pPr>
      <w:r w:rsidRPr="00FF5ECD">
        <w:rPr>
          <w:rFonts w:eastAsia="Calibri"/>
          <w:b/>
          <w:sz w:val="28"/>
          <w:szCs w:val="28"/>
          <w:lang w:val="es-ES" w:eastAsia="en-US"/>
        </w:rPr>
        <w:t>Diseño</w:t>
      </w:r>
    </w:p>
    <w:p w14:paraId="628610C8" w14:textId="35FDA71D" w:rsidR="00FF5ECD" w:rsidRPr="00FF5ECD" w:rsidRDefault="00FF5ECD" w:rsidP="001A53C1">
      <w:pPr>
        <w:suppressAutoHyphens/>
        <w:autoSpaceDN w:val="0"/>
        <w:spacing w:line="360" w:lineRule="auto"/>
        <w:jc w:val="both"/>
        <w:rPr>
          <w:rFonts w:eastAsia="Calibri"/>
          <w:lang w:val="es-ES" w:eastAsia="en-US"/>
        </w:rPr>
      </w:pPr>
      <w:r w:rsidRPr="00FF5ECD">
        <w:rPr>
          <w:rFonts w:eastAsia="Malgun Gothic"/>
          <w:lang w:val="es-ES" w:eastAsia="en-US"/>
        </w:rPr>
        <w:t>Se realizó un diseño de casos y controles en neonatos pretérmino, ingresados en el servicio de</w:t>
      </w:r>
      <w:r w:rsidR="001A53C1">
        <w:rPr>
          <w:rFonts w:eastAsia="Malgun Gothic"/>
          <w:lang w:val="es-ES" w:eastAsia="en-US"/>
        </w:rPr>
        <w:t xml:space="preserve"> </w:t>
      </w:r>
      <w:r w:rsidRPr="00FF5ECD">
        <w:rPr>
          <w:rFonts w:eastAsia="Malgun Gothic"/>
          <w:lang w:val="es-ES" w:eastAsia="en-US"/>
        </w:rPr>
        <w:t xml:space="preserve">Neonatología del Hospital General Provincial “Carlos Manuel de </w:t>
      </w:r>
      <w:proofErr w:type="spellStart"/>
      <w:r w:rsidRPr="00FF5ECD">
        <w:rPr>
          <w:rFonts w:eastAsia="Malgun Gothic"/>
          <w:lang w:val="es-ES" w:eastAsia="en-US"/>
        </w:rPr>
        <w:t>Céspedes</w:t>
      </w:r>
      <w:proofErr w:type="spellEnd"/>
      <w:r w:rsidRPr="00FF5ECD">
        <w:rPr>
          <w:rFonts w:eastAsia="Malgun Gothic"/>
          <w:lang w:val="es-ES" w:eastAsia="en-US"/>
        </w:rPr>
        <w:t xml:space="preserve"> y del Castillo”, en Bayamo, Granma, durante los años del 2013 al 2017.</w:t>
      </w:r>
    </w:p>
    <w:p w14:paraId="4C3EC21D" w14:textId="77777777" w:rsidR="00FF5ECD" w:rsidRPr="00FF5ECD" w:rsidRDefault="00FF5ECD" w:rsidP="00FF5ECD">
      <w:pPr>
        <w:suppressAutoHyphens/>
        <w:autoSpaceDN w:val="0"/>
        <w:spacing w:line="360" w:lineRule="auto"/>
        <w:jc w:val="center"/>
        <w:rPr>
          <w:rFonts w:eastAsia="Malgun Gothic"/>
          <w:b/>
          <w:bCs/>
          <w:sz w:val="28"/>
          <w:szCs w:val="28"/>
          <w:lang w:val="es-ES" w:eastAsia="en-US"/>
        </w:rPr>
      </w:pPr>
      <w:r w:rsidRPr="00FF5ECD">
        <w:rPr>
          <w:rFonts w:eastAsia="Malgun Gothic"/>
          <w:b/>
          <w:bCs/>
          <w:sz w:val="28"/>
          <w:szCs w:val="28"/>
          <w:lang w:val="es-ES" w:eastAsia="en-US"/>
        </w:rPr>
        <w:t>Sujetos</w:t>
      </w:r>
    </w:p>
    <w:p w14:paraId="1EA9BD3C"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 xml:space="preserve">De un total de 1461 nacidos pretérmino en el periodo, se seleccionaron 450 casos: los </w:t>
      </w:r>
      <w:proofErr w:type="gramStart"/>
      <w:r w:rsidRPr="00FF5ECD">
        <w:rPr>
          <w:rFonts w:eastAsia="Malgun Gothic"/>
          <w:lang w:val="es-ES" w:eastAsia="en-US"/>
        </w:rPr>
        <w:t>nacidos pretérmino</w:t>
      </w:r>
      <w:proofErr w:type="gramEnd"/>
      <w:r w:rsidRPr="00FF5ECD">
        <w:rPr>
          <w:rFonts w:eastAsia="Malgun Gothic"/>
          <w:lang w:val="es-ES" w:eastAsia="en-US"/>
        </w:rPr>
        <w:t>, que presentaron manifestaciones clínicas de infección en las primeras 72 horas, con 2 hemocultivos positivos al mismo germen, con las muestras tomadas en sitios diferentes de las extremidades superiores y que cumplieran la condición de envío de la placenta al departamento de Anatomía Patológica.</w:t>
      </w:r>
    </w:p>
    <w:p w14:paraId="70CD7372"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Se seleccionaron 2 controles por cada caso (900), de los neonatos pretérmino que no presentaron infección neonatal en las primeras 72 horas de vida, que igualmente, cumplieran la condición de envío de la placenta al departamento de Anatomía Patológica.</w:t>
      </w:r>
    </w:p>
    <w:p w14:paraId="14D2D5A7" w14:textId="77777777" w:rsidR="00FF5ECD" w:rsidRPr="00FF5ECD" w:rsidRDefault="00FF5ECD" w:rsidP="00FF5ECD">
      <w:pPr>
        <w:suppressAutoHyphens/>
        <w:autoSpaceDN w:val="0"/>
        <w:spacing w:line="360" w:lineRule="auto"/>
        <w:jc w:val="center"/>
        <w:rPr>
          <w:rFonts w:eastAsia="Malgun Gothic"/>
          <w:b/>
          <w:sz w:val="28"/>
          <w:szCs w:val="28"/>
          <w:lang w:val="es-ES" w:eastAsia="en-US"/>
        </w:rPr>
      </w:pPr>
      <w:r w:rsidRPr="00FF5ECD">
        <w:rPr>
          <w:rFonts w:eastAsia="Malgun Gothic"/>
          <w:b/>
          <w:sz w:val="28"/>
          <w:szCs w:val="28"/>
          <w:lang w:val="es-ES" w:eastAsia="en-US"/>
        </w:rPr>
        <w:t>Variables</w:t>
      </w:r>
    </w:p>
    <w:p w14:paraId="775B173F" w14:textId="77777777" w:rsidR="00FF5ECD" w:rsidRPr="00FF5ECD" w:rsidRDefault="00FF5ECD" w:rsidP="00FF5ECD">
      <w:pPr>
        <w:suppressAutoHyphens/>
        <w:autoSpaceDN w:val="0"/>
        <w:spacing w:line="360" w:lineRule="auto"/>
        <w:jc w:val="both"/>
        <w:rPr>
          <w:rFonts w:eastAsia="Malgun Gothic"/>
          <w:bCs/>
          <w:lang w:val="es-ES" w:eastAsia="en-US"/>
        </w:rPr>
      </w:pPr>
      <w:r w:rsidRPr="00FF5ECD">
        <w:rPr>
          <w:rFonts w:eastAsia="Malgun Gothic"/>
          <w:bCs/>
          <w:lang w:val="es-ES" w:eastAsia="en-US"/>
        </w:rPr>
        <w:t>Variable dependiente: infección bacteriana de inicio precoz (presencia o ausencia).</w:t>
      </w:r>
    </w:p>
    <w:p w14:paraId="7C97B2D6"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Malgun Gothic"/>
          <w:bCs/>
          <w:lang w:val="es-ES" w:eastAsia="en-US"/>
        </w:rPr>
        <w:t>Variable independiente:</w:t>
      </w:r>
      <w:r w:rsidRPr="00FF5ECD">
        <w:rPr>
          <w:rFonts w:eastAsia="Calibri"/>
          <w:bCs/>
          <w:lang w:val="es-ES" w:eastAsia="en-US"/>
        </w:rPr>
        <w:t xml:space="preserve"> corioamnionitis histológica definida por la presencia de </w:t>
      </w:r>
      <w:r w:rsidRPr="00FF5ECD">
        <w:rPr>
          <w:rFonts w:eastAsia="Calibri"/>
          <w:lang w:val="es-ES" w:eastAsia="en-US"/>
        </w:rPr>
        <w:t>infiltrado de polimorfonucleares difuso o parcelar en el tejido conectivo del corión, el amnios o ambos. La clasificación que se pone a prueba, incluye 3 grupos (A, B y C), de acuerdo con la gravedad de la histología placentaria, según se detalla a continuación:</w:t>
      </w:r>
    </w:p>
    <w:p w14:paraId="62B4ABC2" w14:textId="77777777" w:rsidR="00FF5ECD" w:rsidRPr="00FF5ECD" w:rsidRDefault="00FF5ECD" w:rsidP="00206438">
      <w:pPr>
        <w:suppressAutoHyphens/>
        <w:autoSpaceDN w:val="0"/>
        <w:spacing w:line="360" w:lineRule="auto"/>
        <w:jc w:val="both"/>
        <w:rPr>
          <w:rFonts w:eastAsia="Calibri"/>
          <w:lang w:val="es-ES" w:eastAsia="en-US"/>
        </w:rPr>
      </w:pPr>
    </w:p>
    <w:p w14:paraId="482E2098" w14:textId="77777777" w:rsidR="00FF5ECD" w:rsidRPr="00FF5ECD" w:rsidRDefault="00FF5ECD" w:rsidP="00206438">
      <w:pPr>
        <w:numPr>
          <w:ilvl w:val="0"/>
          <w:numId w:val="17"/>
        </w:numPr>
        <w:suppressAutoHyphens/>
        <w:autoSpaceDN w:val="0"/>
        <w:spacing w:line="360" w:lineRule="auto"/>
        <w:jc w:val="both"/>
        <w:rPr>
          <w:rFonts w:eastAsia="Calibri"/>
          <w:lang w:val="es-ES" w:eastAsia="en-US"/>
        </w:rPr>
      </w:pPr>
      <w:r w:rsidRPr="00FF5ECD">
        <w:rPr>
          <w:rFonts w:eastAsia="Calibri"/>
          <w:lang w:val="es-ES" w:eastAsia="en-US"/>
        </w:rPr>
        <w:t xml:space="preserve">Grupo A (ligera): presencia de menos de 5 polimorfonucleares (focal) en el trofoblasto o alrededor de la vena umbilical (flebitis). </w:t>
      </w:r>
    </w:p>
    <w:p w14:paraId="2CA54F5F" w14:textId="77777777" w:rsidR="00FF5ECD" w:rsidRPr="00FF5ECD" w:rsidRDefault="00FF5ECD" w:rsidP="00206438">
      <w:pPr>
        <w:numPr>
          <w:ilvl w:val="0"/>
          <w:numId w:val="17"/>
        </w:numPr>
        <w:suppressAutoHyphens/>
        <w:autoSpaceDN w:val="0"/>
        <w:spacing w:line="360" w:lineRule="auto"/>
        <w:jc w:val="both"/>
        <w:rPr>
          <w:rFonts w:eastAsia="Calibri"/>
          <w:lang w:val="es-ES" w:eastAsia="en-US"/>
        </w:rPr>
      </w:pPr>
      <w:r w:rsidRPr="00FF5ECD">
        <w:rPr>
          <w:rFonts w:eastAsia="Malgun Gothic"/>
          <w:lang w:val="es-ES" w:eastAsia="en-US"/>
        </w:rPr>
        <w:t>Grupo B (m</w:t>
      </w:r>
      <w:r w:rsidRPr="00FF5ECD">
        <w:rPr>
          <w:rFonts w:eastAsia="Calibri"/>
          <w:lang w:val="es-ES" w:eastAsia="en-US"/>
        </w:rPr>
        <w:t>oderada): presencia de más de 5 polimorfonucleares en el amnios</w:t>
      </w:r>
      <w:r w:rsidRPr="00FF5ECD">
        <w:rPr>
          <w:rFonts w:eastAsia="Malgun Gothic"/>
          <w:lang w:val="es-ES" w:eastAsia="en-US"/>
        </w:rPr>
        <w:t xml:space="preserve"> o corion multifocal, polimorfonucleares en arterias umbilicales (vasculitis).</w:t>
      </w:r>
    </w:p>
    <w:p w14:paraId="5CE2B56B" w14:textId="77777777" w:rsidR="00FF5ECD" w:rsidRPr="00FF5ECD" w:rsidRDefault="00FF5ECD" w:rsidP="00206438">
      <w:pPr>
        <w:numPr>
          <w:ilvl w:val="0"/>
          <w:numId w:val="17"/>
        </w:numPr>
        <w:suppressAutoHyphens/>
        <w:autoSpaceDN w:val="0"/>
        <w:spacing w:line="360" w:lineRule="auto"/>
        <w:jc w:val="both"/>
        <w:rPr>
          <w:rFonts w:eastAsia="Calibri"/>
          <w:lang w:val="es-ES" w:eastAsia="en-US"/>
        </w:rPr>
      </w:pPr>
      <w:r w:rsidRPr="00FF5ECD">
        <w:rPr>
          <w:rFonts w:eastAsia="Malgun Gothic"/>
          <w:lang w:val="es-ES" w:eastAsia="en-US"/>
        </w:rPr>
        <w:t>Grupo C (g</w:t>
      </w:r>
      <w:r w:rsidRPr="00FF5ECD">
        <w:rPr>
          <w:rFonts w:eastAsia="Calibri"/>
          <w:lang w:val="es-ES" w:eastAsia="en-US"/>
        </w:rPr>
        <w:t xml:space="preserve">rave): </w:t>
      </w:r>
      <w:r w:rsidRPr="00FF5ECD">
        <w:rPr>
          <w:rFonts w:eastAsia="Malgun Gothic"/>
          <w:lang w:val="es-ES" w:eastAsia="en-US"/>
        </w:rPr>
        <w:t>presencia de abundantes polimorfonucleares en corion y amnios alrededor de los vasos umbilicales (</w:t>
      </w:r>
      <w:proofErr w:type="spellStart"/>
      <w:r w:rsidRPr="00FF5ECD">
        <w:rPr>
          <w:rFonts w:eastAsia="Malgun Gothic"/>
          <w:lang w:val="es-ES" w:eastAsia="en-US"/>
        </w:rPr>
        <w:t>funisitis</w:t>
      </w:r>
      <w:proofErr w:type="spellEnd"/>
      <w:r w:rsidRPr="00FF5ECD">
        <w:rPr>
          <w:rFonts w:eastAsia="Malgun Gothic"/>
          <w:lang w:val="es-ES" w:eastAsia="en-US"/>
        </w:rPr>
        <w:t>).</w:t>
      </w:r>
    </w:p>
    <w:p w14:paraId="0056B5C6" w14:textId="77777777" w:rsidR="00FF5ECD" w:rsidRPr="00FF5ECD" w:rsidRDefault="00FF5ECD" w:rsidP="00206438">
      <w:pPr>
        <w:suppressAutoHyphens/>
        <w:autoSpaceDN w:val="0"/>
        <w:spacing w:line="360" w:lineRule="auto"/>
        <w:jc w:val="both"/>
        <w:rPr>
          <w:rFonts w:eastAsia="Calibri"/>
          <w:lang w:val="es-ES" w:eastAsia="en-US"/>
        </w:rPr>
      </w:pPr>
    </w:p>
    <w:p w14:paraId="19880FA0"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lastRenderedPageBreak/>
        <w:t xml:space="preserve">Se consideró expuesto a: histología placentaria positiva (según la clasificación anterior). </w:t>
      </w:r>
    </w:p>
    <w:p w14:paraId="13CC246D"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t>Se consideró no expuesto a: histología de la placenta normal (ausencia de polimorfonucleares).</w:t>
      </w:r>
    </w:p>
    <w:p w14:paraId="199E2D64" w14:textId="77777777" w:rsidR="00FF5ECD" w:rsidRPr="00FF5ECD" w:rsidRDefault="00FF5ECD" w:rsidP="00FF5ECD">
      <w:pPr>
        <w:suppressAutoHyphens/>
        <w:autoSpaceDN w:val="0"/>
        <w:spacing w:line="360" w:lineRule="auto"/>
        <w:jc w:val="center"/>
        <w:rPr>
          <w:rFonts w:eastAsia="Malgun Gothic"/>
          <w:b/>
          <w:sz w:val="28"/>
          <w:szCs w:val="28"/>
          <w:lang w:val="es-ES" w:eastAsia="en-US"/>
        </w:rPr>
      </w:pPr>
      <w:r w:rsidRPr="00FF5ECD">
        <w:rPr>
          <w:rFonts w:eastAsia="Malgun Gothic"/>
          <w:b/>
          <w:sz w:val="28"/>
          <w:szCs w:val="28"/>
          <w:lang w:val="es-ES" w:eastAsia="en-US"/>
        </w:rPr>
        <w:t>Procedimientos y procesamiento</w:t>
      </w:r>
    </w:p>
    <w:p w14:paraId="64401F69" w14:textId="6599251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Para reducir el sesgo de selección, tanto los casos como los controles fueron sele</w:t>
      </w:r>
      <w:r w:rsidR="00EF4BA3">
        <w:rPr>
          <w:rFonts w:eastAsia="Malgun Gothic"/>
          <w:lang w:val="es-ES" w:eastAsia="en-US"/>
        </w:rPr>
        <w:t>c</w:t>
      </w:r>
      <w:r w:rsidRPr="00FF5ECD">
        <w:rPr>
          <w:rFonts w:eastAsia="Malgun Gothic"/>
          <w:lang w:val="es-ES" w:eastAsia="en-US"/>
        </w:rPr>
        <w:t>cionados desde la misma población, es decir, de los 1461 nacidos pretérmino, en la misma institución, durante un periodo de 5 años (casos incidentes). Del total de nacidos pretérmino solo fueron excluidos los que no tenían registros completos que permitieran obtener los datos para el estudio (110 neonatos pretérmino – 7,8 % del total).</w:t>
      </w:r>
    </w:p>
    <w:p w14:paraId="0B01F97D" w14:textId="69804565"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 xml:space="preserve">La presencia de infección bacteriana de inicio precoz se determinó a través de las historias clínicas maternas, neonatales y los registros de estadísticas del servicio de Neonatología, en los cuales se reflejaban las manifestaciones clínicas de infección como fiebre ≥a 38º C, o hipotermia &lt; 36º C, cianosis, palidez o ictericia precoz, débil </w:t>
      </w:r>
      <w:r w:rsidR="00EF4BA3" w:rsidRPr="00FF5ECD">
        <w:rPr>
          <w:rFonts w:eastAsia="Malgun Gothic"/>
          <w:lang w:val="es-ES" w:eastAsia="en-US"/>
        </w:rPr>
        <w:t>succión</w:t>
      </w:r>
      <w:r w:rsidRPr="00FF5ECD">
        <w:rPr>
          <w:rFonts w:eastAsia="Malgun Gothic"/>
          <w:lang w:val="es-ES" w:eastAsia="en-US"/>
        </w:rPr>
        <w:t>, hiporreflexia, reflejo de Moro disminuido o ausente, distensión abdominal, hep</w:t>
      </w:r>
      <w:r w:rsidR="00607061">
        <w:rPr>
          <w:rFonts w:eastAsia="Malgun Gothic"/>
          <w:lang w:val="es-ES" w:eastAsia="en-US"/>
        </w:rPr>
        <w:t>a</w:t>
      </w:r>
      <w:r w:rsidRPr="00FF5ECD">
        <w:rPr>
          <w:rFonts w:eastAsia="Malgun Gothic"/>
          <w:lang w:val="es-ES" w:eastAsia="en-US"/>
        </w:rPr>
        <w:t xml:space="preserve">toesplenomegalia y los resultados de los hemocultivos realizados. Para la </w:t>
      </w:r>
      <w:r w:rsidRPr="00FF5ECD">
        <w:rPr>
          <w:rFonts w:eastAsia="Calibri"/>
          <w:bCs/>
          <w:lang w:val="es-ES" w:eastAsia="en-US"/>
        </w:rPr>
        <w:t>corioamnionitis histológica</w:t>
      </w:r>
      <w:r w:rsidRPr="00FF5ECD">
        <w:rPr>
          <w:rFonts w:eastAsia="Malgun Gothic"/>
          <w:lang w:val="es-ES" w:eastAsia="en-US"/>
        </w:rPr>
        <w:t xml:space="preserve"> se tomaron los registros del Departamento de Anatomía del propio hospital referidos a los neonatos pretérmino.</w:t>
      </w:r>
    </w:p>
    <w:p w14:paraId="65CCDD24" w14:textId="4EEBB7BB" w:rsidR="00FF5ECD" w:rsidRPr="00FF5ECD" w:rsidRDefault="00FF5ECD" w:rsidP="00FF5ECD">
      <w:pPr>
        <w:suppressAutoHyphens/>
        <w:autoSpaceDN w:val="0"/>
        <w:spacing w:line="360" w:lineRule="auto"/>
        <w:jc w:val="both"/>
        <w:rPr>
          <w:rFonts w:eastAsia="Calibri"/>
          <w:lang w:val="es-MX" w:eastAsia="en-US"/>
        </w:rPr>
      </w:pPr>
      <w:r w:rsidRPr="00FF5ECD">
        <w:rPr>
          <w:rFonts w:eastAsia="Calibri"/>
          <w:bCs/>
          <w:lang w:val="es-ES" w:eastAsia="en-US"/>
        </w:rPr>
        <w:t xml:space="preserve">Con </w:t>
      </w:r>
      <w:r w:rsidRPr="00FF5ECD">
        <w:rPr>
          <w:rFonts w:eastAsia="Calibri"/>
          <w:lang w:val="es-MX" w:eastAsia="en-US"/>
        </w:rPr>
        <w:t xml:space="preserve">los datos de las variables se realizó un análisis de riesgo; se calculó el </w:t>
      </w:r>
      <w:proofErr w:type="spellStart"/>
      <w:r w:rsidRPr="00FF5ECD">
        <w:rPr>
          <w:rFonts w:eastAsia="Calibri"/>
          <w:i/>
          <w:iCs/>
          <w:lang w:val="es-MX" w:eastAsia="en-US"/>
        </w:rPr>
        <w:t>odd</w:t>
      </w:r>
      <w:proofErr w:type="spellEnd"/>
      <w:r w:rsidRPr="00FF5ECD">
        <w:rPr>
          <w:rFonts w:eastAsia="Calibri"/>
          <w:i/>
          <w:iCs/>
          <w:lang w:val="es-MX" w:eastAsia="en-US"/>
        </w:rPr>
        <w:t xml:space="preserve"> ratio</w:t>
      </w:r>
      <w:r w:rsidRPr="00FF5ECD">
        <w:rPr>
          <w:rFonts w:eastAsia="Calibri"/>
          <w:lang w:val="es-MX" w:eastAsia="en-US"/>
        </w:rPr>
        <w:t xml:space="preserve"> (</w:t>
      </w:r>
      <w:proofErr w:type="spellStart"/>
      <w:r w:rsidRPr="00FF5ECD">
        <w:rPr>
          <w:rFonts w:eastAsia="Calibri"/>
          <w:lang w:val="es-MX" w:eastAsia="en-US"/>
        </w:rPr>
        <w:t>OR</w:t>
      </w:r>
      <w:proofErr w:type="spellEnd"/>
      <w:r w:rsidRPr="00FF5ECD">
        <w:rPr>
          <w:rFonts w:eastAsia="Calibri"/>
          <w:lang w:val="es-MX" w:eastAsia="en-US"/>
        </w:rPr>
        <w:t xml:space="preserve">), con un nivel de confianza del 95 %, probabilidad &lt; 0,05; y se aplicó el test de </w:t>
      </w:r>
      <w:r w:rsidRPr="00FF5ECD">
        <w:rPr>
          <w:rFonts w:eastAsia="Calibri"/>
          <w:i/>
          <w:iCs/>
          <w:lang w:val="es-MX" w:eastAsia="en-US"/>
        </w:rPr>
        <w:t>ji</w:t>
      </w:r>
      <w:r w:rsidRPr="00FF5ECD">
        <w:rPr>
          <w:rFonts w:eastAsia="Calibri"/>
          <w:lang w:val="es-MX" w:eastAsia="en-US"/>
        </w:rPr>
        <w:t xml:space="preserve"> cuadrado para evaluar la hipótesis de independencia entre las variables. Para determinar la influencia de cada factor independiente (grado de corioamnionitis histológica), se realizó un análisis multivariado mediante regresión logística binaria. En todos los casos con un nivel de significación fue de p≤ 0,05. Los análisis se realizaron a través del paquete estadístico </w:t>
      </w:r>
      <w:r w:rsidRPr="00FF5ECD">
        <w:rPr>
          <w:rFonts w:eastAsia="Calibri"/>
          <w:lang w:val="es-CU" w:eastAsia="en-US"/>
        </w:rPr>
        <w:t>SPSS versi</w:t>
      </w:r>
      <w:r w:rsidR="005A3D4E">
        <w:rPr>
          <w:rFonts w:eastAsia="Calibri"/>
          <w:lang w:val="es-CU" w:eastAsia="en-US"/>
        </w:rPr>
        <w:t>ó</w:t>
      </w:r>
      <w:r w:rsidRPr="00FF5ECD">
        <w:rPr>
          <w:rFonts w:eastAsia="Calibri"/>
          <w:lang w:val="es-CU" w:eastAsia="en-US"/>
        </w:rPr>
        <w:t>n 20.0 para Windows</w:t>
      </w:r>
      <w:r w:rsidRPr="00FF5ECD">
        <w:rPr>
          <w:rFonts w:eastAsia="Calibri"/>
          <w:lang w:val="es-MX" w:eastAsia="en-US"/>
        </w:rPr>
        <w:t>.</w:t>
      </w:r>
    </w:p>
    <w:p w14:paraId="7F4C98C6" w14:textId="77777777" w:rsidR="00FF5ECD" w:rsidRPr="00FF5ECD" w:rsidRDefault="00FF5ECD" w:rsidP="00FF5ECD">
      <w:pPr>
        <w:suppressAutoHyphens/>
        <w:autoSpaceDN w:val="0"/>
        <w:spacing w:line="360" w:lineRule="auto"/>
        <w:jc w:val="center"/>
        <w:rPr>
          <w:rFonts w:eastAsia="Calibri"/>
          <w:b/>
          <w:sz w:val="28"/>
          <w:szCs w:val="28"/>
          <w:lang w:val="es-ES" w:eastAsia="en-US"/>
        </w:rPr>
      </w:pPr>
      <w:r w:rsidRPr="00FF5ECD">
        <w:rPr>
          <w:rFonts w:eastAsia="Calibri"/>
          <w:b/>
          <w:sz w:val="28"/>
          <w:szCs w:val="28"/>
          <w:lang w:val="es-MX" w:eastAsia="en-US"/>
        </w:rPr>
        <w:t>Aspectos bioéticos</w:t>
      </w:r>
    </w:p>
    <w:p w14:paraId="388DD6F2"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t xml:space="preserve">El estudio fue aprobado por el Consejo Científico y el Comité de Ética del Hospital General Provincial “Carlos Manuel de </w:t>
      </w:r>
      <w:proofErr w:type="spellStart"/>
      <w:r w:rsidRPr="00FF5ECD">
        <w:rPr>
          <w:rFonts w:eastAsia="Calibri"/>
          <w:lang w:val="es-ES" w:eastAsia="en-US"/>
        </w:rPr>
        <w:t>Céspedes</w:t>
      </w:r>
      <w:proofErr w:type="spellEnd"/>
      <w:r w:rsidRPr="00FF5ECD">
        <w:rPr>
          <w:rFonts w:eastAsia="Calibri"/>
          <w:lang w:val="es-ES" w:eastAsia="en-US"/>
        </w:rPr>
        <w:t xml:space="preserve">”. La investigación se rige por los principios éticos de la investigación biomédica que involucra seres humanos, según lo establecido en la Declaración de </w:t>
      </w:r>
      <w:proofErr w:type="gramStart"/>
      <w:r w:rsidRPr="00FF5ECD">
        <w:rPr>
          <w:rFonts w:eastAsia="Calibri"/>
          <w:lang w:val="es-ES" w:eastAsia="en-US"/>
        </w:rPr>
        <w:t>Helsinki.</w:t>
      </w:r>
      <w:r w:rsidRPr="00FF5ECD">
        <w:rPr>
          <w:rFonts w:eastAsia="Calibri"/>
          <w:vertAlign w:val="superscript"/>
          <w:lang w:val="es-ES" w:eastAsia="en-US"/>
        </w:rPr>
        <w:t>(</w:t>
      </w:r>
      <w:proofErr w:type="gramEnd"/>
      <w:r w:rsidRPr="00FF5ECD">
        <w:rPr>
          <w:rFonts w:eastAsia="Calibri"/>
          <w:vertAlign w:val="superscript"/>
          <w:lang w:val="es-ES" w:eastAsia="en-US"/>
        </w:rPr>
        <w:t>16)</w:t>
      </w:r>
      <w:r w:rsidRPr="00FF5ECD">
        <w:rPr>
          <w:rFonts w:eastAsia="Calibri"/>
          <w:lang w:val="es-ES" w:eastAsia="en-US"/>
        </w:rPr>
        <w:t xml:space="preserve"> y de acuerdo con el diseño utilizado, se mantiene la confidencialidad de todos los datos de la investigación. La identidad de los pacientes y progenitores se procesó de forma anónima.</w:t>
      </w:r>
    </w:p>
    <w:p w14:paraId="347BD4DC" w14:textId="77777777" w:rsidR="00FF5ECD" w:rsidRPr="00FF5ECD" w:rsidRDefault="00FF5ECD" w:rsidP="00FF5ECD">
      <w:pPr>
        <w:suppressAutoHyphens/>
        <w:autoSpaceDN w:val="0"/>
        <w:spacing w:line="360" w:lineRule="auto"/>
        <w:jc w:val="both"/>
        <w:rPr>
          <w:rFonts w:eastAsia="Calibri"/>
          <w:lang w:val="es-ES" w:eastAsia="en-US"/>
        </w:rPr>
      </w:pPr>
    </w:p>
    <w:p w14:paraId="0DA1D8B0" w14:textId="77777777" w:rsidR="00FF5ECD" w:rsidRPr="00FF5ECD" w:rsidRDefault="00FF5ECD" w:rsidP="00FF5ECD">
      <w:pPr>
        <w:suppressAutoHyphens/>
        <w:autoSpaceDN w:val="0"/>
        <w:spacing w:line="360" w:lineRule="auto"/>
        <w:rPr>
          <w:rFonts w:eastAsia="Malgun Gothic"/>
          <w:b/>
          <w:bCs/>
          <w:sz w:val="32"/>
          <w:szCs w:val="32"/>
          <w:lang w:val="es-ES" w:eastAsia="en-US"/>
        </w:rPr>
      </w:pPr>
    </w:p>
    <w:p w14:paraId="15028679" w14:textId="77777777" w:rsidR="00FF5ECD" w:rsidRPr="00FF5ECD" w:rsidRDefault="00FF5ECD" w:rsidP="00FF5ECD">
      <w:pPr>
        <w:suppressAutoHyphens/>
        <w:autoSpaceDN w:val="0"/>
        <w:spacing w:line="360" w:lineRule="auto"/>
        <w:jc w:val="center"/>
        <w:rPr>
          <w:rFonts w:eastAsia="Malgun Gothic"/>
          <w:b/>
          <w:bCs/>
          <w:sz w:val="32"/>
          <w:szCs w:val="32"/>
          <w:lang w:val="es-ES" w:eastAsia="en-US"/>
        </w:rPr>
      </w:pPr>
      <w:r w:rsidRPr="00FF5ECD">
        <w:rPr>
          <w:rFonts w:eastAsia="Malgun Gothic"/>
          <w:b/>
          <w:bCs/>
          <w:sz w:val="32"/>
          <w:szCs w:val="32"/>
          <w:lang w:val="es-ES" w:eastAsia="en-US"/>
        </w:rPr>
        <w:t>RESULTADOS</w:t>
      </w:r>
    </w:p>
    <w:p w14:paraId="1CED7BB8"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 xml:space="preserve">La corioamnionitis histológica se diagnosticó en 96 placentas de los 450 casos (21,3 %), </w:t>
      </w:r>
      <w:proofErr w:type="spellStart"/>
      <w:r w:rsidRPr="00FF5ECD">
        <w:rPr>
          <w:rFonts w:eastAsia="Malgun Gothic"/>
          <w:lang w:val="es-ES" w:eastAsia="en-US"/>
        </w:rPr>
        <w:t>OR</w:t>
      </w:r>
      <w:proofErr w:type="spellEnd"/>
      <w:r w:rsidRPr="00FF5ECD">
        <w:rPr>
          <w:rFonts w:eastAsia="Malgun Gothic"/>
          <w:lang w:val="es-ES" w:eastAsia="en-US"/>
        </w:rPr>
        <w:t xml:space="preserve">= 26,84; </w:t>
      </w:r>
      <w:proofErr w:type="spellStart"/>
      <w:r w:rsidRPr="00FF5ECD">
        <w:rPr>
          <w:rFonts w:eastAsia="Malgun Gothic"/>
          <w:lang w:val="es-ES" w:eastAsia="en-US"/>
        </w:rPr>
        <w:t>IC95</w:t>
      </w:r>
      <w:proofErr w:type="spellEnd"/>
      <w:r w:rsidRPr="00FF5ECD">
        <w:rPr>
          <w:rFonts w:eastAsia="Malgun Gothic"/>
          <w:lang w:val="es-ES" w:eastAsia="en-US"/>
        </w:rPr>
        <w:t> %: 13,40-53,75; p= 0,000. De las 96 placentas positivas a la histología, 20 pertenecieron al grupo A (20,8 %); 45 al grupo B (46,9 %) y 31 al grupo C (32,3 %). De los 900 controles, solo 9 placentas resultaron con histología positiva (1,0 %). De estas, solo 7 pertenecen al grupo A (77,8%) y 2 (22,2 %) al grupo B (tabla 1).</w:t>
      </w:r>
    </w:p>
    <w:p w14:paraId="5DAFF851" w14:textId="77777777" w:rsidR="00FF5ECD" w:rsidRPr="00FF5ECD" w:rsidRDefault="00FF5ECD" w:rsidP="00FF5ECD">
      <w:pPr>
        <w:suppressAutoHyphens/>
        <w:autoSpaceDN w:val="0"/>
        <w:spacing w:line="360" w:lineRule="auto"/>
        <w:jc w:val="both"/>
        <w:rPr>
          <w:rFonts w:eastAsia="Malgun Gothic"/>
          <w:b/>
          <w:lang w:val="es-ES" w:eastAsia="en-US"/>
        </w:rPr>
      </w:pPr>
    </w:p>
    <w:p w14:paraId="42D6174A" w14:textId="77777777" w:rsidR="00FF5ECD" w:rsidRPr="00FF5ECD" w:rsidRDefault="00FF5ECD" w:rsidP="00FF5ECD">
      <w:pPr>
        <w:suppressAutoHyphens/>
        <w:autoSpaceDN w:val="0"/>
        <w:spacing w:line="360" w:lineRule="auto"/>
        <w:jc w:val="center"/>
        <w:rPr>
          <w:rFonts w:eastAsia="Malgun Gothic"/>
          <w:b/>
          <w:sz w:val="22"/>
          <w:szCs w:val="22"/>
          <w:lang w:val="es-ES" w:eastAsia="en-US"/>
        </w:rPr>
      </w:pPr>
      <w:r w:rsidRPr="00FF5ECD">
        <w:rPr>
          <w:rFonts w:eastAsia="Malgun Gothic"/>
          <w:b/>
          <w:sz w:val="22"/>
          <w:szCs w:val="22"/>
          <w:lang w:val="es-ES" w:eastAsia="en-US"/>
        </w:rPr>
        <w:t>Tabla 1 -</w:t>
      </w:r>
      <w:r w:rsidRPr="00FF5ECD">
        <w:rPr>
          <w:rFonts w:eastAsia="Malgun Gothic"/>
          <w:bCs/>
          <w:sz w:val="22"/>
          <w:szCs w:val="22"/>
          <w:lang w:val="es-ES" w:eastAsia="en-US"/>
        </w:rPr>
        <w:t xml:space="preserve"> Resultados del análisis bivariado en la corioamnionitis histológica según la escala de gravedad</w:t>
      </w:r>
    </w:p>
    <w:p w14:paraId="2A483FE3" w14:textId="5E011180" w:rsidR="00FF5ECD" w:rsidRPr="00FF5ECD" w:rsidRDefault="00FF5ECD" w:rsidP="00FF5ECD">
      <w:pPr>
        <w:suppressAutoHyphens/>
        <w:autoSpaceDN w:val="0"/>
        <w:spacing w:line="360" w:lineRule="auto"/>
        <w:jc w:val="center"/>
        <w:rPr>
          <w:rFonts w:eastAsia="Malgun Gothic"/>
          <w:sz w:val="20"/>
          <w:szCs w:val="20"/>
          <w:lang w:val="es-ES" w:eastAsia="en-US"/>
        </w:rPr>
      </w:pPr>
      <w:r w:rsidRPr="00FF5ECD">
        <w:rPr>
          <w:rFonts w:eastAsia="Malgun Gothic"/>
          <w:noProof/>
          <w:sz w:val="20"/>
          <w:szCs w:val="20"/>
          <w:lang w:val="es-ES" w:eastAsia="en-US"/>
        </w:rPr>
        <w:drawing>
          <wp:inline distT="0" distB="0" distL="0" distR="0" wp14:anchorId="0025C1D4" wp14:editId="3347A13B">
            <wp:extent cx="5010150" cy="180022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0" cy="1800225"/>
                    </a:xfrm>
                    <a:prstGeom prst="rect">
                      <a:avLst/>
                    </a:prstGeom>
                    <a:noFill/>
                    <a:ln>
                      <a:noFill/>
                    </a:ln>
                  </pic:spPr>
                </pic:pic>
              </a:graphicData>
            </a:graphic>
          </wp:inline>
        </w:drawing>
      </w:r>
    </w:p>
    <w:p w14:paraId="30C79E50" w14:textId="77777777" w:rsidR="00FF5ECD" w:rsidRPr="00FF5ECD" w:rsidRDefault="00FF5ECD" w:rsidP="00FF5ECD">
      <w:pPr>
        <w:suppressAutoHyphens/>
        <w:autoSpaceDN w:val="0"/>
        <w:spacing w:line="360" w:lineRule="auto"/>
        <w:jc w:val="center"/>
        <w:rPr>
          <w:rFonts w:eastAsia="Malgun Gothic"/>
          <w:sz w:val="20"/>
          <w:szCs w:val="20"/>
          <w:lang w:val="es-ES" w:eastAsia="en-US"/>
        </w:rPr>
      </w:pPr>
    </w:p>
    <w:p w14:paraId="75113B66"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En la tabla 2, se analizó la regresión logística de la variable corioamnionitis histológica y se observó que en el grupo C no hubo diferencias estadísticamente significativas (p= 0,997), sin embargo, el grupo B, con el 46,9 %, sí hubo (p= 0,000), así como el grupo C, con el 20,8 % (p= 0,027).</w:t>
      </w:r>
    </w:p>
    <w:p w14:paraId="3120BE2D" w14:textId="77777777" w:rsidR="00FF5ECD" w:rsidRPr="00FF5ECD" w:rsidRDefault="00FF5ECD" w:rsidP="00FF5ECD">
      <w:pPr>
        <w:suppressAutoHyphens/>
        <w:autoSpaceDN w:val="0"/>
        <w:spacing w:line="360" w:lineRule="auto"/>
        <w:rPr>
          <w:rFonts w:eastAsia="Calibri"/>
          <w:lang w:val="es-ES" w:eastAsia="en-US"/>
        </w:rPr>
      </w:pPr>
    </w:p>
    <w:p w14:paraId="502CA395" w14:textId="77777777" w:rsidR="00FF5ECD" w:rsidRPr="00FF5ECD" w:rsidRDefault="00FF5ECD" w:rsidP="00FF5ECD">
      <w:pPr>
        <w:tabs>
          <w:tab w:val="left" w:pos="5520"/>
        </w:tabs>
        <w:autoSpaceDE w:val="0"/>
        <w:autoSpaceDN w:val="0"/>
        <w:adjustRightInd w:val="0"/>
        <w:spacing w:line="360" w:lineRule="auto"/>
        <w:jc w:val="center"/>
        <w:rPr>
          <w:rFonts w:eastAsia="Calibri"/>
          <w:b/>
          <w:sz w:val="22"/>
          <w:szCs w:val="22"/>
          <w:lang w:val="es-MX" w:eastAsia="en-US"/>
        </w:rPr>
      </w:pPr>
      <w:r w:rsidRPr="00FF5ECD">
        <w:rPr>
          <w:rFonts w:eastAsia="Calibri"/>
          <w:b/>
          <w:sz w:val="22"/>
          <w:szCs w:val="22"/>
          <w:lang w:val="es-MX" w:eastAsia="en-US"/>
        </w:rPr>
        <w:t xml:space="preserve">Tabla 2 - </w:t>
      </w:r>
      <w:r w:rsidRPr="00FF5ECD">
        <w:rPr>
          <w:rFonts w:eastAsia="Calibri"/>
          <w:sz w:val="22"/>
          <w:szCs w:val="22"/>
          <w:lang w:val="es-MX" w:eastAsia="en-US"/>
        </w:rPr>
        <w:t>Regresión logística (variables en la ecuación del análisis multivariado)</w:t>
      </w:r>
    </w:p>
    <w:p w14:paraId="5B8C5FCC" w14:textId="1A171B64" w:rsidR="00FF5ECD" w:rsidRPr="00FF5ECD" w:rsidRDefault="00FF5ECD" w:rsidP="00FF5ECD">
      <w:pPr>
        <w:autoSpaceDE w:val="0"/>
        <w:autoSpaceDN w:val="0"/>
        <w:adjustRightInd w:val="0"/>
        <w:spacing w:line="360" w:lineRule="auto"/>
        <w:jc w:val="center"/>
        <w:rPr>
          <w:rFonts w:eastAsia="Calibri"/>
          <w:b/>
          <w:lang w:val="es-MX" w:eastAsia="en-US"/>
        </w:rPr>
      </w:pPr>
      <w:r w:rsidRPr="00FF5ECD">
        <w:rPr>
          <w:rFonts w:eastAsia="Calibri"/>
          <w:b/>
          <w:noProof/>
          <w:lang w:val="es-ES" w:eastAsia="es-ES"/>
        </w:rPr>
        <w:drawing>
          <wp:inline distT="0" distB="0" distL="0" distR="0" wp14:anchorId="59B10B9D" wp14:editId="01B50F43">
            <wp:extent cx="5514975" cy="1343025"/>
            <wp:effectExtent l="0" t="0" r="0" b="0"/>
            <wp:docPr id="7" name="Imagen 2" descr="G:\gladys\2790\t02_279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790\t02_2790.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1343025"/>
                    </a:xfrm>
                    <a:prstGeom prst="rect">
                      <a:avLst/>
                    </a:prstGeom>
                    <a:noFill/>
                    <a:ln>
                      <a:noFill/>
                    </a:ln>
                  </pic:spPr>
                </pic:pic>
              </a:graphicData>
            </a:graphic>
          </wp:inline>
        </w:drawing>
      </w:r>
    </w:p>
    <w:p w14:paraId="3343F8B1" w14:textId="77777777" w:rsidR="00FF5ECD" w:rsidRPr="00FF5ECD" w:rsidRDefault="00FF5ECD" w:rsidP="00FF5ECD">
      <w:pPr>
        <w:autoSpaceDE w:val="0"/>
        <w:autoSpaceDN w:val="0"/>
        <w:adjustRightInd w:val="0"/>
        <w:spacing w:line="360" w:lineRule="auto"/>
        <w:jc w:val="both"/>
        <w:rPr>
          <w:rFonts w:eastAsia="Calibri"/>
          <w:b/>
          <w:lang w:val="es-MX" w:eastAsia="en-US"/>
        </w:rPr>
      </w:pPr>
    </w:p>
    <w:p w14:paraId="51A86123" w14:textId="77777777" w:rsidR="00FF5ECD" w:rsidRPr="00FF5ECD" w:rsidRDefault="00FF5ECD" w:rsidP="00FF5ECD">
      <w:pPr>
        <w:autoSpaceDE w:val="0"/>
        <w:autoSpaceDN w:val="0"/>
        <w:adjustRightInd w:val="0"/>
        <w:spacing w:line="360" w:lineRule="auto"/>
        <w:jc w:val="both"/>
        <w:rPr>
          <w:rFonts w:eastAsia="Calibri"/>
          <w:b/>
          <w:lang w:val="es-MX" w:eastAsia="en-US"/>
        </w:rPr>
      </w:pPr>
    </w:p>
    <w:p w14:paraId="43A35674" w14:textId="05EA300C" w:rsidR="00FF5ECD" w:rsidRPr="00FF5ECD" w:rsidRDefault="005A3D4E" w:rsidP="00FF5ECD">
      <w:pPr>
        <w:autoSpaceDE w:val="0"/>
        <w:autoSpaceDN w:val="0"/>
        <w:adjustRightInd w:val="0"/>
        <w:spacing w:line="360" w:lineRule="auto"/>
        <w:jc w:val="center"/>
        <w:rPr>
          <w:rFonts w:eastAsia="Calibri"/>
          <w:b/>
          <w:sz w:val="32"/>
          <w:szCs w:val="32"/>
          <w:lang w:val="es-MX" w:eastAsia="en-US"/>
        </w:rPr>
      </w:pPr>
      <w:r w:rsidRPr="00FF5ECD">
        <w:rPr>
          <w:rFonts w:eastAsia="Calibri"/>
          <w:b/>
          <w:sz w:val="32"/>
          <w:szCs w:val="32"/>
          <w:lang w:val="es-MX" w:eastAsia="en-US"/>
        </w:rPr>
        <w:t>DISCUSIÓN</w:t>
      </w:r>
    </w:p>
    <w:p w14:paraId="6C3878B4" w14:textId="0441ECEB" w:rsidR="00FF5ECD" w:rsidRPr="00FF5ECD" w:rsidRDefault="00FF5ECD" w:rsidP="00FF5ECD">
      <w:pPr>
        <w:autoSpaceDE w:val="0"/>
        <w:autoSpaceDN w:val="0"/>
        <w:adjustRightInd w:val="0"/>
        <w:spacing w:line="360" w:lineRule="auto"/>
        <w:jc w:val="both"/>
        <w:rPr>
          <w:rFonts w:eastAsia="Calibri"/>
          <w:lang w:val="es-ES" w:eastAsia="en-US"/>
        </w:rPr>
      </w:pPr>
      <w:r w:rsidRPr="00FF5ECD">
        <w:rPr>
          <w:rFonts w:eastAsia="Calibri"/>
          <w:lang w:val="es-ES" w:eastAsia="en-US"/>
        </w:rPr>
        <w:t xml:space="preserve">El análisis bivariado de la corioamnionitis histológica en el grupo B muestra </w:t>
      </w:r>
      <w:proofErr w:type="gramStart"/>
      <w:r w:rsidRPr="00FF5ECD">
        <w:rPr>
          <w:rFonts w:eastAsia="Calibri"/>
          <w:lang w:val="es-ES" w:eastAsia="en-US"/>
        </w:rPr>
        <w:t>que</w:t>
      </w:r>
      <w:proofErr w:type="gramEnd"/>
      <w:r w:rsidRPr="00FF5ECD">
        <w:rPr>
          <w:rFonts w:eastAsia="Calibri"/>
          <w:lang w:val="es-ES" w:eastAsia="en-US"/>
        </w:rPr>
        <w:t> a mayor positividad, hay mayor porcentaje en la escala más gravedad en la infección bacteriana del neonato pretérmino; la regresión logística apoya estos resultados con el grupo B (p= 0,000).</w:t>
      </w:r>
    </w:p>
    <w:p w14:paraId="4D7B860E" w14:textId="77777777" w:rsidR="00FF5ECD" w:rsidRPr="00FF5ECD" w:rsidRDefault="00FF5ECD" w:rsidP="00FF5ECD">
      <w:pPr>
        <w:autoSpaceDE w:val="0"/>
        <w:autoSpaceDN w:val="0"/>
        <w:adjustRightInd w:val="0"/>
        <w:spacing w:line="360" w:lineRule="auto"/>
        <w:jc w:val="both"/>
        <w:rPr>
          <w:rFonts w:eastAsia="Calibri"/>
          <w:bCs/>
          <w:lang w:val="es-MX" w:eastAsia="en-US"/>
        </w:rPr>
      </w:pPr>
      <w:r w:rsidRPr="00FF5ECD">
        <w:rPr>
          <w:rFonts w:eastAsia="Calibri"/>
          <w:iCs/>
          <w:lang w:val="es-ES" w:eastAsia="en-US"/>
        </w:rPr>
        <w:t xml:space="preserve">Según </w:t>
      </w:r>
      <w:r w:rsidRPr="00FF5ECD">
        <w:rPr>
          <w:rFonts w:eastAsia="Calibri"/>
          <w:i/>
          <w:lang w:val="es-ES" w:eastAsia="en-US"/>
        </w:rPr>
        <w:t xml:space="preserve">Gibbs </w:t>
      </w:r>
      <w:r w:rsidRPr="00FF5ECD">
        <w:rPr>
          <w:rFonts w:eastAsia="Calibri"/>
          <w:iCs/>
          <w:lang w:val="es-ES" w:eastAsia="en-US"/>
        </w:rPr>
        <w:t xml:space="preserve">y </w:t>
      </w:r>
      <w:proofErr w:type="gramStart"/>
      <w:r w:rsidRPr="00FF5ECD">
        <w:rPr>
          <w:rFonts w:eastAsia="Calibri"/>
          <w:iCs/>
          <w:lang w:val="es-ES" w:eastAsia="en-US"/>
        </w:rPr>
        <w:t>otros</w:t>
      </w:r>
      <w:r w:rsidRPr="00FF5ECD">
        <w:rPr>
          <w:rFonts w:eastAsia="Calibri"/>
          <w:iCs/>
          <w:vertAlign w:val="superscript"/>
          <w:lang w:val="es-ES" w:eastAsia="en-US"/>
        </w:rPr>
        <w:t>(</w:t>
      </w:r>
      <w:proofErr w:type="gramEnd"/>
      <w:r w:rsidRPr="00FF5ECD">
        <w:rPr>
          <w:rFonts w:eastAsia="Calibri"/>
          <w:iCs/>
          <w:vertAlign w:val="superscript"/>
          <w:lang w:val="es-ES" w:eastAsia="en-US"/>
        </w:rPr>
        <w:t xml:space="preserve">8) </w:t>
      </w:r>
      <w:r w:rsidRPr="00FF5ECD">
        <w:rPr>
          <w:rFonts w:eastAsia="Calibri"/>
          <w:iCs/>
          <w:lang w:val="es-ES" w:eastAsia="en-US"/>
        </w:rPr>
        <w:t xml:space="preserve">y </w:t>
      </w:r>
      <w:r w:rsidRPr="00FF5ECD">
        <w:rPr>
          <w:rFonts w:eastAsia="Calibri"/>
          <w:i/>
          <w:lang w:val="es-ES" w:eastAsia="en-US"/>
        </w:rPr>
        <w:t>Rueda</w:t>
      </w:r>
      <w:r w:rsidRPr="00FF5ECD">
        <w:rPr>
          <w:rFonts w:eastAsia="Calibri"/>
          <w:iCs/>
          <w:lang w:val="es-ES" w:eastAsia="en-US"/>
        </w:rPr>
        <w:t xml:space="preserve"> y otros,</w:t>
      </w:r>
      <w:r w:rsidRPr="00FF5ECD">
        <w:rPr>
          <w:rFonts w:eastAsia="Calibri"/>
          <w:iCs/>
          <w:vertAlign w:val="superscript"/>
          <w:lang w:val="es-ES" w:eastAsia="en-US"/>
        </w:rPr>
        <w:t xml:space="preserve">(9) </w:t>
      </w:r>
      <w:r w:rsidRPr="00FF5ECD">
        <w:rPr>
          <w:rFonts w:eastAsia="Calibri"/>
          <w:lang w:val="es-ES" w:eastAsia="en-US"/>
        </w:rPr>
        <w:t xml:space="preserve">la incidencia de corioamnionitis histológica subclínica es mucho más común en embarazos pretérmino: 40 % entre 24 y 28 semanas, 30 % entre 28 y 32 semanas, 20 % entre 30 y 36 semanas y 10 % en embarazos mayores de 37 semanas. Aparece en el 1 % de todas las gestaciones, se presenta de un 5 al 10 % en pacientes con rotura prematura de membranas y en un 44 % de los casos, precede a la rotura de membranas. </w:t>
      </w:r>
    </w:p>
    <w:p w14:paraId="16D299E2" w14:textId="77777777" w:rsidR="00FF5ECD" w:rsidRPr="00FF5ECD" w:rsidRDefault="00FF5ECD" w:rsidP="00FF5ECD">
      <w:pPr>
        <w:spacing w:line="360" w:lineRule="auto"/>
        <w:jc w:val="both"/>
        <w:rPr>
          <w:lang w:val="es-ES" w:eastAsia="es-ES"/>
        </w:rPr>
      </w:pPr>
      <w:r w:rsidRPr="00FF5ECD">
        <w:rPr>
          <w:lang w:val="es-ES" w:eastAsia="es-ES"/>
        </w:rPr>
        <w:t xml:space="preserve">La corioamnionitis es una complicación frecuente de la ruptura prematura de membranas ovulares y se asocia con resultados adversos a largo plazo, maternos y perinatales. Entre los maternos están: las infecciones posparto; en los perinatales se incluyen: óbito, parto prematuro, sepsis neonatal, enfermedad pulmonar crónica y lesión cerebral, que lleva a la parálisis </w:t>
      </w:r>
      <w:proofErr w:type="gramStart"/>
      <w:r w:rsidRPr="00FF5ECD">
        <w:rPr>
          <w:lang w:val="es-ES" w:eastAsia="es-ES"/>
        </w:rPr>
        <w:t>cerebral.</w:t>
      </w:r>
      <w:r w:rsidRPr="00FF5ECD">
        <w:rPr>
          <w:vertAlign w:val="superscript"/>
          <w:lang w:val="es-ES" w:eastAsia="es-ES"/>
        </w:rPr>
        <w:t>(</w:t>
      </w:r>
      <w:proofErr w:type="gramEnd"/>
      <w:r w:rsidRPr="00FF5ECD">
        <w:rPr>
          <w:vertAlign w:val="superscript"/>
          <w:lang w:val="es-ES" w:eastAsia="es-ES"/>
        </w:rPr>
        <w:t xml:space="preserve">14,15,17) </w:t>
      </w:r>
    </w:p>
    <w:p w14:paraId="286641EE" w14:textId="702A9B75"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t xml:space="preserve">En revisiones </w:t>
      </w:r>
      <w:r w:rsidRPr="00FF5ECD">
        <w:rPr>
          <w:rFonts w:eastAsia="Calibri"/>
          <w:bCs/>
          <w:iCs/>
          <w:lang w:val="es-ES" w:eastAsia="en-US"/>
        </w:rPr>
        <w:t xml:space="preserve"> </w:t>
      </w:r>
      <w:r w:rsidRPr="00FF5ECD">
        <w:rPr>
          <w:rFonts w:eastAsia="Calibri"/>
          <w:i/>
          <w:lang w:val="es-ES" w:eastAsia="en-US"/>
        </w:rPr>
        <w:t xml:space="preserve">Hurtado </w:t>
      </w:r>
      <w:r w:rsidRPr="00FF5ECD">
        <w:rPr>
          <w:rFonts w:eastAsia="Calibri"/>
          <w:iCs/>
          <w:lang w:val="es-ES" w:eastAsia="en-US"/>
        </w:rPr>
        <w:t>y otros,</w:t>
      </w:r>
      <w:r w:rsidRPr="00FF5ECD">
        <w:rPr>
          <w:rFonts w:eastAsia="Calibri"/>
          <w:vertAlign w:val="superscript"/>
          <w:lang w:val="es-ES" w:eastAsia="en-US"/>
        </w:rPr>
        <w:t>(11)</w:t>
      </w:r>
      <w:r w:rsidRPr="00FF5ECD">
        <w:rPr>
          <w:rFonts w:eastAsia="Calibri"/>
          <w:lang w:val="es-ES" w:eastAsia="en-US"/>
        </w:rPr>
        <w:t xml:space="preserve"> resumen que aparece una respuesta inflamatoria fetal, a la corioamnion</w:t>
      </w:r>
      <w:r w:rsidR="005A3D4E">
        <w:rPr>
          <w:rFonts w:eastAsia="Calibri"/>
          <w:lang w:val="es-ES" w:eastAsia="en-US"/>
        </w:rPr>
        <w:t>i</w:t>
      </w:r>
      <w:r w:rsidRPr="00FF5ECD">
        <w:rPr>
          <w:rFonts w:eastAsia="Calibri"/>
          <w:lang w:val="es-ES" w:eastAsia="en-US"/>
        </w:rPr>
        <w:t>tis, que clasifican en grados histológicos, muy generales:  g</w:t>
      </w:r>
      <w:r w:rsidRPr="00FF5ECD">
        <w:rPr>
          <w:rFonts w:eastAsia="Calibri"/>
          <w:bCs/>
          <w:lang w:val="es-ES" w:eastAsia="en-US"/>
        </w:rPr>
        <w:t xml:space="preserve">rado histológico 1 (temprano), con </w:t>
      </w:r>
      <w:r w:rsidRPr="00FF5ECD">
        <w:rPr>
          <w:rFonts w:eastAsia="Calibri"/>
          <w:lang w:val="es-ES" w:eastAsia="en-US"/>
        </w:rPr>
        <w:t>flebitis umbilical, polimorfonucleares infiltrado en vasos coriónicos o vena umbilical; g</w:t>
      </w:r>
      <w:r w:rsidRPr="00FF5ECD">
        <w:rPr>
          <w:rFonts w:eastAsia="Calibri"/>
          <w:bCs/>
          <w:lang w:val="es-ES" w:eastAsia="en-US"/>
        </w:rPr>
        <w:t xml:space="preserve">rado histológico 2 (intermedio), con </w:t>
      </w:r>
      <w:r w:rsidRPr="00FF5ECD">
        <w:rPr>
          <w:rFonts w:eastAsia="Calibri"/>
          <w:lang w:val="es-ES" w:eastAsia="en-US"/>
        </w:rPr>
        <w:t>vasculitis umbilical</w:t>
      </w:r>
      <w:r w:rsidRPr="00FF5ECD">
        <w:rPr>
          <w:rFonts w:eastAsia="Calibri"/>
          <w:b/>
          <w:lang w:val="es-ES" w:eastAsia="en-US"/>
        </w:rPr>
        <w:t xml:space="preserve">, </w:t>
      </w:r>
      <w:r w:rsidRPr="00FF5ECD">
        <w:rPr>
          <w:rFonts w:eastAsia="Calibri"/>
          <w:lang w:val="es-ES" w:eastAsia="en-US"/>
        </w:rPr>
        <w:t>polimorfonucleares en arterias umbilicales; y el g</w:t>
      </w:r>
      <w:r w:rsidRPr="00FF5ECD">
        <w:rPr>
          <w:rFonts w:eastAsia="Calibri"/>
          <w:bCs/>
          <w:lang w:val="es-ES" w:eastAsia="en-US"/>
        </w:rPr>
        <w:t xml:space="preserve">rado histológico 3 (avanzado), con </w:t>
      </w:r>
      <w:proofErr w:type="spellStart"/>
      <w:r w:rsidRPr="00FF5ECD">
        <w:rPr>
          <w:rFonts w:eastAsia="Calibri"/>
          <w:lang w:val="es-ES" w:eastAsia="en-US"/>
        </w:rPr>
        <w:t>funisitis</w:t>
      </w:r>
      <w:proofErr w:type="spellEnd"/>
      <w:r w:rsidRPr="00FF5ECD">
        <w:rPr>
          <w:rFonts w:eastAsia="Calibri"/>
          <w:lang w:val="es-ES" w:eastAsia="en-US"/>
        </w:rPr>
        <w:t xml:space="preserve"> necrotizante</w:t>
      </w:r>
      <w:r w:rsidRPr="00FF5ECD">
        <w:rPr>
          <w:rFonts w:eastAsia="Calibri"/>
          <w:bCs/>
          <w:lang w:val="es-ES" w:eastAsia="en-US"/>
        </w:rPr>
        <w:t>,</w:t>
      </w:r>
      <w:r w:rsidRPr="00FF5ECD">
        <w:rPr>
          <w:rFonts w:eastAsia="Calibri"/>
          <w:b/>
          <w:lang w:val="es-ES" w:eastAsia="en-US"/>
        </w:rPr>
        <w:t xml:space="preserve"> </w:t>
      </w:r>
      <w:r w:rsidRPr="00FF5ECD">
        <w:rPr>
          <w:rFonts w:eastAsia="Calibri"/>
          <w:bCs/>
          <w:lang w:val="es-ES" w:eastAsia="en-US"/>
        </w:rPr>
        <w:t>zona</w:t>
      </w:r>
      <w:r w:rsidRPr="00FF5ECD">
        <w:rPr>
          <w:rFonts w:eastAsia="Calibri"/>
          <w:lang w:val="es-ES" w:eastAsia="en-US"/>
        </w:rPr>
        <w:t>s necróticas en halos o anillos alrededor de los vasos umbilicales.</w:t>
      </w:r>
    </w:p>
    <w:p w14:paraId="75FBFE3B" w14:textId="77777777" w:rsidR="00FF5ECD" w:rsidRPr="00FF5ECD" w:rsidRDefault="00FF5ECD" w:rsidP="00FF5ECD">
      <w:pPr>
        <w:suppressAutoHyphens/>
        <w:autoSpaceDN w:val="0"/>
        <w:spacing w:line="360" w:lineRule="auto"/>
        <w:jc w:val="both"/>
        <w:rPr>
          <w:rFonts w:eastAsia="Calibri"/>
          <w:vertAlign w:val="superscript"/>
          <w:lang w:val="es-ES" w:eastAsia="en-US"/>
        </w:rPr>
      </w:pPr>
      <w:r w:rsidRPr="00FF5ECD">
        <w:rPr>
          <w:rFonts w:eastAsia="Calibri"/>
          <w:lang w:val="es-ES" w:eastAsia="en-US"/>
        </w:rPr>
        <w:t>La corioamnionitis histológica se detecta en el 80 % de las placentas producto de nacimientos antes de la semana 28, en un 50 % de las placentas de los recién nacidos entre las semanas 29 y 34 y en un 30 % de los recién nacidos con más de 34 semanas.</w:t>
      </w:r>
      <w:r w:rsidRPr="00FF5ECD">
        <w:rPr>
          <w:rFonts w:eastAsia="Calibri"/>
          <w:vertAlign w:val="superscript"/>
          <w:lang w:val="es-ES" w:eastAsia="en-US"/>
        </w:rPr>
        <w:t>(18,19,20,21)</w:t>
      </w:r>
      <w:r w:rsidRPr="00FF5ECD">
        <w:rPr>
          <w:rFonts w:eastAsia="Calibri"/>
          <w:lang w:val="es-ES" w:eastAsia="en-US"/>
        </w:rPr>
        <w:t xml:space="preserve"> De hecho, la evidencia de corioamnionitis histológica es 3 veces mayor que la infección clínica con cultivo positivo del líquido amniótico.</w:t>
      </w:r>
      <w:r w:rsidRPr="00FF5ECD">
        <w:rPr>
          <w:rFonts w:eastAsia="Calibri"/>
          <w:vertAlign w:val="superscript"/>
          <w:lang w:val="es-ES" w:eastAsia="en-US"/>
        </w:rPr>
        <w:t xml:space="preserve">(21,22,23,24) </w:t>
      </w:r>
      <w:r w:rsidRPr="00FF5ECD">
        <w:rPr>
          <w:rFonts w:eastAsia="Calibri"/>
          <w:lang w:val="es-ES" w:eastAsia="en-US"/>
        </w:rPr>
        <w:t xml:space="preserve">No obstante, hay que tener presente que la infección placentaria no siempre se asocia a un microorganismo, como encontraron en sus estudios </w:t>
      </w:r>
      <w:r w:rsidRPr="00FF5ECD">
        <w:rPr>
          <w:rFonts w:eastAsia="Calibri"/>
          <w:i/>
          <w:iCs/>
          <w:lang w:val="es-ES" w:eastAsia="en-US"/>
        </w:rPr>
        <w:t>Olin</w:t>
      </w:r>
      <w:r w:rsidRPr="00FF5ECD">
        <w:rPr>
          <w:rFonts w:eastAsia="Calibri"/>
          <w:lang w:val="es-ES" w:eastAsia="en-US"/>
        </w:rPr>
        <w:t xml:space="preserve"> y otros</w:t>
      </w:r>
      <w:r w:rsidRPr="00FF5ECD">
        <w:rPr>
          <w:rFonts w:eastAsia="Calibri"/>
          <w:vertAlign w:val="superscript"/>
          <w:lang w:val="es-ES" w:eastAsia="en-US"/>
        </w:rPr>
        <w:t xml:space="preserve">(20) </w:t>
      </w:r>
      <w:r w:rsidRPr="00FF5ECD">
        <w:rPr>
          <w:rFonts w:eastAsia="Calibri"/>
          <w:lang w:val="es-ES" w:eastAsia="en-US"/>
        </w:rPr>
        <w:t xml:space="preserve">y </w:t>
      </w:r>
      <w:r w:rsidRPr="00FF5ECD">
        <w:rPr>
          <w:rFonts w:eastAsia="Calibri"/>
          <w:i/>
          <w:iCs/>
          <w:lang w:val="es-ES" w:eastAsia="en-US"/>
        </w:rPr>
        <w:t>Dong</w:t>
      </w:r>
      <w:r w:rsidRPr="00FF5ECD">
        <w:rPr>
          <w:rFonts w:eastAsia="Calibri"/>
          <w:lang w:val="es-ES" w:eastAsia="en-US"/>
        </w:rPr>
        <w:t xml:space="preserve"> y otros.</w:t>
      </w:r>
      <w:r w:rsidRPr="00FF5ECD">
        <w:rPr>
          <w:rFonts w:eastAsia="Calibri"/>
          <w:vertAlign w:val="superscript"/>
          <w:lang w:val="es-ES" w:eastAsia="en-US"/>
        </w:rPr>
        <w:t>(24)</w:t>
      </w:r>
    </w:p>
    <w:p w14:paraId="5F55152B" w14:textId="77777777" w:rsidR="00FF5ECD" w:rsidRPr="00FF5ECD" w:rsidRDefault="00FF5ECD" w:rsidP="00FF5ECD">
      <w:pPr>
        <w:suppressAutoHyphens/>
        <w:autoSpaceDN w:val="0"/>
        <w:spacing w:line="360" w:lineRule="auto"/>
        <w:jc w:val="both"/>
        <w:rPr>
          <w:rFonts w:eastAsia="Calibri"/>
          <w:lang w:val="es-ES" w:eastAsia="en-US"/>
        </w:rPr>
      </w:pPr>
      <w:r w:rsidRPr="00FF5ECD">
        <w:rPr>
          <w:rFonts w:eastAsia="Calibri"/>
          <w:lang w:val="es-ES" w:eastAsia="en-US"/>
        </w:rPr>
        <w:lastRenderedPageBreak/>
        <w:t xml:space="preserve">En el presente estudio se encontraron resultados similares a los de </w:t>
      </w:r>
      <w:r w:rsidRPr="00FF5ECD">
        <w:rPr>
          <w:rFonts w:eastAsia="Calibri"/>
          <w:i/>
          <w:iCs/>
          <w:lang w:val="es-ES" w:eastAsia="en-US"/>
        </w:rPr>
        <w:t>Moran</w:t>
      </w:r>
      <w:r w:rsidRPr="00FF5ECD">
        <w:rPr>
          <w:rFonts w:eastAsia="Calibri"/>
          <w:lang w:val="es-ES" w:eastAsia="en-US"/>
        </w:rPr>
        <w:t xml:space="preserve"> y </w:t>
      </w:r>
      <w:proofErr w:type="gramStart"/>
      <w:r w:rsidRPr="00FF5ECD">
        <w:rPr>
          <w:rFonts w:eastAsia="Calibri"/>
          <w:lang w:val="es-ES" w:eastAsia="en-US"/>
        </w:rPr>
        <w:t>otros</w:t>
      </w:r>
      <w:r w:rsidRPr="00FF5ECD">
        <w:rPr>
          <w:rFonts w:eastAsia="Calibri"/>
          <w:vertAlign w:val="superscript"/>
          <w:lang w:val="es-ES" w:eastAsia="en-US"/>
        </w:rPr>
        <w:t>(</w:t>
      </w:r>
      <w:proofErr w:type="gramEnd"/>
      <w:r w:rsidRPr="00FF5ECD">
        <w:rPr>
          <w:rFonts w:eastAsia="Calibri"/>
          <w:vertAlign w:val="superscript"/>
          <w:lang w:val="es-ES" w:eastAsia="en-US"/>
        </w:rPr>
        <w:t>21)</w:t>
      </w:r>
      <w:r w:rsidRPr="00FF5ECD">
        <w:rPr>
          <w:rFonts w:eastAsia="Calibri"/>
          <w:lang w:val="es-ES" w:eastAsia="en-US"/>
        </w:rPr>
        <w:t xml:space="preserve"> y </w:t>
      </w:r>
      <w:r w:rsidRPr="00FF5ECD">
        <w:rPr>
          <w:rFonts w:eastAsia="Calibri"/>
          <w:i/>
          <w:iCs/>
          <w:lang w:val="es-ES" w:eastAsia="en-US"/>
        </w:rPr>
        <w:t>Kramer</w:t>
      </w:r>
      <w:r w:rsidRPr="00FF5ECD">
        <w:rPr>
          <w:rFonts w:eastAsia="Calibri"/>
          <w:lang w:val="es-ES" w:eastAsia="en-US"/>
        </w:rPr>
        <w:t xml:space="preserve"> y otros,</w:t>
      </w:r>
      <w:r w:rsidRPr="00FF5ECD">
        <w:rPr>
          <w:rFonts w:eastAsia="Calibri"/>
          <w:vertAlign w:val="superscript"/>
          <w:lang w:val="es-ES" w:eastAsia="en-US"/>
        </w:rPr>
        <w:t xml:space="preserve">(10) </w:t>
      </w:r>
      <w:r w:rsidRPr="00FF5ECD">
        <w:rPr>
          <w:rFonts w:eastAsia="Calibri"/>
          <w:lang w:val="es-ES" w:eastAsia="en-US"/>
        </w:rPr>
        <w:t xml:space="preserve">quienes describen un </w:t>
      </w:r>
      <w:proofErr w:type="spellStart"/>
      <w:r w:rsidRPr="00FF5ECD">
        <w:rPr>
          <w:rFonts w:eastAsia="Calibri"/>
          <w:lang w:val="es-ES" w:eastAsia="en-US"/>
        </w:rPr>
        <w:t>OR</w:t>
      </w:r>
      <w:proofErr w:type="spellEnd"/>
      <w:r w:rsidRPr="00FF5ECD">
        <w:rPr>
          <w:rFonts w:eastAsia="Calibri"/>
          <w:lang w:val="es-ES" w:eastAsia="en-US"/>
        </w:rPr>
        <w:t>= 20,9 y 24,6 respectivamente.</w:t>
      </w:r>
    </w:p>
    <w:p w14:paraId="5E19F6A6" w14:textId="77777777" w:rsidR="00FF5ECD" w:rsidRPr="00FF5ECD" w:rsidRDefault="00FF5ECD" w:rsidP="00FF5ECD">
      <w:pPr>
        <w:suppressAutoHyphens/>
        <w:autoSpaceDN w:val="0"/>
        <w:spacing w:line="360" w:lineRule="auto"/>
        <w:jc w:val="both"/>
        <w:rPr>
          <w:rFonts w:eastAsia="Malgun Gothic"/>
          <w:lang w:val="es-ES" w:eastAsia="en-US"/>
        </w:rPr>
      </w:pPr>
      <w:r w:rsidRPr="00FF5ECD">
        <w:rPr>
          <w:rFonts w:eastAsia="Malgun Gothic"/>
          <w:lang w:val="es-ES" w:eastAsia="en-US"/>
        </w:rPr>
        <w:t xml:space="preserve">La escala de gravedad de la </w:t>
      </w:r>
      <w:r w:rsidRPr="00FF5ECD">
        <w:rPr>
          <w:rFonts w:eastAsia="Calibri"/>
          <w:bCs/>
          <w:lang w:val="es-ES" w:eastAsia="en-US"/>
        </w:rPr>
        <w:t>corioamnionitis histológica clasifica adecuadamente como factor de riesgo para la</w:t>
      </w:r>
      <w:r w:rsidRPr="00FF5ECD">
        <w:rPr>
          <w:rFonts w:eastAsia="Malgun Gothic"/>
          <w:lang w:val="es-ES" w:eastAsia="en-US"/>
        </w:rPr>
        <w:t xml:space="preserve"> infección bacteriana de inicio precoz en neonatos pretérmino.</w:t>
      </w:r>
    </w:p>
    <w:p w14:paraId="25182AF4" w14:textId="77777777" w:rsidR="00FF5ECD" w:rsidRPr="00FF5ECD" w:rsidRDefault="00FF5ECD" w:rsidP="00FF5ECD">
      <w:pPr>
        <w:suppressAutoHyphens/>
        <w:autoSpaceDN w:val="0"/>
        <w:spacing w:line="360" w:lineRule="auto"/>
        <w:jc w:val="both"/>
        <w:rPr>
          <w:rFonts w:eastAsia="Malgun Gothic"/>
          <w:b/>
          <w:lang w:val="es-ES" w:eastAsia="en-US"/>
        </w:rPr>
      </w:pPr>
    </w:p>
    <w:p w14:paraId="2B3494A7" w14:textId="77777777" w:rsidR="00FF5ECD" w:rsidRPr="00FF5ECD" w:rsidRDefault="00FF5ECD" w:rsidP="00FF5ECD">
      <w:pPr>
        <w:suppressAutoHyphens/>
        <w:autoSpaceDN w:val="0"/>
        <w:spacing w:line="360" w:lineRule="auto"/>
        <w:jc w:val="center"/>
        <w:rPr>
          <w:rFonts w:eastAsia="Malgun Gothic"/>
          <w:b/>
          <w:sz w:val="32"/>
          <w:szCs w:val="32"/>
          <w:lang w:val="es-ES" w:eastAsia="en-US"/>
        </w:rPr>
      </w:pPr>
    </w:p>
    <w:p w14:paraId="1B37A57C" w14:textId="77777777" w:rsidR="00FF5ECD" w:rsidRPr="00FF5ECD" w:rsidRDefault="00FF5ECD" w:rsidP="00FF5ECD">
      <w:pPr>
        <w:suppressAutoHyphens/>
        <w:autoSpaceDN w:val="0"/>
        <w:spacing w:line="360" w:lineRule="auto"/>
        <w:jc w:val="center"/>
        <w:rPr>
          <w:rFonts w:eastAsia="Calibri"/>
          <w:b/>
          <w:sz w:val="32"/>
          <w:szCs w:val="32"/>
          <w:lang w:val="es-ES" w:eastAsia="en-US"/>
        </w:rPr>
      </w:pPr>
      <w:r w:rsidRPr="00FF5ECD">
        <w:rPr>
          <w:rFonts w:eastAsia="Malgun Gothic"/>
          <w:b/>
          <w:sz w:val="32"/>
          <w:szCs w:val="32"/>
          <w:lang w:val="es-ES" w:eastAsia="en-US"/>
        </w:rPr>
        <w:t xml:space="preserve">REFERENCIAS BIBLIOGRÁFICAS </w:t>
      </w:r>
    </w:p>
    <w:p w14:paraId="40D43F38" w14:textId="77777777" w:rsidR="00FF5ECD" w:rsidRPr="00FF5ECD" w:rsidRDefault="00FF5ECD" w:rsidP="00FF5ECD">
      <w:pPr>
        <w:suppressAutoHyphens/>
        <w:autoSpaceDN w:val="0"/>
        <w:spacing w:line="360" w:lineRule="auto"/>
        <w:rPr>
          <w:rFonts w:eastAsia="Calibri"/>
          <w:sz w:val="22"/>
          <w:szCs w:val="22"/>
          <w:lang w:val="es-ES" w:eastAsia="en-US"/>
        </w:rPr>
      </w:pPr>
      <w:r w:rsidRPr="00FF5ECD">
        <w:rPr>
          <w:rFonts w:eastAsia="Calibri"/>
          <w:lang w:val="es-ES" w:eastAsia="en-US"/>
        </w:rPr>
        <w:t xml:space="preserve">1. Lujan Hernández M, Fabregat Rodríguez G. Mortalidad Infantil. </w:t>
      </w:r>
      <w:proofErr w:type="spellStart"/>
      <w:r w:rsidRPr="00FF5ECD">
        <w:rPr>
          <w:rFonts w:eastAsia="Calibri"/>
          <w:lang w:val="es-ES" w:eastAsia="en-US"/>
        </w:rPr>
        <w:t>Rev</w:t>
      </w:r>
      <w:proofErr w:type="spellEnd"/>
      <w:r w:rsidRPr="00FF5ECD">
        <w:rPr>
          <w:rFonts w:eastAsia="Calibri"/>
          <w:lang w:val="es-ES" w:eastAsia="en-US"/>
        </w:rPr>
        <w:t xml:space="preserve"> </w:t>
      </w:r>
      <w:proofErr w:type="gramStart"/>
      <w:r w:rsidRPr="00FF5ECD">
        <w:rPr>
          <w:rFonts w:eastAsia="Calibri"/>
          <w:lang w:val="es-ES" w:eastAsia="en-US"/>
        </w:rPr>
        <w:t>Cubana</w:t>
      </w:r>
      <w:proofErr w:type="gramEnd"/>
      <w:r w:rsidRPr="00FF5ECD">
        <w:rPr>
          <w:rFonts w:eastAsia="Calibri"/>
          <w:lang w:val="es-ES" w:eastAsia="en-US"/>
        </w:rPr>
        <w:t xml:space="preserve"> </w:t>
      </w:r>
      <w:proofErr w:type="spellStart"/>
      <w:r w:rsidRPr="00FF5ECD">
        <w:rPr>
          <w:rFonts w:eastAsia="Calibri"/>
          <w:lang w:val="es-ES" w:eastAsia="en-US"/>
        </w:rPr>
        <w:t>Hig</w:t>
      </w:r>
      <w:proofErr w:type="spellEnd"/>
      <w:r w:rsidRPr="00FF5ECD">
        <w:rPr>
          <w:rFonts w:eastAsia="Calibri"/>
          <w:lang w:val="es-ES" w:eastAsia="en-US"/>
        </w:rPr>
        <w:t xml:space="preserve"> </w:t>
      </w:r>
      <w:proofErr w:type="spellStart"/>
      <w:r w:rsidRPr="00FF5ECD">
        <w:rPr>
          <w:rFonts w:eastAsia="Calibri"/>
          <w:lang w:val="es-ES" w:eastAsia="en-US"/>
        </w:rPr>
        <w:t>Epidemiol</w:t>
      </w:r>
      <w:proofErr w:type="spellEnd"/>
      <w:r w:rsidRPr="00FF5ECD">
        <w:rPr>
          <w:rFonts w:eastAsia="Calibri"/>
          <w:lang w:val="es-ES" w:eastAsia="en-US"/>
        </w:rPr>
        <w:t>. 2000 [acceso: 01/05/2021]; 39(1): 34-48</w:t>
      </w:r>
      <w:r w:rsidRPr="00FF5ECD" w:rsidDel="002A0670">
        <w:rPr>
          <w:rFonts w:eastAsia="Calibri"/>
          <w:lang w:val="es-ES" w:eastAsia="en-US"/>
        </w:rPr>
        <w:t xml:space="preserve"> </w:t>
      </w:r>
      <w:r w:rsidRPr="00FF5ECD">
        <w:rPr>
          <w:rFonts w:eastAsia="Calibri"/>
          <w:lang w:val="es-ES" w:eastAsia="en-US"/>
        </w:rPr>
        <w:t xml:space="preserve">Disponible en: </w:t>
      </w:r>
      <w:hyperlink r:id="rId15" w:history="1">
        <w:r w:rsidRPr="00FF5ECD">
          <w:rPr>
            <w:rFonts w:eastAsia="Calibri"/>
            <w:sz w:val="22"/>
            <w:szCs w:val="22"/>
            <w:u w:color="000000"/>
            <w:lang w:val="es-ES" w:eastAsia="en-US"/>
          </w:rPr>
          <w:t>https://revepidemiologia.sld.cu/index.php/hie/article/view/839</w:t>
        </w:r>
      </w:hyperlink>
    </w:p>
    <w:p w14:paraId="298A1186" w14:textId="77777777" w:rsidR="00FF5ECD" w:rsidRPr="00FF5ECD" w:rsidRDefault="00FF5ECD" w:rsidP="00FF5ECD">
      <w:pPr>
        <w:suppressAutoHyphens/>
        <w:autoSpaceDN w:val="0"/>
        <w:spacing w:line="360" w:lineRule="auto"/>
        <w:rPr>
          <w:rFonts w:eastAsia="Calibri"/>
          <w:sz w:val="22"/>
          <w:szCs w:val="22"/>
          <w:lang w:val="es-ES" w:eastAsia="en-US"/>
        </w:rPr>
      </w:pPr>
      <w:r w:rsidRPr="00FF5ECD">
        <w:rPr>
          <w:rFonts w:eastAsia="Calibri"/>
          <w:lang w:val="es-ES" w:eastAsia="en-US"/>
        </w:rPr>
        <w:t xml:space="preserve">2. Rojas Gómez CA, Contreras </w:t>
      </w:r>
      <w:proofErr w:type="spellStart"/>
      <w:r w:rsidRPr="00FF5ECD">
        <w:rPr>
          <w:rFonts w:eastAsia="Calibri"/>
          <w:lang w:val="es-ES" w:eastAsia="en-US"/>
        </w:rPr>
        <w:t>Contreras</w:t>
      </w:r>
      <w:proofErr w:type="spellEnd"/>
      <w:r w:rsidRPr="00FF5ECD">
        <w:rPr>
          <w:rFonts w:eastAsia="Calibri"/>
          <w:lang w:val="es-ES" w:eastAsia="en-US"/>
        </w:rPr>
        <w:t xml:space="preserve"> AR, Palacios Calderón OE, Aguirre Sánchez </w:t>
      </w:r>
      <w:proofErr w:type="spellStart"/>
      <w:r w:rsidRPr="00FF5ECD">
        <w:rPr>
          <w:rFonts w:eastAsia="Calibri"/>
          <w:lang w:val="es-ES" w:eastAsia="en-US"/>
        </w:rPr>
        <w:t>JS</w:t>
      </w:r>
      <w:proofErr w:type="spellEnd"/>
      <w:r w:rsidRPr="00FF5ECD">
        <w:rPr>
          <w:rFonts w:eastAsia="Calibri"/>
          <w:lang w:val="es-ES" w:eastAsia="en-US"/>
        </w:rPr>
        <w:t xml:space="preserve">. La necesidad de implementación del código sepsis en el Centro Médico Hospital ABC. </w:t>
      </w:r>
      <w:proofErr w:type="spellStart"/>
      <w:r w:rsidRPr="00FF5ECD">
        <w:rPr>
          <w:rFonts w:eastAsia="Calibri"/>
          <w:lang w:val="es-ES" w:eastAsia="en-US"/>
        </w:rPr>
        <w:t>An</w:t>
      </w:r>
      <w:proofErr w:type="spellEnd"/>
      <w:r w:rsidRPr="00FF5ECD">
        <w:rPr>
          <w:rFonts w:eastAsia="Calibri"/>
          <w:lang w:val="es-ES" w:eastAsia="en-US"/>
        </w:rPr>
        <w:t xml:space="preserve"> </w:t>
      </w:r>
      <w:proofErr w:type="spellStart"/>
      <w:r w:rsidRPr="00FF5ECD">
        <w:rPr>
          <w:rFonts w:eastAsia="Calibri"/>
          <w:lang w:val="es-ES" w:eastAsia="en-US"/>
        </w:rPr>
        <w:t>Med</w:t>
      </w:r>
      <w:proofErr w:type="spellEnd"/>
      <w:r w:rsidRPr="00FF5ECD">
        <w:rPr>
          <w:rFonts w:eastAsia="Calibri"/>
          <w:lang w:val="es-ES" w:eastAsia="en-US"/>
        </w:rPr>
        <w:t xml:space="preserve"> (Mex). 2020 [acceso: 20/01/2021]; 65(1): 41-50.</w:t>
      </w:r>
      <w:r w:rsidRPr="00FF5ECD">
        <w:rPr>
          <w:rFonts w:eastAsia="Calibri"/>
          <w:b/>
          <w:lang w:val="es-ES" w:eastAsia="en-US"/>
        </w:rPr>
        <w:t xml:space="preserve"> </w:t>
      </w:r>
      <w:r w:rsidRPr="00FF5ECD">
        <w:rPr>
          <w:rFonts w:eastAsia="Calibri"/>
          <w:lang w:val="es-ES" w:eastAsia="en-US"/>
        </w:rPr>
        <w:t xml:space="preserve">Disponible en: </w:t>
      </w:r>
      <w:hyperlink r:id="rId16" w:history="1">
        <w:r w:rsidRPr="00FF5ECD">
          <w:rPr>
            <w:rFonts w:eastAsia="Calibri"/>
            <w:u w:color="000000"/>
            <w:lang w:val="es-ES" w:eastAsia="en-US"/>
          </w:rPr>
          <w:t>https://www.medigraphic.com/pdfs/abc/bc-2020/bc201h.pdf</w:t>
        </w:r>
      </w:hyperlink>
    </w:p>
    <w:p w14:paraId="30CF14C7" w14:textId="77777777" w:rsidR="00FF5ECD" w:rsidRPr="00FF5ECD" w:rsidRDefault="00FF5ECD" w:rsidP="00FF5ECD">
      <w:pPr>
        <w:autoSpaceDN w:val="0"/>
        <w:spacing w:line="360" w:lineRule="auto"/>
        <w:rPr>
          <w:rFonts w:eastAsia="Calibri"/>
          <w:lang w:val="es-MX" w:eastAsia="en-US"/>
        </w:rPr>
      </w:pPr>
      <w:r w:rsidRPr="00FF5ECD">
        <w:rPr>
          <w:rFonts w:eastAsia="Calibri"/>
          <w:u w:color="000000"/>
          <w:lang w:val="es-ES" w:eastAsia="en-US"/>
        </w:rPr>
        <w:t>3.</w:t>
      </w:r>
      <w:r w:rsidRPr="00FF5ECD">
        <w:rPr>
          <w:rFonts w:eastAsia="Calibri"/>
          <w:lang w:val="es-MX" w:eastAsia="en-US"/>
        </w:rPr>
        <w:t xml:space="preserve"> Beltrán Porres M, Camba </w:t>
      </w:r>
      <w:proofErr w:type="spellStart"/>
      <w:r w:rsidRPr="00FF5ECD">
        <w:rPr>
          <w:rFonts w:eastAsia="Calibri"/>
          <w:lang w:val="es-MX" w:eastAsia="en-US"/>
        </w:rPr>
        <w:t>Longerira</w:t>
      </w:r>
      <w:proofErr w:type="spellEnd"/>
      <w:r w:rsidRPr="00FF5ECD">
        <w:rPr>
          <w:rFonts w:eastAsia="Calibri"/>
          <w:lang w:val="es-MX" w:eastAsia="en-US"/>
        </w:rPr>
        <w:t xml:space="preserve"> F, </w:t>
      </w:r>
      <w:proofErr w:type="spellStart"/>
      <w:r w:rsidRPr="00FF5ECD">
        <w:rPr>
          <w:rFonts w:eastAsia="Calibri"/>
          <w:lang w:val="es-MX" w:eastAsia="en-US"/>
        </w:rPr>
        <w:t>Céspedes</w:t>
      </w:r>
      <w:proofErr w:type="spellEnd"/>
      <w:r w:rsidRPr="00FF5ECD">
        <w:rPr>
          <w:rFonts w:eastAsia="Calibri"/>
          <w:lang w:val="es-MX" w:eastAsia="en-US"/>
        </w:rPr>
        <w:t xml:space="preserve"> Domínguez MC, Linde </w:t>
      </w:r>
      <w:proofErr w:type="spellStart"/>
      <w:r w:rsidRPr="00FF5ECD">
        <w:rPr>
          <w:rFonts w:eastAsia="Calibri"/>
          <w:lang w:val="es-MX" w:eastAsia="en-US"/>
        </w:rPr>
        <w:t>Sillo</w:t>
      </w:r>
      <w:proofErr w:type="spellEnd"/>
      <w:r w:rsidRPr="00FF5ECD">
        <w:rPr>
          <w:rFonts w:eastAsia="Calibri"/>
          <w:lang w:val="es-MX" w:eastAsia="en-US"/>
        </w:rPr>
        <w:t xml:space="preserve"> A, Ribes Bautista C, Castilla Fernández Y, et al. Sepsis neonatal de inicio precoz. Barcelona:  Protocolo de atención, Hospital Universitario Vall de </w:t>
      </w:r>
      <w:proofErr w:type="spellStart"/>
      <w:r w:rsidRPr="00FF5ECD">
        <w:rPr>
          <w:rFonts w:eastAsia="Calibri"/>
          <w:lang w:val="es-MX" w:eastAsia="en-US"/>
        </w:rPr>
        <w:t>Hebron</w:t>
      </w:r>
      <w:proofErr w:type="spellEnd"/>
      <w:r w:rsidRPr="00FF5ECD">
        <w:rPr>
          <w:rFonts w:eastAsia="Calibri"/>
          <w:lang w:val="es-MX" w:eastAsia="en-US"/>
        </w:rPr>
        <w:t xml:space="preserve">; 2021. [acceso: 16/06/2022]. Disponible en: </w:t>
      </w:r>
    </w:p>
    <w:p w14:paraId="135CDAA1" w14:textId="77777777" w:rsidR="00FF5ECD" w:rsidRPr="00FF5ECD" w:rsidRDefault="00FF5ECD" w:rsidP="00FF5ECD">
      <w:pPr>
        <w:suppressAutoHyphens/>
        <w:autoSpaceDN w:val="0"/>
        <w:spacing w:line="360" w:lineRule="auto"/>
        <w:rPr>
          <w:rFonts w:eastAsia="Calibri"/>
          <w:b/>
          <w:sz w:val="22"/>
          <w:szCs w:val="22"/>
          <w:lang w:val="es-ES" w:eastAsia="en-US"/>
        </w:rPr>
      </w:pPr>
      <w:hyperlink r:id="rId17" w:history="1">
        <w:r w:rsidRPr="00FF5ECD">
          <w:rPr>
            <w:rFonts w:eastAsia="Calibri"/>
            <w:u w:color="000000"/>
            <w:lang w:val="es-ES" w:eastAsia="en-US"/>
          </w:rPr>
          <w:t>https://www.upiip.com/sites/upiip.com/files/SNIP%20actualizacio%CC%81n%202021-26.08.21%20def.pdf</w:t>
        </w:r>
      </w:hyperlink>
    </w:p>
    <w:p w14:paraId="6C3C1F23" w14:textId="77777777" w:rsidR="00FF5ECD" w:rsidRPr="00FF5ECD" w:rsidRDefault="00FF5ECD" w:rsidP="00FF5ECD">
      <w:pPr>
        <w:suppressAutoHyphens/>
        <w:autoSpaceDN w:val="0"/>
        <w:spacing w:line="360" w:lineRule="auto"/>
        <w:rPr>
          <w:rFonts w:eastAsia="Calibri"/>
          <w:lang w:val="es-ES" w:eastAsia="en-US"/>
        </w:rPr>
      </w:pPr>
      <w:r w:rsidRPr="00FF5ECD">
        <w:rPr>
          <w:rFonts w:eastAsia="Calibri"/>
          <w:lang w:val="es-ES" w:eastAsia="en-US"/>
        </w:rPr>
        <w:t>4. Minsap. Anuario estadístico de salud 2016. La Habana: Ministerio de Salud Pública; 2017. [acceso: 20/05/2021]. Disponible en:</w:t>
      </w:r>
      <w:r w:rsidRPr="00FF5ECD">
        <w:rPr>
          <w:rFonts w:eastAsia="Calibri"/>
          <w:b/>
          <w:lang w:val="es-ES" w:eastAsia="en-US"/>
        </w:rPr>
        <w:t xml:space="preserve"> </w:t>
      </w:r>
      <w:hyperlink r:id="rId18" w:history="1">
        <w:r w:rsidRPr="00FF5ECD">
          <w:rPr>
            <w:rFonts w:eastAsia="Calibri"/>
            <w:u w:color="000000"/>
            <w:lang w:val="es-ES" w:eastAsia="en-US"/>
          </w:rPr>
          <w:t>https://salud.msp.gob.cu/wp-content/Anuario/anuario_2016_edici%C3%B3n_2017.pdf</w:t>
        </w:r>
      </w:hyperlink>
    </w:p>
    <w:p w14:paraId="59837AF3" w14:textId="77777777" w:rsidR="00FF5ECD" w:rsidRPr="00FF5ECD" w:rsidRDefault="00FF5ECD" w:rsidP="00FF5ECD">
      <w:pPr>
        <w:suppressAutoHyphens/>
        <w:autoSpaceDN w:val="0"/>
        <w:spacing w:line="360" w:lineRule="auto"/>
        <w:rPr>
          <w:rFonts w:eastAsia="Calibri"/>
          <w:sz w:val="22"/>
          <w:szCs w:val="22"/>
          <w:lang w:val="es-ES" w:eastAsia="en-US"/>
        </w:rPr>
      </w:pPr>
      <w:r w:rsidRPr="00FF5ECD">
        <w:rPr>
          <w:rFonts w:eastAsia="Calibri"/>
          <w:lang w:val="es-ES" w:eastAsia="en-US"/>
        </w:rPr>
        <w:t xml:space="preserve">5. Minsap. Situación de Salud en Cuba: Indicadores básicos 2019. La Habana: Ministerio de Salud Pública; 2020. [acceso: 20/05/2021]. Disponible en: </w:t>
      </w:r>
      <w:hyperlink r:id="rId19" w:history="1">
        <w:r w:rsidRPr="00FF5ECD">
          <w:rPr>
            <w:rFonts w:eastAsia="Calibri"/>
            <w:u w:color="000000"/>
            <w:lang w:val="es-ES" w:eastAsia="en-US"/>
          </w:rPr>
          <w:t>https://files.sld.cu/dne/files/2020/06/indbasicosesp2019ed2020.pdf</w:t>
        </w:r>
      </w:hyperlink>
    </w:p>
    <w:p w14:paraId="24109239" w14:textId="77777777" w:rsidR="00FF5ECD" w:rsidRPr="00FF5ECD" w:rsidRDefault="00FF5ECD" w:rsidP="00FF5ECD">
      <w:pPr>
        <w:suppressAutoHyphens/>
        <w:autoSpaceDN w:val="0"/>
        <w:spacing w:line="360" w:lineRule="auto"/>
        <w:rPr>
          <w:rFonts w:eastAsia="Calibri"/>
          <w:lang w:val="es-MX" w:eastAsia="en-US"/>
        </w:rPr>
      </w:pPr>
      <w:r w:rsidRPr="00FF5ECD">
        <w:rPr>
          <w:rFonts w:eastAsia="Calibri"/>
          <w:lang w:val="es-ES" w:eastAsia="en-US"/>
        </w:rPr>
        <w:t xml:space="preserve">6. </w:t>
      </w:r>
      <w:r w:rsidRPr="00FF5ECD">
        <w:rPr>
          <w:rFonts w:eastAsia="Calibri"/>
          <w:lang w:val="es-MX" w:eastAsia="en-US"/>
        </w:rPr>
        <w:t xml:space="preserve">Tarira Cerezo K. Prevalencia y factores de riesgo asociados a sepsis neonatales temprana [Tesis de médico general]. Ecuador: Universidad de Guayaquil; 2019. [acceso: 20/05/2021]. Disponible en: </w:t>
      </w:r>
      <w:hyperlink r:id="rId20" w:history="1">
        <w:r w:rsidRPr="00FF5ECD">
          <w:rPr>
            <w:rFonts w:eastAsia="Calibri"/>
            <w:u w:color="000000"/>
            <w:lang w:val="es-MX" w:eastAsia="en-US"/>
          </w:rPr>
          <w:t>http://repositorio.ug.edu.ec/bitstream/redug/31199/1/CD-2657-TARIRA%20CEREZO.pdf</w:t>
        </w:r>
      </w:hyperlink>
    </w:p>
    <w:p w14:paraId="2AC6554C" w14:textId="77777777" w:rsidR="00FF5ECD" w:rsidRPr="00FF5ECD" w:rsidRDefault="00FF5ECD" w:rsidP="00FF5ECD">
      <w:pPr>
        <w:tabs>
          <w:tab w:val="left" w:pos="709"/>
        </w:tabs>
        <w:suppressAutoHyphens/>
        <w:autoSpaceDN w:val="0"/>
        <w:spacing w:line="360" w:lineRule="auto"/>
        <w:rPr>
          <w:rFonts w:eastAsia="Calibri"/>
          <w:lang w:val="es-ES" w:eastAsia="en-US"/>
        </w:rPr>
      </w:pPr>
      <w:r w:rsidRPr="00FF5ECD">
        <w:rPr>
          <w:rFonts w:eastAsia="Calibri"/>
          <w:bCs/>
          <w:lang w:val="es-MX" w:eastAsia="en-US"/>
        </w:rPr>
        <w:lastRenderedPageBreak/>
        <w:t>7.</w:t>
      </w:r>
      <w:r w:rsidRPr="00FF5ECD">
        <w:rPr>
          <w:rFonts w:eastAsia="Calibri"/>
          <w:bCs/>
          <w:lang w:val="es-ES" w:eastAsia="en-US"/>
        </w:rPr>
        <w:t xml:space="preserve"> </w:t>
      </w:r>
      <w:r w:rsidRPr="00FF5ECD">
        <w:rPr>
          <w:rFonts w:eastAsia="Calibri"/>
          <w:lang w:val="es-ES" w:eastAsia="en-US"/>
        </w:rPr>
        <w:t xml:space="preserve">Dávila Rodríguez </w:t>
      </w:r>
      <w:proofErr w:type="spellStart"/>
      <w:r w:rsidRPr="00FF5ECD">
        <w:rPr>
          <w:rFonts w:eastAsia="Calibri"/>
          <w:lang w:val="es-ES" w:eastAsia="en-US"/>
        </w:rPr>
        <w:t>JS</w:t>
      </w:r>
      <w:proofErr w:type="spellEnd"/>
      <w:r w:rsidRPr="00FF5ECD">
        <w:rPr>
          <w:rFonts w:eastAsia="Calibri"/>
          <w:lang w:val="es-ES" w:eastAsia="en-US"/>
        </w:rPr>
        <w:t xml:space="preserve">. Aplicación de la calculadora de sepsis en el diagnóstico de sepsis de inicio precoz en recién nacidos hospitalizados en el servicio de Neonatología del hospital regional Honorio Delgado Espinoza en el periodo enero – diciembre del año 2019 </w:t>
      </w:r>
    </w:p>
    <w:p w14:paraId="15C30E1E" w14:textId="77777777" w:rsidR="00FF5ECD" w:rsidRPr="00FF5ECD" w:rsidRDefault="00FF5ECD" w:rsidP="00FF5ECD">
      <w:pPr>
        <w:tabs>
          <w:tab w:val="left" w:pos="709"/>
        </w:tabs>
        <w:suppressAutoHyphens/>
        <w:autoSpaceDN w:val="0"/>
        <w:spacing w:line="360" w:lineRule="auto"/>
        <w:rPr>
          <w:rFonts w:eastAsia="Calibri"/>
          <w:lang w:val="es-ES" w:eastAsia="en-US"/>
        </w:rPr>
      </w:pPr>
      <w:r w:rsidRPr="00FF5ECD">
        <w:rPr>
          <w:rFonts w:eastAsia="Calibri"/>
          <w:lang w:val="es-ES" w:eastAsia="en-US"/>
        </w:rPr>
        <w:t xml:space="preserve">[Tesis de grado]. Perú, Arequipa: Universidad Nacional de San Agustín de Arequipa; 2020 [acceso: 11/02/2021]. Disponible en: </w:t>
      </w:r>
    </w:p>
    <w:p w14:paraId="77014FA4" w14:textId="77777777" w:rsidR="00FF5ECD" w:rsidRPr="00FF5ECD" w:rsidRDefault="00FF5ECD" w:rsidP="00FF5ECD">
      <w:pPr>
        <w:tabs>
          <w:tab w:val="left" w:pos="709"/>
        </w:tabs>
        <w:suppressAutoHyphens/>
        <w:autoSpaceDN w:val="0"/>
        <w:spacing w:line="360" w:lineRule="auto"/>
        <w:rPr>
          <w:rFonts w:eastAsia="Calibri"/>
          <w:lang w:val="es-ES" w:eastAsia="en-US"/>
        </w:rPr>
      </w:pPr>
      <w:hyperlink r:id="rId21" w:history="1">
        <w:r w:rsidRPr="00FF5ECD">
          <w:rPr>
            <w:rFonts w:eastAsia="Calibri"/>
            <w:u w:color="000000"/>
            <w:lang w:val="es-ES" w:eastAsia="en-US"/>
          </w:rPr>
          <w:t>http://repositorio.unsa.edu.pe/bitstream/handle/UNSA/10873/MCdarojs.pdf?sequence=1&amp;isAllowed=y</w:t>
        </w:r>
      </w:hyperlink>
    </w:p>
    <w:p w14:paraId="08593002" w14:textId="77777777" w:rsidR="00FF5ECD" w:rsidRPr="00FF5ECD" w:rsidRDefault="00FF5ECD" w:rsidP="00FF5ECD">
      <w:pPr>
        <w:suppressAutoHyphens/>
        <w:autoSpaceDN w:val="0"/>
        <w:spacing w:line="360" w:lineRule="auto"/>
        <w:rPr>
          <w:lang w:val="pt-BR" w:eastAsia="zh-CN"/>
        </w:rPr>
      </w:pPr>
      <w:r w:rsidRPr="00FF5ECD">
        <w:rPr>
          <w:lang w:val="en-US" w:eastAsia="zh-CN"/>
        </w:rPr>
        <w:t xml:space="preserve">8. Gibbs RE, Blanco JP, St Clair PJ, Castaneda YS. Quantitative bacteriology of amniotic fluid from women with clinical intraamniotic infection at term. </w:t>
      </w:r>
      <w:r w:rsidRPr="00FF5ECD">
        <w:rPr>
          <w:lang w:val="pt-BR" w:eastAsia="zh-CN"/>
        </w:rPr>
        <w:t xml:space="preserve">J </w:t>
      </w:r>
      <w:proofErr w:type="spellStart"/>
      <w:r w:rsidRPr="00FF5ECD">
        <w:rPr>
          <w:lang w:val="pt-BR" w:eastAsia="zh-CN"/>
        </w:rPr>
        <w:t>Infect</w:t>
      </w:r>
      <w:proofErr w:type="spellEnd"/>
      <w:r w:rsidRPr="00FF5ECD">
        <w:rPr>
          <w:lang w:val="pt-BR" w:eastAsia="zh-CN"/>
        </w:rPr>
        <w:t xml:space="preserve"> </w:t>
      </w:r>
      <w:proofErr w:type="spellStart"/>
      <w:r w:rsidRPr="00FF5ECD">
        <w:rPr>
          <w:lang w:val="pt-BR" w:eastAsia="zh-CN"/>
        </w:rPr>
        <w:t>Dis</w:t>
      </w:r>
      <w:proofErr w:type="spellEnd"/>
      <w:r w:rsidRPr="00FF5ECD">
        <w:rPr>
          <w:lang w:val="pt-BR" w:eastAsia="zh-CN"/>
        </w:rPr>
        <w:t>. 1982 [</w:t>
      </w:r>
      <w:proofErr w:type="spellStart"/>
      <w:r w:rsidRPr="00FF5ECD">
        <w:rPr>
          <w:lang w:val="pt-BR" w:eastAsia="zh-CN"/>
        </w:rPr>
        <w:t>acceso</w:t>
      </w:r>
      <w:proofErr w:type="spellEnd"/>
      <w:r w:rsidRPr="00FF5ECD">
        <w:rPr>
          <w:lang w:val="pt-BR" w:eastAsia="zh-CN"/>
        </w:rPr>
        <w:t xml:space="preserve">: 25/01/2021]; 145(1):1-8. </w:t>
      </w:r>
      <w:proofErr w:type="spellStart"/>
      <w:r w:rsidRPr="00FF5ECD">
        <w:rPr>
          <w:lang w:val="pt-BR" w:eastAsia="zh-CN"/>
        </w:rPr>
        <w:t>Disponible</w:t>
      </w:r>
      <w:proofErr w:type="spellEnd"/>
      <w:r w:rsidRPr="00FF5ECD">
        <w:rPr>
          <w:lang w:val="pt-BR" w:eastAsia="zh-CN"/>
        </w:rPr>
        <w:t xml:space="preserve"> </w:t>
      </w:r>
      <w:proofErr w:type="spellStart"/>
      <w:r w:rsidRPr="00FF5ECD">
        <w:rPr>
          <w:lang w:val="pt-BR" w:eastAsia="zh-CN"/>
        </w:rPr>
        <w:t>en</w:t>
      </w:r>
      <w:proofErr w:type="spellEnd"/>
      <w:r w:rsidRPr="00FF5ECD">
        <w:rPr>
          <w:lang w:val="pt-BR" w:eastAsia="zh-CN"/>
        </w:rPr>
        <w:t xml:space="preserve">: </w:t>
      </w:r>
      <w:hyperlink r:id="rId22" w:history="1">
        <w:r w:rsidRPr="00FF5ECD">
          <w:rPr>
            <w:u w:color="000000"/>
            <w:lang w:val="pt-BR" w:eastAsia="zh-CN"/>
          </w:rPr>
          <w:t>https://pubmed.ncbi.nlm.nih.gov/7033397/</w:t>
        </w:r>
      </w:hyperlink>
    </w:p>
    <w:p w14:paraId="60935FB7" w14:textId="77777777" w:rsidR="00FF5ECD" w:rsidRPr="00FF5ECD" w:rsidRDefault="00FF5ECD" w:rsidP="00FF5ECD">
      <w:pPr>
        <w:suppressAutoHyphens/>
        <w:autoSpaceDN w:val="0"/>
        <w:spacing w:line="360" w:lineRule="auto"/>
        <w:rPr>
          <w:u w:color="000000"/>
          <w:lang w:val="pt-BR" w:eastAsia="zh-CN"/>
        </w:rPr>
      </w:pPr>
      <w:r w:rsidRPr="00FF5ECD">
        <w:rPr>
          <w:lang w:val="pt-BR" w:eastAsia="zh-CN"/>
        </w:rPr>
        <w:t xml:space="preserve">9. Rueda C, Ferrero S, Palacio M, Cobo </w:t>
      </w:r>
      <w:proofErr w:type="gramStart"/>
      <w:r w:rsidRPr="00FF5ECD">
        <w:rPr>
          <w:lang w:val="pt-BR" w:eastAsia="zh-CN"/>
        </w:rPr>
        <w:t xml:space="preserve">J,  </w:t>
      </w:r>
      <w:proofErr w:type="spellStart"/>
      <w:r w:rsidRPr="00FF5ECD">
        <w:rPr>
          <w:lang w:val="pt-BR" w:eastAsia="zh-CN"/>
        </w:rPr>
        <w:t>Corioamnionitis</w:t>
      </w:r>
      <w:proofErr w:type="spellEnd"/>
      <w:proofErr w:type="gramEnd"/>
      <w:r w:rsidRPr="00FF5ECD">
        <w:rPr>
          <w:lang w:val="pt-BR" w:eastAsia="zh-CN"/>
        </w:rPr>
        <w:t xml:space="preserve"> o Triple I. Barcelona: </w:t>
      </w:r>
      <w:proofErr w:type="spellStart"/>
      <w:r w:rsidRPr="00FF5ECD">
        <w:rPr>
          <w:lang w:val="pt-BR" w:eastAsia="zh-CN"/>
        </w:rPr>
        <w:t>Univerrsidad</w:t>
      </w:r>
      <w:proofErr w:type="spellEnd"/>
      <w:r w:rsidRPr="00FF5ECD">
        <w:rPr>
          <w:lang w:val="pt-BR" w:eastAsia="zh-CN"/>
        </w:rPr>
        <w:t xml:space="preserve"> de Barcelona, Hospital Sant Joan de Deus; 2021.</w:t>
      </w:r>
      <w:r w:rsidRPr="00FF5ECD">
        <w:rPr>
          <w:lang w:val="es-ES" w:eastAsia="zh-CN"/>
        </w:rPr>
        <w:t xml:space="preserve"> </w:t>
      </w:r>
      <w:r w:rsidRPr="00FF5ECD">
        <w:rPr>
          <w:lang w:val="pt-BR" w:eastAsia="zh-CN"/>
        </w:rPr>
        <w:t>[</w:t>
      </w:r>
      <w:proofErr w:type="spellStart"/>
      <w:r w:rsidRPr="00FF5ECD">
        <w:rPr>
          <w:lang w:val="pt-BR" w:eastAsia="zh-CN"/>
        </w:rPr>
        <w:t>acceso</w:t>
      </w:r>
      <w:proofErr w:type="spellEnd"/>
      <w:r w:rsidRPr="00FF5ECD">
        <w:rPr>
          <w:lang w:val="pt-BR" w:eastAsia="zh-CN"/>
        </w:rPr>
        <w:t xml:space="preserve">: 25/01/2021]. </w:t>
      </w:r>
      <w:proofErr w:type="spellStart"/>
      <w:r w:rsidRPr="00FF5ECD">
        <w:rPr>
          <w:lang w:val="pt-BR" w:eastAsia="zh-CN"/>
        </w:rPr>
        <w:t>Disponible</w:t>
      </w:r>
      <w:proofErr w:type="spellEnd"/>
      <w:r w:rsidRPr="00FF5ECD">
        <w:rPr>
          <w:lang w:val="pt-BR" w:eastAsia="zh-CN"/>
        </w:rPr>
        <w:t xml:space="preserve"> </w:t>
      </w:r>
      <w:proofErr w:type="spellStart"/>
      <w:r w:rsidRPr="00FF5ECD">
        <w:rPr>
          <w:lang w:val="pt-BR" w:eastAsia="zh-CN"/>
        </w:rPr>
        <w:t>en</w:t>
      </w:r>
      <w:proofErr w:type="spellEnd"/>
      <w:r w:rsidRPr="00FF5ECD">
        <w:rPr>
          <w:lang w:val="pt-BR" w:eastAsia="zh-CN"/>
        </w:rPr>
        <w:t xml:space="preserve">: </w:t>
      </w:r>
      <w:hyperlink r:id="rId23" w:history="1">
        <w:r w:rsidRPr="00FF5ECD">
          <w:rPr>
            <w:u w:color="000000"/>
            <w:lang w:val="pt-BR" w:eastAsia="zh-CN"/>
          </w:rPr>
          <w:t>https://www.studocu.com/es-mx/document/universidadveracruzana/obstetricia/corioamnionitis/13287560</w:t>
        </w:r>
      </w:hyperlink>
    </w:p>
    <w:p w14:paraId="10CBE904" w14:textId="77777777" w:rsidR="00FF5ECD" w:rsidRPr="00FF5ECD" w:rsidRDefault="00FF5ECD" w:rsidP="00FF5ECD">
      <w:pPr>
        <w:tabs>
          <w:tab w:val="left" w:pos="709"/>
        </w:tabs>
        <w:suppressAutoHyphens/>
        <w:autoSpaceDN w:val="0"/>
        <w:spacing w:line="360" w:lineRule="auto"/>
        <w:rPr>
          <w:rFonts w:eastAsia="Calibri"/>
          <w:bCs/>
          <w:lang w:val="es-CU" w:eastAsia="en-US"/>
        </w:rPr>
      </w:pPr>
      <w:r w:rsidRPr="00FF5ECD">
        <w:rPr>
          <w:u w:color="000000"/>
          <w:lang w:val="pt-BR" w:eastAsia="zh-CN"/>
        </w:rPr>
        <w:t xml:space="preserve">10. </w:t>
      </w:r>
      <w:r w:rsidRPr="00FF5ECD">
        <w:rPr>
          <w:rFonts w:eastAsia="Calibri"/>
          <w:lang w:val="en-US" w:eastAsia="en-US"/>
        </w:rPr>
        <w:t xml:space="preserve">Kramer BW, Villamor E. Association of Histological and Clinical Chorioamnionitis With Neonatal Sepsis Among Preterm Infants: A Systematic Review, Meta-Analysis, and Meta-Regression. </w:t>
      </w:r>
      <w:proofErr w:type="spellStart"/>
      <w:r w:rsidRPr="00FF5ECD">
        <w:rPr>
          <w:rFonts w:eastAsia="Calibri"/>
          <w:iCs/>
          <w:lang w:val="es-CU" w:eastAsia="en-US"/>
        </w:rPr>
        <w:t>Fron</w:t>
      </w:r>
      <w:proofErr w:type="spellEnd"/>
      <w:r w:rsidRPr="00FF5ECD">
        <w:rPr>
          <w:rFonts w:eastAsia="Calibri"/>
          <w:iCs/>
          <w:lang w:val="es-CU" w:eastAsia="en-US"/>
        </w:rPr>
        <w:t xml:space="preserve"> </w:t>
      </w:r>
      <w:proofErr w:type="spellStart"/>
      <w:r w:rsidRPr="00FF5ECD">
        <w:rPr>
          <w:rFonts w:eastAsia="Calibri"/>
          <w:iCs/>
          <w:lang w:val="es-CU" w:eastAsia="en-US"/>
        </w:rPr>
        <w:t>Immunol</w:t>
      </w:r>
      <w:proofErr w:type="spellEnd"/>
      <w:r w:rsidRPr="00FF5ECD">
        <w:rPr>
          <w:rFonts w:eastAsia="Calibri"/>
          <w:iCs/>
          <w:lang w:val="es-CU" w:eastAsia="en-US"/>
        </w:rPr>
        <w:t xml:space="preserve">. </w:t>
      </w:r>
      <w:r w:rsidRPr="00FF5ECD">
        <w:rPr>
          <w:rFonts w:eastAsia="Calibri"/>
          <w:bCs/>
          <w:iCs/>
          <w:lang w:val="es-CU" w:eastAsia="en-US"/>
        </w:rPr>
        <w:t>2020 [acceso: 09/10/2020]; 11</w:t>
      </w:r>
      <w:r w:rsidRPr="00FF5ECD">
        <w:rPr>
          <w:rFonts w:eastAsia="Calibri"/>
          <w:lang w:val="es-CU" w:eastAsia="en-US"/>
        </w:rPr>
        <w:t xml:space="preserve">(97):2. </w:t>
      </w:r>
      <w:r w:rsidRPr="00FF5ECD">
        <w:rPr>
          <w:rFonts w:eastAsia="Calibri"/>
          <w:bCs/>
          <w:lang w:val="es-CU" w:eastAsia="en-US"/>
        </w:rPr>
        <w:t xml:space="preserve">Disponible en: </w:t>
      </w:r>
    </w:p>
    <w:p w14:paraId="79B709C1" w14:textId="77777777" w:rsidR="00FF5ECD" w:rsidRPr="00FF5ECD" w:rsidRDefault="00FF5ECD" w:rsidP="00FF5ECD">
      <w:pPr>
        <w:tabs>
          <w:tab w:val="left" w:pos="709"/>
        </w:tabs>
        <w:suppressAutoHyphens/>
        <w:autoSpaceDN w:val="0"/>
        <w:spacing w:line="360" w:lineRule="auto"/>
        <w:rPr>
          <w:rFonts w:eastAsia="Calibri"/>
          <w:bCs/>
          <w:lang w:val="es-CU" w:eastAsia="en-US"/>
        </w:rPr>
      </w:pPr>
      <w:hyperlink r:id="rId24" w:history="1">
        <w:r w:rsidRPr="00FF5ECD">
          <w:rPr>
            <w:rFonts w:eastAsia="Calibri"/>
            <w:bCs/>
            <w:u w:color="000000"/>
            <w:lang w:val="es-CU" w:eastAsia="en-US"/>
          </w:rPr>
          <w:t>https://www.ncbi.nlm.nih.gov/pmc/articles/PMC7289970/</w:t>
        </w:r>
      </w:hyperlink>
    </w:p>
    <w:p w14:paraId="7DFE2001" w14:textId="77777777" w:rsidR="00FF5ECD" w:rsidRPr="00FF5ECD" w:rsidRDefault="00FF5ECD" w:rsidP="00FF5ECD">
      <w:pPr>
        <w:tabs>
          <w:tab w:val="left" w:pos="709"/>
        </w:tabs>
        <w:autoSpaceDN w:val="0"/>
        <w:spacing w:line="360" w:lineRule="auto"/>
        <w:rPr>
          <w:rFonts w:eastAsia="Calibri"/>
          <w:bCs/>
          <w:lang w:val="es-ES" w:eastAsia="en-US"/>
        </w:rPr>
      </w:pPr>
      <w:r w:rsidRPr="00FF5ECD">
        <w:rPr>
          <w:rFonts w:eastAsia="Calibri"/>
          <w:bCs/>
          <w:lang w:val="es-ES" w:eastAsia="en-US"/>
        </w:rPr>
        <w:t xml:space="preserve">11. Hurtado Sánchez F, </w:t>
      </w:r>
      <w:proofErr w:type="spellStart"/>
      <w:r w:rsidRPr="00FF5ECD">
        <w:rPr>
          <w:rFonts w:eastAsia="Calibri"/>
          <w:bCs/>
          <w:lang w:val="es-ES" w:eastAsia="en-US"/>
        </w:rPr>
        <w:t>Alkourdi</w:t>
      </w:r>
      <w:proofErr w:type="spellEnd"/>
      <w:r w:rsidRPr="00FF5ECD">
        <w:rPr>
          <w:rFonts w:eastAsia="Calibri"/>
          <w:bCs/>
          <w:lang w:val="es-ES" w:eastAsia="en-US"/>
        </w:rPr>
        <w:t xml:space="preserve"> Martínez A, </w:t>
      </w:r>
      <w:proofErr w:type="spellStart"/>
      <w:r w:rsidRPr="00FF5ECD">
        <w:rPr>
          <w:rFonts w:eastAsia="Calibri"/>
          <w:bCs/>
          <w:lang w:val="es-ES" w:eastAsia="en-US"/>
        </w:rPr>
        <w:t>Revelles</w:t>
      </w:r>
      <w:proofErr w:type="spellEnd"/>
      <w:r w:rsidRPr="00FF5ECD">
        <w:rPr>
          <w:rFonts w:eastAsia="Calibri"/>
          <w:bCs/>
          <w:lang w:val="es-ES" w:eastAsia="en-US"/>
        </w:rPr>
        <w:t xml:space="preserve"> </w:t>
      </w:r>
      <w:proofErr w:type="spellStart"/>
      <w:r w:rsidRPr="00FF5ECD">
        <w:rPr>
          <w:rFonts w:eastAsia="Calibri"/>
          <w:bCs/>
          <w:lang w:val="es-ES" w:eastAsia="en-US"/>
        </w:rPr>
        <w:t>Paniza</w:t>
      </w:r>
      <w:proofErr w:type="spellEnd"/>
      <w:r w:rsidRPr="00FF5ECD">
        <w:rPr>
          <w:rFonts w:eastAsia="Calibri"/>
          <w:bCs/>
          <w:lang w:val="es-ES" w:eastAsia="en-US"/>
        </w:rPr>
        <w:t xml:space="preserve"> L. Criterios actuales en el diagnóstico y manejo de la corioamnionitis. </w:t>
      </w:r>
      <w:proofErr w:type="spellStart"/>
      <w:r w:rsidRPr="00FF5ECD">
        <w:rPr>
          <w:rFonts w:eastAsia="Calibri"/>
          <w:bCs/>
          <w:lang w:val="es-ES" w:eastAsia="en-US"/>
        </w:rPr>
        <w:t>Rev</w:t>
      </w:r>
      <w:proofErr w:type="spellEnd"/>
      <w:r w:rsidRPr="00FF5ECD">
        <w:rPr>
          <w:rFonts w:eastAsia="Calibri"/>
          <w:bCs/>
          <w:lang w:val="es-ES" w:eastAsia="en-US"/>
        </w:rPr>
        <w:t xml:space="preserve"> </w:t>
      </w:r>
      <w:proofErr w:type="spellStart"/>
      <w:r w:rsidRPr="00FF5ECD">
        <w:rPr>
          <w:rFonts w:eastAsia="Calibri"/>
          <w:bCs/>
          <w:lang w:val="es-ES" w:eastAsia="en-US"/>
        </w:rPr>
        <w:t>Latin</w:t>
      </w:r>
      <w:proofErr w:type="spellEnd"/>
      <w:r w:rsidRPr="00FF5ECD">
        <w:rPr>
          <w:rFonts w:eastAsia="Calibri"/>
          <w:bCs/>
          <w:lang w:val="es-ES" w:eastAsia="en-US"/>
        </w:rPr>
        <w:t xml:space="preserve"> </w:t>
      </w:r>
      <w:proofErr w:type="spellStart"/>
      <w:r w:rsidRPr="00FF5ECD">
        <w:rPr>
          <w:rFonts w:eastAsia="Calibri"/>
          <w:bCs/>
          <w:lang w:val="es-ES" w:eastAsia="en-US"/>
        </w:rPr>
        <w:t>Perinat</w:t>
      </w:r>
      <w:proofErr w:type="spellEnd"/>
      <w:r w:rsidRPr="00FF5ECD">
        <w:rPr>
          <w:rFonts w:eastAsia="Calibri"/>
          <w:bCs/>
          <w:lang w:val="es-ES" w:eastAsia="en-US"/>
        </w:rPr>
        <w:t xml:space="preserve">. 2018 [acceso: 15/05/2019]; 21(1):11-17. Disponible en:  </w:t>
      </w:r>
      <w:hyperlink r:id="rId25" w:history="1">
        <w:r w:rsidRPr="00FF5ECD">
          <w:rPr>
            <w:rFonts w:eastAsia="Calibri"/>
            <w:bCs/>
            <w:u w:color="000000"/>
            <w:lang w:val="es-ES" w:eastAsia="en-US"/>
          </w:rPr>
          <w:t>http://www.revperinatologia.com/images/3_art1_rev_lat_perinat_vol_21n1_2018_final3.pdf</w:t>
        </w:r>
      </w:hyperlink>
    </w:p>
    <w:p w14:paraId="191EBFF9" w14:textId="77777777" w:rsidR="00FF5ECD" w:rsidRPr="00FF5ECD" w:rsidRDefault="00FF5ECD" w:rsidP="00FF5ECD">
      <w:pPr>
        <w:tabs>
          <w:tab w:val="left" w:pos="709"/>
        </w:tabs>
        <w:autoSpaceDN w:val="0"/>
        <w:spacing w:line="360" w:lineRule="auto"/>
        <w:rPr>
          <w:rFonts w:eastAsia="Calibri"/>
          <w:bCs/>
          <w:lang w:val="es-MX" w:eastAsia="en-US"/>
        </w:rPr>
      </w:pPr>
      <w:r w:rsidRPr="00FF5ECD">
        <w:rPr>
          <w:rFonts w:eastAsia="Calibri"/>
          <w:lang w:val="es-ES" w:eastAsia="en-US"/>
        </w:rPr>
        <w:t xml:space="preserve">12. Ángeles Martina A, Cobo T, López M, Hernández S, Jaramillo </w:t>
      </w:r>
      <w:proofErr w:type="spellStart"/>
      <w:r w:rsidRPr="00FF5ECD">
        <w:rPr>
          <w:rFonts w:eastAsia="Calibri"/>
          <w:lang w:val="es-ES" w:eastAsia="en-US"/>
        </w:rPr>
        <w:t>JJ</w:t>
      </w:r>
      <w:proofErr w:type="spellEnd"/>
      <w:r w:rsidRPr="00FF5ECD">
        <w:rPr>
          <w:rFonts w:eastAsia="Calibri"/>
          <w:lang w:val="es-ES" w:eastAsia="en-US"/>
        </w:rPr>
        <w:t xml:space="preserve">, </w:t>
      </w:r>
      <w:proofErr w:type="spellStart"/>
      <w:r w:rsidRPr="00FF5ECD">
        <w:rPr>
          <w:rFonts w:eastAsia="Calibri"/>
          <w:lang w:val="es-ES" w:eastAsia="en-US"/>
        </w:rPr>
        <w:t>Gratacos</w:t>
      </w:r>
      <w:proofErr w:type="spellEnd"/>
      <w:r w:rsidRPr="00FF5ECD">
        <w:rPr>
          <w:rFonts w:eastAsia="Calibri"/>
          <w:lang w:val="es-ES" w:eastAsia="en-US"/>
        </w:rPr>
        <w:t xml:space="preserve"> E, et al.</w:t>
      </w:r>
      <w:r w:rsidRPr="00FF5ECD">
        <w:rPr>
          <w:rFonts w:eastAsia="Calibri"/>
          <w:bCs/>
          <w:lang w:val="es-ES" w:eastAsia="en-US"/>
        </w:rPr>
        <w:t xml:space="preserve"> Evaluación del efecto de un estabilizador del microbioma vaginal sobre los resultados maternos y neonatales en mujeres con rotura prematura de membranas pretérmino. Ecuador: </w:t>
      </w:r>
      <w:r w:rsidRPr="00FF5ECD">
        <w:rPr>
          <w:rFonts w:eastAsia="Calibri"/>
          <w:lang w:val="es-ES" w:eastAsia="en-US"/>
        </w:rPr>
        <w:t xml:space="preserve">Universidad Técnica de Babahoyo; </w:t>
      </w:r>
      <w:r w:rsidRPr="00FF5ECD">
        <w:rPr>
          <w:rFonts w:eastAsia="Calibri"/>
          <w:bCs/>
          <w:lang w:val="es-ES" w:eastAsia="en-US"/>
        </w:rPr>
        <w:t xml:space="preserve">2020. </w:t>
      </w:r>
      <w:r w:rsidRPr="00FF5ECD">
        <w:rPr>
          <w:rFonts w:eastAsia="Calibri"/>
          <w:bCs/>
          <w:lang w:val="es-MX" w:eastAsia="en-US"/>
        </w:rPr>
        <w:t xml:space="preserve">[acceso: 15/10/2020]. Disponible en: </w:t>
      </w:r>
      <w:hyperlink r:id="rId26" w:history="1">
        <w:r w:rsidRPr="00FF5ECD">
          <w:rPr>
            <w:rFonts w:eastAsia="Calibri"/>
            <w:u w:color="000000"/>
            <w:lang w:val="es-MX" w:eastAsia="en-US"/>
          </w:rPr>
          <w:t>http://dspace.utb.edu.ec/bitstream/handle/49000/8395/E-UTB-FCS-OBST-000234.pdf?sequence=1&amp;isAllowed=y</w:t>
        </w:r>
      </w:hyperlink>
    </w:p>
    <w:p w14:paraId="4BB785CE" w14:textId="77777777" w:rsidR="00FF5ECD" w:rsidRPr="00FF5ECD" w:rsidRDefault="00FF5ECD" w:rsidP="00FF5ECD">
      <w:pPr>
        <w:tabs>
          <w:tab w:val="left" w:pos="709"/>
        </w:tabs>
        <w:autoSpaceDN w:val="0"/>
        <w:spacing w:line="360" w:lineRule="auto"/>
        <w:rPr>
          <w:rFonts w:eastAsia="Calibri"/>
          <w:bCs/>
          <w:sz w:val="22"/>
          <w:szCs w:val="22"/>
          <w:lang w:val="es-MX" w:eastAsia="en-US"/>
        </w:rPr>
      </w:pPr>
      <w:r w:rsidRPr="00FF5ECD">
        <w:rPr>
          <w:rFonts w:eastAsia="Calibri"/>
          <w:bCs/>
          <w:lang w:val="en-GB" w:eastAsia="en-US"/>
        </w:rPr>
        <w:t xml:space="preserve">13. </w:t>
      </w:r>
      <w:proofErr w:type="spellStart"/>
      <w:r w:rsidRPr="00FF5ECD">
        <w:rPr>
          <w:rFonts w:eastAsia="Calibri"/>
          <w:bCs/>
          <w:lang w:val="en-GB" w:eastAsia="en-US"/>
        </w:rPr>
        <w:t>Achten</w:t>
      </w:r>
      <w:proofErr w:type="spellEnd"/>
      <w:r w:rsidRPr="00FF5ECD">
        <w:rPr>
          <w:rFonts w:eastAsia="Calibri"/>
          <w:bCs/>
          <w:lang w:val="en-GB" w:eastAsia="en-US"/>
        </w:rPr>
        <w:t xml:space="preserve"> NB, Klingenberg C, Benitez W. Association of neonatal early-onset sepsis calculator with reduction in </w:t>
      </w:r>
      <w:r w:rsidRPr="00FF5ECD">
        <w:rPr>
          <w:rFonts w:eastAsia="Calibri"/>
          <w:bCs/>
          <w:lang w:val="en-US" w:eastAsia="en-US"/>
        </w:rPr>
        <w:t xml:space="preserve">antibiotic therapy and safety. </w:t>
      </w:r>
      <w:r w:rsidRPr="00FF5ECD">
        <w:rPr>
          <w:rFonts w:eastAsia="Calibri"/>
          <w:bCs/>
          <w:lang w:val="es-MX" w:eastAsia="en-US"/>
        </w:rPr>
        <w:t xml:space="preserve">JAMA </w:t>
      </w:r>
      <w:proofErr w:type="spellStart"/>
      <w:r w:rsidRPr="00FF5ECD">
        <w:rPr>
          <w:rFonts w:eastAsia="Calibri"/>
          <w:bCs/>
          <w:lang w:val="es-MX" w:eastAsia="en-US"/>
        </w:rPr>
        <w:t>Pediatrics</w:t>
      </w:r>
      <w:proofErr w:type="spellEnd"/>
      <w:r w:rsidRPr="00FF5ECD">
        <w:rPr>
          <w:rFonts w:eastAsia="Calibri"/>
          <w:bCs/>
          <w:lang w:val="es-MX" w:eastAsia="en-US"/>
        </w:rPr>
        <w:t xml:space="preserve">. 2019 [acceso: 11/11/2021]; 173(11):1032-40. Disponible en: </w:t>
      </w:r>
      <w:hyperlink r:id="rId27" w:history="1">
        <w:r w:rsidRPr="00FF5ECD">
          <w:rPr>
            <w:rFonts w:eastAsia="Calibri"/>
            <w:bCs/>
            <w:u w:color="000000"/>
            <w:lang w:val="es-MX" w:eastAsia="en-US"/>
          </w:rPr>
          <w:t>https://jamanetwork.com/journals/jamapediatrics/fullarticle/2748691</w:t>
        </w:r>
      </w:hyperlink>
    </w:p>
    <w:p w14:paraId="5A94FB36" w14:textId="77777777" w:rsidR="00FF5ECD" w:rsidRPr="00FF5ECD" w:rsidRDefault="00FF5ECD" w:rsidP="00FF5ECD">
      <w:pPr>
        <w:tabs>
          <w:tab w:val="left" w:pos="709"/>
        </w:tabs>
        <w:autoSpaceDN w:val="0"/>
        <w:spacing w:line="360" w:lineRule="auto"/>
        <w:rPr>
          <w:lang w:val="es-MX" w:eastAsia="zh-CN"/>
        </w:rPr>
      </w:pPr>
      <w:r w:rsidRPr="00FF5ECD">
        <w:rPr>
          <w:lang w:val="en-US" w:eastAsia="zh-CN"/>
        </w:rPr>
        <w:lastRenderedPageBreak/>
        <w:t xml:space="preserve">14. </w:t>
      </w:r>
      <w:proofErr w:type="spellStart"/>
      <w:r w:rsidRPr="00FF5ECD">
        <w:rPr>
          <w:lang w:val="en-US" w:eastAsia="zh-CN"/>
        </w:rPr>
        <w:t>Akangire</w:t>
      </w:r>
      <w:proofErr w:type="spellEnd"/>
      <w:r w:rsidRPr="00FF5ECD">
        <w:rPr>
          <w:lang w:val="en-US" w:eastAsia="zh-CN"/>
        </w:rPr>
        <w:t xml:space="preserve">, G, Simpson E, Weiner J, MacDonnell JN, </w:t>
      </w:r>
      <w:proofErr w:type="spellStart"/>
      <w:r w:rsidRPr="00FF5ECD">
        <w:rPr>
          <w:lang w:val="en-US" w:eastAsia="zh-CN"/>
        </w:rPr>
        <w:t>Petrikin</w:t>
      </w:r>
      <w:proofErr w:type="spellEnd"/>
      <w:r w:rsidRPr="00FF5ECD">
        <w:rPr>
          <w:lang w:val="en-US" w:eastAsia="zh-CN"/>
        </w:rPr>
        <w:t xml:space="preserve"> J, Sheehan M. Implementation of the Neonatal Sepsis Calculator in Early-Onset Sepsis and Maternal Chorioamnionitis. </w:t>
      </w:r>
      <w:proofErr w:type="spellStart"/>
      <w:r w:rsidRPr="00FF5ECD">
        <w:rPr>
          <w:lang w:val="es-MX" w:eastAsia="zh-CN"/>
        </w:rPr>
        <w:t>Advances</w:t>
      </w:r>
      <w:proofErr w:type="spellEnd"/>
      <w:r w:rsidRPr="00FF5ECD">
        <w:rPr>
          <w:lang w:val="es-MX" w:eastAsia="zh-CN"/>
        </w:rPr>
        <w:t xml:space="preserve"> Neonatal Care. 2020 [acceso: 11/11/2021]; 20(1):25-32. </w:t>
      </w:r>
    </w:p>
    <w:p w14:paraId="20763C7B" w14:textId="77777777" w:rsidR="00FF5ECD" w:rsidRPr="00FF5ECD" w:rsidRDefault="00FF5ECD" w:rsidP="00FF5ECD">
      <w:pPr>
        <w:tabs>
          <w:tab w:val="left" w:pos="709"/>
        </w:tabs>
        <w:autoSpaceDN w:val="0"/>
        <w:spacing w:line="360" w:lineRule="auto"/>
        <w:rPr>
          <w:lang w:val="es-ES" w:eastAsia="zh-CN"/>
        </w:rPr>
      </w:pPr>
      <w:r w:rsidRPr="00FF5ECD">
        <w:rPr>
          <w:lang w:val="es-ES" w:eastAsia="zh-CN"/>
        </w:rPr>
        <w:t xml:space="preserve">Disponible en: </w:t>
      </w:r>
      <w:hyperlink r:id="rId28" w:history="1">
        <w:r w:rsidRPr="00FF5ECD">
          <w:rPr>
            <w:u w:color="000000"/>
            <w:lang w:val="es-ES" w:eastAsia="zh-CN"/>
          </w:rPr>
          <w:t>https://pubmed.ncbi.nlm.nih.gov/31569094/</w:t>
        </w:r>
      </w:hyperlink>
    </w:p>
    <w:p w14:paraId="72FB09CE" w14:textId="77777777" w:rsidR="00FF5ECD" w:rsidRPr="00FF5ECD" w:rsidRDefault="00FF5ECD" w:rsidP="00FF5ECD">
      <w:pPr>
        <w:tabs>
          <w:tab w:val="left" w:pos="709"/>
        </w:tabs>
        <w:autoSpaceDN w:val="0"/>
        <w:spacing w:line="360" w:lineRule="auto"/>
        <w:rPr>
          <w:bCs/>
          <w:lang w:val="es-ES" w:eastAsia="zh-CN"/>
        </w:rPr>
      </w:pPr>
      <w:r w:rsidRPr="00FF5ECD">
        <w:rPr>
          <w:bCs/>
          <w:lang w:val="en-US" w:eastAsia="zh-CN"/>
        </w:rPr>
        <w:t xml:space="preserve">15. </w:t>
      </w:r>
      <w:proofErr w:type="spellStart"/>
      <w:r w:rsidRPr="00FF5ECD">
        <w:rPr>
          <w:bCs/>
          <w:lang w:val="en-US" w:eastAsia="zh-CN"/>
        </w:rPr>
        <w:t>Soibelmann</w:t>
      </w:r>
      <w:proofErr w:type="spellEnd"/>
      <w:r w:rsidRPr="00FF5ECD">
        <w:rPr>
          <w:bCs/>
          <w:lang w:val="en-US" w:eastAsia="zh-CN"/>
        </w:rPr>
        <w:t xml:space="preserve"> R, </w:t>
      </w:r>
      <w:proofErr w:type="spellStart"/>
      <w:r w:rsidRPr="00FF5ECD">
        <w:rPr>
          <w:bCs/>
          <w:lang w:val="en-US" w:eastAsia="zh-CN"/>
        </w:rPr>
        <w:t>Silvera</w:t>
      </w:r>
      <w:proofErr w:type="spellEnd"/>
      <w:r w:rsidRPr="00FF5ECD">
        <w:rPr>
          <w:bCs/>
          <w:lang w:val="en-US" w:eastAsia="zh-CN"/>
        </w:rPr>
        <w:t xml:space="preserve"> RC. The challenges of neonatal sepsis management. </w:t>
      </w:r>
      <w:r w:rsidRPr="00FF5ECD">
        <w:rPr>
          <w:bCs/>
          <w:lang w:val="es-ES" w:eastAsia="zh-CN"/>
        </w:rPr>
        <w:t xml:space="preserve">J </w:t>
      </w:r>
      <w:proofErr w:type="spellStart"/>
      <w:r w:rsidRPr="00FF5ECD">
        <w:rPr>
          <w:bCs/>
          <w:lang w:val="es-ES" w:eastAsia="zh-CN"/>
        </w:rPr>
        <w:t>Pediatr</w:t>
      </w:r>
      <w:proofErr w:type="spellEnd"/>
      <w:r w:rsidRPr="00FF5ECD">
        <w:rPr>
          <w:bCs/>
          <w:lang w:val="es-ES" w:eastAsia="zh-CN"/>
        </w:rPr>
        <w:t xml:space="preserve"> (Rio Janeiro). 2020 [acceso: 11/11/2021]; 96(</w:t>
      </w:r>
      <w:proofErr w:type="spellStart"/>
      <w:r w:rsidRPr="00FF5ECD">
        <w:rPr>
          <w:bCs/>
          <w:lang w:val="es-ES" w:eastAsia="zh-CN"/>
        </w:rPr>
        <w:t>suppl.1</w:t>
      </w:r>
      <w:proofErr w:type="spellEnd"/>
      <w:r w:rsidRPr="00FF5ECD">
        <w:rPr>
          <w:bCs/>
          <w:lang w:val="es-ES" w:eastAsia="zh-CN"/>
        </w:rPr>
        <w:t xml:space="preserve">):80-6. Disponible en: </w:t>
      </w:r>
      <w:hyperlink r:id="rId29" w:history="1">
        <w:r w:rsidRPr="00FF5ECD">
          <w:rPr>
            <w:bCs/>
            <w:u w:color="000000"/>
            <w:lang w:val="es-ES" w:eastAsia="zh-CN"/>
          </w:rPr>
          <w:t>https://www.scielo.br/j/jped/a/5jFj7VRvCDqnwYyC4dfxYPw/?lang=en</w:t>
        </w:r>
      </w:hyperlink>
      <w:r w:rsidRPr="00FF5ECD">
        <w:rPr>
          <w:bCs/>
          <w:lang w:val="es-ES" w:eastAsia="zh-CN"/>
        </w:rPr>
        <w:t xml:space="preserve"> </w:t>
      </w:r>
    </w:p>
    <w:p w14:paraId="23B41CD9" w14:textId="77777777" w:rsidR="00FF5ECD" w:rsidRPr="00FF5ECD" w:rsidRDefault="00FF5ECD" w:rsidP="00FF5ECD">
      <w:pPr>
        <w:suppressAutoHyphens/>
        <w:autoSpaceDN w:val="0"/>
        <w:spacing w:line="360" w:lineRule="auto"/>
        <w:rPr>
          <w:bCs/>
          <w:lang w:val="es-ES" w:eastAsia="zh-CN"/>
        </w:rPr>
      </w:pPr>
      <w:r w:rsidRPr="00FF5ECD">
        <w:rPr>
          <w:rFonts w:eastAsia="Calibri"/>
          <w:lang w:val="es-MX" w:eastAsia="en-US"/>
        </w:rPr>
        <w:t xml:space="preserve">16. AMM. Declaración de Helsinki de la </w:t>
      </w:r>
      <w:proofErr w:type="spellStart"/>
      <w:r w:rsidRPr="00FF5ECD">
        <w:rPr>
          <w:rFonts w:eastAsia="Calibri"/>
          <w:lang w:val="es-MX" w:eastAsia="en-US"/>
        </w:rPr>
        <w:t>Asociacion</w:t>
      </w:r>
      <w:proofErr w:type="spellEnd"/>
      <w:r w:rsidRPr="00FF5ECD">
        <w:rPr>
          <w:rFonts w:eastAsia="Calibri"/>
          <w:lang w:val="es-MX" w:eastAsia="en-US"/>
        </w:rPr>
        <w:t xml:space="preserve"> Médica Mundial: Recomendaciones para guiar a los médicos en la investigación biomédica en personas. </w:t>
      </w:r>
      <w:proofErr w:type="spellStart"/>
      <w:r w:rsidRPr="00FF5ECD">
        <w:rPr>
          <w:rFonts w:eastAsia="Calibri"/>
          <w:lang w:val="es-MX" w:eastAsia="en-US"/>
        </w:rPr>
        <w:t>Asambea</w:t>
      </w:r>
      <w:proofErr w:type="spellEnd"/>
      <w:r w:rsidRPr="00FF5ECD">
        <w:rPr>
          <w:rFonts w:eastAsia="Calibri"/>
          <w:lang w:val="es-MX" w:eastAsia="en-US"/>
        </w:rPr>
        <w:t xml:space="preserve"> Médica Mundial; 2017. [acceso: 11/11/2021]. Disponible en: </w:t>
      </w:r>
      <w:hyperlink r:id="rId30" w:history="1">
        <w:r w:rsidRPr="00FF5ECD">
          <w:rPr>
            <w:rFonts w:eastAsia="Calibri"/>
            <w:u w:color="000000"/>
            <w:lang w:val="es-MX" w:eastAsia="en-US"/>
          </w:rPr>
          <w:t>https://www.wma.net/es/policies-post/declaracion-de-helsinki-de-la-amm-principios-eticos-para-las-investigaciones-medicas-en-seres-humanos/</w:t>
        </w:r>
      </w:hyperlink>
      <w:r w:rsidRPr="00FF5ECD">
        <w:rPr>
          <w:rFonts w:eastAsia="Calibri"/>
          <w:lang w:val="es-MX" w:eastAsia="en-US"/>
        </w:rPr>
        <w:t xml:space="preserve"> </w:t>
      </w:r>
    </w:p>
    <w:p w14:paraId="4FC371CB" w14:textId="77777777" w:rsidR="00FF5ECD" w:rsidRPr="00FF5ECD" w:rsidRDefault="00FF5ECD" w:rsidP="00FF5ECD">
      <w:pPr>
        <w:suppressAutoHyphens/>
        <w:autoSpaceDN w:val="0"/>
        <w:spacing w:line="360" w:lineRule="auto"/>
        <w:rPr>
          <w:rFonts w:eastAsia="Calibri"/>
          <w:b/>
          <w:sz w:val="22"/>
          <w:szCs w:val="22"/>
          <w:lang w:val="es-MX" w:eastAsia="en-US"/>
        </w:rPr>
      </w:pPr>
      <w:r w:rsidRPr="00FF5ECD">
        <w:rPr>
          <w:lang w:val="es-ES" w:eastAsia="zh-CN"/>
        </w:rPr>
        <w:t xml:space="preserve">17. </w:t>
      </w:r>
      <w:r w:rsidRPr="00FF5ECD">
        <w:rPr>
          <w:rFonts w:eastAsia="Calibri"/>
          <w:b/>
          <w:lang w:val="es-ES" w:eastAsia="en-US"/>
        </w:rPr>
        <w:t xml:space="preserve"> </w:t>
      </w:r>
      <w:r w:rsidRPr="00FF5ECD">
        <w:rPr>
          <w:rFonts w:eastAsia="Calibri"/>
          <w:lang w:val="es-ES" w:eastAsia="en-US"/>
        </w:rPr>
        <w:t xml:space="preserve">Palma Marcia </w:t>
      </w:r>
      <w:r w:rsidRPr="00FF5ECD">
        <w:rPr>
          <w:rFonts w:eastAsia="Calibri"/>
          <w:lang w:val="es-MX" w:eastAsia="en-US"/>
        </w:rPr>
        <w:t xml:space="preserve">MM, Valle Mendoza AM. Factores de riesgo asociados a sepsis neonatal temprana en el hospital alemán nicaragüense durante el segundo semestre del año 2018 [Tesis de doctor en medicina y cirugía general]. Managua: Universidad Nacional Autónoma de Nicaragua; 2019. [acceso: 11/02/2021]. Disponible en: </w:t>
      </w:r>
      <w:hyperlink r:id="rId31" w:history="1">
        <w:r w:rsidRPr="00FF5ECD">
          <w:rPr>
            <w:rFonts w:eastAsia="Calibri"/>
            <w:u w:color="000000"/>
            <w:lang w:val="es-MX" w:eastAsia="en-US"/>
          </w:rPr>
          <w:t>https://repositorio.unan.edu.ni/13492/1/13492.pdf</w:t>
        </w:r>
      </w:hyperlink>
    </w:p>
    <w:p w14:paraId="17F16518" w14:textId="77777777" w:rsidR="00FF5ECD" w:rsidRPr="00FF5ECD" w:rsidRDefault="00FF5ECD" w:rsidP="00FF5ECD">
      <w:pPr>
        <w:suppressAutoHyphens/>
        <w:autoSpaceDN w:val="0"/>
        <w:spacing w:line="360" w:lineRule="auto"/>
        <w:rPr>
          <w:rFonts w:eastAsia="Calibri"/>
          <w:lang w:val="es-MX" w:eastAsia="en-US"/>
        </w:rPr>
      </w:pPr>
      <w:r w:rsidRPr="00FF5ECD">
        <w:rPr>
          <w:rFonts w:eastAsia="Calibri"/>
          <w:lang w:val="en-US" w:eastAsia="en-US"/>
        </w:rPr>
        <w:t xml:space="preserve">18. </w:t>
      </w:r>
      <w:proofErr w:type="spellStart"/>
      <w:r w:rsidRPr="00FF5ECD">
        <w:rPr>
          <w:rFonts w:eastAsia="Calibri"/>
          <w:lang w:val="en-US" w:eastAsia="en-US"/>
        </w:rPr>
        <w:t>Arcagok</w:t>
      </w:r>
      <w:proofErr w:type="spellEnd"/>
      <w:r w:rsidRPr="00FF5ECD">
        <w:rPr>
          <w:rFonts w:eastAsia="Calibri"/>
          <w:lang w:val="en-US" w:eastAsia="en-US"/>
        </w:rPr>
        <w:t xml:space="preserve"> BC, </w:t>
      </w:r>
      <w:proofErr w:type="spellStart"/>
      <w:r w:rsidRPr="00FF5ECD">
        <w:rPr>
          <w:rFonts w:eastAsia="Calibri"/>
          <w:lang w:val="en-US" w:eastAsia="en-US"/>
        </w:rPr>
        <w:t>Karabulut</w:t>
      </w:r>
      <w:proofErr w:type="spellEnd"/>
      <w:r w:rsidRPr="00FF5ECD">
        <w:rPr>
          <w:rFonts w:eastAsia="Calibri"/>
          <w:lang w:val="en-US" w:eastAsia="en-US"/>
        </w:rPr>
        <w:t xml:space="preserve"> B. Platelet to Lymphocyte Ratio in Neonates: A Predictor of Early onset Neonatal Sepsis. </w:t>
      </w:r>
      <w:proofErr w:type="spellStart"/>
      <w:r w:rsidRPr="00FF5ECD">
        <w:rPr>
          <w:rFonts w:eastAsia="Calibri"/>
          <w:lang w:val="es-CU" w:eastAsia="en-US"/>
        </w:rPr>
        <w:t>Mediterr</w:t>
      </w:r>
      <w:proofErr w:type="spellEnd"/>
      <w:r w:rsidRPr="00FF5ECD">
        <w:rPr>
          <w:rFonts w:eastAsia="Calibri"/>
          <w:lang w:val="es-CU" w:eastAsia="en-US"/>
        </w:rPr>
        <w:t xml:space="preserve"> J </w:t>
      </w:r>
      <w:proofErr w:type="spellStart"/>
      <w:r w:rsidRPr="00FF5ECD">
        <w:rPr>
          <w:rFonts w:eastAsia="Calibri"/>
          <w:lang w:val="es-CU" w:eastAsia="en-US"/>
        </w:rPr>
        <w:t>Hematol</w:t>
      </w:r>
      <w:proofErr w:type="spellEnd"/>
      <w:r w:rsidRPr="00FF5ECD">
        <w:rPr>
          <w:rFonts w:eastAsia="Calibri"/>
          <w:lang w:val="es-CU" w:eastAsia="en-US"/>
        </w:rPr>
        <w:t xml:space="preserve"> </w:t>
      </w:r>
      <w:proofErr w:type="spellStart"/>
      <w:r w:rsidRPr="00FF5ECD">
        <w:rPr>
          <w:rFonts w:eastAsia="Calibri"/>
          <w:lang w:val="es-CU" w:eastAsia="en-US"/>
        </w:rPr>
        <w:t>Infect</w:t>
      </w:r>
      <w:proofErr w:type="spellEnd"/>
      <w:r w:rsidRPr="00FF5ECD">
        <w:rPr>
          <w:rFonts w:eastAsia="Calibri"/>
          <w:lang w:val="es-CU" w:eastAsia="en-US"/>
        </w:rPr>
        <w:t xml:space="preserve"> </w:t>
      </w:r>
      <w:proofErr w:type="spellStart"/>
      <w:r w:rsidRPr="00FF5ECD">
        <w:rPr>
          <w:rFonts w:eastAsia="Calibri"/>
          <w:lang w:val="es-CU" w:eastAsia="en-US"/>
        </w:rPr>
        <w:t>Dis</w:t>
      </w:r>
      <w:proofErr w:type="spellEnd"/>
      <w:r w:rsidRPr="00FF5ECD">
        <w:rPr>
          <w:rFonts w:eastAsia="Calibri"/>
          <w:lang w:val="es-CU" w:eastAsia="en-US"/>
        </w:rPr>
        <w:t xml:space="preserve">. 2019 [acceso: 11/11/2021]; 11(1): </w:t>
      </w:r>
      <w:proofErr w:type="spellStart"/>
      <w:r w:rsidRPr="00FF5ECD">
        <w:rPr>
          <w:rFonts w:eastAsia="Calibri"/>
          <w:lang w:val="es-CU" w:eastAsia="en-US"/>
        </w:rPr>
        <w:t>e2019055</w:t>
      </w:r>
      <w:proofErr w:type="spellEnd"/>
      <w:r w:rsidRPr="00FF5ECD">
        <w:rPr>
          <w:rFonts w:eastAsia="Calibri"/>
          <w:lang w:val="es-CU" w:eastAsia="en-US"/>
        </w:rPr>
        <w:t xml:space="preserve">. </w:t>
      </w:r>
      <w:r w:rsidRPr="00FF5ECD">
        <w:rPr>
          <w:rFonts w:eastAsia="Calibri"/>
          <w:lang w:val="es-MX" w:eastAsia="en-US"/>
        </w:rPr>
        <w:t xml:space="preserve">Disponible en: </w:t>
      </w:r>
      <w:hyperlink r:id="rId32" w:history="1">
        <w:r w:rsidRPr="00FF5ECD">
          <w:rPr>
            <w:rFonts w:eastAsia="Calibri"/>
            <w:u w:color="000000"/>
            <w:lang w:val="es-MX" w:eastAsia="en-US"/>
          </w:rPr>
          <w:t>https://www.ncbi.nlm.nih.gov/pmc/articles/PMC6736225/</w:t>
        </w:r>
      </w:hyperlink>
    </w:p>
    <w:p w14:paraId="22C01639" w14:textId="77777777" w:rsidR="00FF5ECD" w:rsidRPr="00FF5ECD" w:rsidRDefault="00FF5ECD" w:rsidP="00FF5ECD">
      <w:pPr>
        <w:tabs>
          <w:tab w:val="left" w:pos="709"/>
        </w:tabs>
        <w:suppressAutoHyphens/>
        <w:autoSpaceDN w:val="0"/>
        <w:spacing w:line="360" w:lineRule="auto"/>
        <w:rPr>
          <w:rFonts w:eastAsia="Calibri"/>
          <w:sz w:val="22"/>
          <w:szCs w:val="22"/>
          <w:lang w:val="es-ES" w:eastAsia="en-US"/>
        </w:rPr>
      </w:pPr>
      <w:r w:rsidRPr="00FF5ECD">
        <w:rPr>
          <w:rFonts w:eastAsia="Calibri"/>
          <w:lang w:val="es-ES" w:eastAsia="en-US"/>
        </w:rPr>
        <w:t xml:space="preserve">19. Perret Pérez C, Pérez Valenzuela C, editores. Manual de pediatría. </w:t>
      </w:r>
      <w:proofErr w:type="spellStart"/>
      <w:r w:rsidRPr="00FF5ECD">
        <w:rPr>
          <w:rFonts w:eastAsia="Calibri"/>
          <w:lang w:val="es-ES" w:eastAsia="en-US"/>
        </w:rPr>
        <w:t>2da</w:t>
      </w:r>
      <w:proofErr w:type="spellEnd"/>
      <w:r w:rsidRPr="00FF5ECD">
        <w:rPr>
          <w:rFonts w:eastAsia="Calibri"/>
          <w:lang w:val="es-ES" w:eastAsia="en-US"/>
        </w:rPr>
        <w:t xml:space="preserve"> edición.</w:t>
      </w:r>
      <w:r w:rsidRPr="00FF5ECD">
        <w:rPr>
          <w:rFonts w:eastAsia="Calibri"/>
          <w:lang w:val="es-MX" w:eastAsia="en-US"/>
        </w:rPr>
        <w:t xml:space="preserve"> Chile: </w:t>
      </w:r>
      <w:r w:rsidRPr="00FF5ECD">
        <w:rPr>
          <w:rFonts w:eastAsia="Calibri"/>
          <w:lang w:val="es-ES" w:eastAsia="en-US"/>
        </w:rPr>
        <w:t xml:space="preserve">Pontificia Universidad Católica de Chile; </w:t>
      </w:r>
      <w:r w:rsidRPr="00FF5ECD">
        <w:rPr>
          <w:rFonts w:eastAsia="Calibri"/>
          <w:lang w:val="es-MX" w:eastAsia="en-US"/>
        </w:rPr>
        <w:t xml:space="preserve">2020. </w:t>
      </w:r>
      <w:r w:rsidRPr="00FF5ECD">
        <w:rPr>
          <w:rFonts w:eastAsia="Calibri"/>
          <w:lang w:val="es-ES" w:eastAsia="en-US"/>
        </w:rPr>
        <w:t xml:space="preserve">[acceso: 02/10/2021]. </w:t>
      </w:r>
      <w:r w:rsidRPr="00FF5ECD">
        <w:rPr>
          <w:rFonts w:eastAsia="Calibri"/>
          <w:lang w:val="es-MX" w:eastAsia="en-US"/>
        </w:rPr>
        <w:t xml:space="preserve">Disponible en: </w:t>
      </w:r>
    </w:p>
    <w:p w14:paraId="3E214DA4" w14:textId="77777777" w:rsidR="00FF5ECD" w:rsidRPr="00FF5ECD" w:rsidRDefault="00FF5ECD" w:rsidP="00FF5ECD">
      <w:pPr>
        <w:tabs>
          <w:tab w:val="left" w:pos="709"/>
        </w:tabs>
        <w:suppressAutoHyphens/>
        <w:autoSpaceDN w:val="0"/>
        <w:spacing w:line="360" w:lineRule="auto"/>
        <w:rPr>
          <w:rFonts w:eastAsia="Calibri"/>
          <w:sz w:val="22"/>
          <w:szCs w:val="22"/>
          <w:lang w:val="es-ES" w:eastAsia="en-US"/>
        </w:rPr>
      </w:pPr>
      <w:hyperlink r:id="rId33" w:history="1">
        <w:r w:rsidRPr="00FF5ECD">
          <w:rPr>
            <w:rFonts w:eastAsia="Calibri"/>
            <w:sz w:val="22"/>
            <w:szCs w:val="22"/>
            <w:u w:color="000000"/>
            <w:lang w:val="es-ES" w:eastAsia="en-US"/>
          </w:rPr>
          <w:t>https://medicina.uc.cl/wp-content/uploads/2020/05/Manual-de-pediatria-2020v3.pdf</w:t>
        </w:r>
      </w:hyperlink>
    </w:p>
    <w:p w14:paraId="1EAC6A9E" w14:textId="77777777" w:rsidR="00FF5ECD" w:rsidRPr="00FF5ECD" w:rsidRDefault="00FF5ECD" w:rsidP="00FF5ECD">
      <w:pPr>
        <w:tabs>
          <w:tab w:val="left" w:pos="709"/>
        </w:tabs>
        <w:suppressAutoHyphens/>
        <w:autoSpaceDN w:val="0"/>
        <w:spacing w:line="360" w:lineRule="auto"/>
        <w:rPr>
          <w:rFonts w:eastAsia="Calibri"/>
          <w:sz w:val="22"/>
          <w:szCs w:val="22"/>
          <w:lang w:val="en-US" w:eastAsia="en-US"/>
        </w:rPr>
      </w:pPr>
      <w:r w:rsidRPr="00FF5ECD">
        <w:rPr>
          <w:rFonts w:eastAsia="Calibri"/>
          <w:lang w:val="en-US" w:eastAsia="en-US"/>
        </w:rPr>
        <w:t xml:space="preserve">20. Olin A, </w:t>
      </w:r>
      <w:proofErr w:type="spellStart"/>
      <w:r w:rsidRPr="00FF5ECD">
        <w:rPr>
          <w:rFonts w:eastAsia="Calibri"/>
          <w:lang w:val="en-US" w:eastAsia="en-US"/>
        </w:rPr>
        <w:t>Henckel</w:t>
      </w:r>
      <w:proofErr w:type="spellEnd"/>
      <w:r w:rsidRPr="00FF5ECD">
        <w:rPr>
          <w:rFonts w:eastAsia="Calibri"/>
          <w:lang w:val="en-US" w:eastAsia="en-US"/>
        </w:rPr>
        <w:t xml:space="preserve"> E, Chen Y, </w:t>
      </w:r>
      <w:proofErr w:type="spellStart"/>
      <w:r w:rsidRPr="00FF5ECD">
        <w:rPr>
          <w:rFonts w:eastAsia="Calibri"/>
          <w:lang w:val="en-US" w:eastAsia="en-US"/>
        </w:rPr>
        <w:t>Lakshmikanth</w:t>
      </w:r>
      <w:proofErr w:type="spellEnd"/>
      <w:r w:rsidRPr="00FF5ECD">
        <w:rPr>
          <w:rFonts w:eastAsia="Calibri"/>
          <w:lang w:val="en-US" w:eastAsia="en-US"/>
        </w:rPr>
        <w:t xml:space="preserve"> T, </w:t>
      </w:r>
      <w:proofErr w:type="spellStart"/>
      <w:r w:rsidRPr="00FF5ECD">
        <w:rPr>
          <w:rFonts w:eastAsia="Calibri"/>
          <w:lang w:val="en-US" w:eastAsia="en-US"/>
        </w:rPr>
        <w:t>Pou</w:t>
      </w:r>
      <w:proofErr w:type="spellEnd"/>
      <w:r w:rsidRPr="00FF5ECD">
        <w:rPr>
          <w:rFonts w:eastAsia="Calibri"/>
          <w:lang w:val="en-US" w:eastAsia="en-US"/>
        </w:rPr>
        <w:t xml:space="preserve"> C, Mikes J, et al. Stereotypic Immune System Development in Newborn Children. </w:t>
      </w:r>
      <w:r w:rsidRPr="00FF5ECD">
        <w:rPr>
          <w:rFonts w:eastAsia="Calibri"/>
          <w:iCs/>
          <w:lang w:val="en-US" w:eastAsia="en-US"/>
        </w:rPr>
        <w:t>Cell</w:t>
      </w:r>
      <w:r w:rsidRPr="00FF5ECD">
        <w:rPr>
          <w:rFonts w:eastAsia="Calibri"/>
          <w:lang w:val="en-US" w:eastAsia="en-US"/>
        </w:rPr>
        <w:t>. 2018 [</w:t>
      </w:r>
      <w:proofErr w:type="spellStart"/>
      <w:r w:rsidRPr="00FF5ECD">
        <w:rPr>
          <w:rFonts w:eastAsia="Calibri"/>
          <w:lang w:val="en-US" w:eastAsia="en-US"/>
        </w:rPr>
        <w:t>acceso</w:t>
      </w:r>
      <w:proofErr w:type="spellEnd"/>
      <w:r w:rsidRPr="00FF5ECD">
        <w:rPr>
          <w:rFonts w:eastAsia="Calibri"/>
          <w:lang w:val="en-US" w:eastAsia="en-US"/>
        </w:rPr>
        <w:t xml:space="preserve">: 02/10/2021]; </w:t>
      </w:r>
      <w:r w:rsidRPr="00FF5ECD">
        <w:rPr>
          <w:rFonts w:eastAsia="Calibri"/>
          <w:iCs/>
          <w:lang w:val="en-US" w:eastAsia="en-US"/>
        </w:rPr>
        <w:t>174</w:t>
      </w:r>
      <w:r w:rsidRPr="00FF5ECD">
        <w:rPr>
          <w:rFonts w:eastAsia="Calibri"/>
          <w:lang w:val="en-US" w:eastAsia="en-US"/>
        </w:rPr>
        <w:t xml:space="preserve">(5):1277–92. Disponible </w:t>
      </w:r>
      <w:proofErr w:type="spellStart"/>
      <w:r w:rsidRPr="00FF5ECD">
        <w:rPr>
          <w:rFonts w:eastAsia="Calibri"/>
          <w:lang w:val="en-US" w:eastAsia="en-US"/>
        </w:rPr>
        <w:t>en</w:t>
      </w:r>
      <w:proofErr w:type="spellEnd"/>
      <w:r w:rsidRPr="00FF5ECD">
        <w:rPr>
          <w:rFonts w:eastAsia="Calibri"/>
          <w:lang w:val="en-US" w:eastAsia="en-US"/>
        </w:rPr>
        <w:t xml:space="preserve">: </w:t>
      </w:r>
      <w:hyperlink r:id="rId34" w:history="1">
        <w:r w:rsidRPr="00FF5ECD">
          <w:rPr>
            <w:rFonts w:eastAsia="Calibri"/>
            <w:u w:color="000000"/>
            <w:lang w:val="en-US" w:eastAsia="en-US"/>
          </w:rPr>
          <w:t xml:space="preserve">https://www.ncbi.nlm.nih.gov/pmc/arti </w:t>
        </w:r>
        <w:proofErr w:type="spellStart"/>
        <w:r w:rsidRPr="00FF5ECD">
          <w:rPr>
            <w:rFonts w:eastAsia="Calibri"/>
            <w:u w:color="000000"/>
            <w:lang w:val="en-US" w:eastAsia="en-US"/>
          </w:rPr>
          <w:t>cles</w:t>
        </w:r>
        <w:proofErr w:type="spellEnd"/>
        <w:r w:rsidRPr="00FF5ECD">
          <w:rPr>
            <w:rFonts w:eastAsia="Calibri"/>
            <w:u w:color="000000"/>
            <w:lang w:val="en-US" w:eastAsia="en-US"/>
          </w:rPr>
          <w:t>/</w:t>
        </w:r>
        <w:proofErr w:type="spellStart"/>
        <w:r w:rsidRPr="00FF5ECD">
          <w:rPr>
            <w:rFonts w:eastAsia="Calibri"/>
            <w:u w:color="000000"/>
            <w:lang w:val="en-US" w:eastAsia="en-US"/>
          </w:rPr>
          <w:t>PMC6108833</w:t>
        </w:r>
        <w:proofErr w:type="spellEnd"/>
        <w:r w:rsidRPr="00FF5ECD">
          <w:rPr>
            <w:rFonts w:eastAsia="Calibri"/>
            <w:u w:color="000000"/>
            <w:lang w:val="en-US" w:eastAsia="en-US"/>
          </w:rPr>
          <w:t>/</w:t>
        </w:r>
      </w:hyperlink>
    </w:p>
    <w:p w14:paraId="5782E14D" w14:textId="77777777" w:rsidR="00FF5ECD" w:rsidRPr="00FF5ECD" w:rsidRDefault="00FF5ECD" w:rsidP="00FF5ECD">
      <w:pPr>
        <w:tabs>
          <w:tab w:val="left" w:pos="709"/>
        </w:tabs>
        <w:suppressAutoHyphens/>
        <w:autoSpaceDN w:val="0"/>
        <w:spacing w:line="360" w:lineRule="auto"/>
        <w:rPr>
          <w:rFonts w:eastAsia="Calibri"/>
          <w:lang w:val="es-MX" w:eastAsia="en-US"/>
        </w:rPr>
      </w:pPr>
      <w:r w:rsidRPr="00FF5ECD">
        <w:rPr>
          <w:rFonts w:eastAsia="Calibri"/>
          <w:sz w:val="22"/>
          <w:szCs w:val="22"/>
          <w:lang w:val="es-ES" w:eastAsia="en-US"/>
        </w:rPr>
        <w:t>21.</w:t>
      </w:r>
      <w:r w:rsidRPr="00FF5ECD">
        <w:rPr>
          <w:rFonts w:eastAsia="Calibri"/>
          <w:lang w:val="es-ES" w:eastAsia="en-US"/>
        </w:rPr>
        <w:t xml:space="preserve"> Moran Amador R, Ballester LI, Ca</w:t>
      </w:r>
      <w:proofErr w:type="spellStart"/>
      <w:r w:rsidRPr="00FF5ECD">
        <w:rPr>
          <w:rFonts w:eastAsia="Calibri"/>
          <w:lang w:val="es-MX" w:eastAsia="en-US"/>
        </w:rPr>
        <w:t>mpo</w:t>
      </w:r>
      <w:proofErr w:type="spellEnd"/>
      <w:r w:rsidRPr="00FF5ECD">
        <w:rPr>
          <w:rFonts w:eastAsia="Calibri"/>
          <w:lang w:val="es-MX" w:eastAsia="en-US"/>
        </w:rPr>
        <w:t xml:space="preserve"> GA. Factores de riesgo asociado a la sepsis neonatal de inicio precoz. Rev. Cubana </w:t>
      </w:r>
      <w:proofErr w:type="spellStart"/>
      <w:r w:rsidRPr="00FF5ECD">
        <w:rPr>
          <w:rFonts w:eastAsia="Calibri"/>
          <w:lang w:val="es-MX" w:eastAsia="en-US"/>
        </w:rPr>
        <w:t>Obst</w:t>
      </w:r>
      <w:proofErr w:type="spellEnd"/>
      <w:r w:rsidRPr="00FF5ECD">
        <w:rPr>
          <w:rFonts w:eastAsia="Calibri"/>
          <w:lang w:val="es-MX" w:eastAsia="en-US"/>
        </w:rPr>
        <w:t xml:space="preserve"> </w:t>
      </w:r>
      <w:proofErr w:type="spellStart"/>
      <w:r w:rsidRPr="00FF5ECD">
        <w:rPr>
          <w:rFonts w:eastAsia="Calibri"/>
          <w:lang w:val="es-MX" w:eastAsia="en-US"/>
        </w:rPr>
        <w:t>Ginecol</w:t>
      </w:r>
      <w:proofErr w:type="spellEnd"/>
      <w:r w:rsidRPr="00FF5ECD">
        <w:rPr>
          <w:rFonts w:eastAsia="Calibri"/>
          <w:lang w:val="es-MX" w:eastAsia="en-US"/>
        </w:rPr>
        <w:t>. 2021 [acceso: 16/6/2022]; 47(2</w:t>
      </w:r>
      <w:proofErr w:type="gramStart"/>
      <w:r w:rsidRPr="00FF5ECD">
        <w:rPr>
          <w:rFonts w:eastAsia="Calibri"/>
          <w:lang w:val="es-MX" w:eastAsia="en-US"/>
        </w:rPr>
        <w:t>):</w:t>
      </w:r>
      <w:proofErr w:type="spellStart"/>
      <w:r w:rsidRPr="00FF5ECD">
        <w:rPr>
          <w:rFonts w:eastAsia="Calibri"/>
          <w:lang w:val="es-MX" w:eastAsia="en-US"/>
        </w:rPr>
        <w:t>e54.Disponible</w:t>
      </w:r>
      <w:proofErr w:type="spellEnd"/>
      <w:proofErr w:type="gramEnd"/>
      <w:r w:rsidRPr="00FF5ECD">
        <w:rPr>
          <w:rFonts w:eastAsia="Calibri"/>
          <w:lang w:val="es-MX" w:eastAsia="en-US"/>
        </w:rPr>
        <w:t xml:space="preserve"> en: </w:t>
      </w:r>
    </w:p>
    <w:p w14:paraId="530A1FC3" w14:textId="77777777" w:rsidR="00FF5ECD" w:rsidRPr="00FF5ECD" w:rsidRDefault="00FF5ECD" w:rsidP="00FF5ECD">
      <w:pPr>
        <w:tabs>
          <w:tab w:val="left" w:pos="709"/>
        </w:tabs>
        <w:suppressAutoHyphens/>
        <w:autoSpaceDN w:val="0"/>
        <w:spacing w:line="360" w:lineRule="auto"/>
        <w:rPr>
          <w:rFonts w:eastAsia="Calibri"/>
          <w:lang w:val="es-ES" w:eastAsia="en-US"/>
        </w:rPr>
      </w:pPr>
      <w:hyperlink r:id="rId35" w:history="1">
        <w:r w:rsidRPr="00FF5ECD">
          <w:rPr>
            <w:rFonts w:eastAsia="Calibri"/>
            <w:u w:color="000000"/>
            <w:lang w:val="es-MX" w:eastAsia="en-US"/>
          </w:rPr>
          <w:t>http://www.revginecobstetricia.sld.cu/index.php/gin/article/download/514/708</w:t>
        </w:r>
      </w:hyperlink>
    </w:p>
    <w:p w14:paraId="46715F0B" w14:textId="77777777" w:rsidR="00FF5ECD" w:rsidRPr="00FF5ECD" w:rsidRDefault="00FF5ECD" w:rsidP="00FF5ECD">
      <w:pPr>
        <w:tabs>
          <w:tab w:val="left" w:pos="709"/>
        </w:tabs>
        <w:suppressAutoHyphens/>
        <w:autoSpaceDN w:val="0"/>
        <w:spacing w:line="360" w:lineRule="auto"/>
        <w:rPr>
          <w:rFonts w:eastAsia="Calibri"/>
          <w:bCs/>
          <w:lang w:val="es-ES" w:eastAsia="en-US"/>
        </w:rPr>
      </w:pPr>
      <w:r w:rsidRPr="00FF5ECD">
        <w:rPr>
          <w:rFonts w:eastAsia="Calibri"/>
          <w:bCs/>
          <w:lang w:val="es-ES" w:eastAsia="en-US"/>
        </w:rPr>
        <w:lastRenderedPageBreak/>
        <w:t xml:space="preserve">22. </w:t>
      </w:r>
      <w:r w:rsidRPr="00FF5ECD">
        <w:rPr>
          <w:rFonts w:eastAsia="Calibri"/>
          <w:lang w:val="es-ES" w:eastAsia="en-US"/>
        </w:rPr>
        <w:t xml:space="preserve">Ulloa </w:t>
      </w:r>
      <w:proofErr w:type="spellStart"/>
      <w:r w:rsidRPr="00FF5ECD">
        <w:rPr>
          <w:rFonts w:eastAsia="Calibri"/>
          <w:lang w:val="es-ES" w:eastAsia="en-US"/>
        </w:rPr>
        <w:t>Ricardez</w:t>
      </w:r>
      <w:proofErr w:type="spellEnd"/>
      <w:r w:rsidRPr="00FF5ECD">
        <w:rPr>
          <w:rFonts w:eastAsia="Calibri"/>
          <w:lang w:val="es-ES" w:eastAsia="en-US"/>
        </w:rPr>
        <w:t xml:space="preserve"> A, Salazar Espino B. Epidemiologia de la infección neonatal temprana y tardía en una Unidad de Cuidados Intensivos Neonatales. </w:t>
      </w:r>
      <w:proofErr w:type="spellStart"/>
      <w:r w:rsidRPr="00FF5ECD">
        <w:rPr>
          <w:rFonts w:eastAsia="Calibri"/>
          <w:lang w:val="es-ES" w:eastAsia="en-US"/>
        </w:rPr>
        <w:t>Rev</w:t>
      </w:r>
      <w:proofErr w:type="spellEnd"/>
      <w:r w:rsidRPr="00FF5ECD">
        <w:rPr>
          <w:rFonts w:eastAsia="Calibri"/>
          <w:lang w:val="es-ES" w:eastAsia="en-US"/>
        </w:rPr>
        <w:t xml:space="preserve"> </w:t>
      </w:r>
      <w:proofErr w:type="spellStart"/>
      <w:r w:rsidRPr="00FF5ECD">
        <w:rPr>
          <w:rFonts w:eastAsia="Calibri"/>
          <w:lang w:val="es-ES" w:eastAsia="en-US"/>
        </w:rPr>
        <w:t>Hosp</w:t>
      </w:r>
      <w:proofErr w:type="spellEnd"/>
      <w:r w:rsidRPr="00FF5ECD">
        <w:rPr>
          <w:rFonts w:eastAsia="Calibri"/>
          <w:lang w:val="es-ES" w:eastAsia="en-US"/>
        </w:rPr>
        <w:t xml:space="preserve"> Jua Mex. 2019 [acceso: 16/06/2022]; 86(3):110-5. Disponible en: </w:t>
      </w:r>
      <w:hyperlink r:id="rId36" w:history="1">
        <w:r w:rsidRPr="00FF5ECD">
          <w:rPr>
            <w:rFonts w:eastAsia="Calibri"/>
            <w:u w:color="000000"/>
            <w:lang w:val="es-ES" w:eastAsia="en-US"/>
          </w:rPr>
          <w:t>https://www.medigraphic.com/pdfs/juarez/ju-2019/ju193b.pdf</w:t>
        </w:r>
      </w:hyperlink>
      <w:r w:rsidRPr="00FF5ECD">
        <w:rPr>
          <w:rFonts w:eastAsia="Calibri"/>
          <w:bCs/>
          <w:lang w:val="es-ES" w:eastAsia="en-US"/>
        </w:rPr>
        <w:t xml:space="preserve"> </w:t>
      </w:r>
    </w:p>
    <w:p w14:paraId="065815B9" w14:textId="77777777" w:rsidR="00FF5ECD" w:rsidRPr="00FF5ECD" w:rsidRDefault="00FF5ECD" w:rsidP="00FF5ECD">
      <w:pPr>
        <w:tabs>
          <w:tab w:val="left" w:pos="709"/>
        </w:tabs>
        <w:suppressAutoHyphens/>
        <w:autoSpaceDN w:val="0"/>
        <w:spacing w:line="360" w:lineRule="auto"/>
        <w:rPr>
          <w:rFonts w:eastAsia="Calibri"/>
          <w:lang w:val="es-ES" w:eastAsia="en-US"/>
        </w:rPr>
      </w:pPr>
      <w:r w:rsidRPr="00FF5ECD">
        <w:rPr>
          <w:rFonts w:eastAsia="Calibri"/>
          <w:lang w:val="es-ES" w:eastAsia="es-ES"/>
        </w:rPr>
        <w:t>23</w:t>
      </w:r>
      <w:r w:rsidRPr="00FF5ECD">
        <w:rPr>
          <w:rFonts w:eastAsia="Calibri"/>
          <w:b/>
          <w:lang w:val="es-ES" w:eastAsia="es-ES"/>
        </w:rPr>
        <w:t xml:space="preserve">. </w:t>
      </w:r>
      <w:r w:rsidRPr="00FF5ECD">
        <w:rPr>
          <w:rFonts w:eastAsia="Calibri"/>
          <w:lang w:val="es-ES" w:eastAsia="en-US"/>
        </w:rPr>
        <w:t xml:space="preserve">Salazar Leyva del Pilar K. Variables asociadas a sepsis neonatal temprana en el Hospital Santa Rosa de enero-diciembre del 2017 [Tesis de grado]. Lima: Universidad Ricardo Palma; 2019. [acceso: 02/10/2020]. Disponible en: </w:t>
      </w:r>
    </w:p>
    <w:p w14:paraId="7C45FCD2" w14:textId="77777777" w:rsidR="00FF5ECD" w:rsidRPr="00FF5ECD" w:rsidRDefault="00FF5ECD" w:rsidP="00FF5ECD">
      <w:pPr>
        <w:tabs>
          <w:tab w:val="left" w:pos="709"/>
        </w:tabs>
        <w:suppressAutoHyphens/>
        <w:autoSpaceDN w:val="0"/>
        <w:spacing w:line="360" w:lineRule="auto"/>
        <w:rPr>
          <w:rFonts w:eastAsia="Calibri"/>
          <w:lang w:val="es-ES" w:eastAsia="en-US"/>
        </w:rPr>
      </w:pPr>
      <w:hyperlink r:id="rId37" w:history="1">
        <w:r w:rsidRPr="00FF5ECD">
          <w:rPr>
            <w:rFonts w:eastAsia="Calibri"/>
            <w:u w:color="000000"/>
            <w:lang w:val="es-ES" w:eastAsia="ar-SA"/>
          </w:rPr>
          <w:t xml:space="preserve">http://repositorioslatinoamericanos.uchile.cl/handle/2250/3354099 </w:t>
        </w:r>
      </w:hyperlink>
    </w:p>
    <w:p w14:paraId="24010159" w14:textId="77777777" w:rsidR="00FF5ECD" w:rsidRPr="00FF5ECD" w:rsidRDefault="00FF5ECD" w:rsidP="00FF5ECD">
      <w:pPr>
        <w:tabs>
          <w:tab w:val="left" w:pos="709"/>
        </w:tabs>
        <w:autoSpaceDN w:val="0"/>
        <w:spacing w:line="360" w:lineRule="auto"/>
        <w:rPr>
          <w:rFonts w:eastAsia="Calibri"/>
          <w:bCs/>
          <w:lang w:val="es-ES" w:eastAsia="en-US"/>
        </w:rPr>
      </w:pPr>
      <w:r w:rsidRPr="00FF5ECD">
        <w:rPr>
          <w:rFonts w:eastAsia="Calibri"/>
          <w:bCs/>
          <w:lang w:val="en-US" w:eastAsia="en-US"/>
        </w:rPr>
        <w:t xml:space="preserve">24. Dong Y, Speer CP, Glaser K. Beyond sepsis: Staphylococcus epidermidis in </w:t>
      </w:r>
      <w:proofErr w:type="gramStart"/>
      <w:r w:rsidRPr="00FF5ECD">
        <w:rPr>
          <w:rFonts w:eastAsia="Calibri"/>
          <w:bCs/>
          <w:lang w:val="en-US" w:eastAsia="en-US"/>
        </w:rPr>
        <w:t>a</w:t>
      </w:r>
      <w:proofErr w:type="gramEnd"/>
      <w:r w:rsidRPr="00FF5ECD">
        <w:rPr>
          <w:rFonts w:eastAsia="Calibri"/>
          <w:bCs/>
          <w:lang w:val="en-US" w:eastAsia="en-US"/>
        </w:rPr>
        <w:t xml:space="preserve"> underestimated but </w:t>
      </w:r>
      <w:proofErr w:type="spellStart"/>
      <w:r w:rsidRPr="00FF5ECD">
        <w:rPr>
          <w:rFonts w:eastAsia="Calibri"/>
          <w:bCs/>
          <w:lang w:val="en-US" w:eastAsia="en-US"/>
        </w:rPr>
        <w:t>significient</w:t>
      </w:r>
      <w:proofErr w:type="spellEnd"/>
      <w:r w:rsidRPr="00FF5ECD">
        <w:rPr>
          <w:rFonts w:eastAsia="Calibri"/>
          <w:bCs/>
          <w:lang w:val="en-US" w:eastAsia="en-US"/>
        </w:rPr>
        <w:t xml:space="preserve"> </w:t>
      </w:r>
      <w:proofErr w:type="spellStart"/>
      <w:r w:rsidRPr="00FF5ECD">
        <w:rPr>
          <w:rFonts w:eastAsia="Calibri"/>
          <w:bCs/>
          <w:lang w:val="en-US" w:eastAsia="en-US"/>
        </w:rPr>
        <w:t>cntributer</w:t>
      </w:r>
      <w:proofErr w:type="spellEnd"/>
      <w:r w:rsidRPr="00FF5ECD">
        <w:rPr>
          <w:rFonts w:eastAsia="Calibri"/>
          <w:bCs/>
          <w:lang w:val="en-US" w:eastAsia="en-US"/>
        </w:rPr>
        <w:t xml:space="preserve"> to neonatal morbidity. </w:t>
      </w:r>
      <w:proofErr w:type="spellStart"/>
      <w:r w:rsidRPr="00FF5ECD">
        <w:rPr>
          <w:rFonts w:eastAsia="Calibri"/>
          <w:bCs/>
          <w:lang w:val="es-CU" w:eastAsia="en-US"/>
        </w:rPr>
        <w:t>Virulence</w:t>
      </w:r>
      <w:proofErr w:type="spellEnd"/>
      <w:r w:rsidRPr="00FF5ECD">
        <w:rPr>
          <w:rFonts w:eastAsia="Calibri"/>
          <w:bCs/>
          <w:lang w:val="es-CU" w:eastAsia="en-US"/>
        </w:rPr>
        <w:t xml:space="preserve">. 2018 [acceso: 16/06/2022]; 9(1):621-33. </w:t>
      </w:r>
      <w:r w:rsidRPr="00FF5ECD">
        <w:rPr>
          <w:rFonts w:eastAsia="Calibri"/>
          <w:bCs/>
          <w:lang w:val="es-ES" w:eastAsia="en-US"/>
        </w:rPr>
        <w:t xml:space="preserve">Disponible en: </w:t>
      </w:r>
      <w:hyperlink r:id="rId38" w:history="1">
        <w:r w:rsidRPr="00FF5ECD">
          <w:rPr>
            <w:rFonts w:eastAsia="Calibri"/>
            <w:bCs/>
            <w:u w:color="000000"/>
            <w:lang w:val="es-ES" w:eastAsia="en-US"/>
          </w:rPr>
          <w:t>https://pubmed.ncbi.nlm.nih.gov/29405832/</w:t>
        </w:r>
      </w:hyperlink>
    </w:p>
    <w:p w14:paraId="559D6CF3" w14:textId="77777777" w:rsidR="00FF5ECD" w:rsidRPr="00FF5ECD" w:rsidRDefault="00FF5ECD" w:rsidP="00FF5ECD">
      <w:pPr>
        <w:tabs>
          <w:tab w:val="left" w:pos="709"/>
        </w:tabs>
        <w:autoSpaceDN w:val="0"/>
        <w:spacing w:line="360" w:lineRule="auto"/>
        <w:jc w:val="both"/>
        <w:rPr>
          <w:rFonts w:eastAsia="Calibri"/>
          <w:b/>
          <w:bCs/>
          <w:lang w:val="es-ES" w:eastAsia="en-US"/>
        </w:rPr>
      </w:pPr>
    </w:p>
    <w:p w14:paraId="13699A45" w14:textId="77777777" w:rsidR="00FF5ECD" w:rsidRPr="00FF5ECD" w:rsidRDefault="00FF5ECD" w:rsidP="00FF5ECD">
      <w:pPr>
        <w:suppressAutoHyphens/>
        <w:autoSpaceDN w:val="0"/>
        <w:spacing w:line="360" w:lineRule="auto"/>
        <w:jc w:val="both"/>
        <w:rPr>
          <w:b/>
          <w:lang w:val="es-MX" w:eastAsia="zh-CN"/>
        </w:rPr>
      </w:pPr>
    </w:p>
    <w:p w14:paraId="5550036F" w14:textId="77777777" w:rsidR="00FF5ECD" w:rsidRPr="00FF5ECD" w:rsidRDefault="00FF5ECD" w:rsidP="00FF5ECD">
      <w:pPr>
        <w:suppressAutoHyphens/>
        <w:autoSpaceDN w:val="0"/>
        <w:spacing w:line="360" w:lineRule="auto"/>
        <w:jc w:val="center"/>
        <w:rPr>
          <w:b/>
          <w:lang w:val="es-MX" w:eastAsia="zh-CN"/>
        </w:rPr>
      </w:pPr>
      <w:r w:rsidRPr="00FF5ECD">
        <w:rPr>
          <w:b/>
          <w:lang w:val="es-MX" w:eastAsia="zh-CN"/>
        </w:rPr>
        <w:t>Conflictos de interés</w:t>
      </w:r>
    </w:p>
    <w:p w14:paraId="79A0A644" w14:textId="415F5DE9" w:rsidR="00FF5ECD" w:rsidRPr="00FF5ECD" w:rsidRDefault="00FF5ECD" w:rsidP="00FF5ECD">
      <w:pPr>
        <w:suppressAutoHyphens/>
        <w:autoSpaceDN w:val="0"/>
        <w:spacing w:line="360" w:lineRule="auto"/>
        <w:jc w:val="both"/>
        <w:rPr>
          <w:lang w:val="es-MX" w:eastAsia="zh-CN"/>
        </w:rPr>
      </w:pPr>
      <w:r w:rsidRPr="00FF5ECD">
        <w:rPr>
          <w:lang w:val="es-MX" w:eastAsia="zh-CN"/>
        </w:rPr>
        <w:t xml:space="preserve">Los autores declaran la no existencia de conflictos de </w:t>
      </w:r>
      <w:r w:rsidR="005A3D4E" w:rsidRPr="00FF5ECD">
        <w:rPr>
          <w:lang w:val="es-MX" w:eastAsia="zh-CN"/>
        </w:rPr>
        <w:t>interés relacionados</w:t>
      </w:r>
      <w:r w:rsidRPr="00FF5ECD">
        <w:rPr>
          <w:lang w:val="es-MX" w:eastAsia="zh-CN"/>
        </w:rPr>
        <w:t xml:space="preserve"> con el </w:t>
      </w:r>
      <w:r w:rsidR="005A3D4E" w:rsidRPr="00FF5ECD">
        <w:rPr>
          <w:lang w:val="es-MX" w:eastAsia="zh-CN"/>
        </w:rPr>
        <w:t>estudio</w:t>
      </w:r>
      <w:r w:rsidR="004276BA">
        <w:rPr>
          <w:lang w:val="es-MX" w:eastAsia="zh-CN"/>
        </w:rPr>
        <w:t>;</w:t>
      </w:r>
      <w:r w:rsidR="005A3D4E" w:rsidRPr="00FF5ECD">
        <w:rPr>
          <w:lang w:val="es-MX" w:eastAsia="zh-CN"/>
        </w:rPr>
        <w:t xml:space="preserve"> fue</w:t>
      </w:r>
      <w:r w:rsidRPr="00FF5ECD">
        <w:rPr>
          <w:lang w:val="es-MX" w:eastAsia="zh-CN"/>
        </w:rPr>
        <w:t xml:space="preserve"> financiado por el Hospital General Provincial “Carlos Manuel de </w:t>
      </w:r>
      <w:proofErr w:type="spellStart"/>
      <w:r w:rsidRPr="00FF5ECD">
        <w:rPr>
          <w:lang w:val="es-MX" w:eastAsia="zh-CN"/>
        </w:rPr>
        <w:t>Céspedes</w:t>
      </w:r>
      <w:proofErr w:type="spellEnd"/>
      <w:r w:rsidRPr="00FF5ECD">
        <w:rPr>
          <w:lang w:val="es-MX" w:eastAsia="zh-CN"/>
        </w:rPr>
        <w:t>”, de Bayamo, Granma, Cuba.</w:t>
      </w:r>
    </w:p>
    <w:p w14:paraId="231782F4" w14:textId="77777777" w:rsidR="00FF5ECD" w:rsidRPr="00FF5ECD" w:rsidRDefault="00FF5ECD" w:rsidP="00FF5ECD">
      <w:pPr>
        <w:suppressAutoHyphens/>
        <w:autoSpaceDN w:val="0"/>
        <w:spacing w:line="360" w:lineRule="auto"/>
        <w:jc w:val="both"/>
        <w:rPr>
          <w:b/>
          <w:lang w:val="es-MX" w:eastAsia="zh-CN"/>
        </w:rPr>
      </w:pPr>
    </w:p>
    <w:p w14:paraId="5807950B" w14:textId="77777777" w:rsidR="00FF5ECD" w:rsidRPr="00FF5ECD" w:rsidRDefault="00FF5ECD" w:rsidP="00FF5ECD">
      <w:pPr>
        <w:suppressAutoHyphens/>
        <w:autoSpaceDN w:val="0"/>
        <w:spacing w:line="360" w:lineRule="auto"/>
        <w:jc w:val="center"/>
        <w:rPr>
          <w:b/>
          <w:lang w:val="es-MX" w:eastAsia="zh-CN"/>
        </w:rPr>
      </w:pPr>
      <w:r w:rsidRPr="00FF5ECD">
        <w:rPr>
          <w:b/>
          <w:lang w:val="es-MX" w:eastAsia="zh-CN"/>
        </w:rPr>
        <w:t>Contribuciones de los autores</w:t>
      </w:r>
    </w:p>
    <w:p w14:paraId="35EDAEFF" w14:textId="77777777" w:rsidR="00FF5ECD" w:rsidRPr="00FF5ECD" w:rsidRDefault="00FF5ECD" w:rsidP="00FF5ECD">
      <w:pPr>
        <w:suppressAutoHyphens/>
        <w:autoSpaceDN w:val="0"/>
        <w:spacing w:line="360" w:lineRule="auto"/>
        <w:jc w:val="both"/>
        <w:rPr>
          <w:lang w:val="es-MX" w:eastAsia="zh-CN"/>
        </w:rPr>
      </w:pPr>
      <w:r w:rsidRPr="00FF5ECD">
        <w:rPr>
          <w:lang w:val="es-MX" w:eastAsia="zh-CN"/>
        </w:rPr>
        <w:t xml:space="preserve">Conceptualización: </w:t>
      </w:r>
      <w:r w:rsidRPr="00FF5ECD">
        <w:rPr>
          <w:i/>
          <w:lang w:val="es-MX" w:eastAsia="zh-CN"/>
        </w:rPr>
        <w:t>Rafael Ferrer Montoya.</w:t>
      </w:r>
    </w:p>
    <w:p w14:paraId="7A5F4AF8" w14:textId="77777777" w:rsidR="00FF5ECD" w:rsidRPr="00FF5ECD" w:rsidRDefault="00FF5ECD" w:rsidP="00FF5ECD">
      <w:pPr>
        <w:suppressAutoHyphens/>
        <w:autoSpaceDN w:val="0"/>
        <w:spacing w:line="360" w:lineRule="auto"/>
        <w:jc w:val="both"/>
        <w:rPr>
          <w:i/>
          <w:lang w:val="es-MX" w:eastAsia="zh-CN"/>
        </w:rPr>
      </w:pPr>
      <w:r w:rsidRPr="00FF5ECD">
        <w:rPr>
          <w:lang w:val="es-MX" w:eastAsia="zh-CN"/>
        </w:rPr>
        <w:t xml:space="preserve">Curación de datos: </w:t>
      </w:r>
      <w:r w:rsidRPr="00FF5ECD">
        <w:rPr>
          <w:i/>
          <w:lang w:val="es-MX" w:eastAsia="zh-CN"/>
        </w:rPr>
        <w:t xml:space="preserve">Rafael Ferrer Montoya, </w:t>
      </w:r>
      <w:proofErr w:type="spellStart"/>
      <w:r w:rsidRPr="00FF5ECD">
        <w:rPr>
          <w:i/>
          <w:lang w:val="es-MX" w:eastAsia="zh-CN"/>
        </w:rPr>
        <w:t>Johani</w:t>
      </w:r>
      <w:proofErr w:type="spellEnd"/>
      <w:r w:rsidRPr="00FF5ECD">
        <w:rPr>
          <w:i/>
          <w:lang w:val="es-MX" w:eastAsia="zh-CN"/>
        </w:rPr>
        <w:t xml:space="preserve"> García Mederos, </w:t>
      </w:r>
      <w:proofErr w:type="spellStart"/>
      <w:r w:rsidRPr="00FF5ECD">
        <w:rPr>
          <w:i/>
          <w:lang w:val="es-MX" w:eastAsia="zh-CN"/>
        </w:rPr>
        <w:t>Yenia</w:t>
      </w:r>
      <w:proofErr w:type="spellEnd"/>
      <w:r w:rsidRPr="00FF5ECD">
        <w:rPr>
          <w:i/>
          <w:lang w:val="es-MX" w:eastAsia="zh-CN"/>
        </w:rPr>
        <w:t xml:space="preserve"> Díaz Fonseca.</w:t>
      </w:r>
    </w:p>
    <w:p w14:paraId="34CC003C" w14:textId="77777777" w:rsidR="00FF5ECD" w:rsidRPr="00FF5ECD" w:rsidRDefault="00FF5ECD" w:rsidP="00FF5ECD">
      <w:pPr>
        <w:suppressAutoHyphens/>
        <w:autoSpaceDN w:val="0"/>
        <w:spacing w:line="360" w:lineRule="auto"/>
        <w:jc w:val="both"/>
        <w:rPr>
          <w:i/>
          <w:lang w:val="es-MX" w:eastAsia="zh-CN"/>
        </w:rPr>
      </w:pPr>
      <w:r w:rsidRPr="00FF5ECD">
        <w:rPr>
          <w:i/>
          <w:lang w:val="es-MX" w:eastAsia="zh-CN"/>
        </w:rPr>
        <w:t>Análisis formal: Rafael Ferrer Montoya.</w:t>
      </w:r>
    </w:p>
    <w:p w14:paraId="1131C641" w14:textId="77777777" w:rsidR="00FF5ECD" w:rsidRPr="00FF5ECD" w:rsidRDefault="00FF5ECD" w:rsidP="00FF5ECD">
      <w:pPr>
        <w:suppressAutoHyphens/>
        <w:autoSpaceDN w:val="0"/>
        <w:spacing w:line="360" w:lineRule="auto"/>
        <w:jc w:val="both"/>
        <w:rPr>
          <w:i/>
          <w:lang w:val="es-MX" w:eastAsia="zh-CN"/>
        </w:rPr>
      </w:pPr>
      <w:r w:rsidRPr="00FF5ECD">
        <w:rPr>
          <w:lang w:val="es-MX" w:eastAsia="zh-CN"/>
        </w:rPr>
        <w:t xml:space="preserve">Investigación: </w:t>
      </w:r>
      <w:r w:rsidRPr="00FF5ECD">
        <w:rPr>
          <w:i/>
          <w:lang w:val="es-MX" w:eastAsia="zh-CN"/>
        </w:rPr>
        <w:t xml:space="preserve">Rafael Ferrer Montoya, </w:t>
      </w:r>
      <w:proofErr w:type="spellStart"/>
      <w:r w:rsidRPr="00FF5ECD">
        <w:rPr>
          <w:i/>
          <w:lang w:val="es-MX" w:eastAsia="zh-CN"/>
        </w:rPr>
        <w:t>Johani</w:t>
      </w:r>
      <w:proofErr w:type="spellEnd"/>
      <w:r w:rsidRPr="00FF5ECD">
        <w:rPr>
          <w:i/>
          <w:lang w:val="es-MX" w:eastAsia="zh-CN"/>
        </w:rPr>
        <w:t xml:space="preserve"> García Mederos, Tatiana Cedeño Escalona, </w:t>
      </w:r>
      <w:proofErr w:type="spellStart"/>
      <w:r w:rsidRPr="00FF5ECD">
        <w:rPr>
          <w:i/>
          <w:lang w:val="es-MX" w:eastAsia="zh-CN"/>
        </w:rPr>
        <w:t>Yenia</w:t>
      </w:r>
      <w:proofErr w:type="spellEnd"/>
      <w:r w:rsidRPr="00FF5ECD">
        <w:rPr>
          <w:i/>
          <w:lang w:val="es-MX" w:eastAsia="zh-CN"/>
        </w:rPr>
        <w:t xml:space="preserve"> Díaz Fonseca, Reinaldo López Barroso.</w:t>
      </w:r>
    </w:p>
    <w:p w14:paraId="3D8F77E4" w14:textId="77777777" w:rsidR="00FF5ECD" w:rsidRPr="00FF5ECD" w:rsidRDefault="00FF5ECD" w:rsidP="00FF5ECD">
      <w:pPr>
        <w:suppressAutoHyphens/>
        <w:autoSpaceDN w:val="0"/>
        <w:spacing w:line="360" w:lineRule="auto"/>
        <w:jc w:val="both"/>
        <w:rPr>
          <w:i/>
          <w:lang w:val="es-MX" w:eastAsia="zh-CN"/>
        </w:rPr>
      </w:pPr>
      <w:r w:rsidRPr="00FF5ECD">
        <w:rPr>
          <w:lang w:val="es-MX" w:eastAsia="zh-CN"/>
        </w:rPr>
        <w:t xml:space="preserve">Metodología: </w:t>
      </w:r>
      <w:r w:rsidRPr="00FF5ECD">
        <w:rPr>
          <w:i/>
          <w:lang w:val="es-MX" w:eastAsia="zh-CN"/>
        </w:rPr>
        <w:t xml:space="preserve">Rafael Ferrer Montoya, </w:t>
      </w:r>
      <w:proofErr w:type="spellStart"/>
      <w:r w:rsidRPr="00FF5ECD">
        <w:rPr>
          <w:i/>
          <w:lang w:val="es-MX" w:eastAsia="zh-CN"/>
        </w:rPr>
        <w:t>Johani</w:t>
      </w:r>
      <w:proofErr w:type="spellEnd"/>
      <w:r w:rsidRPr="00FF5ECD">
        <w:rPr>
          <w:i/>
          <w:lang w:val="es-MX" w:eastAsia="zh-CN"/>
        </w:rPr>
        <w:t xml:space="preserve"> García Mederos.</w:t>
      </w:r>
    </w:p>
    <w:p w14:paraId="43F73C38" w14:textId="77777777" w:rsidR="00FF5ECD" w:rsidRPr="00FF5ECD" w:rsidRDefault="00FF5ECD" w:rsidP="00FF5ECD">
      <w:pPr>
        <w:suppressAutoHyphens/>
        <w:autoSpaceDN w:val="0"/>
        <w:spacing w:line="360" w:lineRule="auto"/>
        <w:jc w:val="both"/>
        <w:rPr>
          <w:lang w:val="es-MX" w:eastAsia="zh-CN"/>
        </w:rPr>
      </w:pPr>
      <w:r w:rsidRPr="00FF5ECD">
        <w:rPr>
          <w:lang w:val="es-MX" w:eastAsia="zh-CN"/>
        </w:rPr>
        <w:t xml:space="preserve">Administración del proyecto: </w:t>
      </w:r>
      <w:r w:rsidRPr="00FF5ECD">
        <w:rPr>
          <w:i/>
          <w:lang w:val="es-MX" w:eastAsia="zh-CN"/>
        </w:rPr>
        <w:t>Rafael Ferrer Montoya.</w:t>
      </w:r>
    </w:p>
    <w:p w14:paraId="7ECE1ABD" w14:textId="77777777" w:rsidR="00FF5ECD" w:rsidRPr="00FF5ECD" w:rsidRDefault="00FF5ECD" w:rsidP="00FF5ECD">
      <w:pPr>
        <w:suppressAutoHyphens/>
        <w:autoSpaceDN w:val="0"/>
        <w:spacing w:line="360" w:lineRule="auto"/>
        <w:jc w:val="both"/>
        <w:rPr>
          <w:i/>
          <w:lang w:val="es-MX" w:eastAsia="zh-CN"/>
        </w:rPr>
      </w:pPr>
      <w:r w:rsidRPr="00FF5ECD">
        <w:rPr>
          <w:lang w:val="es-MX" w:eastAsia="zh-CN"/>
        </w:rPr>
        <w:t xml:space="preserve">Validación: </w:t>
      </w:r>
      <w:r w:rsidRPr="00FF5ECD">
        <w:rPr>
          <w:i/>
          <w:lang w:val="es-MX" w:eastAsia="zh-CN"/>
        </w:rPr>
        <w:t>Rafael Ferrer Montoya.</w:t>
      </w:r>
    </w:p>
    <w:p w14:paraId="43E4C22A" w14:textId="77777777" w:rsidR="00FF5ECD" w:rsidRPr="00FF5ECD" w:rsidRDefault="00FF5ECD" w:rsidP="00FF5ECD">
      <w:pPr>
        <w:suppressAutoHyphens/>
        <w:autoSpaceDN w:val="0"/>
        <w:spacing w:line="360" w:lineRule="auto"/>
        <w:jc w:val="both"/>
        <w:rPr>
          <w:i/>
          <w:lang w:val="es-MX" w:eastAsia="zh-CN"/>
        </w:rPr>
      </w:pPr>
      <w:r w:rsidRPr="00FF5ECD">
        <w:rPr>
          <w:lang w:val="es-MX" w:eastAsia="zh-CN"/>
        </w:rPr>
        <w:t xml:space="preserve">Visualización: </w:t>
      </w:r>
      <w:r w:rsidRPr="00FF5ECD">
        <w:rPr>
          <w:i/>
          <w:lang w:val="es-MX" w:eastAsia="zh-CN"/>
        </w:rPr>
        <w:t>Rafael Ferrer Montoya.</w:t>
      </w:r>
    </w:p>
    <w:p w14:paraId="39F9A8B0" w14:textId="77777777" w:rsidR="00FF5ECD" w:rsidRPr="00FF5ECD" w:rsidRDefault="00FF5ECD" w:rsidP="00FF5ECD">
      <w:pPr>
        <w:suppressAutoHyphens/>
        <w:autoSpaceDN w:val="0"/>
        <w:spacing w:line="360" w:lineRule="auto"/>
        <w:jc w:val="both"/>
        <w:rPr>
          <w:lang w:val="es-MX" w:eastAsia="zh-CN"/>
        </w:rPr>
      </w:pPr>
      <w:r w:rsidRPr="00FF5ECD">
        <w:rPr>
          <w:lang w:val="es-MX" w:eastAsia="zh-CN"/>
        </w:rPr>
        <w:t xml:space="preserve">Redacción –borrador inicial: </w:t>
      </w:r>
      <w:r w:rsidRPr="00FF5ECD">
        <w:rPr>
          <w:i/>
          <w:lang w:val="es-MX" w:eastAsia="zh-CN"/>
        </w:rPr>
        <w:t xml:space="preserve">Rafael Ferrer Montoya, </w:t>
      </w:r>
      <w:proofErr w:type="spellStart"/>
      <w:r w:rsidRPr="00FF5ECD">
        <w:rPr>
          <w:i/>
          <w:lang w:val="es-MX" w:eastAsia="zh-CN"/>
        </w:rPr>
        <w:t>Johani</w:t>
      </w:r>
      <w:proofErr w:type="spellEnd"/>
      <w:r w:rsidRPr="00FF5ECD">
        <w:rPr>
          <w:i/>
          <w:lang w:val="es-MX" w:eastAsia="zh-CN"/>
        </w:rPr>
        <w:t xml:space="preserve"> García Mederos, Tatiana Cedeño Escalona, </w:t>
      </w:r>
      <w:proofErr w:type="spellStart"/>
      <w:r w:rsidRPr="00FF5ECD">
        <w:rPr>
          <w:i/>
          <w:lang w:val="es-MX" w:eastAsia="zh-CN"/>
        </w:rPr>
        <w:t>Yenia</w:t>
      </w:r>
      <w:proofErr w:type="spellEnd"/>
      <w:r w:rsidRPr="00FF5ECD">
        <w:rPr>
          <w:i/>
          <w:lang w:val="es-MX" w:eastAsia="zh-CN"/>
        </w:rPr>
        <w:t xml:space="preserve"> Díaz Fonseca, Reinaldo López Barroso</w:t>
      </w:r>
      <w:r w:rsidRPr="00FF5ECD">
        <w:rPr>
          <w:lang w:val="es-MX" w:eastAsia="zh-CN"/>
        </w:rPr>
        <w:t>.</w:t>
      </w:r>
    </w:p>
    <w:p w14:paraId="39C94333" w14:textId="77777777" w:rsidR="00FF5ECD" w:rsidRPr="00FF5ECD" w:rsidRDefault="00FF5ECD" w:rsidP="00FF5ECD">
      <w:pPr>
        <w:suppressAutoHyphens/>
        <w:autoSpaceDN w:val="0"/>
        <w:spacing w:line="360" w:lineRule="auto"/>
        <w:jc w:val="both"/>
        <w:rPr>
          <w:lang w:val="es-MX" w:eastAsia="zh-CN"/>
        </w:rPr>
      </w:pPr>
      <w:r w:rsidRPr="00FF5ECD">
        <w:rPr>
          <w:lang w:val="es-MX" w:eastAsia="zh-CN"/>
        </w:rPr>
        <w:lastRenderedPageBreak/>
        <w:t xml:space="preserve">Redacción- revisión y edición: </w:t>
      </w:r>
      <w:r w:rsidRPr="00FF5ECD">
        <w:rPr>
          <w:i/>
          <w:lang w:val="es-MX" w:eastAsia="zh-CN"/>
        </w:rPr>
        <w:t xml:space="preserve">Rafael Ferrer Montoya, </w:t>
      </w:r>
      <w:proofErr w:type="spellStart"/>
      <w:r w:rsidRPr="00FF5ECD">
        <w:rPr>
          <w:i/>
          <w:lang w:val="es-MX" w:eastAsia="zh-CN"/>
        </w:rPr>
        <w:t>Johani</w:t>
      </w:r>
      <w:proofErr w:type="spellEnd"/>
      <w:r w:rsidRPr="00FF5ECD">
        <w:rPr>
          <w:i/>
          <w:lang w:val="es-MX" w:eastAsia="zh-CN"/>
        </w:rPr>
        <w:t xml:space="preserve"> García Mederos, Tatiana Cedeño Escalona, </w:t>
      </w:r>
      <w:proofErr w:type="spellStart"/>
      <w:r w:rsidRPr="00FF5ECD">
        <w:rPr>
          <w:i/>
          <w:lang w:val="es-MX" w:eastAsia="zh-CN"/>
        </w:rPr>
        <w:t>Yenia</w:t>
      </w:r>
      <w:proofErr w:type="spellEnd"/>
      <w:r w:rsidRPr="00FF5ECD">
        <w:rPr>
          <w:i/>
          <w:lang w:val="es-MX" w:eastAsia="zh-CN"/>
        </w:rPr>
        <w:t xml:space="preserve"> Díaz Fonseca, Reinaldo López Barroso.</w:t>
      </w:r>
    </w:p>
    <w:p w14:paraId="7923DE81" w14:textId="77777777" w:rsidR="00FF5ECD" w:rsidRPr="00FF5ECD" w:rsidRDefault="00FF5ECD" w:rsidP="00FF5ECD">
      <w:pPr>
        <w:suppressAutoHyphens/>
        <w:autoSpaceDN w:val="0"/>
        <w:spacing w:line="360" w:lineRule="auto"/>
        <w:jc w:val="both"/>
        <w:rPr>
          <w:rFonts w:eastAsia="Calibri"/>
          <w:lang w:val="es-ES" w:eastAsia="en-US"/>
        </w:rPr>
      </w:pPr>
    </w:p>
    <w:p w14:paraId="612E9F5B" w14:textId="77777777" w:rsidR="00675476" w:rsidRPr="00FF5ECD" w:rsidRDefault="00675476" w:rsidP="00EA1FEF">
      <w:pPr>
        <w:pStyle w:val="PDFRevista"/>
        <w:rPr>
          <w:lang w:val="es-ES"/>
        </w:rPr>
      </w:pPr>
    </w:p>
    <w:sectPr w:rsidR="00675476" w:rsidRPr="00FF5ECD"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4F0A" w14:textId="77777777" w:rsidR="00DC74AD" w:rsidRDefault="00DC74AD">
      <w:r>
        <w:separator/>
      </w:r>
    </w:p>
  </w:endnote>
  <w:endnote w:type="continuationSeparator" w:id="0">
    <w:p w14:paraId="1946B311" w14:textId="77777777" w:rsidR="00DC74AD" w:rsidRDefault="00DC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aramond-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E93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9B310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642C" w14:textId="731F10DB" w:rsidR="000F3690" w:rsidRPr="00AE044C" w:rsidRDefault="00FF5EC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B30DC88" wp14:editId="0A40CDAD">
              <wp:simplePos x="0" y="0"/>
              <wp:positionH relativeFrom="column">
                <wp:posOffset>3810</wp:posOffset>
              </wp:positionH>
              <wp:positionV relativeFrom="paragraph">
                <wp:posOffset>50165</wp:posOffset>
              </wp:positionV>
              <wp:extent cx="6286500" cy="19050"/>
              <wp:effectExtent l="19050" t="1905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32F323"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026E63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F59C97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2925750" w14:textId="14808E1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F5ECD" w:rsidRPr="00FF5ECD">
      <w:rPr>
        <w:rFonts w:ascii="Verdana" w:hAnsi="Verdana"/>
        <w:noProof/>
        <w:sz w:val="18"/>
        <w:szCs w:val="18"/>
        <w:lang w:val="en-US" w:eastAsia="en-US"/>
      </w:rPr>
      <w:drawing>
        <wp:inline distT="0" distB="0" distL="0" distR="0" wp14:anchorId="6C890560" wp14:editId="1DC4731B">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05A4" w14:textId="77777777" w:rsidR="00DC74AD" w:rsidRDefault="00DC74AD">
      <w:r>
        <w:separator/>
      </w:r>
    </w:p>
  </w:footnote>
  <w:footnote w:type="continuationSeparator" w:id="0">
    <w:p w14:paraId="5788BBE3" w14:textId="77777777" w:rsidR="00DC74AD" w:rsidRDefault="00DC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9CA7" w14:textId="426BF2DB" w:rsidR="00CC376A" w:rsidRPr="00AE044C" w:rsidRDefault="00FF5EC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02302790</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5A1683C" wp14:editId="6232657A">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98F0E" w14:textId="1F52229F" w:rsidR="00A477DE" w:rsidRDefault="00FF5ECD">
    <w:r>
      <w:rPr>
        <w:noProof/>
      </w:rPr>
      <mc:AlternateContent>
        <mc:Choice Requires="wps">
          <w:drawing>
            <wp:anchor distT="0" distB="0" distL="114300" distR="114300" simplePos="0" relativeHeight="251654144" behindDoc="0" locked="0" layoutInCell="1" allowOverlap="1" wp14:anchorId="0C289034" wp14:editId="3D0FB9A7">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EDDBE0"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6780"/>
    <w:multiLevelType w:val="hybridMultilevel"/>
    <w:tmpl w:val="C268C64E"/>
    <w:lvl w:ilvl="0" w:tplc="473C4198">
      <w:start w:val="1"/>
      <w:numFmt w:val="bullet"/>
      <w:lvlText w:val="–"/>
      <w:lvlJc w:val="left"/>
      <w:pPr>
        <w:ind w:left="409"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1" w:tplc="D0F6F4E8">
      <w:start w:val="1"/>
      <w:numFmt w:val="bullet"/>
      <w:lvlText w:val="o"/>
      <w:lvlJc w:val="left"/>
      <w:pPr>
        <w:ind w:left="136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2" w:tplc="01B2813E">
      <w:start w:val="1"/>
      <w:numFmt w:val="bullet"/>
      <w:lvlText w:val="▪"/>
      <w:lvlJc w:val="left"/>
      <w:pPr>
        <w:ind w:left="208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3" w:tplc="B6CC3600">
      <w:start w:val="1"/>
      <w:numFmt w:val="bullet"/>
      <w:lvlText w:val="•"/>
      <w:lvlJc w:val="left"/>
      <w:pPr>
        <w:ind w:left="280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4" w:tplc="1F1028AA">
      <w:start w:val="1"/>
      <w:numFmt w:val="bullet"/>
      <w:lvlText w:val="o"/>
      <w:lvlJc w:val="left"/>
      <w:pPr>
        <w:ind w:left="352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5" w:tplc="73982414">
      <w:start w:val="1"/>
      <w:numFmt w:val="bullet"/>
      <w:lvlText w:val="▪"/>
      <w:lvlJc w:val="left"/>
      <w:pPr>
        <w:ind w:left="424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6" w:tplc="95F6A6C8">
      <w:start w:val="1"/>
      <w:numFmt w:val="bullet"/>
      <w:lvlText w:val="•"/>
      <w:lvlJc w:val="left"/>
      <w:pPr>
        <w:ind w:left="496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7" w:tplc="FA0A19F6">
      <w:start w:val="1"/>
      <w:numFmt w:val="bullet"/>
      <w:lvlText w:val="o"/>
      <w:lvlJc w:val="left"/>
      <w:pPr>
        <w:ind w:left="568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8" w:tplc="3C9C7C2A">
      <w:start w:val="1"/>
      <w:numFmt w:val="bullet"/>
      <w:lvlText w:val="▪"/>
      <w:lvlJc w:val="left"/>
      <w:pPr>
        <w:ind w:left="6403"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abstractNum>
  <w:abstractNum w:abstractNumId="1" w15:restartNumberingAfterBreak="0">
    <w:nsid w:val="0B05796B"/>
    <w:multiLevelType w:val="hybridMultilevel"/>
    <w:tmpl w:val="3F84FF6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D802021"/>
    <w:multiLevelType w:val="hybridMultilevel"/>
    <w:tmpl w:val="2D12771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40F3F54"/>
    <w:multiLevelType w:val="hybridMultilevel"/>
    <w:tmpl w:val="22D82E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16704E"/>
    <w:multiLevelType w:val="multilevel"/>
    <w:tmpl w:val="4CE21094"/>
    <w:lvl w:ilvl="0">
      <w:numFmt w:val="bullet"/>
      <w:lvlText w:val=""/>
      <w:lvlJc w:val="left"/>
      <w:pPr>
        <w:ind w:left="1288" w:hanging="360"/>
      </w:pPr>
      <w:rPr>
        <w:rFonts w:ascii="Wingdings" w:hAnsi="Wingdings"/>
      </w:rPr>
    </w:lvl>
    <w:lvl w:ilvl="1">
      <w:numFmt w:val="bullet"/>
      <w:lvlText w:val="o"/>
      <w:lvlJc w:val="left"/>
      <w:pPr>
        <w:ind w:left="2008" w:hanging="360"/>
      </w:pPr>
      <w:rPr>
        <w:rFonts w:ascii="Courier New" w:hAnsi="Courier New" w:cs="Courier New"/>
      </w:rPr>
    </w:lvl>
    <w:lvl w:ilvl="2">
      <w:numFmt w:val="bullet"/>
      <w:lvlText w:val=""/>
      <w:lvlJc w:val="left"/>
      <w:pPr>
        <w:ind w:left="2728" w:hanging="360"/>
      </w:pPr>
      <w:rPr>
        <w:rFonts w:ascii="Wingdings" w:hAnsi="Wingdings"/>
      </w:rPr>
    </w:lvl>
    <w:lvl w:ilvl="3">
      <w:numFmt w:val="bullet"/>
      <w:lvlText w:val=""/>
      <w:lvlJc w:val="left"/>
      <w:pPr>
        <w:ind w:left="3448" w:hanging="360"/>
      </w:pPr>
      <w:rPr>
        <w:rFonts w:ascii="Symbol" w:hAnsi="Symbol"/>
      </w:rPr>
    </w:lvl>
    <w:lvl w:ilvl="4">
      <w:numFmt w:val="bullet"/>
      <w:lvlText w:val="o"/>
      <w:lvlJc w:val="left"/>
      <w:pPr>
        <w:ind w:left="4168" w:hanging="360"/>
      </w:pPr>
      <w:rPr>
        <w:rFonts w:ascii="Courier New" w:hAnsi="Courier New" w:cs="Courier New"/>
      </w:rPr>
    </w:lvl>
    <w:lvl w:ilvl="5">
      <w:numFmt w:val="bullet"/>
      <w:lvlText w:val=""/>
      <w:lvlJc w:val="left"/>
      <w:pPr>
        <w:ind w:left="4888" w:hanging="360"/>
      </w:pPr>
      <w:rPr>
        <w:rFonts w:ascii="Wingdings" w:hAnsi="Wingdings"/>
      </w:rPr>
    </w:lvl>
    <w:lvl w:ilvl="6">
      <w:numFmt w:val="bullet"/>
      <w:lvlText w:val=""/>
      <w:lvlJc w:val="left"/>
      <w:pPr>
        <w:ind w:left="5608" w:hanging="360"/>
      </w:pPr>
      <w:rPr>
        <w:rFonts w:ascii="Symbol" w:hAnsi="Symbol"/>
      </w:rPr>
    </w:lvl>
    <w:lvl w:ilvl="7">
      <w:numFmt w:val="bullet"/>
      <w:lvlText w:val="o"/>
      <w:lvlJc w:val="left"/>
      <w:pPr>
        <w:ind w:left="6328" w:hanging="360"/>
      </w:pPr>
      <w:rPr>
        <w:rFonts w:ascii="Courier New" w:hAnsi="Courier New" w:cs="Courier New"/>
      </w:rPr>
    </w:lvl>
    <w:lvl w:ilvl="8">
      <w:numFmt w:val="bullet"/>
      <w:lvlText w:val=""/>
      <w:lvlJc w:val="left"/>
      <w:pPr>
        <w:ind w:left="7048" w:hanging="360"/>
      </w:pPr>
      <w:rPr>
        <w:rFonts w:ascii="Wingdings" w:hAnsi="Wingdings"/>
      </w:rPr>
    </w:lvl>
  </w:abstractNum>
  <w:abstractNum w:abstractNumId="5" w15:restartNumberingAfterBreak="0">
    <w:nsid w:val="1CF34D01"/>
    <w:multiLevelType w:val="hybridMultilevel"/>
    <w:tmpl w:val="7BB8AC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6B69EC"/>
    <w:multiLevelType w:val="multilevel"/>
    <w:tmpl w:val="A5C059F8"/>
    <w:lvl w:ilvl="0">
      <w:numFmt w:val="bullet"/>
      <w:lvlText w:val=""/>
      <w:lvlJc w:val="left"/>
      <w:pPr>
        <w:ind w:left="1288" w:hanging="360"/>
      </w:pPr>
      <w:rPr>
        <w:rFonts w:ascii="Wingdings" w:hAnsi="Wingdings"/>
      </w:rPr>
    </w:lvl>
    <w:lvl w:ilvl="1">
      <w:numFmt w:val="bullet"/>
      <w:lvlText w:val="o"/>
      <w:lvlJc w:val="left"/>
      <w:pPr>
        <w:ind w:left="2008" w:hanging="360"/>
      </w:pPr>
      <w:rPr>
        <w:rFonts w:ascii="Courier New" w:hAnsi="Courier New" w:cs="Courier New"/>
      </w:rPr>
    </w:lvl>
    <w:lvl w:ilvl="2">
      <w:numFmt w:val="bullet"/>
      <w:lvlText w:val=""/>
      <w:lvlJc w:val="left"/>
      <w:pPr>
        <w:ind w:left="2728" w:hanging="360"/>
      </w:pPr>
      <w:rPr>
        <w:rFonts w:ascii="Wingdings" w:hAnsi="Wingdings"/>
      </w:rPr>
    </w:lvl>
    <w:lvl w:ilvl="3">
      <w:numFmt w:val="bullet"/>
      <w:lvlText w:val=""/>
      <w:lvlJc w:val="left"/>
      <w:pPr>
        <w:ind w:left="3448" w:hanging="360"/>
      </w:pPr>
      <w:rPr>
        <w:rFonts w:ascii="Symbol" w:hAnsi="Symbol"/>
      </w:rPr>
    </w:lvl>
    <w:lvl w:ilvl="4">
      <w:numFmt w:val="bullet"/>
      <w:lvlText w:val="o"/>
      <w:lvlJc w:val="left"/>
      <w:pPr>
        <w:ind w:left="4168" w:hanging="360"/>
      </w:pPr>
      <w:rPr>
        <w:rFonts w:ascii="Courier New" w:hAnsi="Courier New" w:cs="Courier New"/>
      </w:rPr>
    </w:lvl>
    <w:lvl w:ilvl="5">
      <w:numFmt w:val="bullet"/>
      <w:lvlText w:val=""/>
      <w:lvlJc w:val="left"/>
      <w:pPr>
        <w:ind w:left="4888" w:hanging="360"/>
      </w:pPr>
      <w:rPr>
        <w:rFonts w:ascii="Wingdings" w:hAnsi="Wingdings"/>
      </w:rPr>
    </w:lvl>
    <w:lvl w:ilvl="6">
      <w:numFmt w:val="bullet"/>
      <w:lvlText w:val=""/>
      <w:lvlJc w:val="left"/>
      <w:pPr>
        <w:ind w:left="5608" w:hanging="360"/>
      </w:pPr>
      <w:rPr>
        <w:rFonts w:ascii="Symbol" w:hAnsi="Symbol"/>
      </w:rPr>
    </w:lvl>
    <w:lvl w:ilvl="7">
      <w:numFmt w:val="bullet"/>
      <w:lvlText w:val="o"/>
      <w:lvlJc w:val="left"/>
      <w:pPr>
        <w:ind w:left="6328" w:hanging="360"/>
      </w:pPr>
      <w:rPr>
        <w:rFonts w:ascii="Courier New" w:hAnsi="Courier New" w:cs="Courier New"/>
      </w:rPr>
    </w:lvl>
    <w:lvl w:ilvl="8">
      <w:numFmt w:val="bullet"/>
      <w:lvlText w:val=""/>
      <w:lvlJc w:val="left"/>
      <w:pPr>
        <w:ind w:left="7048" w:hanging="360"/>
      </w:pPr>
      <w:rPr>
        <w:rFonts w:ascii="Wingdings" w:hAnsi="Wingdings"/>
      </w:rPr>
    </w:lvl>
  </w:abstractNum>
  <w:abstractNum w:abstractNumId="7" w15:restartNumberingAfterBreak="0">
    <w:nsid w:val="403B4EC2"/>
    <w:multiLevelType w:val="hybridMultilevel"/>
    <w:tmpl w:val="BA6AF5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BB20CB1"/>
    <w:multiLevelType w:val="hybridMultilevel"/>
    <w:tmpl w:val="3904CA30"/>
    <w:lvl w:ilvl="0" w:tplc="8C784406">
      <w:start w:val="1"/>
      <w:numFmt w:val="bullet"/>
      <w:lvlText w:val="-"/>
      <w:lvlJc w:val="left"/>
      <w:pPr>
        <w:ind w:left="720" w:hanging="360"/>
      </w:pPr>
      <w:rPr>
        <w:rFonts w:ascii="AGaramond-Regular" w:hAnsi="AGaramond-Regular"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601A0434"/>
    <w:multiLevelType w:val="multilevel"/>
    <w:tmpl w:val="DE5625BA"/>
    <w:lvl w:ilvl="0">
      <w:numFmt w:val="bullet"/>
      <w:lvlText w:val=""/>
      <w:lvlJc w:val="left"/>
      <w:pPr>
        <w:ind w:left="1288" w:hanging="360"/>
      </w:pPr>
      <w:rPr>
        <w:rFonts w:ascii="Wingdings" w:hAnsi="Wingdings"/>
      </w:rPr>
    </w:lvl>
    <w:lvl w:ilvl="1">
      <w:numFmt w:val="bullet"/>
      <w:lvlText w:val="o"/>
      <w:lvlJc w:val="left"/>
      <w:pPr>
        <w:ind w:left="2008" w:hanging="360"/>
      </w:pPr>
      <w:rPr>
        <w:rFonts w:ascii="Courier New" w:hAnsi="Courier New" w:cs="Courier New"/>
      </w:rPr>
    </w:lvl>
    <w:lvl w:ilvl="2">
      <w:numFmt w:val="bullet"/>
      <w:lvlText w:val=""/>
      <w:lvlJc w:val="left"/>
      <w:pPr>
        <w:ind w:left="2728" w:hanging="360"/>
      </w:pPr>
      <w:rPr>
        <w:rFonts w:ascii="Wingdings" w:hAnsi="Wingdings"/>
      </w:rPr>
    </w:lvl>
    <w:lvl w:ilvl="3">
      <w:numFmt w:val="bullet"/>
      <w:lvlText w:val=""/>
      <w:lvlJc w:val="left"/>
      <w:pPr>
        <w:ind w:left="3448" w:hanging="360"/>
      </w:pPr>
      <w:rPr>
        <w:rFonts w:ascii="Symbol" w:hAnsi="Symbol"/>
      </w:rPr>
    </w:lvl>
    <w:lvl w:ilvl="4">
      <w:numFmt w:val="bullet"/>
      <w:lvlText w:val="o"/>
      <w:lvlJc w:val="left"/>
      <w:pPr>
        <w:ind w:left="4168" w:hanging="360"/>
      </w:pPr>
      <w:rPr>
        <w:rFonts w:ascii="Courier New" w:hAnsi="Courier New" w:cs="Courier New"/>
      </w:rPr>
    </w:lvl>
    <w:lvl w:ilvl="5">
      <w:numFmt w:val="bullet"/>
      <w:lvlText w:val=""/>
      <w:lvlJc w:val="left"/>
      <w:pPr>
        <w:ind w:left="4888" w:hanging="360"/>
      </w:pPr>
      <w:rPr>
        <w:rFonts w:ascii="Wingdings" w:hAnsi="Wingdings"/>
      </w:rPr>
    </w:lvl>
    <w:lvl w:ilvl="6">
      <w:numFmt w:val="bullet"/>
      <w:lvlText w:val=""/>
      <w:lvlJc w:val="left"/>
      <w:pPr>
        <w:ind w:left="5608" w:hanging="360"/>
      </w:pPr>
      <w:rPr>
        <w:rFonts w:ascii="Symbol" w:hAnsi="Symbol"/>
      </w:rPr>
    </w:lvl>
    <w:lvl w:ilvl="7">
      <w:numFmt w:val="bullet"/>
      <w:lvlText w:val="o"/>
      <w:lvlJc w:val="left"/>
      <w:pPr>
        <w:ind w:left="6328" w:hanging="360"/>
      </w:pPr>
      <w:rPr>
        <w:rFonts w:ascii="Courier New" w:hAnsi="Courier New" w:cs="Courier New"/>
      </w:rPr>
    </w:lvl>
    <w:lvl w:ilvl="8">
      <w:numFmt w:val="bullet"/>
      <w:lvlText w:val=""/>
      <w:lvlJc w:val="left"/>
      <w:pPr>
        <w:ind w:left="7048" w:hanging="360"/>
      </w:pPr>
      <w:rPr>
        <w:rFonts w:ascii="Wingdings" w:hAnsi="Wingdings"/>
      </w:rPr>
    </w:lvl>
  </w:abstractNum>
  <w:abstractNum w:abstractNumId="11" w15:restartNumberingAfterBreak="0">
    <w:nsid w:val="640022A9"/>
    <w:multiLevelType w:val="hybridMultilevel"/>
    <w:tmpl w:val="BD98E06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64D1681D"/>
    <w:multiLevelType w:val="hybridMultilevel"/>
    <w:tmpl w:val="BDD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9672D"/>
    <w:multiLevelType w:val="multilevel"/>
    <w:tmpl w:val="DD7673C6"/>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4" w15:restartNumberingAfterBreak="0">
    <w:nsid w:val="797E2B12"/>
    <w:multiLevelType w:val="hybridMultilevel"/>
    <w:tmpl w:val="5A18C66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024790716">
    <w:abstractNumId w:val="8"/>
  </w:num>
  <w:num w:numId="2" w16cid:durableId="65692168">
    <w:abstractNumId w:val="9"/>
  </w:num>
  <w:num w:numId="3" w16cid:durableId="582300568">
    <w:abstractNumId w:val="0"/>
  </w:num>
  <w:num w:numId="4" w16cid:durableId="347828962">
    <w:abstractNumId w:val="1"/>
  </w:num>
  <w:num w:numId="5" w16cid:durableId="1171749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604094">
    <w:abstractNumId w:val="14"/>
  </w:num>
  <w:num w:numId="7" w16cid:durableId="1801415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3401187">
    <w:abstractNumId w:val="2"/>
  </w:num>
  <w:num w:numId="9" w16cid:durableId="1824619637">
    <w:abstractNumId w:val="4"/>
  </w:num>
  <w:num w:numId="10" w16cid:durableId="1709797378">
    <w:abstractNumId w:val="10"/>
  </w:num>
  <w:num w:numId="11" w16cid:durableId="1563519324">
    <w:abstractNumId w:val="6"/>
  </w:num>
  <w:num w:numId="12" w16cid:durableId="1287808490">
    <w:abstractNumId w:val="13"/>
  </w:num>
  <w:num w:numId="13" w16cid:durableId="502205766">
    <w:abstractNumId w:val="3"/>
  </w:num>
  <w:num w:numId="14" w16cid:durableId="1727297099">
    <w:abstractNumId w:val="5"/>
  </w:num>
  <w:num w:numId="15" w16cid:durableId="1692804825">
    <w:abstractNumId w:val="11"/>
  </w:num>
  <w:num w:numId="16" w16cid:durableId="738302">
    <w:abstractNumId w:val="7"/>
  </w:num>
  <w:num w:numId="17" w16cid:durableId="652366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CD"/>
    <w:rsid w:val="00057F45"/>
    <w:rsid w:val="000A4796"/>
    <w:rsid w:val="000D3958"/>
    <w:rsid w:val="000F3690"/>
    <w:rsid w:val="001221D1"/>
    <w:rsid w:val="00165CB5"/>
    <w:rsid w:val="00180CE9"/>
    <w:rsid w:val="001A53C1"/>
    <w:rsid w:val="00206438"/>
    <w:rsid w:val="00230DD5"/>
    <w:rsid w:val="00250AE9"/>
    <w:rsid w:val="00380D64"/>
    <w:rsid w:val="00391509"/>
    <w:rsid w:val="003E03D5"/>
    <w:rsid w:val="004276BA"/>
    <w:rsid w:val="00486BFA"/>
    <w:rsid w:val="00493701"/>
    <w:rsid w:val="004B7AE7"/>
    <w:rsid w:val="004E2065"/>
    <w:rsid w:val="005508A2"/>
    <w:rsid w:val="0055115D"/>
    <w:rsid w:val="00566F71"/>
    <w:rsid w:val="005918BD"/>
    <w:rsid w:val="005A3D4E"/>
    <w:rsid w:val="00607061"/>
    <w:rsid w:val="006173A6"/>
    <w:rsid w:val="00675476"/>
    <w:rsid w:val="00693639"/>
    <w:rsid w:val="007C430F"/>
    <w:rsid w:val="007D2D0C"/>
    <w:rsid w:val="007D614D"/>
    <w:rsid w:val="00960D6A"/>
    <w:rsid w:val="009A0560"/>
    <w:rsid w:val="009B0917"/>
    <w:rsid w:val="009F0F96"/>
    <w:rsid w:val="00A23C0C"/>
    <w:rsid w:val="00A477DE"/>
    <w:rsid w:val="00A71E65"/>
    <w:rsid w:val="00AD7DAC"/>
    <w:rsid w:val="00AE044C"/>
    <w:rsid w:val="00B31971"/>
    <w:rsid w:val="00B4380A"/>
    <w:rsid w:val="00B66ECB"/>
    <w:rsid w:val="00C7523A"/>
    <w:rsid w:val="00CC1B6E"/>
    <w:rsid w:val="00CC376A"/>
    <w:rsid w:val="00CC48A1"/>
    <w:rsid w:val="00CF50E0"/>
    <w:rsid w:val="00D85951"/>
    <w:rsid w:val="00DC74AD"/>
    <w:rsid w:val="00E62606"/>
    <w:rsid w:val="00EA1FEF"/>
    <w:rsid w:val="00EC5A6B"/>
    <w:rsid w:val="00EE301D"/>
    <w:rsid w:val="00EF4BA3"/>
    <w:rsid w:val="00FA7CC1"/>
    <w:rsid w:val="00FD3DF8"/>
    <w:rsid w:val="00FE40CB"/>
    <w:rsid w:val="00FF5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BE9E9"/>
  <w15:docId w15:val="{7C9B1C4E-4A0C-46DE-A147-732EBF7A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FF5ECD"/>
  </w:style>
  <w:style w:type="paragraph" w:customStyle="1" w:styleId="msonormal0">
    <w:name w:val="msonormal"/>
    <w:basedOn w:val="Normal"/>
    <w:rsid w:val="00FF5ECD"/>
    <w:pPr>
      <w:suppressAutoHyphens/>
      <w:autoSpaceDN w:val="0"/>
      <w:spacing w:before="100" w:after="100"/>
    </w:pPr>
    <w:rPr>
      <w:lang w:val="es-ES" w:eastAsia="es-ES"/>
    </w:rPr>
  </w:style>
  <w:style w:type="character" w:customStyle="1" w:styleId="TextocomentarioCar">
    <w:name w:val="Texto comentario Car"/>
    <w:link w:val="Textocomentario"/>
    <w:rsid w:val="00FF5ECD"/>
    <w:rPr>
      <w:rFonts w:ascii="Calibri" w:eastAsia="Calibri" w:hAnsi="Calibri"/>
      <w:lang w:val="es-ES"/>
    </w:rPr>
  </w:style>
  <w:style w:type="paragraph" w:styleId="Textocomentario">
    <w:name w:val="annotation text"/>
    <w:basedOn w:val="Normal"/>
    <w:link w:val="TextocomentarioCar"/>
    <w:unhideWhenUsed/>
    <w:rsid w:val="00FF5ECD"/>
    <w:pPr>
      <w:suppressAutoHyphens/>
      <w:autoSpaceDN w:val="0"/>
      <w:spacing w:after="160"/>
    </w:pPr>
    <w:rPr>
      <w:rFonts w:ascii="Calibri" w:eastAsia="Calibri" w:hAnsi="Calibri"/>
      <w:sz w:val="20"/>
      <w:szCs w:val="20"/>
      <w:lang w:val="es-ES" w:eastAsia="en-US"/>
    </w:rPr>
  </w:style>
  <w:style w:type="character" w:customStyle="1" w:styleId="TextocomentarioCar1">
    <w:name w:val="Texto comentario Car1"/>
    <w:basedOn w:val="Fuentedeprrafopredeter"/>
    <w:semiHidden/>
    <w:rsid w:val="00FF5ECD"/>
    <w:rPr>
      <w:lang w:val="es-ES_tradnl" w:eastAsia="es-ES_tradnl"/>
    </w:rPr>
  </w:style>
  <w:style w:type="character" w:customStyle="1" w:styleId="TextoindependienteCar">
    <w:name w:val="Texto independiente Car"/>
    <w:link w:val="Textoindependiente"/>
    <w:semiHidden/>
    <w:rsid w:val="00FF5ECD"/>
    <w:rPr>
      <w:rFonts w:ascii="Arial" w:eastAsia="SimSun" w:hAnsi="Arial" w:cs="Mangal"/>
      <w:kern w:val="2"/>
      <w:sz w:val="24"/>
      <w:szCs w:val="24"/>
      <w:lang w:val="es-ES" w:eastAsia="zh-CN" w:bidi="hi-IN"/>
    </w:rPr>
  </w:style>
  <w:style w:type="paragraph" w:styleId="Textoindependiente">
    <w:name w:val="Body Text"/>
    <w:basedOn w:val="Normal"/>
    <w:link w:val="TextoindependienteCar"/>
    <w:semiHidden/>
    <w:unhideWhenUsed/>
    <w:rsid w:val="00FF5ECD"/>
    <w:pPr>
      <w:spacing w:after="140" w:line="276" w:lineRule="auto"/>
    </w:pPr>
    <w:rPr>
      <w:rFonts w:ascii="Arial" w:eastAsia="SimSun" w:hAnsi="Arial" w:cs="Mangal"/>
      <w:kern w:val="2"/>
      <w:lang w:val="es-ES" w:eastAsia="zh-CN" w:bidi="hi-IN"/>
    </w:rPr>
  </w:style>
  <w:style w:type="character" w:customStyle="1" w:styleId="TextoindependienteCar1">
    <w:name w:val="Texto independiente Car1"/>
    <w:basedOn w:val="Fuentedeprrafopredeter"/>
    <w:semiHidden/>
    <w:rsid w:val="00FF5ECD"/>
    <w:rPr>
      <w:sz w:val="24"/>
      <w:szCs w:val="24"/>
      <w:lang w:val="es-ES_tradnl" w:eastAsia="es-ES_tradnl"/>
    </w:rPr>
  </w:style>
  <w:style w:type="character" w:customStyle="1" w:styleId="AsuntodelcomentarioCar">
    <w:name w:val="Asunto del comentario Car"/>
    <w:link w:val="Asuntodelcomentario"/>
    <w:uiPriority w:val="99"/>
    <w:semiHidden/>
    <w:rsid w:val="00FF5ECD"/>
    <w:rPr>
      <w:rFonts w:ascii="Calibri" w:eastAsia="Calibri" w:hAnsi="Calibri"/>
      <w:b/>
      <w:bCs/>
      <w:lang w:val="es-ES"/>
    </w:rPr>
  </w:style>
  <w:style w:type="paragraph" w:styleId="Asuntodelcomentario">
    <w:name w:val="annotation subject"/>
    <w:basedOn w:val="Textocomentario"/>
    <w:next w:val="Textocomentario"/>
    <w:link w:val="AsuntodelcomentarioCar"/>
    <w:uiPriority w:val="99"/>
    <w:semiHidden/>
    <w:unhideWhenUsed/>
    <w:rsid w:val="00FF5ECD"/>
    <w:rPr>
      <w:b/>
      <w:bCs/>
    </w:rPr>
  </w:style>
  <w:style w:type="character" w:customStyle="1" w:styleId="AsuntodelcomentarioCar1">
    <w:name w:val="Asunto del comentario Car1"/>
    <w:basedOn w:val="TextocomentarioCar1"/>
    <w:semiHidden/>
    <w:rsid w:val="00FF5ECD"/>
    <w:rPr>
      <w:b/>
      <w:bCs/>
      <w:lang w:val="es-ES_tradnl" w:eastAsia="es-ES_tradnl"/>
    </w:rPr>
  </w:style>
  <w:style w:type="character" w:customStyle="1" w:styleId="TextodegloboCar1">
    <w:name w:val="Texto de globo Car1"/>
    <w:uiPriority w:val="99"/>
    <w:semiHidden/>
    <w:rsid w:val="00FF5ECD"/>
    <w:rPr>
      <w:rFonts w:ascii="Segoe UI" w:eastAsia="Calibri" w:hAnsi="Segoe UI" w:cs="Segoe UI"/>
      <w:sz w:val="18"/>
      <w:szCs w:val="18"/>
      <w:lang w:val="es-ES"/>
    </w:rPr>
  </w:style>
  <w:style w:type="paragraph" w:customStyle="1" w:styleId="ListParagraph1">
    <w:name w:val="List Paragraph1"/>
    <w:basedOn w:val="Normal"/>
    <w:qFormat/>
    <w:rsid w:val="00FF5ECD"/>
    <w:pPr>
      <w:suppressAutoHyphens/>
      <w:spacing w:after="200" w:line="276" w:lineRule="auto"/>
      <w:ind w:left="720"/>
      <w:contextualSpacing/>
    </w:pPr>
    <w:rPr>
      <w:rFonts w:ascii="Calibri" w:hAnsi="Calibri"/>
      <w:sz w:val="22"/>
      <w:szCs w:val="22"/>
      <w:lang w:val="es-VE" w:eastAsia="zh-CN"/>
    </w:rPr>
  </w:style>
  <w:style w:type="paragraph" w:customStyle="1" w:styleId="Prrafodelista1">
    <w:name w:val="Párrafo de lista1"/>
    <w:basedOn w:val="Normal"/>
    <w:rsid w:val="00FF5ECD"/>
    <w:pPr>
      <w:suppressAutoHyphens/>
      <w:autoSpaceDN w:val="0"/>
      <w:spacing w:after="200" w:line="276" w:lineRule="auto"/>
      <w:ind w:left="720"/>
    </w:pPr>
    <w:rPr>
      <w:rFonts w:ascii="Calibri" w:hAnsi="Calibri"/>
      <w:sz w:val="22"/>
      <w:szCs w:val="22"/>
      <w:lang w:val="es-VE" w:eastAsia="zh-CN"/>
    </w:rPr>
  </w:style>
  <w:style w:type="paragraph" w:customStyle="1" w:styleId="Textodeglobo1">
    <w:name w:val="Texto de globo1"/>
    <w:basedOn w:val="Normal"/>
    <w:rsid w:val="00FF5ECD"/>
    <w:pPr>
      <w:suppressAutoHyphens/>
      <w:autoSpaceDN w:val="0"/>
    </w:pPr>
    <w:rPr>
      <w:rFonts w:ascii="Segoe UI" w:eastAsia="Calibri" w:hAnsi="Segoe UI" w:cs="Segoe UI"/>
      <w:sz w:val="18"/>
      <w:szCs w:val="18"/>
      <w:lang w:val="es-ES" w:eastAsia="en-US"/>
    </w:rPr>
  </w:style>
  <w:style w:type="paragraph" w:customStyle="1" w:styleId="Predeterminado">
    <w:name w:val="Predeterminado"/>
    <w:rsid w:val="00FF5ECD"/>
    <w:pPr>
      <w:tabs>
        <w:tab w:val="left" w:pos="709"/>
      </w:tabs>
      <w:suppressAutoHyphens/>
      <w:autoSpaceDN w:val="0"/>
      <w:spacing w:after="200" w:line="276" w:lineRule="auto"/>
    </w:pPr>
    <w:rPr>
      <w:lang w:val="es-ES" w:eastAsia="zh-CN"/>
    </w:rPr>
  </w:style>
  <w:style w:type="character" w:customStyle="1" w:styleId="Fuentedeprrafopredeter1">
    <w:name w:val="Fuente de párrafo predeter.1"/>
    <w:rsid w:val="00FF5ECD"/>
  </w:style>
  <w:style w:type="character" w:customStyle="1" w:styleId="Hipervnculo1">
    <w:name w:val="Hipervínculo1"/>
    <w:rsid w:val="00FF5ECD"/>
    <w:rPr>
      <w:color w:val="0000FF"/>
      <w:u w:val="single" w:color="000000"/>
    </w:rPr>
  </w:style>
  <w:style w:type="character" w:customStyle="1" w:styleId="Hipervnculovisitado1">
    <w:name w:val="Hipervínculo visitado1"/>
    <w:rsid w:val="00FF5ECD"/>
    <w:rPr>
      <w:color w:val="954F72"/>
      <w:u w:val="single" w:color="000000"/>
    </w:rPr>
  </w:style>
  <w:style w:type="character" w:customStyle="1" w:styleId="textofechavolanta">
    <w:name w:val="texto_fecha_volanta"/>
    <w:basedOn w:val="Fuentedeprrafopredeter1"/>
    <w:rsid w:val="00FF5ECD"/>
  </w:style>
  <w:style w:type="character" w:customStyle="1" w:styleId="Subttulo1">
    <w:name w:val="Subtítulo1"/>
    <w:basedOn w:val="Fuentedeprrafopredeter1"/>
    <w:rsid w:val="00FF5ECD"/>
  </w:style>
  <w:style w:type="table" w:customStyle="1" w:styleId="Tablaconcuadrcula1">
    <w:name w:val="Tabla con cuadrícula1"/>
    <w:basedOn w:val="Tablanormal"/>
    <w:next w:val="Tablaconcuadrcula"/>
    <w:uiPriority w:val="39"/>
    <w:rsid w:val="00FF5E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unhideWhenUsed/>
    <w:rsid w:val="00FF5ECD"/>
    <w:rPr>
      <w:sz w:val="16"/>
      <w:szCs w:val="16"/>
    </w:rPr>
  </w:style>
  <w:style w:type="paragraph" w:styleId="HTMLconformatoprevio">
    <w:name w:val="HTML Preformatted"/>
    <w:basedOn w:val="Normal"/>
    <w:link w:val="HTMLconformatoprevioCar"/>
    <w:uiPriority w:val="99"/>
    <w:semiHidden/>
    <w:unhideWhenUsed/>
    <w:rsid w:val="00FF5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FF5ECD"/>
    <w:rPr>
      <w:rFonts w:ascii="Courier New" w:hAnsi="Courier New" w:cs="Courier New"/>
      <w:lang w:val="es-ES" w:eastAsia="es-ES"/>
    </w:rPr>
  </w:style>
  <w:style w:type="character" w:customStyle="1" w:styleId="y2iqfc">
    <w:name w:val="y2iqfc"/>
    <w:basedOn w:val="Fuentedeprrafopredeter"/>
    <w:rsid w:val="00FF5ECD"/>
  </w:style>
  <w:style w:type="character" w:customStyle="1" w:styleId="PlaceholderText1">
    <w:name w:val="Placeholder Text1"/>
    <w:uiPriority w:val="99"/>
    <w:semiHidden/>
    <w:rsid w:val="00FF5ECD"/>
    <w:rPr>
      <w:color w:val="808080"/>
    </w:rPr>
  </w:style>
  <w:style w:type="character" w:styleId="Hipervnculovisitado">
    <w:name w:val="FollowedHyperlink"/>
    <w:uiPriority w:val="99"/>
    <w:semiHidden/>
    <w:unhideWhenUsed/>
    <w:rsid w:val="00FF5ECD"/>
    <w:rPr>
      <w:color w:val="954F72"/>
      <w:u w:val="single"/>
    </w:rPr>
  </w:style>
  <w:style w:type="character" w:customStyle="1" w:styleId="Mencinsinresolver1">
    <w:name w:val="Mención sin resolver1"/>
    <w:uiPriority w:val="99"/>
    <w:semiHidden/>
    <w:unhideWhenUsed/>
    <w:rsid w:val="00FF5ECD"/>
    <w:rPr>
      <w:color w:val="605E5C"/>
      <w:shd w:val="clear" w:color="auto" w:fill="E1DFDD"/>
    </w:rPr>
  </w:style>
  <w:style w:type="character" w:styleId="nfasis">
    <w:name w:val="Emphasis"/>
    <w:uiPriority w:val="20"/>
    <w:qFormat/>
    <w:rsid w:val="00FF5ECD"/>
    <w:rPr>
      <w:i/>
      <w:iCs/>
    </w:rPr>
  </w:style>
  <w:style w:type="paragraph" w:styleId="Lista">
    <w:name w:val="List"/>
    <w:basedOn w:val="Normal"/>
    <w:uiPriority w:val="99"/>
    <w:unhideWhenUsed/>
    <w:rsid w:val="00FF5ECD"/>
    <w:pPr>
      <w:ind w:left="283" w:hanging="283"/>
      <w:contextualSpacing/>
    </w:pPr>
    <w:rPr>
      <w:rFonts w:ascii="Arial" w:hAnsi="Arial" w:cs="Arial"/>
      <w:sz w:val="12"/>
      <w:szCs w:val="12"/>
      <w:lang w:val="es-ES" w:eastAsia="es-ES"/>
    </w:rPr>
  </w:style>
  <w:style w:type="paragraph" w:styleId="Revisin">
    <w:name w:val="Revision"/>
    <w:hidden/>
    <w:uiPriority w:val="99"/>
    <w:semiHidden/>
    <w:rsid w:val="00FF5ECD"/>
    <w:rPr>
      <w:rFonts w:ascii="Calibri" w:eastAsia="Calibri" w:hAnsi="Calibri"/>
      <w:sz w:val="22"/>
      <w:szCs w:val="22"/>
      <w:lang w:val="es-ES"/>
    </w:rPr>
  </w:style>
  <w:style w:type="character" w:customStyle="1" w:styleId="Mencinsinresolver2">
    <w:name w:val="Mención sin resolver2"/>
    <w:uiPriority w:val="99"/>
    <w:semiHidden/>
    <w:unhideWhenUsed/>
    <w:rsid w:val="00FF5ECD"/>
    <w:rPr>
      <w:color w:val="605E5C"/>
      <w:shd w:val="clear" w:color="auto" w:fill="E1DFDD"/>
    </w:rPr>
  </w:style>
  <w:style w:type="character" w:customStyle="1" w:styleId="markedcontent">
    <w:name w:val="markedcontent"/>
    <w:basedOn w:val="Fuentedeprrafopredeter"/>
    <w:rsid w:val="00FF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18-0434" TargetMode="External"/><Relationship Id="rId13" Type="http://schemas.openxmlformats.org/officeDocument/2006/relationships/image" Target="media/image1.png"/><Relationship Id="rId18" Type="http://schemas.openxmlformats.org/officeDocument/2006/relationships/hyperlink" Target="https://salud.msp.gob.cu/wp-content/Anuario/anuario_2016_edici%C3%B3n_2017.pdf" TargetMode="External"/><Relationship Id="rId26" Type="http://schemas.openxmlformats.org/officeDocument/2006/relationships/hyperlink" Target="http://dspace.utb.edu.ec/bitstream/handle/49000/8395/E-UTB-FCS-OBST-000234.pdf?sequence=1&amp;isAllowed=y"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repositorio.unsa.edu.pe/bitstream/handle/UNSA/10873/MCdarojs.pdf?sequence=1&amp;isAllowed=y" TargetMode="External"/><Relationship Id="rId34" Type="http://schemas.openxmlformats.org/officeDocument/2006/relationships/hyperlink" Target="https://www.ncbi.nlm.nih.gov/pmc/arti%20cles/PMC6108833/" TargetMode="External"/><Relationship Id="rId42" Type="http://schemas.openxmlformats.org/officeDocument/2006/relationships/fontTable" Target="fontTable.xml"/><Relationship Id="rId7" Type="http://schemas.openxmlformats.org/officeDocument/2006/relationships/hyperlink" Target="https://orcid.org/0000-0001-5235-7675" TargetMode="External"/><Relationship Id="rId12" Type="http://schemas.openxmlformats.org/officeDocument/2006/relationships/hyperlink" Target="mailto:montoyar.grm@infomed.sld.cu" TargetMode="External"/><Relationship Id="rId17" Type="http://schemas.openxmlformats.org/officeDocument/2006/relationships/hyperlink" Target="https://www.upiip.com/sites/upiip.com/files/SNIP%20actualizacio%CC%81n%202021-26.08.21%20def.pdf" TargetMode="External"/><Relationship Id="rId25" Type="http://schemas.openxmlformats.org/officeDocument/2006/relationships/hyperlink" Target="http://www.revperinatologia.com/images/3_art1_rev_lat_perinat_vol_21n1_2018_final3.pdf" TargetMode="External"/><Relationship Id="rId33" Type="http://schemas.openxmlformats.org/officeDocument/2006/relationships/hyperlink" Target="https://medicina.uc.cl/wp-content/uploads/2020/05/Manual-de-pediatria-2020v3.pdf" TargetMode="External"/><Relationship Id="rId38" Type="http://schemas.openxmlformats.org/officeDocument/2006/relationships/hyperlink" Target="https://pubmed.ncbi.nlm.nih.gov/29405832/" TargetMode="External"/><Relationship Id="rId2" Type="http://schemas.openxmlformats.org/officeDocument/2006/relationships/styles" Target="styles.xml"/><Relationship Id="rId16" Type="http://schemas.openxmlformats.org/officeDocument/2006/relationships/hyperlink" Target="https://www.medigraphic.com/pdfs/abc/bc-2020/bc201h.pdf" TargetMode="External"/><Relationship Id="rId20" Type="http://schemas.openxmlformats.org/officeDocument/2006/relationships/hyperlink" Target="http://repositorio.ug.edu.ec/bitstream/redug/31199/1/CD-2657-TARIRA%20CEREZO.pdf" TargetMode="External"/><Relationship Id="rId29" Type="http://schemas.openxmlformats.org/officeDocument/2006/relationships/hyperlink" Target="https://www.scielo.br/j/jped/a/5jFj7VRvCDqnwYyC4dfxYPw/?lang=en"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694-2434" TargetMode="External"/><Relationship Id="rId24" Type="http://schemas.openxmlformats.org/officeDocument/2006/relationships/hyperlink" Target="https://www.ncbi.nlm.nih.gov/pmc/articles/PMC7289970/" TargetMode="External"/><Relationship Id="rId32" Type="http://schemas.openxmlformats.org/officeDocument/2006/relationships/hyperlink" Target="https://www.ncbi.nlm.nih.gov/pmc/articles/PMC6736225/" TargetMode="External"/><Relationship Id="rId37" Type="http://schemas.openxmlformats.org/officeDocument/2006/relationships/hyperlink" Target="http://repositorioslatinoamericanos.uchile.cl/handle/2250/3354099%20"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vepidemiologia.sld.cu/index.php/hie/article/view/839" TargetMode="External"/><Relationship Id="rId23" Type="http://schemas.openxmlformats.org/officeDocument/2006/relationships/hyperlink" Target="https://www.studocu.com/es-mx/document/universidadveracruzana/obstetricia/corioamnionitis/13287560" TargetMode="External"/><Relationship Id="rId28" Type="http://schemas.openxmlformats.org/officeDocument/2006/relationships/hyperlink" Target="https://pubmed.ncbi.nlm.nih.gov/31569094/" TargetMode="External"/><Relationship Id="rId36" Type="http://schemas.openxmlformats.org/officeDocument/2006/relationships/hyperlink" Target="https://www.medigraphic.com/pdfs/juarez/ju-2019/ju193b.pdf" TargetMode="External"/><Relationship Id="rId10" Type="http://schemas.openxmlformats.org/officeDocument/2006/relationships/hyperlink" Target="https://orcid.org/0000-0002-3638-8583" TargetMode="External"/><Relationship Id="rId19" Type="http://schemas.openxmlformats.org/officeDocument/2006/relationships/hyperlink" Target="https://files.sld.cu/dne/files/2020/06/indbasicosesp2019ed2020.pdf" TargetMode="External"/><Relationship Id="rId31" Type="http://schemas.openxmlformats.org/officeDocument/2006/relationships/hyperlink" Target="https://repositorio.unan.edu.ni/13492/1/13492.pdf" TargetMode="External"/><Relationship Id="rId4" Type="http://schemas.openxmlformats.org/officeDocument/2006/relationships/webSettings" Target="webSettings.xml"/><Relationship Id="rId9" Type="http://schemas.openxmlformats.org/officeDocument/2006/relationships/hyperlink" Target="https://orcid.org/0000-0003-1819-5363" TargetMode="External"/><Relationship Id="rId14" Type="http://schemas.openxmlformats.org/officeDocument/2006/relationships/image" Target="media/image2.png"/><Relationship Id="rId22" Type="http://schemas.openxmlformats.org/officeDocument/2006/relationships/hyperlink" Target="https://pubmed.ncbi.nlm.nih.gov/7033397/" TargetMode="External"/><Relationship Id="rId27" Type="http://schemas.openxmlformats.org/officeDocument/2006/relationships/hyperlink" Target="https://jamanetwork.com/journals/jamapediatrics/fullarticle/2748691" TargetMode="External"/><Relationship Id="rId30" Type="http://schemas.openxmlformats.org/officeDocument/2006/relationships/hyperlink" Target="https://www.wma.net/es/policies-post/declaracion-de-helsinki-de-la-amm-principios-eticos-para-las-investigaciones-medicas-en-seres-humanos/" TargetMode="External"/><Relationship Id="rId35" Type="http://schemas.openxmlformats.org/officeDocument/2006/relationships/hyperlink" Target="http://www.revginecobstetricia.sld.cu/index.php/gin/article/download/514/708"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13</Pages>
  <Words>3875</Words>
  <Characters>22092</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25916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11</cp:revision>
  <cp:lastPrinted>2023-06-02T18:19:00Z</cp:lastPrinted>
  <dcterms:created xsi:type="dcterms:W3CDTF">2023-06-02T18:12:00Z</dcterms:created>
  <dcterms:modified xsi:type="dcterms:W3CDTF">2023-06-02T18:22:00Z</dcterms:modified>
</cp:coreProperties>
</file>