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E7E6B" w14:textId="77777777" w:rsidR="0095207C" w:rsidRPr="0095207C" w:rsidRDefault="0095207C" w:rsidP="0095207C">
      <w:pPr>
        <w:spacing w:line="360" w:lineRule="auto"/>
        <w:contextualSpacing/>
        <w:jc w:val="right"/>
        <w:rPr>
          <w:color w:val="000000"/>
          <w:sz w:val="20"/>
          <w:szCs w:val="20"/>
          <w:lang w:val="es-ES" w:eastAsia="es-ES"/>
        </w:rPr>
      </w:pPr>
      <w:r w:rsidRPr="0095207C">
        <w:rPr>
          <w:color w:val="000000"/>
          <w:sz w:val="20"/>
          <w:szCs w:val="20"/>
          <w:lang w:val="es-ES" w:eastAsia="es-ES"/>
        </w:rPr>
        <w:t xml:space="preserve">Artículo de investigación </w:t>
      </w:r>
      <w:bookmarkStart w:id="0" w:name="_Hlk118963912"/>
    </w:p>
    <w:p w14:paraId="05B48F8A" w14:textId="77777777" w:rsidR="0095207C" w:rsidRPr="0095207C" w:rsidRDefault="0095207C" w:rsidP="0095207C">
      <w:pPr>
        <w:spacing w:line="360" w:lineRule="auto"/>
        <w:contextualSpacing/>
        <w:jc w:val="right"/>
        <w:rPr>
          <w:color w:val="000000"/>
          <w:lang w:val="es-ES" w:eastAsia="es-ES"/>
        </w:rPr>
      </w:pPr>
    </w:p>
    <w:p w14:paraId="7AF34B3D" w14:textId="77777777" w:rsidR="0095207C" w:rsidRPr="0095207C" w:rsidRDefault="0095207C" w:rsidP="0095207C">
      <w:pPr>
        <w:spacing w:line="360" w:lineRule="auto"/>
        <w:contextualSpacing/>
        <w:jc w:val="center"/>
        <w:rPr>
          <w:b/>
          <w:sz w:val="28"/>
          <w:szCs w:val="28"/>
          <w:lang w:val="es-ES" w:eastAsia="es-ES"/>
        </w:rPr>
      </w:pPr>
      <w:r w:rsidRPr="0095207C">
        <w:rPr>
          <w:b/>
          <w:sz w:val="28"/>
          <w:szCs w:val="28"/>
          <w:lang w:val="es-ES" w:eastAsia="es-ES"/>
        </w:rPr>
        <w:t>Modelo predictivo del fracaso de la terapia eléctrica en la fibrilación auricular paroxística</w:t>
      </w:r>
    </w:p>
    <w:p w14:paraId="629A6682" w14:textId="77777777" w:rsidR="0095207C" w:rsidRPr="0095207C" w:rsidRDefault="0095207C" w:rsidP="0095207C">
      <w:pPr>
        <w:spacing w:line="360" w:lineRule="auto"/>
        <w:contextualSpacing/>
        <w:jc w:val="center"/>
        <w:rPr>
          <w:sz w:val="28"/>
          <w:szCs w:val="28"/>
          <w:lang w:val="en-US" w:eastAsia="es-ES"/>
        </w:rPr>
      </w:pPr>
      <w:r w:rsidRPr="0095207C">
        <w:rPr>
          <w:sz w:val="28"/>
          <w:szCs w:val="28"/>
          <w:lang w:val="en-US" w:eastAsia="es-ES"/>
        </w:rPr>
        <w:t>Predictive model of electrical therapy failure in paroxysmal atrial fibrillation</w:t>
      </w:r>
    </w:p>
    <w:p w14:paraId="585B7319" w14:textId="77777777" w:rsidR="0095207C" w:rsidRPr="0095207C" w:rsidRDefault="0095207C" w:rsidP="0095207C">
      <w:pPr>
        <w:spacing w:line="360" w:lineRule="auto"/>
        <w:contextualSpacing/>
        <w:jc w:val="both"/>
        <w:rPr>
          <w:rFonts w:eastAsia="Calibri"/>
          <w:lang w:val="en-US" w:eastAsia="en-US"/>
        </w:rPr>
      </w:pPr>
    </w:p>
    <w:p w14:paraId="475B792C" w14:textId="77777777" w:rsidR="0095207C" w:rsidRPr="0095207C" w:rsidRDefault="0095207C" w:rsidP="0095207C">
      <w:pPr>
        <w:spacing w:line="360" w:lineRule="auto"/>
        <w:contextualSpacing/>
        <w:jc w:val="both"/>
        <w:rPr>
          <w:rFonts w:eastAsia="Calibri"/>
          <w:szCs w:val="22"/>
          <w:lang w:val="it-IT" w:eastAsia="en-US"/>
        </w:rPr>
      </w:pPr>
      <w:r w:rsidRPr="0095207C">
        <w:rPr>
          <w:rFonts w:eastAsia="Calibri"/>
          <w:lang w:val="it-IT" w:eastAsia="en-US"/>
        </w:rPr>
        <w:t>Yoandro Rosabal García</w:t>
      </w:r>
      <w:r w:rsidRPr="0095207C">
        <w:rPr>
          <w:rFonts w:eastAsia="Calibri"/>
          <w:vertAlign w:val="superscript"/>
          <w:lang w:val="it-IT" w:eastAsia="en-US"/>
        </w:rPr>
        <w:t>1</w:t>
      </w:r>
      <w:r w:rsidRPr="0095207C">
        <w:rPr>
          <w:rFonts w:eastAsia="Calibri"/>
          <w:lang w:val="it-IT" w:eastAsia="en-US"/>
        </w:rPr>
        <w:t xml:space="preserve">* </w:t>
      </w:r>
      <w:hyperlink r:id="rId7" w:history="1">
        <w:bookmarkStart w:id="1" w:name="_Hlk115981490"/>
        <w:r w:rsidRPr="0095207C">
          <w:rPr>
            <w:rFonts w:eastAsia="Calibri"/>
            <w:color w:val="0000FF"/>
            <w:szCs w:val="22"/>
            <w:lang w:val="it-IT" w:eastAsia="en-US"/>
          </w:rPr>
          <w:t>https://orcid.org/</w:t>
        </w:r>
        <w:bookmarkEnd w:id="1"/>
        <w:r w:rsidRPr="0095207C">
          <w:rPr>
            <w:rFonts w:eastAsia="Calibri"/>
            <w:color w:val="0000FF"/>
            <w:szCs w:val="22"/>
            <w:lang w:val="it-IT" w:eastAsia="en-US"/>
          </w:rPr>
          <w:t>0000-0003-1261-5494</w:t>
        </w:r>
      </w:hyperlink>
    </w:p>
    <w:p w14:paraId="1B4466D3" w14:textId="77777777" w:rsidR="0095207C" w:rsidRPr="0095207C" w:rsidRDefault="0095207C" w:rsidP="0095207C">
      <w:pPr>
        <w:spacing w:line="360" w:lineRule="auto"/>
        <w:contextualSpacing/>
        <w:jc w:val="both"/>
        <w:rPr>
          <w:rFonts w:eastAsia="Calibri"/>
          <w:color w:val="0000FF"/>
          <w:lang w:val="es-CU" w:eastAsia="en-US"/>
        </w:rPr>
      </w:pPr>
      <w:r w:rsidRPr="0095207C">
        <w:rPr>
          <w:rFonts w:eastAsia="Calibri"/>
          <w:lang w:val="es-CU" w:eastAsia="en-US"/>
        </w:rPr>
        <w:t>Eddy Alberto Rosales Guibert</w:t>
      </w:r>
      <w:r w:rsidRPr="0095207C">
        <w:rPr>
          <w:rFonts w:eastAsia="Calibri"/>
          <w:vertAlign w:val="superscript"/>
          <w:lang w:val="es-CU" w:eastAsia="en-US"/>
        </w:rPr>
        <w:t>2</w:t>
      </w:r>
      <w:r w:rsidRPr="0095207C">
        <w:rPr>
          <w:rFonts w:eastAsia="Calibri"/>
          <w:lang w:val="es-CU" w:eastAsia="en-US"/>
        </w:rPr>
        <w:t xml:space="preserve"> </w:t>
      </w:r>
      <w:hyperlink r:id="rId8" w:history="1">
        <w:r w:rsidRPr="0095207C">
          <w:rPr>
            <w:rFonts w:eastAsia="Calibri"/>
            <w:color w:val="0000FF"/>
            <w:lang w:val="es-CU" w:eastAsia="en-US"/>
          </w:rPr>
          <w:t>https://orcid.org/0000-0002-2902-5936</w:t>
        </w:r>
      </w:hyperlink>
    </w:p>
    <w:p w14:paraId="2A297E53" w14:textId="77777777" w:rsidR="0095207C" w:rsidRPr="0095207C" w:rsidRDefault="0095207C" w:rsidP="0095207C">
      <w:pPr>
        <w:spacing w:line="360" w:lineRule="auto"/>
        <w:contextualSpacing/>
        <w:jc w:val="both"/>
        <w:rPr>
          <w:rFonts w:eastAsia="Calibri"/>
          <w:color w:val="0000FF"/>
          <w:lang w:val="es-ES" w:eastAsia="en-US"/>
        </w:rPr>
      </w:pPr>
      <w:r w:rsidRPr="0095207C">
        <w:rPr>
          <w:rFonts w:eastAsia="Calibri"/>
          <w:lang w:val="es-ES" w:eastAsia="en-US"/>
        </w:rPr>
        <w:t>Lorchen Torres- Quiñones</w:t>
      </w:r>
      <w:r w:rsidRPr="0095207C">
        <w:rPr>
          <w:rFonts w:eastAsia="Calibri"/>
          <w:vertAlign w:val="superscript"/>
          <w:lang w:val="es-ES" w:eastAsia="en-US"/>
        </w:rPr>
        <w:t>3</w:t>
      </w:r>
      <w:r w:rsidRPr="0095207C">
        <w:rPr>
          <w:rFonts w:eastAsia="Calibri"/>
          <w:color w:val="0000FF"/>
          <w:lang w:val="es-ES" w:eastAsia="en-US"/>
        </w:rPr>
        <w:t xml:space="preserve"> </w:t>
      </w:r>
      <w:hyperlink r:id="rId9" w:history="1">
        <w:r w:rsidRPr="0095207C">
          <w:rPr>
            <w:rFonts w:eastAsia="Calibri"/>
            <w:color w:val="0000FF"/>
            <w:lang w:val="es-ES" w:eastAsia="en-US"/>
          </w:rPr>
          <w:t>https://orcid.org/0000-0002-8225-4113</w:t>
        </w:r>
      </w:hyperlink>
      <w:r w:rsidRPr="0095207C">
        <w:rPr>
          <w:rFonts w:eastAsia="Calibri"/>
          <w:color w:val="0000FF"/>
          <w:lang w:val="es-ES" w:eastAsia="en-US"/>
        </w:rPr>
        <w:t xml:space="preserve"> </w:t>
      </w:r>
    </w:p>
    <w:p w14:paraId="14E00F8B" w14:textId="77777777" w:rsidR="0095207C" w:rsidRPr="0095207C" w:rsidRDefault="0095207C" w:rsidP="0095207C">
      <w:pPr>
        <w:spacing w:line="360" w:lineRule="auto"/>
        <w:contextualSpacing/>
        <w:jc w:val="both"/>
        <w:rPr>
          <w:rFonts w:eastAsia="Calibri"/>
          <w:lang w:val="es-ES" w:eastAsia="en-US"/>
        </w:rPr>
      </w:pPr>
    </w:p>
    <w:p w14:paraId="72C115B8" w14:textId="77777777" w:rsidR="0095207C" w:rsidRPr="0095207C" w:rsidRDefault="0095207C" w:rsidP="0095207C">
      <w:pPr>
        <w:spacing w:line="360" w:lineRule="auto"/>
        <w:contextualSpacing/>
        <w:jc w:val="both"/>
        <w:rPr>
          <w:rFonts w:eastAsia="Calibri"/>
          <w:lang w:val="es-ES" w:eastAsia="en-US"/>
        </w:rPr>
      </w:pPr>
      <w:r w:rsidRPr="0095207C">
        <w:rPr>
          <w:rFonts w:eastAsia="Calibri"/>
          <w:vertAlign w:val="superscript"/>
          <w:lang w:val="es-ES" w:eastAsia="en-US"/>
        </w:rPr>
        <w:t>1</w:t>
      </w:r>
      <w:r w:rsidRPr="0095207C">
        <w:rPr>
          <w:rFonts w:eastAsia="Calibri"/>
          <w:shd w:val="clear" w:color="auto" w:fill="FFFFFF"/>
          <w:lang w:val="es-ES" w:eastAsia="en-US"/>
        </w:rPr>
        <w:t>Centro de Cirugía Cardiovascular y Cardiología. Santiago de Cuba, Cuba.</w:t>
      </w:r>
    </w:p>
    <w:p w14:paraId="746B25F5" w14:textId="77777777" w:rsidR="0095207C" w:rsidRPr="0095207C" w:rsidRDefault="0095207C" w:rsidP="0095207C">
      <w:pPr>
        <w:spacing w:line="360" w:lineRule="auto"/>
        <w:contextualSpacing/>
        <w:jc w:val="both"/>
        <w:rPr>
          <w:rFonts w:eastAsia="Calibri"/>
          <w:lang w:val="es-ES" w:eastAsia="en-US"/>
        </w:rPr>
      </w:pPr>
      <w:r w:rsidRPr="0095207C">
        <w:rPr>
          <w:rFonts w:eastAsia="Calibri"/>
          <w:vertAlign w:val="superscript"/>
          <w:lang w:val="es-ES" w:eastAsia="en-US"/>
        </w:rPr>
        <w:t>2</w:t>
      </w:r>
      <w:r w:rsidRPr="0095207C">
        <w:rPr>
          <w:rFonts w:eastAsia="Calibri"/>
          <w:lang w:val="es-ES" w:eastAsia="en-US"/>
        </w:rPr>
        <w:t xml:space="preserve">Hospital Militar Dr. "Joaquín Castillo Duany”. Santiago de Cuba, Cuba.  </w:t>
      </w:r>
    </w:p>
    <w:p w14:paraId="4D9C1A6B" w14:textId="77777777" w:rsidR="0095207C" w:rsidRPr="0095207C" w:rsidRDefault="0095207C" w:rsidP="0095207C">
      <w:pPr>
        <w:spacing w:line="360" w:lineRule="auto"/>
        <w:contextualSpacing/>
        <w:jc w:val="both"/>
        <w:rPr>
          <w:rFonts w:eastAsia="Calibri"/>
          <w:lang w:val="es-ES" w:eastAsia="en-US"/>
        </w:rPr>
      </w:pPr>
      <w:r w:rsidRPr="0095207C">
        <w:rPr>
          <w:rFonts w:eastAsia="Calibri"/>
          <w:vertAlign w:val="superscript"/>
          <w:lang w:val="es-ES" w:eastAsia="en-US"/>
        </w:rPr>
        <w:t>3</w:t>
      </w:r>
      <w:r w:rsidRPr="0095207C">
        <w:rPr>
          <w:rFonts w:eastAsia="Calibri"/>
          <w:lang w:val="es-ES" w:eastAsia="en-US"/>
        </w:rPr>
        <w:t xml:space="preserve">Universidad de Ciencias Médicas Santiago de Cuba. Santiago de Cuba, Cuba.  </w:t>
      </w:r>
    </w:p>
    <w:p w14:paraId="78AE62CB" w14:textId="77777777" w:rsidR="0095207C" w:rsidRPr="0095207C" w:rsidRDefault="0095207C" w:rsidP="0095207C">
      <w:pPr>
        <w:spacing w:line="360" w:lineRule="auto"/>
        <w:contextualSpacing/>
        <w:jc w:val="both"/>
        <w:rPr>
          <w:rFonts w:eastAsia="Calibri"/>
          <w:lang w:val="es-ES" w:eastAsia="en-US"/>
        </w:rPr>
      </w:pPr>
    </w:p>
    <w:p w14:paraId="5511037A" w14:textId="77777777" w:rsidR="0095207C" w:rsidRPr="0095207C" w:rsidRDefault="0095207C" w:rsidP="0095207C">
      <w:pPr>
        <w:spacing w:line="360" w:lineRule="auto"/>
        <w:contextualSpacing/>
        <w:jc w:val="both"/>
        <w:rPr>
          <w:rFonts w:eastAsia="Calibri"/>
          <w:lang w:val="es-ES" w:eastAsia="en-US"/>
        </w:rPr>
      </w:pPr>
      <w:r w:rsidRPr="0095207C">
        <w:rPr>
          <w:rFonts w:eastAsia="Calibri"/>
          <w:lang w:val="es-ES" w:eastAsia="en-US"/>
        </w:rPr>
        <w:t xml:space="preserve">*Autor para la correspondencia. Correo electrónico: </w:t>
      </w:r>
      <w:hyperlink r:id="rId10" w:history="1">
        <w:r w:rsidRPr="0095207C">
          <w:rPr>
            <w:rFonts w:eastAsia="Calibri"/>
            <w:color w:val="0000FF"/>
            <w:lang w:val="es-ES" w:eastAsia="en-US"/>
          </w:rPr>
          <w:t>yoandrorg@gmail.com</w:t>
        </w:r>
      </w:hyperlink>
    </w:p>
    <w:p w14:paraId="08BF315F" w14:textId="77777777" w:rsidR="0095207C" w:rsidRPr="0095207C" w:rsidRDefault="0095207C" w:rsidP="0095207C">
      <w:pPr>
        <w:spacing w:line="360" w:lineRule="auto"/>
        <w:ind w:hanging="142"/>
        <w:contextualSpacing/>
        <w:jc w:val="center"/>
        <w:rPr>
          <w:lang w:val="es-CU" w:eastAsia="es-ES"/>
        </w:rPr>
      </w:pPr>
    </w:p>
    <w:p w14:paraId="29D5B905" w14:textId="77777777" w:rsidR="0095207C" w:rsidRPr="0095207C" w:rsidRDefault="0095207C" w:rsidP="0095207C">
      <w:pPr>
        <w:spacing w:line="360" w:lineRule="auto"/>
        <w:jc w:val="both"/>
        <w:outlineLvl w:val="0"/>
        <w:rPr>
          <w:b/>
          <w:color w:val="000000"/>
          <w:lang w:val="es-MX" w:eastAsia="es-ES"/>
        </w:rPr>
      </w:pPr>
      <w:bookmarkStart w:id="2" w:name="_Hlk118964744"/>
      <w:bookmarkEnd w:id="0"/>
      <w:r w:rsidRPr="0095207C">
        <w:rPr>
          <w:b/>
          <w:color w:val="000000"/>
          <w:lang w:val="es-MX" w:eastAsia="es-ES"/>
        </w:rPr>
        <w:t xml:space="preserve">RESUMEN </w:t>
      </w:r>
    </w:p>
    <w:p w14:paraId="0727AE71" w14:textId="77777777" w:rsidR="0095207C" w:rsidRPr="0095207C" w:rsidRDefault="0095207C" w:rsidP="0095207C">
      <w:pPr>
        <w:spacing w:line="360" w:lineRule="auto"/>
        <w:jc w:val="both"/>
        <w:outlineLvl w:val="0"/>
        <w:rPr>
          <w:color w:val="000000"/>
          <w:lang w:val="es-ES" w:eastAsia="es-ES"/>
        </w:rPr>
      </w:pPr>
      <w:r w:rsidRPr="0095207C">
        <w:rPr>
          <w:b/>
          <w:color w:val="000000"/>
          <w:lang w:val="es-MX" w:eastAsia="es-ES"/>
        </w:rPr>
        <w:t>Introducción:</w:t>
      </w:r>
      <w:r w:rsidRPr="0095207C">
        <w:rPr>
          <w:color w:val="000000"/>
          <w:lang w:val="es-MX" w:eastAsia="es-ES"/>
        </w:rPr>
        <w:t xml:space="preserve"> </w:t>
      </w:r>
      <w:r w:rsidRPr="0095207C">
        <w:rPr>
          <w:color w:val="000000"/>
          <w:lang w:val="es-ES" w:eastAsia="es-ES"/>
        </w:rPr>
        <w:t>La fibrilación auricular es la arritmia recurrente más habitual en la práctica clínica. Su prevalencia se multiplica en la población actual y tiene diferentes causas fisiopatológicas que la convierten en una pandemia mundial.</w:t>
      </w:r>
    </w:p>
    <w:p w14:paraId="185BCC51" w14:textId="77777777" w:rsidR="0095207C" w:rsidRPr="0095207C" w:rsidRDefault="0095207C" w:rsidP="0095207C">
      <w:pPr>
        <w:spacing w:line="360" w:lineRule="auto"/>
        <w:jc w:val="both"/>
        <w:outlineLvl w:val="0"/>
        <w:rPr>
          <w:color w:val="000000"/>
          <w:lang w:val="es-ES" w:eastAsia="es-ES"/>
        </w:rPr>
      </w:pPr>
      <w:r w:rsidRPr="0095207C">
        <w:rPr>
          <w:b/>
          <w:color w:val="000000"/>
          <w:lang w:val="es-ES" w:eastAsia="es-ES"/>
        </w:rPr>
        <w:t>Objetivos:</w:t>
      </w:r>
      <w:r w:rsidRPr="0095207C">
        <w:rPr>
          <w:color w:val="000000"/>
          <w:lang w:val="es-ES" w:eastAsia="es-ES"/>
        </w:rPr>
        <w:t xml:space="preserve"> Diseñar un modelo predictivo de fracaso de la terapia eléctrica en pacientes con fibrilación auricular paroxística.</w:t>
      </w:r>
    </w:p>
    <w:p w14:paraId="14B9F9CC" w14:textId="77777777" w:rsidR="0095207C" w:rsidRPr="0095207C" w:rsidRDefault="0095207C" w:rsidP="0095207C">
      <w:pPr>
        <w:spacing w:line="360" w:lineRule="auto"/>
        <w:jc w:val="both"/>
        <w:outlineLvl w:val="0"/>
        <w:rPr>
          <w:color w:val="000000"/>
          <w:lang w:val="es-ES" w:eastAsia="es-ES"/>
        </w:rPr>
      </w:pPr>
      <w:r w:rsidRPr="0095207C">
        <w:rPr>
          <w:b/>
          <w:color w:val="000000"/>
          <w:lang w:val="es-ES" w:eastAsia="es-ES"/>
        </w:rPr>
        <w:t>Métodos:</w:t>
      </w:r>
      <w:r w:rsidRPr="0095207C">
        <w:rPr>
          <w:color w:val="000000"/>
          <w:lang w:val="es-ES" w:eastAsia="es-ES"/>
        </w:rPr>
        <w:t xml:space="preserve"> Se realizó un estudio de casos y controles, con 33 casos y 66 controles. Variables predictoras: edad, fracción de eyección ≤ 40 %, volumen de aurícula izquierda ≥ 34 mL/m</w:t>
      </w:r>
      <w:r w:rsidRPr="0095207C">
        <w:rPr>
          <w:color w:val="000000"/>
          <w:vertAlign w:val="superscript"/>
          <w:lang w:val="es-ES" w:eastAsia="es-ES"/>
        </w:rPr>
        <w:t>2</w:t>
      </w:r>
      <w:r w:rsidRPr="0095207C">
        <w:rPr>
          <w:color w:val="000000"/>
          <w:lang w:val="es-ES" w:eastAsia="es-ES"/>
        </w:rPr>
        <w:t>. A partir de la regresión logística se obtuvo un modelo en el que fueron incluidos el valor predictivo positivo, valor predictivo negativo, la sensibilidad y especificidad.</w:t>
      </w:r>
    </w:p>
    <w:p w14:paraId="3DB0CDB1" w14:textId="77777777" w:rsidR="0095207C" w:rsidRPr="0095207C" w:rsidRDefault="0095207C" w:rsidP="0095207C">
      <w:pPr>
        <w:spacing w:line="360" w:lineRule="auto"/>
        <w:jc w:val="both"/>
        <w:outlineLvl w:val="0"/>
        <w:rPr>
          <w:color w:val="000000"/>
          <w:lang w:val="es-ES" w:eastAsia="es-ES"/>
        </w:rPr>
      </w:pPr>
      <w:r w:rsidRPr="0095207C">
        <w:rPr>
          <w:b/>
          <w:color w:val="000000"/>
          <w:lang w:val="es-ES" w:eastAsia="es-ES"/>
        </w:rPr>
        <w:t>Resultados:</w:t>
      </w:r>
      <w:r w:rsidRPr="0095207C">
        <w:rPr>
          <w:color w:val="000000"/>
          <w:lang w:val="es-ES" w:eastAsia="es-ES"/>
        </w:rPr>
        <w:t xml:space="preserve"> Los factores de riesgo predictores fueron: edad ≥ 55 años (p= 0,013; </w:t>
      </w:r>
      <w:r w:rsidRPr="0095207C">
        <w:rPr>
          <w:i/>
          <w:iCs/>
          <w:color w:val="000000"/>
          <w:lang w:val="es-ES" w:eastAsia="es-ES"/>
        </w:rPr>
        <w:t xml:space="preserve">odds ratio </w:t>
      </w:r>
      <w:r w:rsidRPr="0095207C">
        <w:rPr>
          <w:color w:val="000000"/>
          <w:lang w:val="es-ES" w:eastAsia="es-ES"/>
        </w:rPr>
        <w:t xml:space="preserve">(OR)= 3,58; intervalo de confianza -IC- 95 %: 1,33-9,67); la fracción de eyección del ventrículo izquierdo (FEVI) </w:t>
      </w:r>
      <w:r w:rsidRPr="0095207C">
        <w:rPr>
          <w:color w:val="000000"/>
          <w:lang w:val="es-ES" w:eastAsia="es-ES"/>
        </w:rPr>
        <w:lastRenderedPageBreak/>
        <w:t>≤ 40 % se observó en 20 pacientes (22,7 %) (p= 0,004; OR= 4,45; IC95 %: 1,54</w:t>
      </w:r>
      <w:r w:rsidRPr="0095207C">
        <w:rPr>
          <w:color w:val="000000"/>
          <w:lang w:val="es-ES" w:eastAsia="es-ES"/>
        </w:rPr>
        <w:noBreakHyphen/>
        <w:t>12,8); presión de aurícula izquierda elevada, volumen de aurícula izquierda elevado (p= 0,004; OR= 3,11; IC95 %: 1,24-8,77), según el modelo de regresión logística. Se realizó la validación interna por división de datos</w:t>
      </w:r>
      <w:r w:rsidRPr="0095207C">
        <w:rPr>
          <w:color w:val="000000"/>
          <w:lang w:val="es-ES" w:eastAsia="x-none" w:bidi="x-none"/>
        </w:rPr>
        <w:t xml:space="preserve">; se confirmó que </w:t>
      </w:r>
      <w:r w:rsidRPr="0095207C">
        <w:rPr>
          <w:color w:val="000000"/>
          <w:lang w:val="es-ES" w:eastAsia="es-ES"/>
        </w:rPr>
        <w:t>el modelo pronostica bien los que van a tener éxito en el resultado terapéutico.</w:t>
      </w:r>
    </w:p>
    <w:p w14:paraId="42CFDD30" w14:textId="77777777" w:rsidR="0095207C" w:rsidRPr="0095207C" w:rsidRDefault="0095207C" w:rsidP="0095207C">
      <w:pPr>
        <w:spacing w:line="360" w:lineRule="auto"/>
        <w:jc w:val="both"/>
        <w:outlineLvl w:val="0"/>
        <w:rPr>
          <w:color w:val="000000"/>
          <w:lang w:val="es-ES" w:eastAsia="es-ES"/>
        </w:rPr>
      </w:pPr>
      <w:r w:rsidRPr="0095207C">
        <w:rPr>
          <w:b/>
          <w:color w:val="000000"/>
          <w:lang w:val="es-ES" w:eastAsia="es-ES"/>
        </w:rPr>
        <w:t>Conclusiones:</w:t>
      </w:r>
      <w:r w:rsidRPr="0095207C">
        <w:rPr>
          <w:color w:val="000000"/>
          <w:lang w:val="es-ES" w:eastAsia="es-ES"/>
        </w:rPr>
        <w:t xml:space="preserve"> El modelo predictivo elaborado está compuesto por los predictores edad &gt; 55 años, FEVI; volumen de aurícula izquierda; presenta un buen ajuste y poder discriminante, sobre todo valor predictivo positivo. </w:t>
      </w:r>
    </w:p>
    <w:p w14:paraId="3B6544C4" w14:textId="77777777" w:rsidR="0095207C" w:rsidRPr="0095207C" w:rsidRDefault="0095207C" w:rsidP="0095207C">
      <w:pPr>
        <w:spacing w:line="360" w:lineRule="auto"/>
        <w:jc w:val="both"/>
        <w:outlineLvl w:val="0"/>
        <w:rPr>
          <w:b/>
          <w:bCs/>
          <w:color w:val="000000"/>
          <w:lang w:val="es-ES" w:eastAsia="es-ES"/>
        </w:rPr>
      </w:pPr>
      <w:r w:rsidRPr="0095207C">
        <w:rPr>
          <w:b/>
          <w:color w:val="000000"/>
          <w:lang w:val="es-ES" w:eastAsia="es-ES"/>
        </w:rPr>
        <w:t>Palabras clave</w:t>
      </w:r>
      <w:r w:rsidRPr="0095207C">
        <w:rPr>
          <w:b/>
          <w:bCs/>
          <w:color w:val="000000"/>
          <w:lang w:val="es-ES" w:eastAsia="es-ES"/>
        </w:rPr>
        <w:t>:</w:t>
      </w:r>
      <w:r w:rsidRPr="0095207C">
        <w:rPr>
          <w:color w:val="000000"/>
          <w:lang w:val="es-ES" w:eastAsia="es-ES"/>
        </w:rPr>
        <w:t xml:space="preserve"> fibrilación auricular; modelo predictivo; terapéutica.</w:t>
      </w:r>
    </w:p>
    <w:p w14:paraId="370BF43C" w14:textId="77777777" w:rsidR="0095207C" w:rsidRPr="0095207C" w:rsidRDefault="0095207C" w:rsidP="0095207C">
      <w:pPr>
        <w:spacing w:line="360" w:lineRule="auto"/>
        <w:jc w:val="both"/>
        <w:outlineLvl w:val="0"/>
        <w:rPr>
          <w:color w:val="000000"/>
          <w:lang w:val="es-ES" w:eastAsia="es-ES"/>
        </w:rPr>
      </w:pPr>
    </w:p>
    <w:p w14:paraId="60A58440" w14:textId="77777777" w:rsidR="0095207C" w:rsidRPr="0095207C" w:rsidRDefault="0095207C" w:rsidP="0095207C">
      <w:pPr>
        <w:spacing w:line="360" w:lineRule="auto"/>
        <w:jc w:val="both"/>
        <w:outlineLvl w:val="0"/>
        <w:rPr>
          <w:b/>
          <w:color w:val="000000"/>
          <w:lang w:val="en-GB" w:eastAsia="es-ES"/>
        </w:rPr>
      </w:pPr>
      <w:r w:rsidRPr="0095207C">
        <w:rPr>
          <w:b/>
          <w:color w:val="000000"/>
          <w:lang w:val="en-GB" w:eastAsia="es-ES"/>
        </w:rPr>
        <w:t>ABSTRACT</w:t>
      </w:r>
    </w:p>
    <w:p w14:paraId="48CF7F04" w14:textId="77777777" w:rsidR="0095207C" w:rsidRPr="0095207C" w:rsidRDefault="0095207C" w:rsidP="0095207C">
      <w:pPr>
        <w:spacing w:line="360" w:lineRule="auto"/>
        <w:jc w:val="both"/>
        <w:outlineLvl w:val="0"/>
        <w:rPr>
          <w:color w:val="000000"/>
          <w:lang w:val="en" w:eastAsia="es-ES"/>
        </w:rPr>
      </w:pPr>
      <w:r w:rsidRPr="0095207C">
        <w:rPr>
          <w:b/>
          <w:bCs/>
          <w:color w:val="000000"/>
          <w:lang w:val="en" w:eastAsia="es-ES"/>
        </w:rPr>
        <w:t xml:space="preserve">Introduction: </w:t>
      </w:r>
      <w:r w:rsidRPr="0095207C">
        <w:rPr>
          <w:color w:val="000000"/>
          <w:lang w:val="en" w:eastAsia="es-ES"/>
        </w:rPr>
        <w:t>Atrial fibrillation is the most common recurrent arrhythmia in clinical practice. Its prevalence is multiplying in the current population and has different pathophysiological causes that make it a global pandemic.</w:t>
      </w:r>
    </w:p>
    <w:p w14:paraId="5B488847" w14:textId="77777777" w:rsidR="0095207C" w:rsidRPr="0095207C" w:rsidRDefault="0095207C" w:rsidP="0095207C">
      <w:pPr>
        <w:spacing w:line="360" w:lineRule="auto"/>
        <w:jc w:val="both"/>
        <w:outlineLvl w:val="0"/>
        <w:rPr>
          <w:color w:val="000000"/>
          <w:lang w:val="en" w:eastAsia="es-ES"/>
        </w:rPr>
      </w:pPr>
      <w:r w:rsidRPr="0095207C">
        <w:rPr>
          <w:b/>
          <w:bCs/>
          <w:color w:val="000000"/>
          <w:lang w:val="en" w:eastAsia="es-ES"/>
        </w:rPr>
        <w:t>Objectives:</w:t>
      </w:r>
      <w:r w:rsidRPr="0095207C">
        <w:rPr>
          <w:color w:val="000000"/>
          <w:lang w:val="en" w:eastAsia="es-ES"/>
        </w:rPr>
        <w:t xml:space="preserve"> To design a predictive model for failure of electrical therapy in patients with paroxysmal atrial fibrillation.</w:t>
      </w:r>
    </w:p>
    <w:p w14:paraId="08A1051B" w14:textId="77777777" w:rsidR="0095207C" w:rsidRPr="0095207C" w:rsidRDefault="0095207C" w:rsidP="0095207C">
      <w:pPr>
        <w:spacing w:line="360" w:lineRule="auto"/>
        <w:jc w:val="both"/>
        <w:outlineLvl w:val="0"/>
        <w:rPr>
          <w:color w:val="000000"/>
          <w:lang w:val="en" w:eastAsia="es-ES"/>
        </w:rPr>
      </w:pPr>
      <w:r w:rsidRPr="0095207C">
        <w:rPr>
          <w:b/>
          <w:bCs/>
          <w:color w:val="000000"/>
          <w:lang w:val="en" w:eastAsia="es-ES"/>
        </w:rPr>
        <w:t>Methods:</w:t>
      </w:r>
      <w:r w:rsidRPr="0095207C">
        <w:rPr>
          <w:color w:val="000000"/>
          <w:lang w:val="en" w:eastAsia="es-ES"/>
        </w:rPr>
        <w:t xml:space="preserve"> A case-control study was carried out with 33 cases, and 66 controls. Predictor variables: age, ejection fraction ≤ 40%, left atrial volume ≥ 34 mL/m</w:t>
      </w:r>
      <w:r w:rsidRPr="0095207C">
        <w:rPr>
          <w:color w:val="000000"/>
          <w:vertAlign w:val="superscript"/>
          <w:lang w:val="en" w:eastAsia="es-ES"/>
        </w:rPr>
        <w:t>2</w:t>
      </w:r>
      <w:r w:rsidRPr="0095207C">
        <w:rPr>
          <w:color w:val="000000"/>
          <w:lang w:val="en" w:eastAsia="es-ES"/>
        </w:rPr>
        <w:t>. From logistic regression, a model was obtained in which the positive predictive value, negative predictive value, sensitivity and specificity were included.</w:t>
      </w:r>
    </w:p>
    <w:p w14:paraId="244D9335" w14:textId="77777777" w:rsidR="0095207C" w:rsidRPr="0095207C" w:rsidRDefault="0095207C" w:rsidP="0095207C">
      <w:pPr>
        <w:spacing w:line="360" w:lineRule="auto"/>
        <w:jc w:val="both"/>
        <w:outlineLvl w:val="0"/>
        <w:rPr>
          <w:color w:val="000000"/>
          <w:lang w:val="en" w:eastAsia="es-ES"/>
        </w:rPr>
      </w:pPr>
      <w:r w:rsidRPr="0095207C">
        <w:rPr>
          <w:b/>
          <w:bCs/>
          <w:color w:val="000000"/>
          <w:lang w:val="en" w:eastAsia="es-ES"/>
        </w:rPr>
        <w:t>Results:</w:t>
      </w:r>
      <w:r w:rsidRPr="0095207C">
        <w:rPr>
          <w:color w:val="000000"/>
          <w:lang w:val="en" w:eastAsia="es-ES"/>
        </w:rPr>
        <w:t xml:space="preserve"> The predictive risk factors were: age ≥ 55 years (p= 0.013; odds ratio (OR)= 3.58; 95% confidence interval -CI-: 1.33-9.67); left ventricular ejection fraction (LVEF) ≤ 40% was observed in 20 patients (22.7%) (p= 0.004; OR= 4.45; 95% CI: 1.54-12.8); elevated left atrial pressure, elevated left atrial volume (p= 0.004; OR= 3.11; 95% CI: 1.24-8.77), according to the logistic regression model. Internal validation was carried out by data division; It was confirmed that the model predicts very well those who will be successful in the therapeutic result.</w:t>
      </w:r>
    </w:p>
    <w:p w14:paraId="4F152D26" w14:textId="77777777" w:rsidR="0095207C" w:rsidRPr="0095207C" w:rsidRDefault="0095207C" w:rsidP="0095207C">
      <w:pPr>
        <w:spacing w:line="360" w:lineRule="auto"/>
        <w:jc w:val="both"/>
        <w:outlineLvl w:val="0"/>
        <w:rPr>
          <w:color w:val="000000"/>
          <w:lang w:val="en" w:eastAsia="es-ES"/>
        </w:rPr>
      </w:pPr>
      <w:r w:rsidRPr="0095207C">
        <w:rPr>
          <w:b/>
          <w:bCs/>
          <w:color w:val="000000"/>
          <w:lang w:val="en" w:eastAsia="es-ES"/>
        </w:rPr>
        <w:t xml:space="preserve">Conclusions: </w:t>
      </w:r>
      <w:r w:rsidRPr="0095207C">
        <w:rPr>
          <w:color w:val="000000"/>
          <w:lang w:val="en" w:eastAsia="es-ES"/>
        </w:rPr>
        <w:t>The predictive model developed is composed of the predictors age &gt; 55 years, LVEF; left atrial volume; It presents a good fit and discriminating power, especially positive predictive value.</w:t>
      </w:r>
    </w:p>
    <w:p w14:paraId="7A71DCEC" w14:textId="77777777" w:rsidR="0095207C" w:rsidRPr="0095207C" w:rsidRDefault="0095207C" w:rsidP="0095207C">
      <w:pPr>
        <w:spacing w:line="360" w:lineRule="auto"/>
        <w:jc w:val="both"/>
        <w:outlineLvl w:val="0"/>
        <w:rPr>
          <w:color w:val="000000"/>
          <w:lang w:val="en" w:eastAsia="es-ES"/>
        </w:rPr>
      </w:pPr>
      <w:r w:rsidRPr="0095207C">
        <w:rPr>
          <w:b/>
          <w:bCs/>
          <w:color w:val="000000"/>
          <w:lang w:val="en" w:eastAsia="es-ES"/>
        </w:rPr>
        <w:t>Keywords:</w:t>
      </w:r>
      <w:r w:rsidRPr="0095207C">
        <w:rPr>
          <w:color w:val="000000"/>
          <w:lang w:val="en" w:eastAsia="es-ES"/>
        </w:rPr>
        <w:t xml:space="preserve"> atrial fibrillation; predictive model; therapeutics.</w:t>
      </w:r>
    </w:p>
    <w:p w14:paraId="7D354CEE" w14:textId="77777777" w:rsidR="0095207C" w:rsidRPr="0095207C" w:rsidRDefault="0095207C" w:rsidP="0095207C">
      <w:pPr>
        <w:spacing w:line="360" w:lineRule="auto"/>
        <w:jc w:val="both"/>
        <w:outlineLvl w:val="0"/>
        <w:rPr>
          <w:color w:val="000000"/>
          <w:lang w:val="en" w:eastAsia="es-ES"/>
        </w:rPr>
      </w:pPr>
    </w:p>
    <w:p w14:paraId="00D548C4" w14:textId="77777777" w:rsidR="0095207C" w:rsidRPr="0095207C" w:rsidRDefault="0095207C" w:rsidP="0095207C">
      <w:pPr>
        <w:spacing w:line="360" w:lineRule="auto"/>
        <w:jc w:val="both"/>
        <w:outlineLvl w:val="0"/>
        <w:rPr>
          <w:color w:val="000000"/>
          <w:lang w:val="en-US" w:eastAsia="es-ES"/>
        </w:rPr>
      </w:pPr>
    </w:p>
    <w:p w14:paraId="115535E3" w14:textId="77777777" w:rsidR="0095207C" w:rsidRPr="0095207C" w:rsidRDefault="0095207C" w:rsidP="0095207C">
      <w:pPr>
        <w:spacing w:line="360" w:lineRule="auto"/>
        <w:jc w:val="both"/>
        <w:outlineLvl w:val="0"/>
        <w:rPr>
          <w:color w:val="000000"/>
          <w:lang w:val="es-ES" w:eastAsia="es-ES"/>
        </w:rPr>
      </w:pPr>
      <w:r w:rsidRPr="0095207C">
        <w:rPr>
          <w:color w:val="000000"/>
          <w:lang w:val="es-ES" w:eastAsia="es-ES"/>
        </w:rPr>
        <w:t>Recibido: 15/02/2023</w:t>
      </w:r>
    </w:p>
    <w:p w14:paraId="0D00FF2A" w14:textId="77777777" w:rsidR="0095207C" w:rsidRPr="0095207C" w:rsidRDefault="0095207C" w:rsidP="0095207C">
      <w:pPr>
        <w:spacing w:line="360" w:lineRule="auto"/>
        <w:jc w:val="both"/>
        <w:outlineLvl w:val="0"/>
        <w:rPr>
          <w:color w:val="000000"/>
          <w:lang w:val="es-ES" w:eastAsia="es-ES"/>
        </w:rPr>
      </w:pPr>
      <w:r w:rsidRPr="0095207C">
        <w:rPr>
          <w:color w:val="000000"/>
          <w:lang w:val="es-ES" w:eastAsia="es-ES"/>
        </w:rPr>
        <w:t>Aprobado: 06/12/2023</w:t>
      </w:r>
    </w:p>
    <w:p w14:paraId="7A49A7FD" w14:textId="77777777" w:rsidR="0095207C" w:rsidRPr="0095207C" w:rsidRDefault="0095207C" w:rsidP="0095207C">
      <w:pPr>
        <w:spacing w:line="360" w:lineRule="auto"/>
        <w:jc w:val="both"/>
        <w:outlineLvl w:val="0"/>
        <w:rPr>
          <w:color w:val="000000"/>
          <w:lang w:val="es-ES" w:eastAsia="es-ES"/>
        </w:rPr>
      </w:pPr>
    </w:p>
    <w:p w14:paraId="76BE802B" w14:textId="77777777" w:rsidR="0095207C" w:rsidRPr="0095207C" w:rsidRDefault="0095207C" w:rsidP="0095207C">
      <w:pPr>
        <w:spacing w:line="360" w:lineRule="auto"/>
        <w:jc w:val="both"/>
        <w:outlineLvl w:val="0"/>
        <w:rPr>
          <w:b/>
          <w:color w:val="000000"/>
          <w:sz w:val="32"/>
          <w:szCs w:val="32"/>
          <w:lang w:val="es-ES" w:eastAsia="es-ES"/>
        </w:rPr>
      </w:pPr>
    </w:p>
    <w:p w14:paraId="0547DF65" w14:textId="77777777" w:rsidR="0095207C" w:rsidRPr="0095207C" w:rsidRDefault="0095207C" w:rsidP="0095207C">
      <w:pPr>
        <w:spacing w:line="360" w:lineRule="auto"/>
        <w:jc w:val="center"/>
        <w:outlineLvl w:val="0"/>
        <w:rPr>
          <w:b/>
          <w:color w:val="000000"/>
          <w:sz w:val="32"/>
          <w:szCs w:val="32"/>
          <w:lang w:val="es-MX" w:eastAsia="es-ES"/>
        </w:rPr>
      </w:pPr>
      <w:r w:rsidRPr="0095207C">
        <w:rPr>
          <w:b/>
          <w:color w:val="000000"/>
          <w:sz w:val="32"/>
          <w:szCs w:val="32"/>
          <w:lang w:val="es-MX" w:eastAsia="es-ES"/>
        </w:rPr>
        <w:t>INTRODUCCIÓN</w:t>
      </w:r>
      <w:bookmarkStart w:id="3" w:name="_Hlk107485047"/>
    </w:p>
    <w:p w14:paraId="3151DD37" w14:textId="77777777" w:rsidR="0095207C" w:rsidRPr="0095207C" w:rsidRDefault="0095207C" w:rsidP="0095207C">
      <w:pPr>
        <w:spacing w:line="360" w:lineRule="auto"/>
        <w:jc w:val="both"/>
        <w:outlineLvl w:val="0"/>
        <w:rPr>
          <w:color w:val="000000"/>
          <w:lang w:val="es-ES" w:eastAsia="es-ES"/>
        </w:rPr>
      </w:pPr>
      <w:r w:rsidRPr="0095207C">
        <w:rPr>
          <w:color w:val="000000"/>
          <w:lang w:val="es-ES" w:eastAsia="es-ES"/>
        </w:rPr>
        <w:t xml:space="preserve">La fibrilación auricular se mantiene como una causa importante en el mundo, de insuficiencia cardiaca aguda y crónica, accidentes cerebrovasculares y morbilidad. Esto es independiente del conocimiento de sus mecanismos fisiopatológicos y de las herramientas diagnósticas y terapéuticas </w:t>
      </w:r>
      <w:proofErr w:type="gramStart"/>
      <w:r w:rsidRPr="0095207C">
        <w:rPr>
          <w:color w:val="000000"/>
          <w:lang w:val="es-ES" w:eastAsia="es-ES"/>
        </w:rPr>
        <w:t>actuales.</w:t>
      </w:r>
      <w:r w:rsidRPr="0095207C">
        <w:rPr>
          <w:color w:val="000000"/>
          <w:vertAlign w:val="superscript"/>
          <w:lang w:val="es-ES" w:eastAsia="es-ES"/>
        </w:rPr>
        <w:t>(</w:t>
      </w:r>
      <w:proofErr w:type="gramEnd"/>
      <w:r w:rsidRPr="0095207C">
        <w:rPr>
          <w:color w:val="000000"/>
          <w:vertAlign w:val="superscript"/>
          <w:lang w:val="es-ES" w:eastAsia="es-ES"/>
        </w:rPr>
        <w:t>1)</w:t>
      </w:r>
    </w:p>
    <w:p w14:paraId="2CA05150" w14:textId="77777777" w:rsidR="0095207C" w:rsidRPr="0095207C" w:rsidRDefault="0095207C" w:rsidP="0095207C">
      <w:pPr>
        <w:spacing w:line="360" w:lineRule="auto"/>
        <w:jc w:val="both"/>
        <w:outlineLvl w:val="0"/>
        <w:rPr>
          <w:color w:val="000000"/>
          <w:lang w:val="es-ES" w:eastAsia="es-ES"/>
        </w:rPr>
      </w:pPr>
    </w:p>
    <w:p w14:paraId="1D5C24BC" w14:textId="77777777" w:rsidR="0095207C" w:rsidRPr="0095207C" w:rsidRDefault="0095207C" w:rsidP="0095207C">
      <w:pPr>
        <w:spacing w:line="360" w:lineRule="auto"/>
        <w:ind w:left="708"/>
        <w:jc w:val="both"/>
        <w:outlineLvl w:val="0"/>
        <w:rPr>
          <w:color w:val="000000"/>
          <w:vertAlign w:val="superscript"/>
          <w:lang w:val="es-ES" w:eastAsia="es-ES"/>
        </w:rPr>
      </w:pPr>
      <w:r w:rsidRPr="0095207C">
        <w:rPr>
          <w:color w:val="000000"/>
          <w:lang w:val="es-ES" w:eastAsia="es-ES"/>
        </w:rPr>
        <w:t>"La fibrilación auricular es la taquiarritmia sostenida más frecuente del ser humano y su manejo requiere un abordaje holístico para que los resultados sean óptimos. Esta tiene una prevalencia de 0,51 en la población mundial y se sabe que un hombre presenta un 23,8 % de riesgo vital de padecer fibrilación auricular."</w:t>
      </w:r>
      <w:bookmarkEnd w:id="3"/>
      <w:r w:rsidRPr="0095207C">
        <w:rPr>
          <w:color w:val="000000"/>
          <w:vertAlign w:val="superscript"/>
          <w:lang w:val="es-ES" w:eastAsia="es-ES"/>
        </w:rPr>
        <w:t>(2)</w:t>
      </w:r>
      <w:r w:rsidRPr="0095207C">
        <w:rPr>
          <w:color w:val="000000"/>
          <w:lang w:val="es-ES" w:eastAsia="es-ES"/>
        </w:rPr>
        <w:t xml:space="preserve"> </w:t>
      </w:r>
    </w:p>
    <w:p w14:paraId="72F9FC63" w14:textId="77777777" w:rsidR="0095207C" w:rsidRPr="0095207C" w:rsidRDefault="0095207C" w:rsidP="0095207C">
      <w:pPr>
        <w:spacing w:line="360" w:lineRule="auto"/>
        <w:jc w:val="both"/>
        <w:outlineLvl w:val="0"/>
        <w:rPr>
          <w:color w:val="000000"/>
          <w:lang w:val="es-ES" w:eastAsia="es-ES"/>
        </w:rPr>
      </w:pPr>
    </w:p>
    <w:p w14:paraId="7B5455BA" w14:textId="77777777" w:rsidR="0095207C" w:rsidRPr="0095207C" w:rsidRDefault="0095207C" w:rsidP="0095207C">
      <w:pPr>
        <w:spacing w:line="360" w:lineRule="auto"/>
        <w:jc w:val="both"/>
        <w:outlineLvl w:val="0"/>
        <w:rPr>
          <w:color w:val="000000"/>
          <w:lang w:val="es-ES" w:eastAsia="es-ES"/>
        </w:rPr>
      </w:pPr>
      <w:r w:rsidRPr="0095207C">
        <w:rPr>
          <w:color w:val="000000"/>
          <w:lang w:val="es-ES" w:eastAsia="es-ES"/>
        </w:rPr>
        <w:t xml:space="preserve">En términos porcentuales, su prevalencia global varía del 2 al 5 % en pacientes mayores de 60 años y oscila en el 10 % en mayores de 80 </w:t>
      </w:r>
      <w:proofErr w:type="gramStart"/>
      <w:r w:rsidRPr="0095207C">
        <w:rPr>
          <w:color w:val="000000"/>
          <w:lang w:val="es-ES" w:eastAsia="es-ES"/>
        </w:rPr>
        <w:t>años.</w:t>
      </w:r>
      <w:r w:rsidRPr="0095207C">
        <w:rPr>
          <w:color w:val="000000"/>
          <w:vertAlign w:val="superscript"/>
          <w:lang w:val="es-ES" w:eastAsia="es-ES"/>
        </w:rPr>
        <w:t>(</w:t>
      </w:r>
      <w:proofErr w:type="gramEnd"/>
      <w:r w:rsidRPr="0095207C">
        <w:rPr>
          <w:color w:val="000000"/>
          <w:vertAlign w:val="superscript"/>
          <w:lang w:val="es-ES" w:eastAsia="es-ES"/>
        </w:rPr>
        <w:t>3)</w:t>
      </w:r>
    </w:p>
    <w:p w14:paraId="6D69B2D5" w14:textId="77777777" w:rsidR="0095207C" w:rsidRPr="0095207C" w:rsidRDefault="0095207C" w:rsidP="0095207C">
      <w:pPr>
        <w:spacing w:line="360" w:lineRule="auto"/>
        <w:jc w:val="both"/>
        <w:outlineLvl w:val="0"/>
        <w:rPr>
          <w:color w:val="000000"/>
          <w:lang w:val="es-ES" w:eastAsia="es-ES"/>
        </w:rPr>
      </w:pPr>
      <w:r w:rsidRPr="0095207C">
        <w:rPr>
          <w:color w:val="000000"/>
          <w:lang w:val="es-ES" w:eastAsia="es-ES"/>
        </w:rPr>
        <w:t xml:space="preserve">Se relaciona con enfermedades no transmisibles que constituyen en la actualidad pandemias. En este caso se encuentra la enfermedad arterial coronaria y la hipertensión arterial, lo cual genera afectación de la calidad de vida, aumento de la mortalidad y elevados costos </w:t>
      </w:r>
      <w:proofErr w:type="gramStart"/>
      <w:r w:rsidRPr="0095207C">
        <w:rPr>
          <w:color w:val="000000"/>
          <w:lang w:val="es-ES" w:eastAsia="es-ES"/>
        </w:rPr>
        <w:t>socioeconómicos.</w:t>
      </w:r>
      <w:r w:rsidRPr="0095207C">
        <w:rPr>
          <w:color w:val="000000"/>
          <w:vertAlign w:val="superscript"/>
          <w:lang w:val="es-ES" w:eastAsia="es-ES"/>
        </w:rPr>
        <w:t>(</w:t>
      </w:r>
      <w:proofErr w:type="gramEnd"/>
      <w:r w:rsidRPr="0095207C">
        <w:rPr>
          <w:color w:val="000000"/>
          <w:vertAlign w:val="superscript"/>
          <w:lang w:val="es-ES" w:eastAsia="es-ES"/>
        </w:rPr>
        <w:t>1)</w:t>
      </w:r>
      <w:r w:rsidRPr="0095207C">
        <w:rPr>
          <w:color w:val="000000"/>
          <w:lang w:val="es-ES" w:eastAsia="es-ES"/>
        </w:rPr>
        <w:t xml:space="preserve"> </w:t>
      </w:r>
    </w:p>
    <w:p w14:paraId="0AFE95BC" w14:textId="77777777" w:rsidR="0095207C" w:rsidRPr="0095207C" w:rsidRDefault="0095207C" w:rsidP="0095207C">
      <w:pPr>
        <w:spacing w:line="360" w:lineRule="auto"/>
        <w:jc w:val="both"/>
        <w:outlineLvl w:val="0"/>
        <w:rPr>
          <w:color w:val="000000"/>
          <w:lang w:val="es-ES" w:eastAsia="es-ES"/>
        </w:rPr>
      </w:pPr>
      <w:bookmarkStart w:id="4" w:name="_Hlk107485099"/>
      <w:r w:rsidRPr="0095207C">
        <w:rPr>
          <w:color w:val="000000"/>
          <w:lang w:val="es-ES" w:eastAsia="es-ES"/>
        </w:rPr>
        <w:t>"Esta enfermedad se considera la epidemia cardiovascular del siglo XXI</w:t>
      </w:r>
      <w:bookmarkEnd w:id="4"/>
      <w:r w:rsidRPr="0095207C">
        <w:rPr>
          <w:color w:val="000000"/>
          <w:lang w:val="es-ES" w:eastAsia="es-ES"/>
        </w:rPr>
        <w:t>,</w:t>
      </w:r>
      <w:r w:rsidRPr="0095207C">
        <w:rPr>
          <w:color w:val="000000"/>
          <w:vertAlign w:val="superscript"/>
          <w:lang w:val="es-ES" w:eastAsia="es-ES"/>
        </w:rPr>
        <w:t xml:space="preserve"> </w:t>
      </w:r>
      <w:r w:rsidRPr="0095207C">
        <w:rPr>
          <w:color w:val="000000"/>
          <w:lang w:val="es-ES" w:eastAsia="es-ES"/>
        </w:rPr>
        <w:t>en conjunto con la insuficiencia cardíaca congestiva, la diabetes tipo 2 y el síndrome metabólico",</w:t>
      </w:r>
      <w:r w:rsidRPr="0095207C">
        <w:rPr>
          <w:color w:val="000000"/>
          <w:vertAlign w:val="superscript"/>
          <w:lang w:val="es-ES" w:eastAsia="es-ES"/>
        </w:rPr>
        <w:t xml:space="preserve"> (1)</w:t>
      </w:r>
      <w:r w:rsidRPr="0095207C">
        <w:rPr>
          <w:color w:val="000000"/>
          <w:lang w:val="es-ES" w:eastAsia="es-ES"/>
        </w:rPr>
        <w:t xml:space="preserve"> por lo que, alrededor de 1 de cada 6 pacientes con diagnóstico de enfermedad cerebrovascular presenta fibrilación auricular y un número de factores de riesgo adicionales.</w:t>
      </w:r>
    </w:p>
    <w:p w14:paraId="63C3069D" w14:textId="77777777" w:rsidR="0095207C" w:rsidRPr="0095207C" w:rsidRDefault="0095207C" w:rsidP="0095207C">
      <w:pPr>
        <w:spacing w:line="360" w:lineRule="auto"/>
        <w:jc w:val="both"/>
        <w:outlineLvl w:val="0"/>
        <w:rPr>
          <w:color w:val="000000"/>
          <w:lang w:val="es-ES" w:eastAsia="es-ES"/>
        </w:rPr>
      </w:pPr>
      <w:r w:rsidRPr="0095207C">
        <w:rPr>
          <w:color w:val="000000"/>
          <w:lang w:val="es-ES" w:eastAsia="es-ES"/>
        </w:rPr>
        <w:t xml:space="preserve">Según </w:t>
      </w:r>
      <w:r w:rsidRPr="0095207C">
        <w:rPr>
          <w:i/>
          <w:color w:val="000000"/>
          <w:lang w:val="es-ES" w:eastAsia="es-ES"/>
        </w:rPr>
        <w:t>Iglesias Pérez</w:t>
      </w:r>
      <w:r w:rsidRPr="0095207C">
        <w:rPr>
          <w:iCs/>
          <w:color w:val="000000"/>
          <w:lang w:val="es-ES" w:eastAsia="es-ES"/>
        </w:rPr>
        <w:t>, citado</w:t>
      </w:r>
      <w:r w:rsidRPr="0095207C">
        <w:rPr>
          <w:color w:val="000000"/>
          <w:lang w:val="es-ES" w:eastAsia="es-ES"/>
        </w:rPr>
        <w:t xml:space="preserve"> por </w:t>
      </w:r>
      <w:r w:rsidRPr="0095207C">
        <w:rPr>
          <w:i/>
          <w:color w:val="000000"/>
          <w:lang w:val="es-ES" w:eastAsia="es-ES"/>
        </w:rPr>
        <w:t xml:space="preserve">Hernández </w:t>
      </w:r>
      <w:r w:rsidRPr="0095207C">
        <w:rPr>
          <w:color w:val="000000"/>
          <w:lang w:val="es-ES" w:eastAsia="es-ES"/>
        </w:rPr>
        <w:t xml:space="preserve">y </w:t>
      </w:r>
      <w:proofErr w:type="gramStart"/>
      <w:r w:rsidRPr="0095207C">
        <w:rPr>
          <w:color w:val="000000"/>
          <w:lang w:val="es-ES" w:eastAsia="es-ES"/>
        </w:rPr>
        <w:t>otros,</w:t>
      </w:r>
      <w:r w:rsidRPr="0095207C">
        <w:rPr>
          <w:color w:val="000000"/>
          <w:vertAlign w:val="superscript"/>
          <w:lang w:val="es-ES" w:eastAsia="es-ES"/>
        </w:rPr>
        <w:t>(</w:t>
      </w:r>
      <w:proofErr w:type="gramEnd"/>
      <w:r w:rsidRPr="0095207C">
        <w:rPr>
          <w:color w:val="000000"/>
          <w:vertAlign w:val="superscript"/>
          <w:lang w:val="es-ES" w:eastAsia="es-ES"/>
        </w:rPr>
        <w:t xml:space="preserve">4) </w:t>
      </w:r>
      <w:r w:rsidRPr="0095207C">
        <w:rPr>
          <w:color w:val="000000"/>
          <w:lang w:val="es-ES" w:eastAsia="es-ES"/>
        </w:rPr>
        <w:t xml:space="preserve">refleja el problema serio que representa la fibrilación auricular en regiones de Europa, con cifras cercanas a 6 millones de habitantes afectados, y </w:t>
      </w:r>
      <w:r w:rsidRPr="0095207C">
        <w:rPr>
          <w:color w:val="000000"/>
          <w:lang w:val="es-ES" w:eastAsia="es-ES"/>
        </w:rPr>
        <w:lastRenderedPageBreak/>
        <w:t xml:space="preserve">de 2 millones de casos en EE. UU. Según el Anuario estadístico de </w:t>
      </w:r>
      <w:proofErr w:type="gramStart"/>
      <w:r w:rsidRPr="0095207C">
        <w:rPr>
          <w:color w:val="000000"/>
          <w:lang w:val="es-ES" w:eastAsia="es-ES"/>
        </w:rPr>
        <w:t>Cuba,</w:t>
      </w:r>
      <w:r w:rsidRPr="0095207C">
        <w:rPr>
          <w:color w:val="000000"/>
          <w:vertAlign w:val="superscript"/>
          <w:lang w:val="es-ES" w:eastAsia="es-ES"/>
        </w:rPr>
        <w:t>(</w:t>
      </w:r>
      <w:proofErr w:type="gramEnd"/>
      <w:r w:rsidRPr="0095207C">
        <w:rPr>
          <w:color w:val="000000"/>
          <w:vertAlign w:val="superscript"/>
          <w:lang w:val="es-ES" w:eastAsia="es-ES"/>
        </w:rPr>
        <w:t xml:space="preserve">5) </w:t>
      </w:r>
      <w:r w:rsidRPr="0095207C">
        <w:rPr>
          <w:color w:val="000000"/>
          <w:lang w:val="es-ES" w:eastAsia="es-ES"/>
        </w:rPr>
        <w:t>en 2019 hubo 25 684 defunciones por enfermedades del corazón, con una tasa de 228,2 por 100 000 habitantes. La tasa de mortalidad en mayores de 65 años es de 1023,8 x 100 000 habitantes.</w:t>
      </w:r>
    </w:p>
    <w:bookmarkEnd w:id="2"/>
    <w:p w14:paraId="4BE1B384" w14:textId="1869A334" w:rsidR="0095207C" w:rsidRPr="0095207C" w:rsidRDefault="0095207C" w:rsidP="0095207C">
      <w:pPr>
        <w:spacing w:line="360" w:lineRule="auto"/>
        <w:jc w:val="both"/>
        <w:rPr>
          <w:lang w:val="es-ES" w:eastAsia="es-ES"/>
        </w:rPr>
      </w:pPr>
      <w:r w:rsidRPr="0095207C">
        <w:rPr>
          <w:lang w:val="es-ES" w:eastAsia="es-ES"/>
        </w:rPr>
        <w:t xml:space="preserve">Algunos autores, tales como </w:t>
      </w:r>
      <w:r w:rsidRPr="0095207C">
        <w:rPr>
          <w:i/>
          <w:lang w:val="es-ES" w:eastAsia="es-ES"/>
        </w:rPr>
        <w:t xml:space="preserve">Álvarez </w:t>
      </w:r>
      <w:r w:rsidRPr="0095207C">
        <w:rPr>
          <w:iCs/>
          <w:lang w:val="es-ES" w:eastAsia="es-ES"/>
        </w:rPr>
        <w:t xml:space="preserve">y </w:t>
      </w:r>
      <w:proofErr w:type="gramStart"/>
      <w:r w:rsidRPr="0095207C">
        <w:rPr>
          <w:iCs/>
          <w:lang w:val="es-ES" w:eastAsia="es-ES"/>
        </w:rPr>
        <w:t>otros</w:t>
      </w:r>
      <w:r w:rsidRPr="0095207C">
        <w:rPr>
          <w:vertAlign w:val="superscript"/>
          <w:lang w:val="es-ES" w:eastAsia="es-ES"/>
        </w:rPr>
        <w:t>(</w:t>
      </w:r>
      <w:proofErr w:type="gramEnd"/>
      <w:r w:rsidRPr="0095207C">
        <w:rPr>
          <w:vertAlign w:val="superscript"/>
          <w:lang w:val="es-ES" w:eastAsia="es-ES"/>
        </w:rPr>
        <w:t>6)</w:t>
      </w:r>
      <w:r w:rsidRPr="0095207C">
        <w:rPr>
          <w:lang w:val="es-ES" w:eastAsia="es-ES"/>
        </w:rPr>
        <w:t xml:space="preserve"> y </w:t>
      </w:r>
      <w:r w:rsidRPr="0095207C">
        <w:rPr>
          <w:i/>
          <w:lang w:val="es-ES" w:eastAsia="es-ES"/>
        </w:rPr>
        <w:t>Sagaró</w:t>
      </w:r>
      <w:r w:rsidRPr="0095207C">
        <w:rPr>
          <w:iCs/>
          <w:lang w:val="es-ES" w:eastAsia="es-ES"/>
        </w:rPr>
        <w:t xml:space="preserve"> y otros,</w:t>
      </w:r>
      <w:r w:rsidRPr="0095207C">
        <w:rPr>
          <w:vertAlign w:val="superscript"/>
          <w:lang w:val="es-ES" w:eastAsia="es-ES"/>
        </w:rPr>
        <w:t>(7)</w:t>
      </w:r>
      <w:r w:rsidRPr="0095207C">
        <w:rPr>
          <w:lang w:val="es-ES" w:eastAsia="es-ES"/>
        </w:rPr>
        <w:t xml:space="preserve"> afirman que los métodos multivariables tienen amplio uso en las investigaciones biomédicas, con la finalidad de explicar las interacciones que existen entre variables o determinar los factores que influyen en un episodio adverso determinado. Se obtiene como resultado un modelo simple que tenga una perspectiva biológica, se ajuste a los datos y aporte predicciones adecuadas al aplicarlo en la práctica médica. </w:t>
      </w:r>
    </w:p>
    <w:p w14:paraId="2CB099CF" w14:textId="77777777" w:rsidR="0095207C" w:rsidRPr="0095207C" w:rsidRDefault="0095207C" w:rsidP="0095207C">
      <w:pPr>
        <w:spacing w:line="360" w:lineRule="auto"/>
        <w:jc w:val="both"/>
        <w:rPr>
          <w:lang w:val="es-ES" w:eastAsia="es-ES"/>
        </w:rPr>
      </w:pPr>
      <w:r w:rsidRPr="0095207C">
        <w:rPr>
          <w:lang w:val="es-ES" w:eastAsia="es-ES"/>
        </w:rPr>
        <w:t>Por lo anterior expuesto según la literatura se formula la siguiente hipótesis de investigación: un modelo, basado en parámetros clínicos y ecocardiográficos, predice el resultado de la cardioversión eléctrica, en pacientes con fibrilación auricular paroxística.</w:t>
      </w:r>
    </w:p>
    <w:p w14:paraId="0E095F49" w14:textId="77777777" w:rsidR="0095207C" w:rsidRPr="0095207C" w:rsidRDefault="0095207C" w:rsidP="0095207C">
      <w:pPr>
        <w:spacing w:line="360" w:lineRule="auto"/>
        <w:jc w:val="both"/>
        <w:rPr>
          <w:bCs/>
          <w:lang w:val="es-ES" w:eastAsia="es-ES"/>
        </w:rPr>
      </w:pPr>
      <w:bookmarkStart w:id="5" w:name="_Hlk107478718"/>
      <w:r w:rsidRPr="0095207C">
        <w:rPr>
          <w:lang w:val="es-ES" w:eastAsia="es-ES"/>
        </w:rPr>
        <w:t>El objetivo</w:t>
      </w:r>
      <w:bookmarkEnd w:id="5"/>
      <w:r w:rsidRPr="0095207C">
        <w:rPr>
          <w:lang w:val="es-ES" w:eastAsia="es-ES"/>
        </w:rPr>
        <w:t xml:space="preserve"> de esta investigación es </w:t>
      </w:r>
      <w:r w:rsidRPr="0095207C">
        <w:rPr>
          <w:bCs/>
          <w:lang w:val="es-ES" w:eastAsia="es-ES"/>
        </w:rPr>
        <w:t>diseñar un modelo matemático, predictivo del resultado de la terapia eléctrica, en pacientes con fibrilación auricular paroxística.</w:t>
      </w:r>
    </w:p>
    <w:p w14:paraId="18993921" w14:textId="77777777" w:rsidR="0095207C" w:rsidRPr="0095207C" w:rsidRDefault="0095207C" w:rsidP="0095207C">
      <w:pPr>
        <w:spacing w:line="360" w:lineRule="auto"/>
        <w:jc w:val="both"/>
        <w:rPr>
          <w:lang w:val="es-ES" w:eastAsia="es-ES"/>
        </w:rPr>
      </w:pPr>
    </w:p>
    <w:p w14:paraId="49317703" w14:textId="77777777" w:rsidR="0095207C" w:rsidRPr="0095207C" w:rsidRDefault="0095207C" w:rsidP="0095207C">
      <w:pPr>
        <w:spacing w:line="360" w:lineRule="auto"/>
        <w:jc w:val="center"/>
        <w:outlineLvl w:val="0"/>
        <w:rPr>
          <w:b/>
          <w:color w:val="000000"/>
          <w:sz w:val="32"/>
          <w:szCs w:val="32"/>
          <w:lang w:val="es-ES" w:eastAsia="es-ES"/>
        </w:rPr>
      </w:pPr>
      <w:bookmarkStart w:id="6" w:name="_Hlk118964795"/>
    </w:p>
    <w:p w14:paraId="09AF87A2" w14:textId="77777777" w:rsidR="0095207C" w:rsidRPr="0095207C" w:rsidRDefault="0095207C" w:rsidP="0095207C">
      <w:pPr>
        <w:spacing w:line="360" w:lineRule="auto"/>
        <w:jc w:val="center"/>
        <w:outlineLvl w:val="0"/>
        <w:rPr>
          <w:b/>
          <w:color w:val="000000"/>
          <w:sz w:val="32"/>
          <w:szCs w:val="32"/>
          <w:lang w:val="es-ES" w:eastAsia="es-ES"/>
        </w:rPr>
      </w:pPr>
      <w:r w:rsidRPr="0095207C">
        <w:rPr>
          <w:b/>
          <w:color w:val="000000"/>
          <w:sz w:val="32"/>
          <w:szCs w:val="32"/>
          <w:lang w:val="es-ES" w:eastAsia="es-ES"/>
        </w:rPr>
        <w:t>MÉTODOS</w:t>
      </w:r>
    </w:p>
    <w:p w14:paraId="2DF307A7" w14:textId="77777777" w:rsidR="0095207C" w:rsidRPr="0095207C" w:rsidRDefault="0095207C" w:rsidP="0095207C">
      <w:pPr>
        <w:spacing w:line="360" w:lineRule="auto"/>
        <w:jc w:val="center"/>
        <w:outlineLvl w:val="0"/>
        <w:rPr>
          <w:b/>
          <w:color w:val="000000"/>
          <w:sz w:val="28"/>
          <w:szCs w:val="28"/>
          <w:lang w:val="es-ES" w:eastAsia="es-ES"/>
        </w:rPr>
      </w:pPr>
      <w:r w:rsidRPr="0095207C">
        <w:rPr>
          <w:b/>
          <w:color w:val="000000"/>
          <w:sz w:val="28"/>
          <w:szCs w:val="28"/>
          <w:lang w:val="es-ES" w:eastAsia="es-ES"/>
        </w:rPr>
        <w:t>Diseño</w:t>
      </w:r>
    </w:p>
    <w:p w14:paraId="5F79552D" w14:textId="77777777" w:rsidR="0095207C" w:rsidRPr="0095207C" w:rsidRDefault="0095207C" w:rsidP="0095207C">
      <w:pPr>
        <w:spacing w:line="360" w:lineRule="auto"/>
        <w:jc w:val="both"/>
        <w:rPr>
          <w:color w:val="000000"/>
          <w:lang w:val="es-MX" w:eastAsia="x-none" w:bidi="x-none"/>
        </w:rPr>
      </w:pPr>
      <w:r w:rsidRPr="0095207C">
        <w:rPr>
          <w:color w:val="000000"/>
          <w:lang w:val="es-ES" w:eastAsia="x-none" w:bidi="x-none"/>
        </w:rPr>
        <w:t xml:space="preserve">Se realizó un estudio analítico de casos y controles, </w:t>
      </w:r>
      <w:r w:rsidRPr="0095207C">
        <w:rPr>
          <w:color w:val="000000"/>
          <w:lang w:val="es-MX" w:eastAsia="x-none" w:bidi="x-none"/>
        </w:rPr>
        <w:t>en el</w:t>
      </w:r>
      <w:r w:rsidRPr="0095207C">
        <w:rPr>
          <w:color w:val="000000"/>
          <w:lang w:val="es-ES" w:eastAsia="x-none" w:bidi="x-none"/>
        </w:rPr>
        <w:t xml:space="preserve"> </w:t>
      </w:r>
      <w:r w:rsidRPr="0095207C">
        <w:rPr>
          <w:color w:val="000000"/>
          <w:lang w:val="es-MX" w:eastAsia="x-none" w:bidi="x-none"/>
        </w:rPr>
        <w:t>Centro de Cirugía Cardiovascular y Cardiología de Santiago de Cuba, Cuba, durante el periodo comprendido entre los años 2017 al 2021.</w:t>
      </w:r>
    </w:p>
    <w:p w14:paraId="4CC59270" w14:textId="77777777" w:rsidR="0095207C" w:rsidRPr="0095207C" w:rsidRDefault="0095207C" w:rsidP="0095207C">
      <w:pPr>
        <w:spacing w:line="360" w:lineRule="auto"/>
        <w:jc w:val="center"/>
        <w:rPr>
          <w:b/>
          <w:color w:val="000000"/>
          <w:sz w:val="28"/>
          <w:szCs w:val="28"/>
          <w:lang w:val="es-MX" w:eastAsia="x-none" w:bidi="x-none"/>
        </w:rPr>
      </w:pPr>
      <w:r w:rsidRPr="0095207C">
        <w:rPr>
          <w:b/>
          <w:color w:val="000000"/>
          <w:sz w:val="28"/>
          <w:szCs w:val="28"/>
          <w:lang w:val="es-MX" w:eastAsia="x-none" w:bidi="x-none"/>
        </w:rPr>
        <w:t>Sujetos</w:t>
      </w:r>
    </w:p>
    <w:p w14:paraId="528FAC87" w14:textId="77777777" w:rsidR="0095207C" w:rsidRPr="0095207C" w:rsidRDefault="0095207C" w:rsidP="0095207C">
      <w:pPr>
        <w:spacing w:line="360" w:lineRule="auto"/>
        <w:jc w:val="both"/>
        <w:rPr>
          <w:color w:val="000000"/>
          <w:lang w:val="es-ES" w:eastAsia="x-none" w:bidi="x-none"/>
        </w:rPr>
      </w:pPr>
      <w:r w:rsidRPr="0095207C">
        <w:rPr>
          <w:color w:val="000000"/>
          <w:lang w:val="es-MX" w:eastAsia="x-none" w:bidi="x-none"/>
        </w:rPr>
        <w:t>De 1153 pacientes atendidos en el periodo, con el</w:t>
      </w:r>
      <w:r w:rsidRPr="0095207C">
        <w:rPr>
          <w:color w:val="000000"/>
          <w:lang w:val="es-ES" w:eastAsia="x-none" w:bidi="x-none"/>
        </w:rPr>
        <w:t xml:space="preserve"> diagnóstico de fibrilación auricular paroxística, se seleccionaron 288, que recibieron tratamiento con cardioversión eléctrica. Con el paquete estadístico EPIDAT, versión 4.2, se calculó el tamaño mínimo muestral de los casos basado en la fórmula descrita por </w:t>
      </w:r>
      <w:r w:rsidRPr="0095207C">
        <w:rPr>
          <w:i/>
          <w:color w:val="000000"/>
          <w:lang w:val="es-ES" w:eastAsia="x-none" w:bidi="x-none"/>
        </w:rPr>
        <w:t>Soto</w:t>
      </w:r>
      <w:r w:rsidRPr="0095207C">
        <w:rPr>
          <w:color w:val="000000"/>
          <w:lang w:val="es-ES" w:eastAsia="x-none" w:bidi="x-none"/>
        </w:rPr>
        <w:t xml:space="preserve"> y </w:t>
      </w:r>
      <w:proofErr w:type="gramStart"/>
      <w:r w:rsidRPr="0095207C">
        <w:rPr>
          <w:color w:val="000000"/>
          <w:lang w:val="es-ES" w:eastAsia="x-none" w:bidi="x-none"/>
        </w:rPr>
        <w:t>otros.</w:t>
      </w:r>
      <w:r w:rsidRPr="0095207C">
        <w:rPr>
          <w:color w:val="000000"/>
          <w:vertAlign w:val="superscript"/>
          <w:lang w:val="es-ES" w:eastAsia="x-none" w:bidi="x-none"/>
        </w:rPr>
        <w:t>(</w:t>
      </w:r>
      <w:proofErr w:type="gramEnd"/>
      <w:r w:rsidRPr="0095207C">
        <w:rPr>
          <w:color w:val="000000"/>
          <w:vertAlign w:val="superscript"/>
          <w:lang w:val="es-ES" w:eastAsia="x-none" w:bidi="x-none"/>
        </w:rPr>
        <w:t>8)</w:t>
      </w:r>
      <w:r w:rsidRPr="0095207C">
        <w:rPr>
          <w:color w:val="000000"/>
          <w:lang w:val="es-ES" w:eastAsia="x-none" w:bidi="x-none"/>
        </w:rPr>
        <w:t xml:space="preserve"> </w:t>
      </w:r>
    </w:p>
    <w:p w14:paraId="6CDA88B6" w14:textId="77777777" w:rsidR="0095207C" w:rsidRPr="0095207C" w:rsidRDefault="0095207C" w:rsidP="0095207C">
      <w:pPr>
        <w:spacing w:line="360" w:lineRule="auto"/>
        <w:jc w:val="both"/>
        <w:rPr>
          <w:color w:val="000000"/>
          <w:lang w:val="es-ES" w:eastAsia="x-none" w:bidi="x-none"/>
        </w:rPr>
      </w:pPr>
    </w:p>
    <w:p w14:paraId="16BBADDF" w14:textId="77777777" w:rsidR="0095207C" w:rsidRPr="0095207C" w:rsidRDefault="0095207C" w:rsidP="0095207C">
      <w:pPr>
        <w:spacing w:line="360" w:lineRule="auto"/>
        <w:jc w:val="center"/>
        <w:rPr>
          <w:color w:val="000000"/>
          <w:lang w:val="es-ES" w:eastAsia="x-none" w:bidi="x-none"/>
        </w:rPr>
      </w:pPr>
      <w:r w:rsidRPr="0095207C">
        <w:rPr>
          <w:color w:val="000000"/>
          <w:lang w:val="es-ES" w:eastAsia="x-none" w:bidi="x-none"/>
        </w:rPr>
        <w:t>Nc</w:t>
      </w:r>
      <w:r w:rsidRPr="0095207C">
        <w:rPr>
          <w:color w:val="000000"/>
          <w:vertAlign w:val="subscript"/>
          <w:lang w:val="es-ES" w:eastAsia="x-none" w:bidi="x-none"/>
        </w:rPr>
        <w:t>=</w:t>
      </w:r>
      <m:oMath>
        <m:f>
          <m:fPr>
            <m:ctrlPr>
              <w:rPr>
                <w:rFonts w:ascii="Cambria Math" w:hAnsi="Cambria Math"/>
                <w:i/>
                <w:color w:val="000000"/>
                <w:lang w:val="es-ES" w:eastAsia="x-none" w:bidi="x-none"/>
              </w:rPr>
            </m:ctrlPr>
          </m:fPr>
          <m:num>
            <m:d>
              <m:dPr>
                <m:ctrlPr>
                  <w:rPr>
                    <w:rFonts w:ascii="Cambria Math" w:hAnsi="Cambria Math"/>
                    <w:i/>
                    <w:color w:val="000000"/>
                    <w:lang w:val="es-ES" w:eastAsia="x-none" w:bidi="x-none"/>
                  </w:rPr>
                </m:ctrlPr>
              </m:dPr>
              <m:e>
                <m:r>
                  <w:rPr>
                    <w:rFonts w:ascii="Cambria Math" w:hAnsi="Cambria Math"/>
                    <w:color w:val="000000"/>
                    <w:lang w:val="es-ES" w:eastAsia="x-none" w:bidi="x-none"/>
                  </w:rPr>
                  <m:t>p1xq1+p2xq2</m:t>
                </m:r>
              </m:e>
            </m:d>
            <m:r>
              <w:rPr>
                <w:rFonts w:ascii="Cambria Math" w:hAnsi="Cambria Math"/>
                <w:color w:val="000000"/>
                <w:lang w:val="es-ES" w:eastAsia="x-none" w:bidi="x-none"/>
              </w:rPr>
              <m:t>x</m:t>
            </m:r>
            <m:sSup>
              <m:sSupPr>
                <m:ctrlPr>
                  <w:rPr>
                    <w:rFonts w:ascii="Cambria Math" w:hAnsi="Cambria Math"/>
                    <w:i/>
                    <w:color w:val="000000"/>
                    <w:lang w:val="es-ES" w:eastAsia="x-none" w:bidi="x-none"/>
                  </w:rPr>
                </m:ctrlPr>
              </m:sSupPr>
              <m:e>
                <m:d>
                  <m:dPr>
                    <m:ctrlPr>
                      <w:rPr>
                        <w:rFonts w:ascii="Cambria Math" w:hAnsi="Cambria Math"/>
                        <w:i/>
                        <w:color w:val="000000"/>
                        <w:lang w:val="es-ES" w:eastAsia="x-none" w:bidi="x-none"/>
                      </w:rPr>
                    </m:ctrlPr>
                  </m:dPr>
                  <m:e>
                    <m:r>
                      <w:rPr>
                        <w:rFonts w:ascii="Cambria Math" w:hAnsi="Cambria Math"/>
                        <w:color w:val="000000"/>
                        <w:lang w:val="es-ES" w:eastAsia="x-none" w:bidi="x-none"/>
                      </w:rPr>
                      <m:t>Za+Zβ</m:t>
                    </m:r>
                  </m:e>
                </m:d>
              </m:e>
              <m:sup>
                <m:r>
                  <w:rPr>
                    <w:rFonts w:ascii="Cambria Math" w:hAnsi="Cambria Math"/>
                    <w:color w:val="000000"/>
                    <w:lang w:val="es-ES" w:eastAsia="x-none" w:bidi="x-none"/>
                  </w:rPr>
                  <m:t>2</m:t>
                </m:r>
              </m:sup>
            </m:sSup>
          </m:num>
          <m:den>
            <m:sSup>
              <m:sSupPr>
                <m:ctrlPr>
                  <w:rPr>
                    <w:rFonts w:ascii="Cambria Math" w:hAnsi="Cambria Math"/>
                    <w:i/>
                    <w:color w:val="000000"/>
                    <w:lang w:val="es-ES" w:eastAsia="x-none" w:bidi="x-none"/>
                  </w:rPr>
                </m:ctrlPr>
              </m:sSupPr>
              <m:e>
                <m:r>
                  <w:rPr>
                    <w:rFonts w:ascii="Cambria Math" w:hAnsi="Cambria Math"/>
                    <w:color w:val="000000"/>
                    <w:lang w:val="es-ES" w:eastAsia="x-none" w:bidi="x-none"/>
                  </w:rPr>
                  <m:t>(p1-p2)</m:t>
                </m:r>
              </m:e>
              <m:sup>
                <m:r>
                  <w:rPr>
                    <w:rFonts w:ascii="Cambria Math" w:hAnsi="Cambria Math"/>
                    <w:color w:val="000000"/>
                    <w:lang w:val="es-ES" w:eastAsia="x-none" w:bidi="x-none"/>
                  </w:rPr>
                  <m:t>2</m:t>
                </m:r>
              </m:sup>
            </m:sSup>
          </m:den>
        </m:f>
      </m:oMath>
    </w:p>
    <w:p w14:paraId="390A1250" w14:textId="77777777" w:rsidR="0095207C" w:rsidRPr="0095207C" w:rsidRDefault="0095207C" w:rsidP="0095207C">
      <w:pPr>
        <w:spacing w:line="360" w:lineRule="auto"/>
        <w:jc w:val="center"/>
        <w:rPr>
          <w:color w:val="000000"/>
          <w:lang w:val="es-ES" w:eastAsia="x-none" w:bidi="x-none"/>
        </w:rPr>
      </w:pPr>
    </w:p>
    <w:p w14:paraId="526D59C8" w14:textId="77777777" w:rsidR="0095207C" w:rsidRPr="0095207C" w:rsidRDefault="0095207C" w:rsidP="0095207C">
      <w:pPr>
        <w:spacing w:line="360" w:lineRule="auto"/>
        <w:jc w:val="both"/>
        <w:rPr>
          <w:color w:val="000000"/>
          <w:lang w:val="es-ES" w:eastAsia="x-none" w:bidi="x-none"/>
        </w:rPr>
      </w:pPr>
      <w:r w:rsidRPr="0095207C">
        <w:rPr>
          <w:color w:val="000000"/>
          <w:lang w:val="es-ES" w:eastAsia="x-none" w:bidi="x-none"/>
        </w:rPr>
        <w:lastRenderedPageBreak/>
        <w:t xml:space="preserve">Donde: </w:t>
      </w:r>
    </w:p>
    <w:p w14:paraId="481A3BE0" w14:textId="77777777" w:rsidR="0095207C" w:rsidRPr="0095207C" w:rsidRDefault="0095207C" w:rsidP="0095207C">
      <w:pPr>
        <w:spacing w:line="360" w:lineRule="auto"/>
        <w:jc w:val="both"/>
        <w:rPr>
          <w:color w:val="000000"/>
          <w:lang w:val="es-ES" w:eastAsia="x-none" w:bidi="x-none"/>
        </w:rPr>
      </w:pPr>
      <w:r w:rsidRPr="0095207C">
        <w:rPr>
          <w:color w:val="000000"/>
          <w:lang w:val="es-ES" w:eastAsia="x-none" w:bidi="x-none"/>
        </w:rPr>
        <w:t>nc= número de casos y número de controles sin ajuste</w:t>
      </w:r>
    </w:p>
    <w:p w14:paraId="3177E1A2" w14:textId="77777777" w:rsidR="0095207C" w:rsidRPr="0095207C" w:rsidRDefault="0095207C" w:rsidP="0095207C">
      <w:pPr>
        <w:spacing w:line="360" w:lineRule="auto"/>
        <w:jc w:val="both"/>
        <w:rPr>
          <w:lang w:val="es-ES" w:eastAsia="x-none" w:bidi="x-none"/>
        </w:rPr>
      </w:pPr>
      <w:r w:rsidRPr="0095207C">
        <w:rPr>
          <w:color w:val="000000"/>
          <w:lang w:val="es-ES" w:eastAsia="x-none" w:bidi="x-none"/>
        </w:rPr>
        <w:t xml:space="preserve">p1= </w:t>
      </w:r>
      <w:r w:rsidRPr="0095207C">
        <w:rPr>
          <w:lang w:val="es-ES" w:eastAsia="x-none" w:bidi="x-none"/>
        </w:rPr>
        <w:t>proporción esperada entre los casos; (0,20)</w:t>
      </w:r>
    </w:p>
    <w:p w14:paraId="5F17D4D9" w14:textId="77777777" w:rsidR="0095207C" w:rsidRPr="0095207C" w:rsidRDefault="0095207C" w:rsidP="0095207C">
      <w:pPr>
        <w:spacing w:line="360" w:lineRule="auto"/>
        <w:jc w:val="both"/>
        <w:rPr>
          <w:color w:val="000000"/>
          <w:lang w:val="es-ES" w:eastAsia="x-none" w:bidi="x-none"/>
        </w:rPr>
      </w:pPr>
      <w:r w:rsidRPr="0095207C">
        <w:rPr>
          <w:color w:val="000000"/>
          <w:lang w:val="es-ES" w:eastAsia="x-none" w:bidi="x-none"/>
        </w:rPr>
        <w:t xml:space="preserve">q1= 1-p1 </w:t>
      </w:r>
    </w:p>
    <w:p w14:paraId="304D703C" w14:textId="77777777" w:rsidR="0095207C" w:rsidRPr="0095207C" w:rsidRDefault="0095207C" w:rsidP="0095207C">
      <w:pPr>
        <w:spacing w:line="360" w:lineRule="auto"/>
        <w:jc w:val="both"/>
        <w:rPr>
          <w:lang w:val="es-ES" w:eastAsia="x-none" w:bidi="x-none"/>
        </w:rPr>
      </w:pPr>
      <w:r w:rsidRPr="0095207C">
        <w:rPr>
          <w:color w:val="000000"/>
          <w:lang w:val="es-ES" w:eastAsia="x-none" w:bidi="x-none"/>
        </w:rPr>
        <w:t xml:space="preserve">p2= </w:t>
      </w:r>
      <w:r w:rsidRPr="0095207C">
        <w:rPr>
          <w:lang w:val="es-ES" w:eastAsia="x-none" w:bidi="x-none"/>
        </w:rPr>
        <w:t>proporción esperada entre los controles (0,5)</w:t>
      </w:r>
    </w:p>
    <w:p w14:paraId="25D77AC0" w14:textId="77777777" w:rsidR="0095207C" w:rsidRPr="0095207C" w:rsidRDefault="0095207C" w:rsidP="0095207C">
      <w:pPr>
        <w:spacing w:line="360" w:lineRule="auto"/>
        <w:jc w:val="both"/>
        <w:rPr>
          <w:color w:val="000000"/>
          <w:lang w:val="es-ES" w:eastAsia="x-none" w:bidi="x-none"/>
        </w:rPr>
      </w:pPr>
      <w:r w:rsidRPr="0095207C">
        <w:rPr>
          <w:color w:val="000000"/>
          <w:lang w:val="es-ES" w:eastAsia="x-none" w:bidi="x-none"/>
        </w:rPr>
        <w:t>q2= 1-p2</w:t>
      </w:r>
    </w:p>
    <w:p w14:paraId="568CE021" w14:textId="77777777" w:rsidR="0095207C" w:rsidRPr="0095207C" w:rsidRDefault="0095207C" w:rsidP="0095207C">
      <w:pPr>
        <w:spacing w:line="360" w:lineRule="auto"/>
        <w:jc w:val="both"/>
        <w:rPr>
          <w:lang w:val="es-ES" w:eastAsia="x-none" w:bidi="x-none"/>
        </w:rPr>
      </w:pPr>
      <w:r w:rsidRPr="0095207C">
        <w:rPr>
          <w:lang w:val="es-ES" w:eastAsia="x-none" w:bidi="x-none"/>
        </w:rPr>
        <w:t>Za=1,96 y Z</w:t>
      </w:r>
      <w:r w:rsidRPr="0095207C">
        <w:rPr>
          <w:vertAlign w:val="subscript"/>
          <w:lang w:val="es-ES" w:eastAsia="x-none" w:bidi="x-none"/>
        </w:rPr>
        <w:t>β</w:t>
      </w:r>
      <w:r w:rsidRPr="0095207C">
        <w:rPr>
          <w:lang w:val="es-ES" w:eastAsia="x-none" w:bidi="x-none"/>
        </w:rPr>
        <w:t xml:space="preserve"> = 0,84 </w:t>
      </w:r>
    </w:p>
    <w:p w14:paraId="757F3DA8" w14:textId="77777777" w:rsidR="0095207C" w:rsidRPr="0095207C" w:rsidRDefault="0095207C" w:rsidP="0095207C">
      <w:pPr>
        <w:spacing w:line="360" w:lineRule="auto"/>
        <w:jc w:val="both"/>
        <w:rPr>
          <w:color w:val="000000"/>
          <w:lang w:val="es-ES" w:eastAsia="x-none" w:bidi="x-none"/>
        </w:rPr>
      </w:pPr>
      <w:r w:rsidRPr="0095207C">
        <w:rPr>
          <w:lang w:val="es-ES" w:eastAsia="x-none" w:bidi="x-none"/>
        </w:rPr>
        <w:t xml:space="preserve">Los valores corresponden a la distribución normal en función de la seguridad de un 95 % y un poder estadístico del 80 %. </w:t>
      </w:r>
      <w:r w:rsidRPr="0095207C">
        <w:rPr>
          <w:color w:val="000000"/>
          <w:lang w:val="es-ES" w:eastAsia="x-none" w:bidi="x-none"/>
        </w:rPr>
        <w:t xml:space="preserve">Se tuvo en cuenta detectar un </w:t>
      </w:r>
      <w:r w:rsidRPr="0095207C">
        <w:rPr>
          <w:i/>
          <w:color w:val="000000"/>
          <w:lang w:val="es-ES" w:eastAsia="x-none" w:bidi="x-none"/>
        </w:rPr>
        <w:t>odds ratio</w:t>
      </w:r>
      <w:r w:rsidRPr="0095207C">
        <w:rPr>
          <w:iCs/>
          <w:color w:val="000000"/>
          <w:lang w:val="es-ES" w:eastAsia="x-none" w:bidi="x-none"/>
        </w:rPr>
        <w:t xml:space="preserve"> (OR)=</w:t>
      </w:r>
      <w:r w:rsidRPr="0095207C">
        <w:rPr>
          <w:color w:val="000000"/>
          <w:lang w:val="es-ES" w:eastAsia="x-none" w:bidi="x-none"/>
        </w:rPr>
        <w:t xml:space="preserve"> 1,5; si existió una relación diferente de 1 se realizó un ajuste para el tamaño de muestra: </w:t>
      </w:r>
    </w:p>
    <w:p w14:paraId="2D6D56E9" w14:textId="77777777" w:rsidR="0095207C" w:rsidRPr="0095207C" w:rsidRDefault="0095207C" w:rsidP="0095207C">
      <w:pPr>
        <w:spacing w:line="360" w:lineRule="auto"/>
        <w:jc w:val="both"/>
        <w:rPr>
          <w:color w:val="000000"/>
          <w:lang w:val="es-ES" w:eastAsia="x-none" w:bidi="x-none"/>
        </w:rPr>
      </w:pPr>
    </w:p>
    <w:p w14:paraId="56ABEC4E" w14:textId="77777777" w:rsidR="0095207C" w:rsidRPr="0095207C" w:rsidRDefault="0095207C" w:rsidP="0095207C">
      <w:pPr>
        <w:spacing w:line="360" w:lineRule="auto"/>
        <w:jc w:val="center"/>
        <w:rPr>
          <w:color w:val="000000"/>
          <w:lang w:val="es-ES" w:eastAsia="x-none" w:bidi="x-none"/>
        </w:rPr>
      </w:pPr>
      <w:r w:rsidRPr="0095207C">
        <w:rPr>
          <w:color w:val="000000"/>
          <w:lang w:val="es-ES" w:eastAsia="x-none" w:bidi="x-none"/>
        </w:rPr>
        <w:t>n</w:t>
      </w:r>
      <w:r w:rsidRPr="0095207C">
        <w:rPr>
          <w:color w:val="000000"/>
          <w:vertAlign w:val="subscript"/>
          <w:lang w:val="es-ES" w:eastAsia="x-none" w:bidi="x-none"/>
        </w:rPr>
        <w:t>a</w:t>
      </w:r>
      <w:r w:rsidRPr="0095207C">
        <w:rPr>
          <w:color w:val="000000"/>
          <w:lang w:val="es-ES" w:eastAsia="x-none" w:bidi="x-none"/>
        </w:rPr>
        <w:t>=</w:t>
      </w:r>
      <m:oMath>
        <m:f>
          <m:fPr>
            <m:ctrlPr>
              <w:rPr>
                <w:rFonts w:ascii="Cambria Math" w:hAnsi="Cambria Math"/>
                <w:i/>
                <w:color w:val="000000"/>
                <w:lang w:val="es-ES" w:eastAsia="x-none" w:bidi="x-none"/>
              </w:rPr>
            </m:ctrlPr>
          </m:fPr>
          <m:num>
            <m:r>
              <w:rPr>
                <w:rFonts w:ascii="Cambria Math" w:hAnsi="Cambria Math"/>
                <w:color w:val="000000"/>
                <w:lang w:val="es-ES" w:eastAsia="x-none" w:bidi="x-none"/>
              </w:rPr>
              <m:t>nc.</m:t>
            </m:r>
            <m:d>
              <m:dPr>
                <m:ctrlPr>
                  <w:rPr>
                    <w:rFonts w:ascii="Cambria Math" w:hAnsi="Cambria Math"/>
                    <w:i/>
                    <w:color w:val="000000"/>
                    <w:lang w:val="es-ES" w:eastAsia="x-none" w:bidi="x-none"/>
                  </w:rPr>
                </m:ctrlPr>
              </m:dPr>
              <m:e>
                <m:r>
                  <w:rPr>
                    <w:rFonts w:ascii="Cambria Math" w:hAnsi="Cambria Math"/>
                    <w:color w:val="000000"/>
                    <w:lang w:val="es-ES" w:eastAsia="x-none" w:bidi="x-none"/>
                  </w:rPr>
                  <m:t>1+c</m:t>
                </m:r>
              </m:e>
            </m:d>
          </m:num>
          <m:den>
            <m:r>
              <w:rPr>
                <w:rFonts w:ascii="Cambria Math" w:hAnsi="Cambria Math"/>
                <w:color w:val="000000"/>
                <w:lang w:val="es-ES" w:eastAsia="x-none" w:bidi="x-none"/>
              </w:rPr>
              <m:t>2c</m:t>
            </m:r>
          </m:den>
        </m:f>
      </m:oMath>
    </w:p>
    <w:p w14:paraId="1C954700" w14:textId="77777777" w:rsidR="0095207C" w:rsidRPr="0095207C" w:rsidRDefault="0095207C" w:rsidP="0095207C">
      <w:pPr>
        <w:spacing w:line="360" w:lineRule="auto"/>
        <w:jc w:val="both"/>
        <w:rPr>
          <w:color w:val="000000"/>
          <w:lang w:val="es-ES" w:eastAsia="x-none" w:bidi="x-none"/>
        </w:rPr>
      </w:pPr>
    </w:p>
    <w:p w14:paraId="25D19C99" w14:textId="77777777" w:rsidR="0095207C" w:rsidRPr="0095207C" w:rsidRDefault="0095207C" w:rsidP="0095207C">
      <w:pPr>
        <w:spacing w:line="360" w:lineRule="auto"/>
        <w:jc w:val="both"/>
        <w:rPr>
          <w:color w:val="000000"/>
          <w:lang w:val="es-ES" w:eastAsia="x-none" w:bidi="x-none"/>
        </w:rPr>
      </w:pPr>
      <w:r w:rsidRPr="0095207C">
        <w:rPr>
          <w:color w:val="000000"/>
          <w:lang w:val="es-ES" w:eastAsia="x-none" w:bidi="x-none"/>
        </w:rPr>
        <w:t xml:space="preserve">Donde: </w:t>
      </w:r>
    </w:p>
    <w:p w14:paraId="75716C00" w14:textId="77777777" w:rsidR="0095207C" w:rsidRPr="0095207C" w:rsidRDefault="0095207C" w:rsidP="0095207C">
      <w:pPr>
        <w:spacing w:line="360" w:lineRule="auto"/>
        <w:jc w:val="both"/>
        <w:rPr>
          <w:color w:val="000000"/>
          <w:lang w:val="es-ES" w:eastAsia="x-none" w:bidi="x-none"/>
        </w:rPr>
      </w:pPr>
      <w:r w:rsidRPr="0095207C">
        <w:rPr>
          <w:color w:val="000000"/>
          <w:lang w:val="es-ES" w:eastAsia="x-none" w:bidi="x-none"/>
        </w:rPr>
        <w:t xml:space="preserve">na= número de controles ajustado </w:t>
      </w:r>
    </w:p>
    <w:p w14:paraId="1B4934B6" w14:textId="77777777" w:rsidR="0095207C" w:rsidRPr="0095207C" w:rsidRDefault="0095207C" w:rsidP="0095207C">
      <w:pPr>
        <w:spacing w:line="360" w:lineRule="auto"/>
        <w:jc w:val="both"/>
        <w:rPr>
          <w:color w:val="000000"/>
          <w:lang w:val="es-ES" w:eastAsia="x-none" w:bidi="x-none"/>
        </w:rPr>
      </w:pPr>
      <w:r w:rsidRPr="0095207C">
        <w:rPr>
          <w:color w:val="000000"/>
          <w:lang w:val="es-ES" w:eastAsia="x-none" w:bidi="x-none"/>
        </w:rPr>
        <w:t xml:space="preserve">nc= número de controles sin ajuste </w:t>
      </w:r>
    </w:p>
    <w:p w14:paraId="6277F591" w14:textId="77777777" w:rsidR="0095207C" w:rsidRPr="0095207C" w:rsidRDefault="0095207C" w:rsidP="0095207C">
      <w:pPr>
        <w:spacing w:line="360" w:lineRule="auto"/>
        <w:jc w:val="both"/>
        <w:rPr>
          <w:color w:val="000000"/>
          <w:lang w:val="es-ES" w:eastAsia="x-none" w:bidi="x-none"/>
        </w:rPr>
      </w:pPr>
      <w:r w:rsidRPr="0095207C">
        <w:rPr>
          <w:color w:val="000000"/>
          <w:lang w:val="es-ES" w:eastAsia="x-none" w:bidi="x-none"/>
        </w:rPr>
        <w:t xml:space="preserve">c= cociente de dividir los controles entre los casos. </w:t>
      </w:r>
    </w:p>
    <w:p w14:paraId="2F14B882" w14:textId="77777777" w:rsidR="0095207C" w:rsidRPr="0095207C" w:rsidRDefault="0095207C" w:rsidP="0095207C">
      <w:pPr>
        <w:spacing w:line="360" w:lineRule="auto"/>
        <w:contextualSpacing/>
        <w:jc w:val="both"/>
        <w:rPr>
          <w:color w:val="000000"/>
          <w:lang w:val="es-ES" w:eastAsia="x-none" w:bidi="x-none"/>
        </w:rPr>
      </w:pPr>
      <w:r w:rsidRPr="0095207C">
        <w:rPr>
          <w:rFonts w:eastAsia="Calibri"/>
          <w:lang w:val="es-ES" w:eastAsia="en-US"/>
        </w:rPr>
        <w:t>Los casos fueron seleccionados de los pacientes con diagnóstico de fibrilación auricular paroxística, con terapia eléctrica fallida; que la historia clínica recogiera las variables a investigar, que fuera un primer episodio o una recurrencia y que no estuvieran bajo tratamiento antiarrítmico. Se excluyeron quienes tenían valvulopatías mitrales y aórticas que limitaran la terapéutica eléctrica. El grupo quedó conformado por 33 casos.</w:t>
      </w:r>
    </w:p>
    <w:p w14:paraId="48F71E3B" w14:textId="77777777" w:rsidR="0095207C" w:rsidRPr="0095207C" w:rsidRDefault="0095207C" w:rsidP="0095207C">
      <w:pPr>
        <w:spacing w:line="360" w:lineRule="auto"/>
        <w:jc w:val="both"/>
        <w:rPr>
          <w:rFonts w:eastAsia="Calibri"/>
          <w:lang w:val="es-ES" w:eastAsia="en-US"/>
        </w:rPr>
      </w:pPr>
      <w:bookmarkStart w:id="7" w:name="_Hlk112182352"/>
      <w:r w:rsidRPr="0095207C">
        <w:rPr>
          <w:lang w:val="es-ES" w:eastAsia="es-ES"/>
        </w:rPr>
        <w:t>Los controles fueron seleccionados de la misma población de pacientes y similares criterios, excepto que la terapia eléctrica fue exitosa. El grupo quedó conformado por 66 controles.</w:t>
      </w:r>
    </w:p>
    <w:p w14:paraId="4B4F9074" w14:textId="77777777" w:rsidR="0095207C" w:rsidRPr="0095207C" w:rsidRDefault="0095207C" w:rsidP="0095207C">
      <w:pPr>
        <w:spacing w:line="360" w:lineRule="auto"/>
        <w:jc w:val="center"/>
        <w:rPr>
          <w:b/>
          <w:bCs/>
          <w:sz w:val="28"/>
          <w:szCs w:val="28"/>
          <w:lang w:val="es-ES" w:eastAsia="es-ES"/>
        </w:rPr>
      </w:pPr>
      <w:bookmarkStart w:id="8" w:name="_Hlk118964841"/>
      <w:bookmarkEnd w:id="6"/>
      <w:bookmarkEnd w:id="7"/>
      <w:r w:rsidRPr="0095207C">
        <w:rPr>
          <w:b/>
          <w:bCs/>
          <w:sz w:val="28"/>
          <w:szCs w:val="28"/>
          <w:lang w:val="es-ES" w:eastAsia="es-ES"/>
        </w:rPr>
        <w:t>Variables</w:t>
      </w:r>
    </w:p>
    <w:p w14:paraId="466595DF" w14:textId="77777777" w:rsidR="0095207C" w:rsidRPr="0095207C" w:rsidRDefault="0095207C" w:rsidP="0095207C">
      <w:pPr>
        <w:spacing w:line="360" w:lineRule="auto"/>
        <w:jc w:val="both"/>
        <w:rPr>
          <w:lang w:val="es-ES" w:eastAsia="es-ES"/>
        </w:rPr>
      </w:pPr>
      <w:r w:rsidRPr="0095207C">
        <w:rPr>
          <w:lang w:val="es-ES" w:eastAsia="es-ES"/>
        </w:rPr>
        <w:t xml:space="preserve">La variable dependiente fue el resultado de la terapia eléctrica (exitosa o fallida). Las variables independientes fueron: edad, sexo, antecedentes de infarto agudo de miocardio, fracción de eyección del </w:t>
      </w:r>
      <w:r w:rsidRPr="0095207C">
        <w:rPr>
          <w:lang w:val="es-ES" w:eastAsia="es-ES"/>
        </w:rPr>
        <w:lastRenderedPageBreak/>
        <w:t>ventrículo izquierdo (FEVI), volumen de la aurícula izquierda (VAI) y presión de la aurícula izquierda (PAI).</w:t>
      </w:r>
    </w:p>
    <w:p w14:paraId="42335CC9" w14:textId="77777777" w:rsidR="0095207C" w:rsidRPr="0095207C" w:rsidRDefault="0095207C" w:rsidP="0095207C">
      <w:pPr>
        <w:spacing w:line="360" w:lineRule="auto"/>
        <w:jc w:val="both"/>
        <w:rPr>
          <w:rFonts w:eastAsia="Calibri"/>
          <w:lang w:val="es-ES" w:eastAsia="en-US"/>
        </w:rPr>
      </w:pPr>
      <w:r w:rsidRPr="0095207C">
        <w:rPr>
          <w:lang w:val="es-ES" w:eastAsia="es-ES"/>
        </w:rPr>
        <w:t xml:space="preserve">Para transformar las variables cuantitativas en dicotómicas, para el análisis multivariado, se estimaron puntos de corte, según el método de punto de corte óptimo: </w:t>
      </w:r>
      <w:r w:rsidRPr="0095207C">
        <w:rPr>
          <w:rFonts w:eastAsia="Calibri"/>
          <w:lang w:val="es-ES" w:eastAsia="en-US"/>
        </w:rPr>
        <w:t xml:space="preserve">se determinó, para todos los </w:t>
      </w:r>
      <w:r w:rsidRPr="0095207C">
        <w:rPr>
          <w:lang w:val="es-ES" w:eastAsia="es-ES"/>
        </w:rPr>
        <w:t>valores de la variable a categorizar, el valor que mejor separa a los pacientes de acuerdo con la</w:t>
      </w:r>
      <w:r w:rsidRPr="0095207C">
        <w:rPr>
          <w:rFonts w:eastAsia="Calibri"/>
          <w:lang w:val="es-ES" w:eastAsia="en-US"/>
        </w:rPr>
        <w:t xml:space="preserve"> </w:t>
      </w:r>
      <w:r w:rsidRPr="0095207C">
        <w:rPr>
          <w:lang w:val="es-ES" w:eastAsia="es-ES"/>
        </w:rPr>
        <w:t xml:space="preserve">prueba de </w:t>
      </w:r>
      <w:r w:rsidRPr="0095207C">
        <w:rPr>
          <w:i/>
          <w:iCs/>
          <w:lang w:val="es-ES" w:eastAsia="es-ES"/>
        </w:rPr>
        <w:t xml:space="preserve">ji </w:t>
      </w:r>
      <w:r w:rsidRPr="0095207C">
        <w:rPr>
          <w:lang w:val="es-ES" w:eastAsia="es-ES"/>
        </w:rPr>
        <w:t>cuadrado (edad ≥ 55 años, FEVI ≤ 40 %; VAI≥ 34 mL/m</w:t>
      </w:r>
      <w:r w:rsidRPr="0095207C">
        <w:rPr>
          <w:vertAlign w:val="superscript"/>
          <w:lang w:val="es-ES" w:eastAsia="es-ES"/>
        </w:rPr>
        <w:t>2</w:t>
      </w:r>
      <w:r w:rsidRPr="0095207C">
        <w:rPr>
          <w:lang w:val="es-ES" w:eastAsia="es-ES"/>
        </w:rPr>
        <w:t>,</w:t>
      </w:r>
      <w:r w:rsidRPr="0095207C">
        <w:rPr>
          <w:color w:val="000000"/>
          <w:lang w:val="es-ES" w:eastAsia="x-none" w:bidi="x-none"/>
        </w:rPr>
        <w:t xml:space="preserve"> </w:t>
      </w:r>
      <w:r w:rsidRPr="0095207C">
        <w:rPr>
          <w:lang w:val="es-ES" w:eastAsia="es-ES"/>
        </w:rPr>
        <w:t>PAI ≥ de 15 mmHg. La recolección de los datos se realizó a partir de las historias clínicas individuales.</w:t>
      </w:r>
    </w:p>
    <w:p w14:paraId="477B5D84" w14:textId="77777777" w:rsidR="0095207C" w:rsidRPr="0095207C" w:rsidRDefault="0095207C" w:rsidP="0095207C">
      <w:pPr>
        <w:spacing w:line="360" w:lineRule="auto"/>
        <w:jc w:val="center"/>
        <w:rPr>
          <w:b/>
          <w:sz w:val="28"/>
          <w:szCs w:val="28"/>
          <w:lang w:val="es-ES" w:eastAsia="es-ES"/>
        </w:rPr>
      </w:pPr>
      <w:r w:rsidRPr="0095207C">
        <w:rPr>
          <w:b/>
          <w:sz w:val="28"/>
          <w:szCs w:val="28"/>
          <w:lang w:val="es-ES" w:eastAsia="es-ES"/>
        </w:rPr>
        <w:t>Procesamiento</w:t>
      </w:r>
    </w:p>
    <w:p w14:paraId="62BF6A44" w14:textId="77777777" w:rsidR="0095207C" w:rsidRPr="0095207C" w:rsidRDefault="0095207C" w:rsidP="0095207C">
      <w:pPr>
        <w:spacing w:line="360" w:lineRule="auto"/>
        <w:jc w:val="both"/>
        <w:rPr>
          <w:lang w:val="es-ES" w:eastAsia="es-ES"/>
        </w:rPr>
      </w:pPr>
      <w:r w:rsidRPr="0095207C">
        <w:rPr>
          <w:lang w:val="es-ES" w:eastAsia="es-ES"/>
        </w:rPr>
        <w:t xml:space="preserve">Se utilizó el paquete SPSS versión 22.0, Para determinar las diferencias entre los grupos establecidos según variables cualitativas, </w:t>
      </w:r>
      <w:r w:rsidRPr="0095207C">
        <w:rPr>
          <w:bCs/>
          <w:lang w:val="es-ES" w:eastAsia="es-ES"/>
        </w:rPr>
        <w:t xml:space="preserve">se aplicó la prueba </w:t>
      </w:r>
      <w:r w:rsidRPr="0095207C">
        <w:rPr>
          <w:bCs/>
          <w:i/>
          <w:iCs/>
          <w:lang w:val="es-ES" w:eastAsia="es-ES"/>
        </w:rPr>
        <w:t xml:space="preserve">ji </w:t>
      </w:r>
      <w:r w:rsidRPr="0095207C">
        <w:rPr>
          <w:bCs/>
          <w:lang w:val="es-ES" w:eastAsia="es-ES"/>
        </w:rPr>
        <w:t>cuadrado para el análisis univariado en la cual se consideró a una variable como factor predictivo si el OR&gt; 1 y p&lt; 0,05. Se realizó el análisis bivariado con los factores predictores y se obtuvieron los de mayor relación con la variable dependiente, según los valores del OR y la significación del estadígrafo de Wald; con los intervalos de confianza (IC) al 95 %.</w:t>
      </w:r>
      <w:r w:rsidRPr="0095207C">
        <w:rPr>
          <w:lang w:val="es-ES" w:eastAsia="es-ES"/>
        </w:rPr>
        <w:t xml:space="preserve"> </w:t>
      </w:r>
    </w:p>
    <w:p w14:paraId="645CA052" w14:textId="3FFBFFD7" w:rsidR="0095207C" w:rsidRPr="0095207C" w:rsidRDefault="0095207C" w:rsidP="0095207C">
      <w:pPr>
        <w:spacing w:line="360" w:lineRule="auto"/>
        <w:jc w:val="both"/>
        <w:rPr>
          <w:bCs/>
          <w:lang w:val="es-ES" w:eastAsia="es-ES"/>
        </w:rPr>
      </w:pPr>
      <w:r w:rsidRPr="0095207C">
        <w:rPr>
          <w:bCs/>
          <w:lang w:val="es-ES" w:eastAsia="es-ES"/>
        </w:rPr>
        <w:t>Para elaborar el modelo se realizó un análisis de regresión logística binaria multivariada, según el resultado de la terapia eléctrica (1-exitosa; 0-fallida). Como posibles factores predictores se incluyeron las variables con p ≤ 0,05.</w:t>
      </w:r>
      <w:r w:rsidRPr="0095207C">
        <w:rPr>
          <w:lang w:val="es-ES" w:eastAsia="es-ES"/>
        </w:rPr>
        <w:t xml:space="preserve"> </w:t>
      </w:r>
      <w:r w:rsidRPr="0095207C">
        <w:rPr>
          <w:bCs/>
          <w:lang w:val="es-ES" w:eastAsia="es-ES"/>
        </w:rPr>
        <w:t>Se calculó el área bajo la curva (ABC) para determinar la capacidad de discriminación del modelo; se consideró buena si el valor de ABC &gt; 0,</w:t>
      </w:r>
      <w:proofErr w:type="gramStart"/>
      <w:r w:rsidRPr="0095207C">
        <w:rPr>
          <w:bCs/>
          <w:lang w:val="es-ES" w:eastAsia="es-ES"/>
        </w:rPr>
        <w:t>75.</w:t>
      </w:r>
      <w:r w:rsidRPr="0095207C">
        <w:rPr>
          <w:bCs/>
          <w:vertAlign w:val="superscript"/>
          <w:lang w:val="es-ES" w:eastAsia="es-ES"/>
        </w:rPr>
        <w:t>(</w:t>
      </w:r>
      <w:proofErr w:type="gramEnd"/>
      <w:r w:rsidRPr="0095207C">
        <w:rPr>
          <w:bCs/>
          <w:vertAlign w:val="superscript"/>
          <w:lang w:val="es-ES" w:eastAsia="es-ES"/>
        </w:rPr>
        <w:t xml:space="preserve">9) </w:t>
      </w:r>
      <w:r w:rsidRPr="0095207C">
        <w:rPr>
          <w:bCs/>
          <w:lang w:val="es-ES" w:eastAsia="es-ES"/>
        </w:rPr>
        <w:t>Se analizó el valor del estadístico R2 de Nagelkerke, así como la prueba de bondad de ajuste de Hosmer-Lemenshow con las hipótesis:</w:t>
      </w:r>
    </w:p>
    <w:p w14:paraId="507F6006" w14:textId="77777777" w:rsidR="0095207C" w:rsidRPr="0095207C" w:rsidRDefault="0095207C" w:rsidP="0095207C">
      <w:pPr>
        <w:spacing w:line="360" w:lineRule="auto"/>
        <w:jc w:val="both"/>
        <w:rPr>
          <w:bCs/>
          <w:lang w:val="es-ES" w:eastAsia="es-ES"/>
        </w:rPr>
      </w:pPr>
      <w:r w:rsidRPr="0095207C">
        <w:rPr>
          <w:bCs/>
          <w:lang w:val="es-ES" w:eastAsia="es-ES"/>
        </w:rPr>
        <w:t>H</w:t>
      </w:r>
      <w:r w:rsidRPr="0095207C">
        <w:rPr>
          <w:bCs/>
          <w:vertAlign w:val="subscript"/>
          <w:lang w:val="es-ES" w:eastAsia="es-ES"/>
        </w:rPr>
        <w:t>0</w:t>
      </w:r>
      <w:r w:rsidRPr="0095207C">
        <w:rPr>
          <w:bCs/>
          <w:lang w:val="es-ES" w:eastAsia="es-ES"/>
        </w:rPr>
        <w:t>: ausencia de diferencia entre los valores observados y los esperados pronosticados p≥ 0,05.</w:t>
      </w:r>
    </w:p>
    <w:p w14:paraId="4193B825" w14:textId="77777777" w:rsidR="0095207C" w:rsidRPr="0095207C" w:rsidRDefault="0095207C" w:rsidP="0095207C">
      <w:pPr>
        <w:spacing w:line="360" w:lineRule="auto"/>
        <w:jc w:val="both"/>
        <w:rPr>
          <w:bCs/>
          <w:lang w:val="es-ES" w:eastAsia="es-ES"/>
        </w:rPr>
      </w:pPr>
      <w:r w:rsidRPr="0095207C">
        <w:rPr>
          <w:bCs/>
          <w:lang w:val="es-ES" w:eastAsia="es-ES"/>
        </w:rPr>
        <w:t>H</w:t>
      </w:r>
      <w:r w:rsidRPr="0095207C">
        <w:rPr>
          <w:bCs/>
          <w:vertAlign w:val="subscript"/>
          <w:lang w:val="es-ES" w:eastAsia="es-ES"/>
        </w:rPr>
        <w:t>1</w:t>
      </w:r>
      <w:r w:rsidRPr="0095207C">
        <w:rPr>
          <w:bCs/>
          <w:lang w:val="es-ES" w:eastAsia="es-ES"/>
        </w:rPr>
        <w:t>: hay diferencia entre los valores observados y los esperados pronosticados p ≤ 0,05</w:t>
      </w:r>
    </w:p>
    <w:p w14:paraId="5B0C47D8" w14:textId="77777777" w:rsidR="0095207C" w:rsidRPr="0095207C" w:rsidRDefault="0095207C" w:rsidP="0095207C">
      <w:pPr>
        <w:spacing w:line="360" w:lineRule="auto"/>
        <w:jc w:val="both"/>
        <w:rPr>
          <w:bCs/>
          <w:lang w:val="es-ES" w:eastAsia="es-ES"/>
        </w:rPr>
      </w:pPr>
      <w:r w:rsidRPr="0095207C">
        <w:rPr>
          <w:bCs/>
          <w:lang w:val="es-ES" w:eastAsia="es-ES"/>
        </w:rPr>
        <w:t xml:space="preserve">Se calibró el modelo con la prueba de </w:t>
      </w:r>
      <w:r w:rsidRPr="0095207C">
        <w:rPr>
          <w:bCs/>
          <w:iCs/>
          <w:lang w:val="es-ES" w:eastAsia="es-ES"/>
        </w:rPr>
        <w:t>Hosmer-Lemenshow</w:t>
      </w:r>
      <w:r w:rsidRPr="0095207C">
        <w:rPr>
          <w:bCs/>
          <w:lang w:val="es-ES" w:eastAsia="es-ES"/>
        </w:rPr>
        <w:t>. Se realizó la validación interna por partición de la muestra (</w:t>
      </w:r>
      <w:r w:rsidRPr="0095207C">
        <w:rPr>
          <w:bCs/>
          <w:i/>
          <w:iCs/>
          <w:lang w:val="es-ES" w:eastAsia="es-ES"/>
        </w:rPr>
        <w:t>data splitting</w:t>
      </w:r>
      <w:r w:rsidRPr="0095207C">
        <w:rPr>
          <w:bCs/>
          <w:lang w:val="es-ES" w:eastAsia="es-ES"/>
        </w:rPr>
        <w:t>). El conjunto de casos y sus correspondientes controles se dividió en 2 subconjuntos de datos, uno con el 70 % para elaborar el modelo (entrenamiento) y el otro con el 30 % para la validación (prueba).</w:t>
      </w:r>
    </w:p>
    <w:p w14:paraId="2E43EAE0" w14:textId="77777777" w:rsidR="00242F83" w:rsidRDefault="00242F83">
      <w:pPr>
        <w:rPr>
          <w:b/>
          <w:bCs/>
          <w:sz w:val="28"/>
          <w:szCs w:val="28"/>
          <w:lang w:val="es-ES" w:eastAsia="es-ES"/>
        </w:rPr>
      </w:pPr>
      <w:r>
        <w:rPr>
          <w:b/>
          <w:bCs/>
          <w:sz w:val="28"/>
          <w:szCs w:val="28"/>
          <w:lang w:val="es-ES" w:eastAsia="es-ES"/>
        </w:rPr>
        <w:br w:type="page"/>
      </w:r>
    </w:p>
    <w:p w14:paraId="012D1299" w14:textId="6BE43EA3" w:rsidR="0095207C" w:rsidRPr="0095207C" w:rsidRDefault="0095207C" w:rsidP="0095207C">
      <w:pPr>
        <w:spacing w:line="360" w:lineRule="auto"/>
        <w:jc w:val="center"/>
        <w:rPr>
          <w:b/>
          <w:bCs/>
          <w:sz w:val="28"/>
          <w:szCs w:val="28"/>
          <w:lang w:val="es-ES" w:eastAsia="es-ES"/>
        </w:rPr>
      </w:pPr>
      <w:r w:rsidRPr="0095207C">
        <w:rPr>
          <w:b/>
          <w:bCs/>
          <w:sz w:val="28"/>
          <w:szCs w:val="28"/>
          <w:lang w:val="es-ES" w:eastAsia="es-ES"/>
        </w:rPr>
        <w:lastRenderedPageBreak/>
        <w:t>Regulaciones éticas</w:t>
      </w:r>
    </w:p>
    <w:p w14:paraId="392F24FD" w14:textId="77777777" w:rsidR="0095207C" w:rsidRPr="0095207C" w:rsidRDefault="0095207C" w:rsidP="0095207C">
      <w:pPr>
        <w:spacing w:line="360" w:lineRule="auto"/>
        <w:jc w:val="both"/>
        <w:rPr>
          <w:lang w:val="es-ES" w:eastAsia="es-ES"/>
        </w:rPr>
      </w:pPr>
      <w:r w:rsidRPr="0095207C">
        <w:rPr>
          <w:lang w:val="es-ES" w:eastAsia="es-ES"/>
        </w:rPr>
        <w:t>Se obtuvo la autorización de la dirección del Centro de Cardiología y Cirugía Cardiovascular, adjunto al Hospital "Saturnino Lora", de Santiago de Cuba; y la aprobación del Comité de Ética de la investigación y del Consejo Científico para la ejecución</w:t>
      </w:r>
      <w:bookmarkEnd w:id="8"/>
      <w:r w:rsidRPr="0095207C">
        <w:rPr>
          <w:lang w:val="es-ES" w:eastAsia="es-ES"/>
        </w:rPr>
        <w:t xml:space="preserve"> del trabajo.</w:t>
      </w:r>
    </w:p>
    <w:p w14:paraId="60AADA99" w14:textId="77777777" w:rsidR="0095207C" w:rsidRPr="0095207C" w:rsidRDefault="0095207C" w:rsidP="0095207C">
      <w:pPr>
        <w:spacing w:line="360" w:lineRule="auto"/>
        <w:jc w:val="center"/>
        <w:rPr>
          <w:b/>
          <w:color w:val="000000"/>
          <w:sz w:val="32"/>
          <w:szCs w:val="32"/>
          <w:lang w:val="es-MX" w:eastAsia="x-none" w:bidi="x-none"/>
        </w:rPr>
      </w:pPr>
    </w:p>
    <w:p w14:paraId="1590F8F9" w14:textId="77777777" w:rsidR="0095207C" w:rsidRPr="0095207C" w:rsidRDefault="0095207C" w:rsidP="0095207C">
      <w:pPr>
        <w:spacing w:line="360" w:lineRule="auto"/>
        <w:jc w:val="center"/>
        <w:rPr>
          <w:b/>
          <w:color w:val="000000"/>
          <w:sz w:val="32"/>
          <w:szCs w:val="32"/>
          <w:lang w:val="es-MX" w:eastAsia="x-none" w:bidi="x-none"/>
        </w:rPr>
      </w:pPr>
    </w:p>
    <w:p w14:paraId="75AC36AE" w14:textId="77777777" w:rsidR="0095207C" w:rsidRPr="0095207C" w:rsidRDefault="0095207C" w:rsidP="0095207C">
      <w:pPr>
        <w:spacing w:line="360" w:lineRule="auto"/>
        <w:jc w:val="center"/>
        <w:rPr>
          <w:b/>
          <w:color w:val="000000"/>
          <w:sz w:val="32"/>
          <w:szCs w:val="32"/>
          <w:lang w:val="es-MX" w:eastAsia="x-none" w:bidi="x-none"/>
        </w:rPr>
      </w:pPr>
      <w:r w:rsidRPr="0095207C">
        <w:rPr>
          <w:b/>
          <w:color w:val="000000"/>
          <w:sz w:val="32"/>
          <w:szCs w:val="32"/>
          <w:lang w:val="es-MX" w:eastAsia="x-none" w:bidi="x-none"/>
        </w:rPr>
        <w:t>RESULTADOS</w:t>
      </w:r>
    </w:p>
    <w:p w14:paraId="6ABAA353" w14:textId="77777777" w:rsidR="0095207C" w:rsidRPr="0095207C" w:rsidRDefault="0095207C" w:rsidP="0095207C">
      <w:pPr>
        <w:spacing w:line="360" w:lineRule="auto"/>
        <w:jc w:val="both"/>
        <w:rPr>
          <w:color w:val="000000"/>
          <w:lang w:val="es-ES" w:eastAsia="x-none" w:bidi="x-none"/>
        </w:rPr>
      </w:pPr>
      <w:bookmarkStart w:id="9" w:name="_Hlk118252607"/>
      <w:bookmarkStart w:id="10" w:name="_Hlk118964907"/>
      <w:r w:rsidRPr="0095207C">
        <w:rPr>
          <w:color w:val="000000"/>
          <w:lang w:val="es-MX" w:eastAsia="x-none" w:bidi="x-none"/>
        </w:rPr>
        <w:t xml:space="preserve">Según la tabla 1 para la edad </w:t>
      </w:r>
      <w:r w:rsidRPr="0095207C">
        <w:rPr>
          <w:color w:val="000000"/>
          <w:lang w:val="es-ES" w:eastAsia="x-none" w:bidi="x-none"/>
        </w:rPr>
        <w:t>se observaron porcentajes similares en ambos grupos (p= 0,013; OR= 3,58; IC: 1,33-9,67).</w:t>
      </w:r>
    </w:p>
    <w:p w14:paraId="15189992" w14:textId="0178992E" w:rsidR="0095207C" w:rsidRPr="0095207C" w:rsidRDefault="0095207C" w:rsidP="0095207C">
      <w:pPr>
        <w:spacing w:line="360" w:lineRule="auto"/>
        <w:jc w:val="both"/>
        <w:rPr>
          <w:color w:val="000000"/>
          <w:lang w:val="es-ES" w:eastAsia="x-none" w:bidi="x-none"/>
        </w:rPr>
      </w:pPr>
      <w:r w:rsidRPr="0095207C">
        <w:rPr>
          <w:color w:val="000000"/>
          <w:lang w:val="es-ES" w:eastAsia="x-none" w:bidi="x-none"/>
        </w:rPr>
        <w:t xml:space="preserve">La FEVI ≤ 40 % se observó en la mayoría del grupo de </w:t>
      </w:r>
      <w:r w:rsidR="00991D85" w:rsidRPr="0095207C">
        <w:rPr>
          <w:color w:val="000000"/>
          <w:lang w:val="es-ES" w:eastAsia="x-none" w:bidi="x-none"/>
        </w:rPr>
        <w:t>casos (</w:t>
      </w:r>
      <w:r w:rsidRPr="0095207C">
        <w:rPr>
          <w:color w:val="000000"/>
          <w:lang w:val="es-ES" w:eastAsia="x-none" w:bidi="x-none"/>
        </w:rPr>
        <w:t>p= 0,004; OR=4,45; IC: 1,54-12,8); la presión de aurícula izquierda mayor de 15 mmHg (p= 0,010; OR= 3,31; IC: 1,25-8,77) y el volumen de aurícula izquierda ≥ 34 mL/m</w:t>
      </w:r>
      <w:r w:rsidRPr="0095207C">
        <w:rPr>
          <w:color w:val="000000"/>
          <w:vertAlign w:val="superscript"/>
          <w:lang w:val="es-ES" w:eastAsia="x-none" w:bidi="x-none"/>
        </w:rPr>
        <w:t>2</w:t>
      </w:r>
      <w:r w:rsidRPr="0095207C">
        <w:rPr>
          <w:color w:val="000000"/>
          <w:lang w:val="es-ES" w:eastAsia="x-none" w:bidi="x-none"/>
        </w:rPr>
        <w:t xml:space="preserve"> (p= 0,004; OR= 3,11; IC: 1,24-8,77) teniendo las </w:t>
      </w:r>
      <w:r w:rsidR="00991D85" w:rsidRPr="0095207C">
        <w:rPr>
          <w:color w:val="000000"/>
          <w:lang w:val="es-ES" w:eastAsia="x-none" w:bidi="x-none"/>
        </w:rPr>
        <w:t>mencionadas variables</w:t>
      </w:r>
      <w:r w:rsidRPr="0095207C">
        <w:rPr>
          <w:color w:val="000000"/>
          <w:lang w:val="es-ES" w:eastAsia="x-none" w:bidi="x-none"/>
        </w:rPr>
        <w:t xml:space="preserve"> significación estadística; además, fue predictor del fallo de la cardioversión eléctrica (tabla 1). </w:t>
      </w:r>
    </w:p>
    <w:bookmarkEnd w:id="9"/>
    <w:p w14:paraId="6BC83786" w14:textId="77777777" w:rsidR="0095207C" w:rsidRPr="0095207C" w:rsidRDefault="0095207C" w:rsidP="0095207C">
      <w:pPr>
        <w:spacing w:line="360" w:lineRule="auto"/>
        <w:jc w:val="both"/>
        <w:rPr>
          <w:b/>
          <w:color w:val="000000"/>
          <w:sz w:val="22"/>
          <w:szCs w:val="22"/>
          <w:lang w:val="es-MX" w:eastAsia="x-none" w:bidi="x-none"/>
        </w:rPr>
      </w:pPr>
    </w:p>
    <w:p w14:paraId="578EF324" w14:textId="77777777" w:rsidR="0095207C" w:rsidRPr="0095207C" w:rsidRDefault="0095207C" w:rsidP="0095207C">
      <w:pPr>
        <w:spacing w:line="360" w:lineRule="auto"/>
        <w:jc w:val="center"/>
        <w:rPr>
          <w:sz w:val="22"/>
          <w:szCs w:val="22"/>
          <w:lang w:val="es-ES" w:eastAsia="es-ES"/>
        </w:rPr>
      </w:pPr>
      <w:r w:rsidRPr="0095207C">
        <w:rPr>
          <w:b/>
          <w:sz w:val="22"/>
          <w:szCs w:val="22"/>
          <w:lang w:val="es-ES" w:eastAsia="es-ES"/>
        </w:rPr>
        <w:t>Tabla 1 -</w:t>
      </w:r>
      <w:r w:rsidRPr="0095207C">
        <w:rPr>
          <w:sz w:val="22"/>
          <w:szCs w:val="22"/>
          <w:lang w:val="es-ES" w:eastAsia="es-ES"/>
        </w:rPr>
        <w:t xml:space="preserve"> Análisis univariado de factores predictivos</w:t>
      </w:r>
    </w:p>
    <w:tbl>
      <w:tblPr>
        <w:tblW w:w="55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4"/>
        <w:gridCol w:w="829"/>
        <w:gridCol w:w="802"/>
        <w:gridCol w:w="727"/>
        <w:gridCol w:w="838"/>
        <w:gridCol w:w="780"/>
        <w:gridCol w:w="877"/>
        <w:gridCol w:w="979"/>
        <w:gridCol w:w="946"/>
        <w:gridCol w:w="851"/>
        <w:gridCol w:w="957"/>
      </w:tblGrid>
      <w:tr w:rsidR="0095207C" w:rsidRPr="0095207C" w14:paraId="6EDFC41B" w14:textId="77777777" w:rsidTr="007E0C8A">
        <w:trPr>
          <w:trHeight w:val="300"/>
          <w:jc w:val="center"/>
        </w:trPr>
        <w:tc>
          <w:tcPr>
            <w:tcW w:w="1105" w:type="pct"/>
            <w:vMerge w:val="restart"/>
            <w:shd w:val="clear" w:color="auto" w:fill="auto"/>
            <w:vAlign w:val="center"/>
            <w:hideMark/>
          </w:tcPr>
          <w:p w14:paraId="2212A10B"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Variables</w:t>
            </w:r>
          </w:p>
        </w:tc>
        <w:tc>
          <w:tcPr>
            <w:tcW w:w="2202" w:type="pct"/>
            <w:gridSpan w:val="6"/>
            <w:shd w:val="clear" w:color="auto" w:fill="auto"/>
            <w:vAlign w:val="center"/>
            <w:hideMark/>
          </w:tcPr>
          <w:p w14:paraId="3FB8EB3A"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Grupo de estudio</w:t>
            </w:r>
          </w:p>
        </w:tc>
        <w:tc>
          <w:tcPr>
            <w:tcW w:w="444" w:type="pct"/>
            <w:vMerge w:val="restart"/>
            <w:shd w:val="clear" w:color="auto" w:fill="auto"/>
            <w:noWrap/>
            <w:vAlign w:val="center"/>
            <w:hideMark/>
          </w:tcPr>
          <w:p w14:paraId="3424EDCF"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P</w:t>
            </w:r>
          </w:p>
        </w:tc>
        <w:tc>
          <w:tcPr>
            <w:tcW w:w="429" w:type="pct"/>
            <w:vMerge w:val="restart"/>
            <w:shd w:val="clear" w:color="auto" w:fill="auto"/>
            <w:noWrap/>
            <w:vAlign w:val="center"/>
            <w:hideMark/>
          </w:tcPr>
          <w:p w14:paraId="07C3DA98" w14:textId="77777777" w:rsidR="0095207C" w:rsidRPr="0095207C" w:rsidRDefault="0095207C" w:rsidP="0095207C">
            <w:pPr>
              <w:spacing w:line="360" w:lineRule="auto"/>
              <w:jc w:val="center"/>
              <w:rPr>
                <w:b/>
                <w:bCs/>
                <w:color w:val="000000"/>
                <w:sz w:val="18"/>
                <w:szCs w:val="18"/>
                <w:lang w:val="es-ES" w:eastAsia="es-ES"/>
              </w:rPr>
            </w:pPr>
            <w:r w:rsidRPr="0095207C">
              <w:rPr>
                <w:b/>
                <w:color w:val="000000"/>
                <w:sz w:val="18"/>
                <w:szCs w:val="18"/>
                <w:lang w:val="es-ES" w:eastAsia="es-ES"/>
              </w:rPr>
              <w:t>OR</w:t>
            </w:r>
          </w:p>
        </w:tc>
        <w:tc>
          <w:tcPr>
            <w:tcW w:w="820" w:type="pct"/>
            <w:gridSpan w:val="2"/>
            <w:vMerge w:val="restart"/>
            <w:shd w:val="clear" w:color="auto" w:fill="auto"/>
            <w:vAlign w:val="center"/>
          </w:tcPr>
          <w:p w14:paraId="7FA5BC20"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Intervalo de confianza</w:t>
            </w:r>
          </w:p>
          <w:p w14:paraId="142F1FB3"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95 %</w:t>
            </w:r>
          </w:p>
        </w:tc>
      </w:tr>
      <w:tr w:rsidR="0095207C" w:rsidRPr="0095207C" w14:paraId="50F0E428" w14:textId="77777777" w:rsidTr="007E0C8A">
        <w:trPr>
          <w:trHeight w:val="300"/>
          <w:jc w:val="center"/>
        </w:trPr>
        <w:tc>
          <w:tcPr>
            <w:tcW w:w="1105" w:type="pct"/>
            <w:vMerge/>
            <w:shd w:val="clear" w:color="auto" w:fill="auto"/>
            <w:vAlign w:val="center"/>
            <w:hideMark/>
          </w:tcPr>
          <w:p w14:paraId="197334D9" w14:textId="77777777" w:rsidR="0095207C" w:rsidRPr="0095207C" w:rsidRDefault="0095207C" w:rsidP="0095207C">
            <w:pPr>
              <w:spacing w:line="360" w:lineRule="auto"/>
              <w:jc w:val="center"/>
              <w:rPr>
                <w:b/>
                <w:bCs/>
                <w:color w:val="000000"/>
                <w:sz w:val="18"/>
                <w:szCs w:val="18"/>
                <w:lang w:val="es-ES" w:eastAsia="es-ES"/>
              </w:rPr>
            </w:pPr>
          </w:p>
        </w:tc>
        <w:tc>
          <w:tcPr>
            <w:tcW w:w="740" w:type="pct"/>
            <w:gridSpan w:val="2"/>
            <w:shd w:val="clear" w:color="auto" w:fill="auto"/>
            <w:vAlign w:val="center"/>
            <w:hideMark/>
          </w:tcPr>
          <w:p w14:paraId="73BF382E" w14:textId="77777777" w:rsidR="0095207C" w:rsidRPr="0095207C" w:rsidRDefault="0095207C" w:rsidP="0095207C">
            <w:pPr>
              <w:spacing w:line="360" w:lineRule="auto"/>
              <w:jc w:val="center"/>
              <w:rPr>
                <w:b/>
                <w:color w:val="000000"/>
                <w:sz w:val="18"/>
                <w:szCs w:val="18"/>
                <w:lang w:val="es-ES" w:eastAsia="es-ES"/>
              </w:rPr>
            </w:pPr>
            <w:r w:rsidRPr="0095207C">
              <w:rPr>
                <w:b/>
                <w:color w:val="000000"/>
                <w:sz w:val="18"/>
                <w:szCs w:val="18"/>
                <w:lang w:val="es-ES" w:eastAsia="es-ES"/>
              </w:rPr>
              <w:t>Casos</w:t>
            </w:r>
          </w:p>
        </w:tc>
        <w:tc>
          <w:tcPr>
            <w:tcW w:w="710" w:type="pct"/>
            <w:gridSpan w:val="2"/>
            <w:shd w:val="clear" w:color="auto" w:fill="auto"/>
            <w:vAlign w:val="center"/>
            <w:hideMark/>
          </w:tcPr>
          <w:p w14:paraId="09DB2444" w14:textId="77777777" w:rsidR="0095207C" w:rsidRPr="0095207C" w:rsidRDefault="0095207C" w:rsidP="0095207C">
            <w:pPr>
              <w:spacing w:line="360" w:lineRule="auto"/>
              <w:jc w:val="center"/>
              <w:rPr>
                <w:b/>
                <w:color w:val="000000"/>
                <w:sz w:val="18"/>
                <w:szCs w:val="18"/>
                <w:lang w:val="es-ES" w:eastAsia="es-ES"/>
              </w:rPr>
            </w:pPr>
            <w:r w:rsidRPr="0095207C">
              <w:rPr>
                <w:b/>
                <w:color w:val="000000"/>
                <w:sz w:val="18"/>
                <w:szCs w:val="18"/>
                <w:lang w:val="es-ES" w:eastAsia="es-ES"/>
              </w:rPr>
              <w:t>Controles</w:t>
            </w:r>
          </w:p>
        </w:tc>
        <w:tc>
          <w:tcPr>
            <w:tcW w:w="752" w:type="pct"/>
            <w:gridSpan w:val="2"/>
            <w:shd w:val="clear" w:color="auto" w:fill="auto"/>
            <w:vAlign w:val="center"/>
            <w:hideMark/>
          </w:tcPr>
          <w:p w14:paraId="370AF961" w14:textId="77777777" w:rsidR="0095207C" w:rsidRPr="0095207C" w:rsidRDefault="0095207C" w:rsidP="0095207C">
            <w:pPr>
              <w:spacing w:line="360" w:lineRule="auto"/>
              <w:jc w:val="center"/>
              <w:rPr>
                <w:b/>
                <w:color w:val="000000"/>
                <w:sz w:val="18"/>
                <w:szCs w:val="18"/>
                <w:lang w:val="es-ES" w:eastAsia="es-ES"/>
              </w:rPr>
            </w:pPr>
            <w:r w:rsidRPr="0095207C">
              <w:rPr>
                <w:b/>
                <w:color w:val="000000"/>
                <w:sz w:val="18"/>
                <w:szCs w:val="18"/>
                <w:lang w:val="es-ES" w:eastAsia="es-ES"/>
              </w:rPr>
              <w:t>Total</w:t>
            </w:r>
          </w:p>
        </w:tc>
        <w:tc>
          <w:tcPr>
            <w:tcW w:w="444" w:type="pct"/>
            <w:vMerge/>
            <w:shd w:val="clear" w:color="auto" w:fill="auto"/>
            <w:vAlign w:val="center"/>
            <w:hideMark/>
          </w:tcPr>
          <w:p w14:paraId="3B0DCC50" w14:textId="77777777" w:rsidR="0095207C" w:rsidRPr="0095207C" w:rsidRDefault="0095207C" w:rsidP="0095207C">
            <w:pPr>
              <w:spacing w:line="360" w:lineRule="auto"/>
              <w:jc w:val="center"/>
              <w:rPr>
                <w:color w:val="000000"/>
                <w:sz w:val="18"/>
                <w:szCs w:val="18"/>
                <w:lang w:val="es-ES" w:eastAsia="es-ES"/>
              </w:rPr>
            </w:pPr>
          </w:p>
        </w:tc>
        <w:tc>
          <w:tcPr>
            <w:tcW w:w="429" w:type="pct"/>
            <w:vMerge/>
            <w:shd w:val="clear" w:color="auto" w:fill="auto"/>
            <w:vAlign w:val="center"/>
            <w:hideMark/>
          </w:tcPr>
          <w:p w14:paraId="1B63FD3F" w14:textId="77777777" w:rsidR="0095207C" w:rsidRPr="0095207C" w:rsidRDefault="0095207C" w:rsidP="0095207C">
            <w:pPr>
              <w:spacing w:line="360" w:lineRule="auto"/>
              <w:jc w:val="center"/>
              <w:rPr>
                <w:color w:val="000000"/>
                <w:sz w:val="18"/>
                <w:szCs w:val="18"/>
                <w:lang w:val="es-ES" w:eastAsia="es-ES"/>
              </w:rPr>
            </w:pPr>
          </w:p>
        </w:tc>
        <w:tc>
          <w:tcPr>
            <w:tcW w:w="820" w:type="pct"/>
            <w:gridSpan w:val="2"/>
            <w:vMerge/>
            <w:shd w:val="clear" w:color="auto" w:fill="auto"/>
            <w:vAlign w:val="center"/>
          </w:tcPr>
          <w:p w14:paraId="65F707BE" w14:textId="77777777" w:rsidR="0095207C" w:rsidRPr="0095207C" w:rsidRDefault="0095207C" w:rsidP="0095207C">
            <w:pPr>
              <w:spacing w:line="360" w:lineRule="auto"/>
              <w:jc w:val="center"/>
              <w:rPr>
                <w:color w:val="000000"/>
                <w:sz w:val="18"/>
                <w:szCs w:val="18"/>
                <w:lang w:val="es-ES" w:eastAsia="es-ES"/>
              </w:rPr>
            </w:pPr>
          </w:p>
        </w:tc>
      </w:tr>
      <w:tr w:rsidR="0095207C" w:rsidRPr="0095207C" w14:paraId="14DCBC2A" w14:textId="77777777" w:rsidTr="007E0C8A">
        <w:trPr>
          <w:trHeight w:val="300"/>
          <w:jc w:val="center"/>
        </w:trPr>
        <w:tc>
          <w:tcPr>
            <w:tcW w:w="1105" w:type="pct"/>
            <w:vMerge/>
            <w:shd w:val="clear" w:color="auto" w:fill="auto"/>
            <w:vAlign w:val="center"/>
            <w:hideMark/>
          </w:tcPr>
          <w:p w14:paraId="446DAE18" w14:textId="77777777" w:rsidR="0095207C" w:rsidRPr="0095207C" w:rsidRDefault="0095207C" w:rsidP="0095207C">
            <w:pPr>
              <w:spacing w:line="360" w:lineRule="auto"/>
              <w:jc w:val="center"/>
              <w:rPr>
                <w:b/>
                <w:bCs/>
                <w:color w:val="000000"/>
                <w:sz w:val="18"/>
                <w:szCs w:val="18"/>
                <w:lang w:val="es-ES" w:eastAsia="es-ES"/>
              </w:rPr>
            </w:pPr>
          </w:p>
        </w:tc>
        <w:tc>
          <w:tcPr>
            <w:tcW w:w="376" w:type="pct"/>
            <w:shd w:val="clear" w:color="auto" w:fill="auto"/>
            <w:vAlign w:val="center"/>
            <w:hideMark/>
          </w:tcPr>
          <w:p w14:paraId="3EBCA736"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n</w:t>
            </w:r>
          </w:p>
        </w:tc>
        <w:tc>
          <w:tcPr>
            <w:tcW w:w="364" w:type="pct"/>
            <w:shd w:val="clear" w:color="auto" w:fill="auto"/>
            <w:vAlign w:val="center"/>
            <w:hideMark/>
          </w:tcPr>
          <w:p w14:paraId="666789F2"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w:t>
            </w:r>
          </w:p>
        </w:tc>
        <w:tc>
          <w:tcPr>
            <w:tcW w:w="330" w:type="pct"/>
            <w:shd w:val="clear" w:color="auto" w:fill="auto"/>
            <w:vAlign w:val="center"/>
            <w:hideMark/>
          </w:tcPr>
          <w:p w14:paraId="2D24061F"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n</w:t>
            </w:r>
          </w:p>
        </w:tc>
        <w:tc>
          <w:tcPr>
            <w:tcW w:w="380" w:type="pct"/>
            <w:shd w:val="clear" w:color="auto" w:fill="auto"/>
            <w:vAlign w:val="center"/>
            <w:hideMark/>
          </w:tcPr>
          <w:p w14:paraId="5A0B9ABE"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w:t>
            </w:r>
          </w:p>
        </w:tc>
        <w:tc>
          <w:tcPr>
            <w:tcW w:w="354" w:type="pct"/>
            <w:shd w:val="clear" w:color="auto" w:fill="auto"/>
            <w:vAlign w:val="center"/>
            <w:hideMark/>
          </w:tcPr>
          <w:p w14:paraId="0A3C4FCE"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n</w:t>
            </w:r>
          </w:p>
        </w:tc>
        <w:tc>
          <w:tcPr>
            <w:tcW w:w="398" w:type="pct"/>
            <w:shd w:val="clear" w:color="auto" w:fill="auto"/>
            <w:vAlign w:val="center"/>
            <w:hideMark/>
          </w:tcPr>
          <w:p w14:paraId="46CE5113"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w:t>
            </w:r>
          </w:p>
        </w:tc>
        <w:tc>
          <w:tcPr>
            <w:tcW w:w="444" w:type="pct"/>
            <w:vMerge/>
            <w:shd w:val="clear" w:color="auto" w:fill="auto"/>
            <w:vAlign w:val="center"/>
            <w:hideMark/>
          </w:tcPr>
          <w:p w14:paraId="74092B6D" w14:textId="77777777" w:rsidR="0095207C" w:rsidRPr="0095207C" w:rsidRDefault="0095207C" w:rsidP="0095207C">
            <w:pPr>
              <w:spacing w:line="360" w:lineRule="auto"/>
              <w:jc w:val="center"/>
              <w:rPr>
                <w:color w:val="000000"/>
                <w:sz w:val="18"/>
                <w:szCs w:val="18"/>
                <w:lang w:val="es-ES" w:eastAsia="es-ES"/>
              </w:rPr>
            </w:pPr>
          </w:p>
        </w:tc>
        <w:tc>
          <w:tcPr>
            <w:tcW w:w="429" w:type="pct"/>
            <w:vMerge/>
            <w:shd w:val="clear" w:color="auto" w:fill="auto"/>
            <w:noWrap/>
            <w:vAlign w:val="center"/>
            <w:hideMark/>
          </w:tcPr>
          <w:p w14:paraId="1ED3F986" w14:textId="77777777" w:rsidR="0095207C" w:rsidRPr="0095207C" w:rsidRDefault="0095207C" w:rsidP="0095207C">
            <w:pPr>
              <w:spacing w:line="360" w:lineRule="auto"/>
              <w:jc w:val="center"/>
              <w:rPr>
                <w:b/>
                <w:color w:val="000000"/>
                <w:sz w:val="18"/>
                <w:szCs w:val="18"/>
                <w:lang w:val="es-ES" w:eastAsia="es-ES"/>
              </w:rPr>
            </w:pPr>
          </w:p>
        </w:tc>
        <w:tc>
          <w:tcPr>
            <w:tcW w:w="386" w:type="pct"/>
            <w:shd w:val="clear" w:color="auto" w:fill="auto"/>
            <w:noWrap/>
            <w:vAlign w:val="center"/>
            <w:hideMark/>
          </w:tcPr>
          <w:p w14:paraId="45184626" w14:textId="77777777" w:rsidR="0095207C" w:rsidRPr="0095207C" w:rsidRDefault="0095207C" w:rsidP="0095207C">
            <w:pPr>
              <w:spacing w:line="360" w:lineRule="auto"/>
              <w:jc w:val="center"/>
              <w:rPr>
                <w:b/>
                <w:color w:val="000000"/>
                <w:sz w:val="18"/>
                <w:szCs w:val="18"/>
                <w:lang w:val="es-ES" w:eastAsia="es-ES"/>
              </w:rPr>
            </w:pPr>
            <w:r w:rsidRPr="0095207C">
              <w:rPr>
                <w:b/>
                <w:color w:val="000000"/>
                <w:sz w:val="18"/>
                <w:szCs w:val="18"/>
                <w:lang w:val="es-ES" w:eastAsia="es-ES"/>
              </w:rPr>
              <w:t>LI</w:t>
            </w:r>
          </w:p>
        </w:tc>
        <w:tc>
          <w:tcPr>
            <w:tcW w:w="434" w:type="pct"/>
            <w:shd w:val="clear" w:color="auto" w:fill="auto"/>
            <w:noWrap/>
            <w:vAlign w:val="center"/>
            <w:hideMark/>
          </w:tcPr>
          <w:p w14:paraId="4F47E9AF" w14:textId="77777777" w:rsidR="0095207C" w:rsidRPr="0095207C" w:rsidRDefault="0095207C" w:rsidP="0095207C">
            <w:pPr>
              <w:spacing w:line="360" w:lineRule="auto"/>
              <w:jc w:val="center"/>
              <w:rPr>
                <w:b/>
                <w:color w:val="000000"/>
                <w:sz w:val="18"/>
                <w:szCs w:val="18"/>
                <w:lang w:val="es-ES" w:eastAsia="es-ES"/>
              </w:rPr>
            </w:pPr>
            <w:r w:rsidRPr="0095207C">
              <w:rPr>
                <w:b/>
                <w:color w:val="000000"/>
                <w:sz w:val="18"/>
                <w:szCs w:val="18"/>
                <w:lang w:val="es-ES" w:eastAsia="es-ES"/>
              </w:rPr>
              <w:t>LS</w:t>
            </w:r>
          </w:p>
        </w:tc>
      </w:tr>
      <w:tr w:rsidR="0095207C" w:rsidRPr="0095207C" w14:paraId="564858E5" w14:textId="77777777" w:rsidTr="007E0C8A">
        <w:trPr>
          <w:trHeight w:val="300"/>
          <w:jc w:val="center"/>
        </w:trPr>
        <w:tc>
          <w:tcPr>
            <w:tcW w:w="1105" w:type="pct"/>
            <w:shd w:val="clear" w:color="auto" w:fill="auto"/>
            <w:vAlign w:val="center"/>
            <w:hideMark/>
          </w:tcPr>
          <w:p w14:paraId="732B45B6" w14:textId="77777777" w:rsidR="0095207C" w:rsidRPr="0095207C" w:rsidRDefault="0095207C" w:rsidP="0095207C">
            <w:pPr>
              <w:spacing w:line="360" w:lineRule="auto"/>
              <w:rPr>
                <w:color w:val="000000"/>
                <w:sz w:val="18"/>
                <w:szCs w:val="18"/>
                <w:lang w:val="es-ES" w:eastAsia="es-ES"/>
              </w:rPr>
            </w:pPr>
            <w:r w:rsidRPr="0095207C">
              <w:rPr>
                <w:color w:val="000000"/>
                <w:sz w:val="18"/>
                <w:szCs w:val="18"/>
                <w:lang w:val="es-ES" w:eastAsia="es-ES"/>
              </w:rPr>
              <w:t>Edad ≥ 55 años</w:t>
            </w:r>
          </w:p>
        </w:tc>
        <w:tc>
          <w:tcPr>
            <w:tcW w:w="376" w:type="pct"/>
            <w:shd w:val="clear" w:color="auto" w:fill="auto"/>
            <w:noWrap/>
            <w:vAlign w:val="center"/>
            <w:hideMark/>
          </w:tcPr>
          <w:p w14:paraId="5E1E48A2"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26</w:t>
            </w:r>
          </w:p>
        </w:tc>
        <w:tc>
          <w:tcPr>
            <w:tcW w:w="364" w:type="pct"/>
            <w:shd w:val="clear" w:color="auto" w:fill="auto"/>
            <w:noWrap/>
            <w:vAlign w:val="center"/>
            <w:hideMark/>
          </w:tcPr>
          <w:p w14:paraId="4AD54FE2"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78,8</w:t>
            </w:r>
          </w:p>
        </w:tc>
        <w:tc>
          <w:tcPr>
            <w:tcW w:w="330" w:type="pct"/>
            <w:shd w:val="clear" w:color="auto" w:fill="auto"/>
            <w:noWrap/>
            <w:vAlign w:val="center"/>
            <w:hideMark/>
          </w:tcPr>
          <w:p w14:paraId="7466738E"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35</w:t>
            </w:r>
          </w:p>
        </w:tc>
        <w:tc>
          <w:tcPr>
            <w:tcW w:w="380" w:type="pct"/>
            <w:shd w:val="clear" w:color="auto" w:fill="auto"/>
            <w:noWrap/>
            <w:vAlign w:val="center"/>
            <w:hideMark/>
          </w:tcPr>
          <w:p w14:paraId="196C025A"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53</w:t>
            </w:r>
          </w:p>
        </w:tc>
        <w:tc>
          <w:tcPr>
            <w:tcW w:w="354" w:type="pct"/>
            <w:shd w:val="clear" w:color="auto" w:fill="auto"/>
            <w:noWrap/>
            <w:vAlign w:val="center"/>
            <w:hideMark/>
          </w:tcPr>
          <w:p w14:paraId="5FA30299"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61</w:t>
            </w:r>
          </w:p>
        </w:tc>
        <w:tc>
          <w:tcPr>
            <w:tcW w:w="398" w:type="pct"/>
            <w:shd w:val="clear" w:color="auto" w:fill="auto"/>
            <w:noWrap/>
            <w:vAlign w:val="center"/>
            <w:hideMark/>
          </w:tcPr>
          <w:p w14:paraId="0BA78180"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61,6</w:t>
            </w:r>
          </w:p>
        </w:tc>
        <w:tc>
          <w:tcPr>
            <w:tcW w:w="444" w:type="pct"/>
            <w:shd w:val="clear" w:color="auto" w:fill="auto"/>
            <w:noWrap/>
            <w:vAlign w:val="center"/>
            <w:hideMark/>
          </w:tcPr>
          <w:p w14:paraId="341FBDC7"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0,013</w:t>
            </w:r>
          </w:p>
        </w:tc>
        <w:tc>
          <w:tcPr>
            <w:tcW w:w="429" w:type="pct"/>
            <w:shd w:val="clear" w:color="auto" w:fill="auto"/>
            <w:noWrap/>
            <w:vAlign w:val="center"/>
            <w:hideMark/>
          </w:tcPr>
          <w:p w14:paraId="40C05090"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3,58</w:t>
            </w:r>
          </w:p>
        </w:tc>
        <w:tc>
          <w:tcPr>
            <w:tcW w:w="386" w:type="pct"/>
            <w:shd w:val="clear" w:color="auto" w:fill="auto"/>
            <w:noWrap/>
            <w:vAlign w:val="center"/>
            <w:hideMark/>
          </w:tcPr>
          <w:p w14:paraId="2CDF72EA"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1,333</w:t>
            </w:r>
          </w:p>
        </w:tc>
        <w:tc>
          <w:tcPr>
            <w:tcW w:w="434" w:type="pct"/>
            <w:shd w:val="clear" w:color="auto" w:fill="auto"/>
            <w:noWrap/>
            <w:vAlign w:val="center"/>
            <w:hideMark/>
          </w:tcPr>
          <w:p w14:paraId="1348433E"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9,67</w:t>
            </w:r>
          </w:p>
        </w:tc>
      </w:tr>
      <w:tr w:rsidR="0095207C" w:rsidRPr="0095207C" w14:paraId="524C9835" w14:textId="77777777" w:rsidTr="007E0C8A">
        <w:trPr>
          <w:trHeight w:val="300"/>
          <w:jc w:val="center"/>
        </w:trPr>
        <w:tc>
          <w:tcPr>
            <w:tcW w:w="1105" w:type="pct"/>
            <w:shd w:val="clear" w:color="auto" w:fill="auto"/>
            <w:vAlign w:val="center"/>
            <w:hideMark/>
          </w:tcPr>
          <w:p w14:paraId="30872BF3" w14:textId="77777777" w:rsidR="0095207C" w:rsidRPr="0095207C" w:rsidRDefault="0095207C" w:rsidP="0095207C">
            <w:pPr>
              <w:spacing w:line="360" w:lineRule="auto"/>
              <w:rPr>
                <w:color w:val="000000"/>
                <w:sz w:val="18"/>
                <w:szCs w:val="18"/>
                <w:lang w:val="es-ES" w:eastAsia="es-ES"/>
              </w:rPr>
            </w:pPr>
            <w:r w:rsidRPr="0095207C">
              <w:rPr>
                <w:color w:val="000000"/>
                <w:sz w:val="18"/>
                <w:szCs w:val="18"/>
                <w:lang w:val="es-ES" w:eastAsia="es-ES"/>
              </w:rPr>
              <w:t>Sexo Masculino</w:t>
            </w:r>
          </w:p>
        </w:tc>
        <w:tc>
          <w:tcPr>
            <w:tcW w:w="376" w:type="pct"/>
            <w:shd w:val="clear" w:color="auto" w:fill="auto"/>
            <w:noWrap/>
            <w:vAlign w:val="center"/>
            <w:hideMark/>
          </w:tcPr>
          <w:p w14:paraId="4CADCC30"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13</w:t>
            </w:r>
          </w:p>
        </w:tc>
        <w:tc>
          <w:tcPr>
            <w:tcW w:w="364" w:type="pct"/>
            <w:shd w:val="clear" w:color="auto" w:fill="auto"/>
            <w:noWrap/>
            <w:vAlign w:val="center"/>
            <w:hideMark/>
          </w:tcPr>
          <w:p w14:paraId="427F2F25"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39,4</w:t>
            </w:r>
          </w:p>
        </w:tc>
        <w:tc>
          <w:tcPr>
            <w:tcW w:w="330" w:type="pct"/>
            <w:shd w:val="clear" w:color="auto" w:fill="auto"/>
            <w:noWrap/>
            <w:vAlign w:val="center"/>
            <w:hideMark/>
          </w:tcPr>
          <w:p w14:paraId="244072E3"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43</w:t>
            </w:r>
          </w:p>
        </w:tc>
        <w:tc>
          <w:tcPr>
            <w:tcW w:w="380" w:type="pct"/>
            <w:shd w:val="clear" w:color="auto" w:fill="auto"/>
            <w:noWrap/>
            <w:vAlign w:val="center"/>
            <w:hideMark/>
          </w:tcPr>
          <w:p w14:paraId="57843D23"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65,2</w:t>
            </w:r>
          </w:p>
        </w:tc>
        <w:tc>
          <w:tcPr>
            <w:tcW w:w="354" w:type="pct"/>
            <w:shd w:val="clear" w:color="auto" w:fill="auto"/>
            <w:noWrap/>
            <w:vAlign w:val="center"/>
            <w:hideMark/>
          </w:tcPr>
          <w:p w14:paraId="072A5D48"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56</w:t>
            </w:r>
          </w:p>
        </w:tc>
        <w:tc>
          <w:tcPr>
            <w:tcW w:w="398" w:type="pct"/>
            <w:shd w:val="clear" w:color="auto" w:fill="auto"/>
            <w:noWrap/>
            <w:vAlign w:val="center"/>
            <w:hideMark/>
          </w:tcPr>
          <w:p w14:paraId="7F494667"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56,6</w:t>
            </w:r>
          </w:p>
        </w:tc>
        <w:tc>
          <w:tcPr>
            <w:tcW w:w="444" w:type="pct"/>
            <w:shd w:val="clear" w:color="auto" w:fill="auto"/>
            <w:noWrap/>
            <w:vAlign w:val="center"/>
            <w:hideMark/>
          </w:tcPr>
          <w:p w14:paraId="391EE6EA"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0,015</w:t>
            </w:r>
          </w:p>
        </w:tc>
        <w:tc>
          <w:tcPr>
            <w:tcW w:w="429" w:type="pct"/>
            <w:shd w:val="clear" w:color="auto" w:fill="auto"/>
            <w:noWrap/>
            <w:vAlign w:val="center"/>
            <w:hideMark/>
          </w:tcPr>
          <w:p w14:paraId="718D5E78"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2,31</w:t>
            </w:r>
          </w:p>
        </w:tc>
        <w:tc>
          <w:tcPr>
            <w:tcW w:w="386" w:type="pct"/>
            <w:shd w:val="clear" w:color="auto" w:fill="auto"/>
            <w:noWrap/>
            <w:vAlign w:val="center"/>
            <w:hideMark/>
          </w:tcPr>
          <w:p w14:paraId="576E1C07"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0,95</w:t>
            </w:r>
          </w:p>
        </w:tc>
        <w:tc>
          <w:tcPr>
            <w:tcW w:w="434" w:type="pct"/>
            <w:shd w:val="clear" w:color="auto" w:fill="auto"/>
            <w:noWrap/>
            <w:vAlign w:val="center"/>
            <w:hideMark/>
          </w:tcPr>
          <w:p w14:paraId="36360AE4"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5,55</w:t>
            </w:r>
          </w:p>
        </w:tc>
      </w:tr>
      <w:tr w:rsidR="0095207C" w:rsidRPr="0095207C" w14:paraId="5B1C3809" w14:textId="77777777" w:rsidTr="007E0C8A">
        <w:trPr>
          <w:trHeight w:val="300"/>
          <w:jc w:val="center"/>
        </w:trPr>
        <w:tc>
          <w:tcPr>
            <w:tcW w:w="1105" w:type="pct"/>
            <w:shd w:val="clear" w:color="auto" w:fill="auto"/>
            <w:vAlign w:val="center"/>
            <w:hideMark/>
          </w:tcPr>
          <w:p w14:paraId="5F77F8C0" w14:textId="77777777" w:rsidR="0095207C" w:rsidRPr="0095207C" w:rsidRDefault="0095207C" w:rsidP="0095207C">
            <w:pPr>
              <w:spacing w:line="360" w:lineRule="auto"/>
              <w:rPr>
                <w:color w:val="000000"/>
                <w:sz w:val="18"/>
                <w:szCs w:val="18"/>
                <w:lang w:val="es-ES" w:eastAsia="es-ES"/>
              </w:rPr>
            </w:pPr>
            <w:r w:rsidRPr="0095207C">
              <w:rPr>
                <w:color w:val="000000"/>
                <w:sz w:val="18"/>
                <w:szCs w:val="18"/>
                <w:lang w:val="es-ES" w:eastAsia="es-ES"/>
              </w:rPr>
              <w:t>IMA PREVIO</w:t>
            </w:r>
          </w:p>
        </w:tc>
        <w:tc>
          <w:tcPr>
            <w:tcW w:w="376" w:type="pct"/>
            <w:shd w:val="clear" w:color="auto" w:fill="auto"/>
            <w:noWrap/>
            <w:vAlign w:val="center"/>
            <w:hideMark/>
          </w:tcPr>
          <w:p w14:paraId="188ED33E"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19</w:t>
            </w:r>
          </w:p>
        </w:tc>
        <w:tc>
          <w:tcPr>
            <w:tcW w:w="364" w:type="pct"/>
            <w:shd w:val="clear" w:color="auto" w:fill="auto"/>
            <w:noWrap/>
            <w:vAlign w:val="center"/>
            <w:hideMark/>
          </w:tcPr>
          <w:p w14:paraId="3A4A9DCF"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57,6</w:t>
            </w:r>
          </w:p>
        </w:tc>
        <w:tc>
          <w:tcPr>
            <w:tcW w:w="330" w:type="pct"/>
            <w:shd w:val="clear" w:color="auto" w:fill="auto"/>
            <w:noWrap/>
            <w:vAlign w:val="center"/>
            <w:hideMark/>
          </w:tcPr>
          <w:p w14:paraId="5B94CF16"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30</w:t>
            </w:r>
          </w:p>
        </w:tc>
        <w:tc>
          <w:tcPr>
            <w:tcW w:w="380" w:type="pct"/>
            <w:shd w:val="clear" w:color="auto" w:fill="auto"/>
            <w:noWrap/>
            <w:vAlign w:val="center"/>
            <w:hideMark/>
          </w:tcPr>
          <w:p w14:paraId="76D9645E"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45,5</w:t>
            </w:r>
          </w:p>
        </w:tc>
        <w:tc>
          <w:tcPr>
            <w:tcW w:w="354" w:type="pct"/>
            <w:shd w:val="clear" w:color="auto" w:fill="auto"/>
            <w:noWrap/>
            <w:vAlign w:val="center"/>
            <w:hideMark/>
          </w:tcPr>
          <w:p w14:paraId="0CEC6123"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49</w:t>
            </w:r>
          </w:p>
        </w:tc>
        <w:tc>
          <w:tcPr>
            <w:tcW w:w="398" w:type="pct"/>
            <w:shd w:val="clear" w:color="auto" w:fill="auto"/>
            <w:noWrap/>
            <w:vAlign w:val="center"/>
            <w:hideMark/>
          </w:tcPr>
          <w:p w14:paraId="63574046"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49,5</w:t>
            </w:r>
          </w:p>
        </w:tc>
        <w:tc>
          <w:tcPr>
            <w:tcW w:w="444" w:type="pct"/>
            <w:shd w:val="clear" w:color="auto" w:fill="auto"/>
            <w:noWrap/>
            <w:vAlign w:val="center"/>
            <w:hideMark/>
          </w:tcPr>
          <w:p w14:paraId="25499EFD"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0,255</w:t>
            </w:r>
          </w:p>
        </w:tc>
        <w:tc>
          <w:tcPr>
            <w:tcW w:w="429" w:type="pct"/>
            <w:shd w:val="clear" w:color="auto" w:fill="auto"/>
            <w:noWrap/>
            <w:vAlign w:val="center"/>
            <w:hideMark/>
          </w:tcPr>
          <w:p w14:paraId="1465166C"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0,764</w:t>
            </w:r>
          </w:p>
        </w:tc>
        <w:tc>
          <w:tcPr>
            <w:tcW w:w="386" w:type="pct"/>
            <w:shd w:val="clear" w:color="auto" w:fill="auto"/>
            <w:noWrap/>
            <w:vAlign w:val="center"/>
            <w:hideMark/>
          </w:tcPr>
          <w:p w14:paraId="0519DDCB"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0,32</w:t>
            </w:r>
          </w:p>
        </w:tc>
        <w:tc>
          <w:tcPr>
            <w:tcW w:w="434" w:type="pct"/>
            <w:shd w:val="clear" w:color="auto" w:fill="auto"/>
            <w:noWrap/>
            <w:vAlign w:val="center"/>
            <w:hideMark/>
          </w:tcPr>
          <w:p w14:paraId="4C5E5CD5"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1,82</w:t>
            </w:r>
          </w:p>
        </w:tc>
      </w:tr>
      <w:tr w:rsidR="0095207C" w:rsidRPr="0095207C" w14:paraId="77A7E335" w14:textId="77777777" w:rsidTr="007E0C8A">
        <w:trPr>
          <w:trHeight w:val="270"/>
          <w:jc w:val="center"/>
        </w:trPr>
        <w:tc>
          <w:tcPr>
            <w:tcW w:w="1105" w:type="pct"/>
            <w:shd w:val="clear" w:color="auto" w:fill="auto"/>
            <w:vAlign w:val="center"/>
            <w:hideMark/>
          </w:tcPr>
          <w:p w14:paraId="649E973F" w14:textId="77777777" w:rsidR="0095207C" w:rsidRPr="0095207C" w:rsidRDefault="0095207C" w:rsidP="0095207C">
            <w:pPr>
              <w:spacing w:line="360" w:lineRule="auto"/>
              <w:rPr>
                <w:color w:val="000000"/>
                <w:sz w:val="18"/>
                <w:szCs w:val="18"/>
                <w:lang w:val="es-ES" w:eastAsia="es-ES"/>
              </w:rPr>
            </w:pPr>
            <w:r w:rsidRPr="0095207C">
              <w:rPr>
                <w:color w:val="000000"/>
                <w:sz w:val="18"/>
                <w:szCs w:val="18"/>
                <w:lang w:val="es-ES" w:eastAsia="es-ES"/>
              </w:rPr>
              <w:t>FEVI ≤ 40 %</w:t>
            </w:r>
          </w:p>
        </w:tc>
        <w:tc>
          <w:tcPr>
            <w:tcW w:w="376" w:type="pct"/>
            <w:shd w:val="clear" w:color="auto" w:fill="auto"/>
            <w:noWrap/>
            <w:vAlign w:val="center"/>
            <w:hideMark/>
          </w:tcPr>
          <w:p w14:paraId="331D2DE5"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13</w:t>
            </w:r>
          </w:p>
        </w:tc>
        <w:tc>
          <w:tcPr>
            <w:tcW w:w="364" w:type="pct"/>
            <w:shd w:val="clear" w:color="auto" w:fill="auto"/>
            <w:noWrap/>
            <w:vAlign w:val="center"/>
            <w:hideMark/>
          </w:tcPr>
          <w:p w14:paraId="01767426"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14,8</w:t>
            </w:r>
          </w:p>
        </w:tc>
        <w:tc>
          <w:tcPr>
            <w:tcW w:w="330" w:type="pct"/>
            <w:shd w:val="clear" w:color="auto" w:fill="auto"/>
            <w:noWrap/>
            <w:vAlign w:val="center"/>
            <w:hideMark/>
          </w:tcPr>
          <w:p w14:paraId="385293FF"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7</w:t>
            </w:r>
          </w:p>
        </w:tc>
        <w:tc>
          <w:tcPr>
            <w:tcW w:w="380" w:type="pct"/>
            <w:shd w:val="clear" w:color="auto" w:fill="auto"/>
            <w:noWrap/>
            <w:vAlign w:val="center"/>
            <w:hideMark/>
          </w:tcPr>
          <w:p w14:paraId="53046E56"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8</w:t>
            </w:r>
          </w:p>
        </w:tc>
        <w:tc>
          <w:tcPr>
            <w:tcW w:w="354" w:type="pct"/>
            <w:shd w:val="clear" w:color="auto" w:fill="auto"/>
            <w:noWrap/>
            <w:vAlign w:val="center"/>
            <w:hideMark/>
          </w:tcPr>
          <w:p w14:paraId="6C09B03B"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20</w:t>
            </w:r>
          </w:p>
        </w:tc>
        <w:tc>
          <w:tcPr>
            <w:tcW w:w="398" w:type="pct"/>
            <w:shd w:val="clear" w:color="auto" w:fill="auto"/>
            <w:noWrap/>
            <w:vAlign w:val="center"/>
            <w:hideMark/>
          </w:tcPr>
          <w:p w14:paraId="4ABAC337"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22,7</w:t>
            </w:r>
          </w:p>
        </w:tc>
        <w:tc>
          <w:tcPr>
            <w:tcW w:w="444" w:type="pct"/>
            <w:shd w:val="clear" w:color="auto" w:fill="auto"/>
            <w:noWrap/>
            <w:vAlign w:val="center"/>
            <w:hideMark/>
          </w:tcPr>
          <w:p w14:paraId="79DFF184"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0,004</w:t>
            </w:r>
          </w:p>
        </w:tc>
        <w:tc>
          <w:tcPr>
            <w:tcW w:w="429" w:type="pct"/>
            <w:shd w:val="clear" w:color="auto" w:fill="auto"/>
            <w:noWrap/>
            <w:vAlign w:val="center"/>
            <w:hideMark/>
          </w:tcPr>
          <w:p w14:paraId="1F413B4F"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4,45</w:t>
            </w:r>
          </w:p>
        </w:tc>
        <w:tc>
          <w:tcPr>
            <w:tcW w:w="386" w:type="pct"/>
            <w:shd w:val="clear" w:color="auto" w:fill="auto"/>
            <w:noWrap/>
            <w:vAlign w:val="center"/>
            <w:hideMark/>
          </w:tcPr>
          <w:p w14:paraId="248CFDF9"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1,54</w:t>
            </w:r>
          </w:p>
        </w:tc>
        <w:tc>
          <w:tcPr>
            <w:tcW w:w="434" w:type="pct"/>
            <w:shd w:val="clear" w:color="auto" w:fill="auto"/>
            <w:noWrap/>
            <w:vAlign w:val="center"/>
            <w:hideMark/>
          </w:tcPr>
          <w:p w14:paraId="4FF7FCBE"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12,8</w:t>
            </w:r>
          </w:p>
        </w:tc>
      </w:tr>
      <w:tr w:rsidR="0095207C" w:rsidRPr="0095207C" w14:paraId="21F91EA5" w14:textId="77777777" w:rsidTr="007E0C8A">
        <w:trPr>
          <w:trHeight w:val="390"/>
          <w:jc w:val="center"/>
        </w:trPr>
        <w:tc>
          <w:tcPr>
            <w:tcW w:w="1105" w:type="pct"/>
            <w:shd w:val="clear" w:color="auto" w:fill="auto"/>
            <w:vAlign w:val="center"/>
            <w:hideMark/>
          </w:tcPr>
          <w:p w14:paraId="7EC44E74" w14:textId="77777777" w:rsidR="0095207C" w:rsidRPr="0095207C" w:rsidRDefault="0095207C" w:rsidP="0095207C">
            <w:pPr>
              <w:spacing w:line="360" w:lineRule="auto"/>
              <w:rPr>
                <w:color w:val="000000"/>
                <w:sz w:val="18"/>
                <w:szCs w:val="18"/>
                <w:lang w:val="es-ES" w:eastAsia="es-ES"/>
              </w:rPr>
            </w:pPr>
            <w:r w:rsidRPr="0095207C">
              <w:rPr>
                <w:color w:val="000000"/>
                <w:sz w:val="18"/>
                <w:szCs w:val="18"/>
                <w:lang w:val="es-ES" w:eastAsia="es-ES"/>
              </w:rPr>
              <w:t>PAI ≥ 15 mmHg</w:t>
            </w:r>
          </w:p>
        </w:tc>
        <w:tc>
          <w:tcPr>
            <w:tcW w:w="376" w:type="pct"/>
            <w:shd w:val="clear" w:color="auto" w:fill="auto"/>
            <w:noWrap/>
            <w:vAlign w:val="center"/>
            <w:hideMark/>
          </w:tcPr>
          <w:p w14:paraId="4C02AF0D"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14</w:t>
            </w:r>
          </w:p>
        </w:tc>
        <w:tc>
          <w:tcPr>
            <w:tcW w:w="364" w:type="pct"/>
            <w:shd w:val="clear" w:color="auto" w:fill="auto"/>
            <w:noWrap/>
            <w:vAlign w:val="center"/>
            <w:hideMark/>
          </w:tcPr>
          <w:p w14:paraId="1E0269C1"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42,4</w:t>
            </w:r>
          </w:p>
        </w:tc>
        <w:tc>
          <w:tcPr>
            <w:tcW w:w="330" w:type="pct"/>
            <w:shd w:val="clear" w:color="auto" w:fill="auto"/>
            <w:noWrap/>
            <w:vAlign w:val="center"/>
            <w:hideMark/>
          </w:tcPr>
          <w:p w14:paraId="5D9FD765"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12</w:t>
            </w:r>
          </w:p>
        </w:tc>
        <w:tc>
          <w:tcPr>
            <w:tcW w:w="380" w:type="pct"/>
            <w:shd w:val="clear" w:color="auto" w:fill="auto"/>
            <w:noWrap/>
            <w:vAlign w:val="center"/>
            <w:hideMark/>
          </w:tcPr>
          <w:p w14:paraId="58172611"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18,2</w:t>
            </w:r>
          </w:p>
        </w:tc>
        <w:tc>
          <w:tcPr>
            <w:tcW w:w="354" w:type="pct"/>
            <w:shd w:val="clear" w:color="auto" w:fill="auto"/>
            <w:noWrap/>
            <w:vAlign w:val="center"/>
            <w:hideMark/>
          </w:tcPr>
          <w:p w14:paraId="0B1C34FE"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26</w:t>
            </w:r>
          </w:p>
        </w:tc>
        <w:tc>
          <w:tcPr>
            <w:tcW w:w="398" w:type="pct"/>
            <w:shd w:val="clear" w:color="auto" w:fill="auto"/>
            <w:noWrap/>
            <w:vAlign w:val="center"/>
            <w:hideMark/>
          </w:tcPr>
          <w:p w14:paraId="5429AD71"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26,3</w:t>
            </w:r>
          </w:p>
        </w:tc>
        <w:tc>
          <w:tcPr>
            <w:tcW w:w="444" w:type="pct"/>
            <w:shd w:val="clear" w:color="auto" w:fill="auto"/>
            <w:noWrap/>
            <w:vAlign w:val="center"/>
            <w:hideMark/>
          </w:tcPr>
          <w:p w14:paraId="5DEFB897"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0,010</w:t>
            </w:r>
          </w:p>
        </w:tc>
        <w:tc>
          <w:tcPr>
            <w:tcW w:w="429" w:type="pct"/>
            <w:shd w:val="clear" w:color="auto" w:fill="auto"/>
            <w:noWrap/>
            <w:vAlign w:val="center"/>
            <w:hideMark/>
          </w:tcPr>
          <w:p w14:paraId="50897250"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3,31</w:t>
            </w:r>
          </w:p>
        </w:tc>
        <w:tc>
          <w:tcPr>
            <w:tcW w:w="386" w:type="pct"/>
            <w:shd w:val="clear" w:color="auto" w:fill="auto"/>
            <w:noWrap/>
            <w:vAlign w:val="center"/>
            <w:hideMark/>
          </w:tcPr>
          <w:p w14:paraId="43F351C3"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1,25</w:t>
            </w:r>
          </w:p>
        </w:tc>
        <w:tc>
          <w:tcPr>
            <w:tcW w:w="434" w:type="pct"/>
            <w:shd w:val="clear" w:color="auto" w:fill="auto"/>
            <w:noWrap/>
            <w:vAlign w:val="center"/>
            <w:hideMark/>
          </w:tcPr>
          <w:p w14:paraId="6894727D"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8,77</w:t>
            </w:r>
          </w:p>
        </w:tc>
      </w:tr>
      <w:tr w:rsidR="0095207C" w:rsidRPr="0095207C" w14:paraId="5201BE26" w14:textId="77777777" w:rsidTr="007E0C8A">
        <w:trPr>
          <w:trHeight w:val="300"/>
          <w:jc w:val="center"/>
        </w:trPr>
        <w:tc>
          <w:tcPr>
            <w:tcW w:w="1105" w:type="pct"/>
            <w:shd w:val="clear" w:color="auto" w:fill="auto"/>
            <w:vAlign w:val="center"/>
            <w:hideMark/>
          </w:tcPr>
          <w:p w14:paraId="6D1975BB" w14:textId="77777777" w:rsidR="0095207C" w:rsidRPr="0095207C" w:rsidRDefault="0095207C" w:rsidP="0095207C">
            <w:pPr>
              <w:spacing w:line="360" w:lineRule="auto"/>
              <w:rPr>
                <w:color w:val="000000"/>
                <w:sz w:val="18"/>
                <w:szCs w:val="18"/>
                <w:vertAlign w:val="superscript"/>
                <w:lang w:val="es-ES" w:eastAsia="es-ES"/>
              </w:rPr>
            </w:pPr>
            <w:r w:rsidRPr="0095207C">
              <w:rPr>
                <w:color w:val="000000"/>
                <w:sz w:val="18"/>
                <w:szCs w:val="18"/>
                <w:lang w:val="es-ES" w:eastAsia="es-ES"/>
              </w:rPr>
              <w:t>Volumen ≥ 34 ml/m</w:t>
            </w:r>
            <w:r w:rsidRPr="0095207C">
              <w:rPr>
                <w:color w:val="000000"/>
                <w:sz w:val="18"/>
                <w:szCs w:val="18"/>
                <w:vertAlign w:val="superscript"/>
                <w:lang w:val="es-ES" w:eastAsia="es-ES"/>
              </w:rPr>
              <w:t>2</w:t>
            </w:r>
          </w:p>
        </w:tc>
        <w:tc>
          <w:tcPr>
            <w:tcW w:w="376" w:type="pct"/>
            <w:shd w:val="clear" w:color="auto" w:fill="auto"/>
            <w:noWrap/>
            <w:vAlign w:val="center"/>
            <w:hideMark/>
          </w:tcPr>
          <w:p w14:paraId="04C68651"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17</w:t>
            </w:r>
          </w:p>
        </w:tc>
        <w:tc>
          <w:tcPr>
            <w:tcW w:w="364" w:type="pct"/>
            <w:shd w:val="clear" w:color="auto" w:fill="auto"/>
            <w:noWrap/>
            <w:vAlign w:val="center"/>
            <w:hideMark/>
          </w:tcPr>
          <w:p w14:paraId="4F1B7CCF"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51,5</w:t>
            </w:r>
          </w:p>
        </w:tc>
        <w:tc>
          <w:tcPr>
            <w:tcW w:w="330" w:type="pct"/>
            <w:shd w:val="clear" w:color="auto" w:fill="auto"/>
            <w:noWrap/>
            <w:vAlign w:val="center"/>
            <w:hideMark/>
          </w:tcPr>
          <w:p w14:paraId="6C8FF18E"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15</w:t>
            </w:r>
          </w:p>
        </w:tc>
        <w:tc>
          <w:tcPr>
            <w:tcW w:w="380" w:type="pct"/>
            <w:shd w:val="clear" w:color="auto" w:fill="auto"/>
            <w:noWrap/>
            <w:vAlign w:val="center"/>
            <w:hideMark/>
          </w:tcPr>
          <w:p w14:paraId="6932C50D"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22,7</w:t>
            </w:r>
          </w:p>
        </w:tc>
        <w:tc>
          <w:tcPr>
            <w:tcW w:w="354" w:type="pct"/>
            <w:shd w:val="clear" w:color="auto" w:fill="auto"/>
            <w:noWrap/>
            <w:vAlign w:val="center"/>
            <w:hideMark/>
          </w:tcPr>
          <w:p w14:paraId="5BBE7649"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32</w:t>
            </w:r>
          </w:p>
        </w:tc>
        <w:tc>
          <w:tcPr>
            <w:tcW w:w="398" w:type="pct"/>
            <w:shd w:val="clear" w:color="auto" w:fill="auto"/>
            <w:noWrap/>
            <w:vAlign w:val="center"/>
            <w:hideMark/>
          </w:tcPr>
          <w:p w14:paraId="34CCC44F"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32,3</w:t>
            </w:r>
          </w:p>
        </w:tc>
        <w:tc>
          <w:tcPr>
            <w:tcW w:w="444" w:type="pct"/>
            <w:shd w:val="clear" w:color="auto" w:fill="auto"/>
            <w:noWrap/>
            <w:vAlign w:val="center"/>
            <w:hideMark/>
          </w:tcPr>
          <w:p w14:paraId="2E93D2DB"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0,004</w:t>
            </w:r>
          </w:p>
        </w:tc>
        <w:tc>
          <w:tcPr>
            <w:tcW w:w="429" w:type="pct"/>
            <w:shd w:val="clear" w:color="auto" w:fill="auto"/>
            <w:noWrap/>
            <w:vAlign w:val="center"/>
            <w:hideMark/>
          </w:tcPr>
          <w:p w14:paraId="780CF253"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3,11</w:t>
            </w:r>
          </w:p>
        </w:tc>
        <w:tc>
          <w:tcPr>
            <w:tcW w:w="386" w:type="pct"/>
            <w:shd w:val="clear" w:color="auto" w:fill="auto"/>
            <w:noWrap/>
            <w:vAlign w:val="center"/>
            <w:hideMark/>
          </w:tcPr>
          <w:p w14:paraId="23B94108"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1,24</w:t>
            </w:r>
          </w:p>
        </w:tc>
        <w:tc>
          <w:tcPr>
            <w:tcW w:w="434" w:type="pct"/>
            <w:shd w:val="clear" w:color="auto" w:fill="auto"/>
            <w:noWrap/>
            <w:vAlign w:val="center"/>
            <w:hideMark/>
          </w:tcPr>
          <w:p w14:paraId="15009285"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7,75</w:t>
            </w:r>
          </w:p>
        </w:tc>
      </w:tr>
    </w:tbl>
    <w:p w14:paraId="27E89CBC" w14:textId="77777777" w:rsidR="0095207C" w:rsidRPr="0095207C" w:rsidRDefault="0095207C" w:rsidP="0095207C">
      <w:pPr>
        <w:spacing w:line="360" w:lineRule="auto"/>
        <w:jc w:val="center"/>
        <w:rPr>
          <w:sz w:val="16"/>
          <w:szCs w:val="16"/>
          <w:lang w:val="es-ES" w:eastAsia="es-ES"/>
        </w:rPr>
      </w:pPr>
      <w:r w:rsidRPr="0095207C">
        <w:rPr>
          <w:sz w:val="16"/>
          <w:szCs w:val="16"/>
          <w:lang w:val="es-ES" w:eastAsia="es-ES"/>
        </w:rPr>
        <w:t xml:space="preserve">OR: </w:t>
      </w:r>
      <w:r w:rsidRPr="0095207C">
        <w:rPr>
          <w:i/>
          <w:iCs/>
          <w:sz w:val="16"/>
          <w:szCs w:val="16"/>
          <w:lang w:val="es-ES" w:eastAsia="es-ES"/>
        </w:rPr>
        <w:t>odds ratio</w:t>
      </w:r>
      <w:r w:rsidRPr="0095207C">
        <w:rPr>
          <w:sz w:val="16"/>
          <w:szCs w:val="16"/>
          <w:lang w:val="es-ES" w:eastAsia="es-ES"/>
        </w:rPr>
        <w:t>. LI: Límite inferior. LS: límite superior. FEVI: fracción de eyección. IMA previo: infarto agudo de miocardio previo. PAI: Presión auricular izquierda. Volumen AI: volumen de aurícula izquierda.</w:t>
      </w:r>
    </w:p>
    <w:p w14:paraId="21D1A57A" w14:textId="77777777" w:rsidR="0095207C" w:rsidRPr="0095207C" w:rsidRDefault="0095207C" w:rsidP="0095207C">
      <w:pPr>
        <w:spacing w:line="360" w:lineRule="auto"/>
        <w:jc w:val="both"/>
        <w:rPr>
          <w:lang w:val="es-ES" w:eastAsia="es-ES"/>
        </w:rPr>
      </w:pPr>
      <w:bookmarkStart w:id="11" w:name="_Hlk125358058"/>
    </w:p>
    <w:p w14:paraId="02C5F03F" w14:textId="77777777" w:rsidR="0095207C" w:rsidRPr="0095207C" w:rsidRDefault="0095207C" w:rsidP="0095207C">
      <w:pPr>
        <w:spacing w:line="360" w:lineRule="auto"/>
        <w:jc w:val="both"/>
        <w:rPr>
          <w:rFonts w:eastAsia="Calibri"/>
          <w:lang w:val="es-ES" w:eastAsia="en-US"/>
        </w:rPr>
      </w:pPr>
      <w:r w:rsidRPr="0095207C">
        <w:rPr>
          <w:lang w:val="es-ES" w:eastAsia="es-ES"/>
        </w:rPr>
        <w:t xml:space="preserve">En la regresión logística binaria se obtuvo un modelo que explicaba un 77,8 % del fracaso de la cardioversión en pacientes con fibrilación auricular; con una sensibilidad de 83,33 % y una especificad </w:t>
      </w:r>
      <w:r w:rsidRPr="0095207C">
        <w:rPr>
          <w:lang w:val="es-ES" w:eastAsia="es-ES"/>
        </w:rPr>
        <w:lastRenderedPageBreak/>
        <w:t>66,7 %. Se mostraron valores de p ≤ 0,05 en las variables: edad ≥ 55 años, FEVI ≤ 40 %, volumen de AI &gt; 34 mL/m</w:t>
      </w:r>
      <w:r w:rsidRPr="0095207C">
        <w:rPr>
          <w:vertAlign w:val="superscript"/>
          <w:lang w:val="es-ES" w:eastAsia="es-ES"/>
        </w:rPr>
        <w:t>2</w:t>
      </w:r>
      <w:r w:rsidRPr="0095207C">
        <w:rPr>
          <w:lang w:val="es-ES" w:eastAsia="es-ES"/>
        </w:rPr>
        <w:t xml:space="preserve">; </w:t>
      </w:r>
      <w:r w:rsidRPr="0095207C">
        <w:rPr>
          <w:rFonts w:eastAsia="Calibri"/>
          <w:lang w:val="es-ES" w:eastAsia="en-US"/>
        </w:rPr>
        <w:t xml:space="preserve">por lo que </w:t>
      </w:r>
      <w:r w:rsidRPr="0095207C">
        <w:rPr>
          <w:lang w:val="es-ES" w:eastAsia="es-ES"/>
        </w:rPr>
        <w:t>estas variables tuvieron asociación estadísticamente significativa con el fallo de la cardioversión.</w:t>
      </w:r>
    </w:p>
    <w:p w14:paraId="7E9E59D4" w14:textId="77777777" w:rsidR="0095207C" w:rsidRPr="0095207C" w:rsidRDefault="0095207C" w:rsidP="0095207C">
      <w:pPr>
        <w:spacing w:line="360" w:lineRule="auto"/>
        <w:jc w:val="both"/>
        <w:rPr>
          <w:lang w:val="es-ES" w:eastAsia="es-ES"/>
        </w:rPr>
      </w:pPr>
      <w:r w:rsidRPr="0095207C">
        <w:rPr>
          <w:lang w:val="es-ES" w:eastAsia="es-ES"/>
        </w:rPr>
        <w:t>La edad &gt; 55 años, el volumen de AI ≥ 34 mL/m</w:t>
      </w:r>
      <w:r w:rsidRPr="0095207C">
        <w:rPr>
          <w:vertAlign w:val="superscript"/>
          <w:lang w:val="es-ES" w:eastAsia="es-ES"/>
        </w:rPr>
        <w:t>2</w:t>
      </w:r>
      <w:r w:rsidRPr="0095207C">
        <w:rPr>
          <w:lang w:val="es-ES" w:eastAsia="es-ES"/>
        </w:rPr>
        <w:t xml:space="preserve"> y la FEVI≤ 40 % tuvieron una relación positiva con el resultado de la terapéutica aplicada (tabla 2). </w:t>
      </w:r>
    </w:p>
    <w:p w14:paraId="1BE91C05" w14:textId="77777777" w:rsidR="0095207C" w:rsidRPr="0095207C" w:rsidRDefault="0095207C" w:rsidP="0095207C">
      <w:pPr>
        <w:spacing w:line="360" w:lineRule="auto"/>
        <w:jc w:val="both"/>
        <w:rPr>
          <w:lang w:val="es-ES" w:eastAsia="es-ES"/>
        </w:rPr>
      </w:pPr>
    </w:p>
    <w:bookmarkEnd w:id="11"/>
    <w:p w14:paraId="58E4BBEA" w14:textId="77777777" w:rsidR="0095207C" w:rsidRPr="0095207C" w:rsidRDefault="0095207C" w:rsidP="0095207C">
      <w:pPr>
        <w:spacing w:line="360" w:lineRule="auto"/>
        <w:jc w:val="center"/>
        <w:rPr>
          <w:sz w:val="22"/>
          <w:szCs w:val="22"/>
          <w:lang w:val="es-MX" w:eastAsia="es-ES"/>
        </w:rPr>
      </w:pPr>
      <w:r w:rsidRPr="0095207C">
        <w:rPr>
          <w:b/>
          <w:sz w:val="22"/>
          <w:szCs w:val="22"/>
          <w:lang w:val="es-MX" w:eastAsia="es-ES"/>
        </w:rPr>
        <w:t>Tabla 2 -</w:t>
      </w:r>
      <w:r w:rsidRPr="0095207C">
        <w:rPr>
          <w:sz w:val="22"/>
          <w:szCs w:val="22"/>
          <w:lang w:val="es-MX" w:eastAsia="es-ES"/>
        </w:rPr>
        <w:t xml:space="preserve"> </w:t>
      </w:r>
      <w:r w:rsidRPr="0095207C">
        <w:rPr>
          <w:sz w:val="22"/>
          <w:szCs w:val="22"/>
          <w:lang w:val="es-ES" w:eastAsia="es-ES"/>
        </w:rPr>
        <w:t>Modelo predictivo del fracaso de la terapia eléctrica</w:t>
      </w:r>
    </w:p>
    <w:tbl>
      <w:tblPr>
        <w:tblW w:w="84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2"/>
        <w:gridCol w:w="940"/>
        <w:gridCol w:w="1208"/>
        <w:gridCol w:w="836"/>
        <w:gridCol w:w="996"/>
        <w:gridCol w:w="992"/>
        <w:gridCol w:w="1290"/>
      </w:tblGrid>
      <w:tr w:rsidR="0095207C" w:rsidRPr="0095207C" w14:paraId="5BBD6C2F" w14:textId="77777777" w:rsidTr="007E0C8A">
        <w:trPr>
          <w:trHeight w:val="300"/>
          <w:jc w:val="center"/>
        </w:trPr>
        <w:tc>
          <w:tcPr>
            <w:tcW w:w="2152" w:type="dxa"/>
            <w:vMerge w:val="restart"/>
            <w:tcBorders>
              <w:bottom w:val="single" w:sz="4" w:space="0" w:color="000000"/>
            </w:tcBorders>
            <w:shd w:val="clear" w:color="auto" w:fill="auto"/>
            <w:vAlign w:val="center"/>
          </w:tcPr>
          <w:p w14:paraId="5A09E084"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Variables en la ecuación</w:t>
            </w:r>
          </w:p>
        </w:tc>
        <w:tc>
          <w:tcPr>
            <w:tcW w:w="940" w:type="dxa"/>
            <w:vMerge w:val="restart"/>
            <w:tcBorders>
              <w:bottom w:val="single" w:sz="4" w:space="0" w:color="000000"/>
            </w:tcBorders>
            <w:shd w:val="clear" w:color="auto" w:fill="auto"/>
            <w:vAlign w:val="center"/>
            <w:hideMark/>
          </w:tcPr>
          <w:p w14:paraId="47F6FFFE"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B</w:t>
            </w:r>
          </w:p>
        </w:tc>
        <w:tc>
          <w:tcPr>
            <w:tcW w:w="1208" w:type="dxa"/>
            <w:vMerge w:val="restart"/>
            <w:tcBorders>
              <w:bottom w:val="single" w:sz="4" w:space="0" w:color="000000"/>
            </w:tcBorders>
            <w:shd w:val="clear" w:color="auto" w:fill="auto"/>
            <w:vAlign w:val="center"/>
            <w:hideMark/>
          </w:tcPr>
          <w:p w14:paraId="69C79D85"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Error estándar</w:t>
            </w:r>
          </w:p>
        </w:tc>
        <w:tc>
          <w:tcPr>
            <w:tcW w:w="836" w:type="dxa"/>
            <w:vMerge w:val="restart"/>
            <w:tcBorders>
              <w:bottom w:val="single" w:sz="4" w:space="0" w:color="000000"/>
            </w:tcBorders>
            <w:shd w:val="clear" w:color="auto" w:fill="auto"/>
            <w:vAlign w:val="center"/>
            <w:hideMark/>
          </w:tcPr>
          <w:p w14:paraId="29F2E6E3"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Sig.</w:t>
            </w:r>
          </w:p>
        </w:tc>
        <w:tc>
          <w:tcPr>
            <w:tcW w:w="996" w:type="dxa"/>
            <w:vMerge w:val="restart"/>
            <w:tcBorders>
              <w:bottom w:val="single" w:sz="4" w:space="0" w:color="000000"/>
            </w:tcBorders>
            <w:shd w:val="clear" w:color="auto" w:fill="auto"/>
            <w:vAlign w:val="center"/>
            <w:hideMark/>
          </w:tcPr>
          <w:p w14:paraId="669057B2"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Exp(B)</w:t>
            </w:r>
          </w:p>
        </w:tc>
        <w:tc>
          <w:tcPr>
            <w:tcW w:w="2282" w:type="dxa"/>
            <w:gridSpan w:val="2"/>
            <w:tcBorders>
              <w:bottom w:val="single" w:sz="4" w:space="0" w:color="000000"/>
            </w:tcBorders>
            <w:shd w:val="clear" w:color="auto" w:fill="auto"/>
            <w:vAlign w:val="center"/>
            <w:hideMark/>
          </w:tcPr>
          <w:p w14:paraId="4A814192"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95 % CI para EXP(B)</w:t>
            </w:r>
          </w:p>
        </w:tc>
      </w:tr>
      <w:tr w:rsidR="0095207C" w:rsidRPr="0095207C" w14:paraId="78D52423" w14:textId="77777777" w:rsidTr="007E0C8A">
        <w:trPr>
          <w:trHeight w:val="300"/>
          <w:jc w:val="center"/>
        </w:trPr>
        <w:tc>
          <w:tcPr>
            <w:tcW w:w="2152" w:type="dxa"/>
            <w:vMerge/>
            <w:shd w:val="clear" w:color="auto" w:fill="auto"/>
            <w:vAlign w:val="center"/>
          </w:tcPr>
          <w:p w14:paraId="0CEC215E" w14:textId="77777777" w:rsidR="0095207C" w:rsidRPr="0095207C" w:rsidRDefault="0095207C" w:rsidP="0095207C">
            <w:pPr>
              <w:spacing w:line="360" w:lineRule="auto"/>
              <w:jc w:val="center"/>
              <w:rPr>
                <w:b/>
                <w:bCs/>
                <w:color w:val="000000"/>
                <w:sz w:val="18"/>
                <w:szCs w:val="18"/>
                <w:lang w:val="es-ES" w:eastAsia="es-ES"/>
              </w:rPr>
            </w:pPr>
          </w:p>
        </w:tc>
        <w:tc>
          <w:tcPr>
            <w:tcW w:w="940" w:type="dxa"/>
            <w:vMerge/>
            <w:shd w:val="clear" w:color="auto" w:fill="auto"/>
            <w:vAlign w:val="center"/>
            <w:hideMark/>
          </w:tcPr>
          <w:p w14:paraId="59C8C1E7" w14:textId="77777777" w:rsidR="0095207C" w:rsidRPr="0095207C" w:rsidRDefault="0095207C" w:rsidP="0095207C">
            <w:pPr>
              <w:spacing w:line="360" w:lineRule="auto"/>
              <w:jc w:val="center"/>
              <w:rPr>
                <w:color w:val="000000"/>
                <w:sz w:val="18"/>
                <w:szCs w:val="18"/>
                <w:lang w:val="es-ES" w:eastAsia="es-ES"/>
              </w:rPr>
            </w:pPr>
          </w:p>
        </w:tc>
        <w:tc>
          <w:tcPr>
            <w:tcW w:w="1208" w:type="dxa"/>
            <w:vMerge/>
            <w:shd w:val="clear" w:color="auto" w:fill="auto"/>
            <w:vAlign w:val="center"/>
            <w:hideMark/>
          </w:tcPr>
          <w:p w14:paraId="05C3A1F3" w14:textId="77777777" w:rsidR="0095207C" w:rsidRPr="0095207C" w:rsidRDefault="0095207C" w:rsidP="0095207C">
            <w:pPr>
              <w:spacing w:line="360" w:lineRule="auto"/>
              <w:jc w:val="center"/>
              <w:rPr>
                <w:color w:val="000000"/>
                <w:sz w:val="18"/>
                <w:szCs w:val="18"/>
                <w:lang w:val="es-ES" w:eastAsia="es-ES"/>
              </w:rPr>
            </w:pPr>
          </w:p>
        </w:tc>
        <w:tc>
          <w:tcPr>
            <w:tcW w:w="836" w:type="dxa"/>
            <w:vMerge/>
            <w:shd w:val="clear" w:color="auto" w:fill="auto"/>
            <w:vAlign w:val="center"/>
            <w:hideMark/>
          </w:tcPr>
          <w:p w14:paraId="3D289163" w14:textId="77777777" w:rsidR="0095207C" w:rsidRPr="0095207C" w:rsidRDefault="0095207C" w:rsidP="0095207C">
            <w:pPr>
              <w:spacing w:line="360" w:lineRule="auto"/>
              <w:jc w:val="center"/>
              <w:rPr>
                <w:color w:val="000000"/>
                <w:sz w:val="18"/>
                <w:szCs w:val="18"/>
                <w:lang w:val="es-ES" w:eastAsia="es-ES"/>
              </w:rPr>
            </w:pPr>
          </w:p>
        </w:tc>
        <w:tc>
          <w:tcPr>
            <w:tcW w:w="996" w:type="dxa"/>
            <w:vMerge/>
            <w:shd w:val="clear" w:color="auto" w:fill="auto"/>
            <w:vAlign w:val="center"/>
            <w:hideMark/>
          </w:tcPr>
          <w:p w14:paraId="585E5FF3" w14:textId="77777777" w:rsidR="0095207C" w:rsidRPr="0095207C" w:rsidRDefault="0095207C" w:rsidP="0095207C">
            <w:pPr>
              <w:spacing w:line="360" w:lineRule="auto"/>
              <w:jc w:val="center"/>
              <w:rPr>
                <w:color w:val="000000"/>
                <w:sz w:val="18"/>
                <w:szCs w:val="18"/>
                <w:lang w:val="es-ES" w:eastAsia="es-ES"/>
              </w:rPr>
            </w:pPr>
          </w:p>
        </w:tc>
        <w:tc>
          <w:tcPr>
            <w:tcW w:w="992" w:type="dxa"/>
            <w:shd w:val="clear" w:color="auto" w:fill="auto"/>
            <w:vAlign w:val="center"/>
            <w:hideMark/>
          </w:tcPr>
          <w:p w14:paraId="3793D714"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Inferior</w:t>
            </w:r>
          </w:p>
        </w:tc>
        <w:tc>
          <w:tcPr>
            <w:tcW w:w="1290" w:type="dxa"/>
            <w:shd w:val="clear" w:color="auto" w:fill="auto"/>
            <w:vAlign w:val="center"/>
            <w:hideMark/>
          </w:tcPr>
          <w:p w14:paraId="3DAEE006"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Superior</w:t>
            </w:r>
          </w:p>
        </w:tc>
      </w:tr>
      <w:tr w:rsidR="0095207C" w:rsidRPr="0095207C" w14:paraId="32DF3E9B" w14:textId="77777777" w:rsidTr="007E0C8A">
        <w:trPr>
          <w:trHeight w:val="300"/>
          <w:jc w:val="center"/>
        </w:trPr>
        <w:tc>
          <w:tcPr>
            <w:tcW w:w="2152" w:type="dxa"/>
            <w:shd w:val="clear" w:color="auto" w:fill="auto"/>
            <w:vAlign w:val="center"/>
            <w:hideMark/>
          </w:tcPr>
          <w:p w14:paraId="23D84A61" w14:textId="77777777" w:rsidR="0095207C" w:rsidRPr="0095207C" w:rsidRDefault="0095207C" w:rsidP="0095207C">
            <w:pPr>
              <w:spacing w:line="360" w:lineRule="auto"/>
              <w:rPr>
                <w:color w:val="000000"/>
                <w:sz w:val="18"/>
                <w:szCs w:val="18"/>
                <w:lang w:val="es-ES" w:eastAsia="es-ES"/>
              </w:rPr>
            </w:pPr>
            <w:r w:rsidRPr="0095207C">
              <w:rPr>
                <w:color w:val="000000"/>
                <w:sz w:val="18"/>
                <w:szCs w:val="18"/>
                <w:lang w:val="es-ES" w:eastAsia="es-ES"/>
              </w:rPr>
              <w:t xml:space="preserve">Edad ≥ 55 años </w:t>
            </w:r>
          </w:p>
        </w:tc>
        <w:tc>
          <w:tcPr>
            <w:tcW w:w="940" w:type="dxa"/>
            <w:shd w:val="clear" w:color="auto" w:fill="auto"/>
            <w:noWrap/>
            <w:vAlign w:val="center"/>
            <w:hideMark/>
          </w:tcPr>
          <w:p w14:paraId="3BAA21DD"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1,228</w:t>
            </w:r>
          </w:p>
        </w:tc>
        <w:tc>
          <w:tcPr>
            <w:tcW w:w="1208" w:type="dxa"/>
            <w:shd w:val="clear" w:color="auto" w:fill="auto"/>
            <w:noWrap/>
            <w:vAlign w:val="center"/>
            <w:hideMark/>
          </w:tcPr>
          <w:p w14:paraId="08E1DEB9"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0,546</w:t>
            </w:r>
          </w:p>
        </w:tc>
        <w:tc>
          <w:tcPr>
            <w:tcW w:w="836" w:type="dxa"/>
            <w:shd w:val="clear" w:color="auto" w:fill="auto"/>
            <w:noWrap/>
            <w:vAlign w:val="center"/>
            <w:hideMark/>
          </w:tcPr>
          <w:p w14:paraId="5C2A24F7"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0,025</w:t>
            </w:r>
          </w:p>
        </w:tc>
        <w:tc>
          <w:tcPr>
            <w:tcW w:w="996" w:type="dxa"/>
            <w:shd w:val="clear" w:color="auto" w:fill="auto"/>
            <w:noWrap/>
            <w:vAlign w:val="center"/>
            <w:hideMark/>
          </w:tcPr>
          <w:p w14:paraId="57D8F5B0"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3,415</w:t>
            </w:r>
          </w:p>
        </w:tc>
        <w:tc>
          <w:tcPr>
            <w:tcW w:w="992" w:type="dxa"/>
            <w:shd w:val="clear" w:color="auto" w:fill="auto"/>
            <w:noWrap/>
            <w:vAlign w:val="center"/>
            <w:hideMark/>
          </w:tcPr>
          <w:p w14:paraId="39565899"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1,170</w:t>
            </w:r>
          </w:p>
        </w:tc>
        <w:tc>
          <w:tcPr>
            <w:tcW w:w="1290" w:type="dxa"/>
            <w:shd w:val="clear" w:color="auto" w:fill="auto"/>
            <w:noWrap/>
            <w:vAlign w:val="center"/>
            <w:hideMark/>
          </w:tcPr>
          <w:p w14:paraId="4091C27E"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9,965</w:t>
            </w:r>
          </w:p>
        </w:tc>
      </w:tr>
      <w:tr w:rsidR="0095207C" w:rsidRPr="0095207C" w14:paraId="53C8ABE7" w14:textId="77777777" w:rsidTr="007E0C8A">
        <w:trPr>
          <w:trHeight w:val="56"/>
          <w:jc w:val="center"/>
        </w:trPr>
        <w:tc>
          <w:tcPr>
            <w:tcW w:w="2152" w:type="dxa"/>
            <w:shd w:val="clear" w:color="auto" w:fill="auto"/>
            <w:vAlign w:val="center"/>
            <w:hideMark/>
          </w:tcPr>
          <w:p w14:paraId="39718A30" w14:textId="77777777" w:rsidR="0095207C" w:rsidRPr="0095207C" w:rsidRDefault="0095207C" w:rsidP="0095207C">
            <w:pPr>
              <w:spacing w:line="360" w:lineRule="auto"/>
              <w:rPr>
                <w:color w:val="000000"/>
                <w:sz w:val="18"/>
                <w:szCs w:val="18"/>
                <w:vertAlign w:val="superscript"/>
                <w:lang w:val="es-ES" w:eastAsia="es-ES"/>
              </w:rPr>
            </w:pPr>
            <w:r w:rsidRPr="0095207C">
              <w:rPr>
                <w:color w:val="000000"/>
                <w:sz w:val="18"/>
                <w:szCs w:val="18"/>
                <w:lang w:val="es-ES" w:eastAsia="es-ES"/>
              </w:rPr>
              <w:t>Volumen AI ≥ 34 ml/m</w:t>
            </w:r>
            <w:r w:rsidRPr="0095207C">
              <w:rPr>
                <w:color w:val="000000"/>
                <w:sz w:val="18"/>
                <w:szCs w:val="18"/>
                <w:vertAlign w:val="superscript"/>
                <w:lang w:val="es-ES" w:eastAsia="es-ES"/>
              </w:rPr>
              <w:t>2</w:t>
            </w:r>
          </w:p>
        </w:tc>
        <w:tc>
          <w:tcPr>
            <w:tcW w:w="940" w:type="dxa"/>
            <w:shd w:val="clear" w:color="auto" w:fill="auto"/>
            <w:noWrap/>
            <w:vAlign w:val="center"/>
            <w:hideMark/>
          </w:tcPr>
          <w:p w14:paraId="53CF3106"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1,239</w:t>
            </w:r>
          </w:p>
        </w:tc>
        <w:tc>
          <w:tcPr>
            <w:tcW w:w="1208" w:type="dxa"/>
            <w:shd w:val="clear" w:color="auto" w:fill="auto"/>
            <w:noWrap/>
            <w:vAlign w:val="center"/>
            <w:hideMark/>
          </w:tcPr>
          <w:p w14:paraId="4E9887FF"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0,515</w:t>
            </w:r>
          </w:p>
        </w:tc>
        <w:tc>
          <w:tcPr>
            <w:tcW w:w="836" w:type="dxa"/>
            <w:shd w:val="clear" w:color="auto" w:fill="auto"/>
            <w:noWrap/>
            <w:vAlign w:val="center"/>
            <w:hideMark/>
          </w:tcPr>
          <w:p w14:paraId="4CA63327"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0,016</w:t>
            </w:r>
          </w:p>
        </w:tc>
        <w:tc>
          <w:tcPr>
            <w:tcW w:w="996" w:type="dxa"/>
            <w:shd w:val="clear" w:color="auto" w:fill="auto"/>
            <w:noWrap/>
            <w:vAlign w:val="center"/>
            <w:hideMark/>
          </w:tcPr>
          <w:p w14:paraId="1F054021"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3,453</w:t>
            </w:r>
          </w:p>
        </w:tc>
        <w:tc>
          <w:tcPr>
            <w:tcW w:w="992" w:type="dxa"/>
            <w:shd w:val="clear" w:color="auto" w:fill="auto"/>
            <w:noWrap/>
            <w:vAlign w:val="center"/>
            <w:hideMark/>
          </w:tcPr>
          <w:p w14:paraId="2779E71D"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1,258</w:t>
            </w:r>
          </w:p>
        </w:tc>
        <w:tc>
          <w:tcPr>
            <w:tcW w:w="1290" w:type="dxa"/>
            <w:shd w:val="clear" w:color="auto" w:fill="auto"/>
            <w:noWrap/>
            <w:vAlign w:val="center"/>
            <w:hideMark/>
          </w:tcPr>
          <w:p w14:paraId="0AA41510"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9,482</w:t>
            </w:r>
          </w:p>
        </w:tc>
      </w:tr>
      <w:tr w:rsidR="0095207C" w:rsidRPr="0095207C" w14:paraId="7086E3A6" w14:textId="77777777" w:rsidTr="007E0C8A">
        <w:trPr>
          <w:trHeight w:val="300"/>
          <w:jc w:val="center"/>
        </w:trPr>
        <w:tc>
          <w:tcPr>
            <w:tcW w:w="2152" w:type="dxa"/>
            <w:shd w:val="clear" w:color="auto" w:fill="auto"/>
            <w:vAlign w:val="center"/>
            <w:hideMark/>
          </w:tcPr>
          <w:p w14:paraId="54779362" w14:textId="77777777" w:rsidR="0095207C" w:rsidRPr="0095207C" w:rsidRDefault="0095207C" w:rsidP="0095207C">
            <w:pPr>
              <w:spacing w:line="360" w:lineRule="auto"/>
              <w:rPr>
                <w:color w:val="000000"/>
                <w:sz w:val="18"/>
                <w:szCs w:val="18"/>
                <w:lang w:val="es-ES" w:eastAsia="es-ES"/>
              </w:rPr>
            </w:pPr>
            <w:r w:rsidRPr="0095207C">
              <w:rPr>
                <w:color w:val="000000"/>
                <w:sz w:val="18"/>
                <w:szCs w:val="18"/>
                <w:lang w:val="es-ES" w:eastAsia="es-ES"/>
              </w:rPr>
              <w:t>FEVI ≤ 40 %</w:t>
            </w:r>
          </w:p>
        </w:tc>
        <w:tc>
          <w:tcPr>
            <w:tcW w:w="940" w:type="dxa"/>
            <w:shd w:val="clear" w:color="auto" w:fill="auto"/>
            <w:noWrap/>
            <w:vAlign w:val="center"/>
            <w:hideMark/>
          </w:tcPr>
          <w:p w14:paraId="0A5E07F9"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1,607</w:t>
            </w:r>
          </w:p>
        </w:tc>
        <w:tc>
          <w:tcPr>
            <w:tcW w:w="1208" w:type="dxa"/>
            <w:shd w:val="clear" w:color="auto" w:fill="auto"/>
            <w:noWrap/>
            <w:vAlign w:val="center"/>
            <w:hideMark/>
          </w:tcPr>
          <w:p w14:paraId="5464881D"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0,588</w:t>
            </w:r>
          </w:p>
        </w:tc>
        <w:tc>
          <w:tcPr>
            <w:tcW w:w="836" w:type="dxa"/>
            <w:shd w:val="clear" w:color="auto" w:fill="auto"/>
            <w:noWrap/>
            <w:vAlign w:val="center"/>
            <w:hideMark/>
          </w:tcPr>
          <w:p w14:paraId="2FC6A444"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0,006</w:t>
            </w:r>
          </w:p>
        </w:tc>
        <w:tc>
          <w:tcPr>
            <w:tcW w:w="996" w:type="dxa"/>
            <w:shd w:val="clear" w:color="auto" w:fill="auto"/>
            <w:noWrap/>
            <w:vAlign w:val="center"/>
            <w:hideMark/>
          </w:tcPr>
          <w:p w14:paraId="72989579"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4,988</w:t>
            </w:r>
          </w:p>
        </w:tc>
        <w:tc>
          <w:tcPr>
            <w:tcW w:w="992" w:type="dxa"/>
            <w:shd w:val="clear" w:color="auto" w:fill="auto"/>
            <w:noWrap/>
            <w:vAlign w:val="center"/>
            <w:hideMark/>
          </w:tcPr>
          <w:p w14:paraId="62AB3BD1"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1,575</w:t>
            </w:r>
          </w:p>
        </w:tc>
        <w:tc>
          <w:tcPr>
            <w:tcW w:w="1290" w:type="dxa"/>
            <w:shd w:val="clear" w:color="auto" w:fill="auto"/>
            <w:noWrap/>
            <w:vAlign w:val="center"/>
            <w:hideMark/>
          </w:tcPr>
          <w:p w14:paraId="5E229A50"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15,800</w:t>
            </w:r>
          </w:p>
        </w:tc>
      </w:tr>
      <w:tr w:rsidR="0095207C" w:rsidRPr="0095207C" w14:paraId="252481F7" w14:textId="77777777" w:rsidTr="007E0C8A">
        <w:trPr>
          <w:trHeight w:val="300"/>
          <w:jc w:val="center"/>
        </w:trPr>
        <w:tc>
          <w:tcPr>
            <w:tcW w:w="2152" w:type="dxa"/>
            <w:shd w:val="clear" w:color="auto" w:fill="auto"/>
            <w:vAlign w:val="center"/>
            <w:hideMark/>
          </w:tcPr>
          <w:p w14:paraId="01D8496D" w14:textId="77777777" w:rsidR="0095207C" w:rsidRPr="0095207C" w:rsidRDefault="0095207C" w:rsidP="0095207C">
            <w:pPr>
              <w:spacing w:line="360" w:lineRule="auto"/>
              <w:rPr>
                <w:color w:val="000000"/>
                <w:sz w:val="18"/>
                <w:szCs w:val="18"/>
                <w:lang w:val="es-ES" w:eastAsia="es-ES"/>
              </w:rPr>
            </w:pPr>
            <w:r w:rsidRPr="0095207C">
              <w:rPr>
                <w:color w:val="000000"/>
                <w:sz w:val="18"/>
                <w:szCs w:val="18"/>
                <w:lang w:val="es-ES" w:eastAsia="es-ES"/>
              </w:rPr>
              <w:t>Constante</w:t>
            </w:r>
          </w:p>
        </w:tc>
        <w:tc>
          <w:tcPr>
            <w:tcW w:w="940" w:type="dxa"/>
            <w:shd w:val="clear" w:color="auto" w:fill="auto"/>
            <w:noWrap/>
            <w:vAlign w:val="center"/>
            <w:hideMark/>
          </w:tcPr>
          <w:p w14:paraId="61858049"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-2,189</w:t>
            </w:r>
          </w:p>
        </w:tc>
        <w:tc>
          <w:tcPr>
            <w:tcW w:w="1208" w:type="dxa"/>
            <w:shd w:val="clear" w:color="auto" w:fill="auto"/>
            <w:noWrap/>
            <w:vAlign w:val="center"/>
            <w:hideMark/>
          </w:tcPr>
          <w:p w14:paraId="5997585F"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0,547</w:t>
            </w:r>
          </w:p>
        </w:tc>
        <w:tc>
          <w:tcPr>
            <w:tcW w:w="836" w:type="dxa"/>
            <w:shd w:val="clear" w:color="auto" w:fill="auto"/>
            <w:noWrap/>
            <w:vAlign w:val="center"/>
            <w:hideMark/>
          </w:tcPr>
          <w:p w14:paraId="1E261BEA"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0,000</w:t>
            </w:r>
          </w:p>
        </w:tc>
        <w:tc>
          <w:tcPr>
            <w:tcW w:w="996" w:type="dxa"/>
            <w:shd w:val="clear" w:color="auto" w:fill="auto"/>
            <w:noWrap/>
            <w:vAlign w:val="center"/>
            <w:hideMark/>
          </w:tcPr>
          <w:p w14:paraId="3709ACF6"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0,112</w:t>
            </w:r>
          </w:p>
        </w:tc>
        <w:tc>
          <w:tcPr>
            <w:tcW w:w="992" w:type="dxa"/>
            <w:shd w:val="clear" w:color="auto" w:fill="auto"/>
            <w:noWrap/>
            <w:vAlign w:val="center"/>
            <w:hideMark/>
          </w:tcPr>
          <w:p w14:paraId="093D21C0"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w:t>
            </w:r>
          </w:p>
        </w:tc>
        <w:tc>
          <w:tcPr>
            <w:tcW w:w="1290" w:type="dxa"/>
            <w:shd w:val="clear" w:color="auto" w:fill="auto"/>
            <w:noWrap/>
            <w:vAlign w:val="center"/>
            <w:hideMark/>
          </w:tcPr>
          <w:p w14:paraId="09448810"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w:t>
            </w:r>
          </w:p>
        </w:tc>
      </w:tr>
    </w:tbl>
    <w:bookmarkEnd w:id="10"/>
    <w:p w14:paraId="049AA465" w14:textId="77777777" w:rsidR="0095207C" w:rsidRPr="0095207C" w:rsidRDefault="0095207C" w:rsidP="0095207C">
      <w:pPr>
        <w:spacing w:line="360" w:lineRule="auto"/>
        <w:jc w:val="center"/>
        <w:rPr>
          <w:sz w:val="16"/>
          <w:szCs w:val="16"/>
          <w:lang w:val="es-ES" w:eastAsia="es-ES"/>
        </w:rPr>
      </w:pPr>
      <w:r w:rsidRPr="0095207C">
        <w:rPr>
          <w:sz w:val="16"/>
          <w:szCs w:val="16"/>
          <w:lang w:val="es-ES" w:eastAsia="es-ES"/>
        </w:rPr>
        <w:t>FEVI: función sistólica del ventrículo izquierdo. OR = Exp (B).</w:t>
      </w:r>
    </w:p>
    <w:p w14:paraId="3BA16AFE" w14:textId="77777777" w:rsidR="0095207C" w:rsidRPr="0095207C" w:rsidRDefault="0095207C" w:rsidP="0095207C">
      <w:pPr>
        <w:spacing w:line="360" w:lineRule="auto"/>
        <w:jc w:val="both"/>
        <w:rPr>
          <w:sz w:val="16"/>
          <w:szCs w:val="16"/>
          <w:lang w:val="es-ES" w:eastAsia="es-ES"/>
        </w:rPr>
      </w:pPr>
    </w:p>
    <w:p w14:paraId="3A9263DF" w14:textId="77777777" w:rsidR="0095207C" w:rsidRPr="0095207C" w:rsidRDefault="0095207C" w:rsidP="0095207C">
      <w:pPr>
        <w:spacing w:line="360" w:lineRule="auto"/>
        <w:jc w:val="center"/>
        <w:rPr>
          <w:lang w:val="es-ES" w:eastAsia="es-ES"/>
        </w:rPr>
      </w:pPr>
      <w:r w:rsidRPr="0095207C">
        <w:rPr>
          <w:lang w:val="es-ES" w:eastAsia="es-ES"/>
        </w:rPr>
        <w:t>(Ecuación del modelo predictor del fracaso terapia eléctrica)</w:t>
      </w:r>
    </w:p>
    <w:p w14:paraId="1D0E346F" w14:textId="77777777" w:rsidR="0095207C" w:rsidRPr="0095207C" w:rsidRDefault="0095207C" w:rsidP="0095207C">
      <w:pPr>
        <w:spacing w:line="360" w:lineRule="auto"/>
        <w:jc w:val="center"/>
        <w:rPr>
          <w:lang w:val="es-ES" w:eastAsia="es-ES"/>
        </w:rPr>
      </w:pPr>
    </w:p>
    <w:p w14:paraId="44FE58AC" w14:textId="77777777" w:rsidR="0095207C" w:rsidRPr="0095207C" w:rsidRDefault="0095207C" w:rsidP="0095207C">
      <w:pPr>
        <w:spacing w:line="360" w:lineRule="auto"/>
        <w:jc w:val="center"/>
        <w:rPr>
          <w:lang w:val="pt-BR" w:eastAsia="es-ES"/>
        </w:rPr>
      </w:pPr>
      <m:oMathPara>
        <m:oMath>
          <m:f>
            <m:fPr>
              <m:ctrlPr>
                <w:rPr>
                  <w:rFonts w:ascii="Cambria Math" w:hAnsi="Cambria Math"/>
                  <w:i/>
                  <w:lang w:val="pt-BR" w:eastAsia="es-ES"/>
                </w:rPr>
              </m:ctrlPr>
            </m:fPr>
            <m:num>
              <m:r>
                <w:rPr>
                  <w:rFonts w:ascii="Cambria Math" w:hAnsi="Cambria Math"/>
                  <w:lang w:val="pt-BR" w:eastAsia="es-ES"/>
                </w:rPr>
                <m:t>1</m:t>
              </m:r>
            </m:num>
            <m:den>
              <m:sSup>
                <m:sSupPr>
                  <m:ctrlPr>
                    <w:rPr>
                      <w:rFonts w:ascii="Cambria Math" w:hAnsi="Cambria Math"/>
                      <w:i/>
                      <w:lang w:val="pt-BR" w:eastAsia="es-ES"/>
                    </w:rPr>
                  </m:ctrlPr>
                </m:sSupPr>
                <m:e>
                  <m:r>
                    <w:rPr>
                      <w:rFonts w:ascii="Cambria Math" w:hAnsi="Cambria Math"/>
                      <w:lang w:val="pt-BR" w:eastAsia="es-ES"/>
                    </w:rPr>
                    <m:t>1+e</m:t>
                  </m:r>
                </m:e>
                <m:sup>
                  <m:r>
                    <w:rPr>
                      <w:rFonts w:ascii="Cambria Math" w:hAnsi="Cambria Math"/>
                      <w:vertAlign w:val="superscript"/>
                      <w:lang w:val="it-IT" w:eastAsia="es-ES"/>
                    </w:rPr>
                    <m:t>(2,189+1,228 x (edad)+1,239 x (Volumen AI) +1,607 x (FEVI)</m:t>
                  </m:r>
                </m:sup>
              </m:sSup>
            </m:den>
          </m:f>
        </m:oMath>
      </m:oMathPara>
    </w:p>
    <w:p w14:paraId="6C9C89DC" w14:textId="77777777" w:rsidR="0095207C" w:rsidRPr="0095207C" w:rsidRDefault="0095207C" w:rsidP="0095207C">
      <w:pPr>
        <w:spacing w:line="360" w:lineRule="auto"/>
        <w:jc w:val="both"/>
        <w:rPr>
          <w:lang w:val="pt-BR" w:eastAsia="es-ES"/>
        </w:rPr>
      </w:pPr>
    </w:p>
    <w:p w14:paraId="4C61B2C9" w14:textId="77777777" w:rsidR="0095207C" w:rsidRPr="0095207C" w:rsidRDefault="0095207C" w:rsidP="0095207C">
      <w:pPr>
        <w:spacing w:line="360" w:lineRule="auto"/>
        <w:jc w:val="both"/>
        <w:rPr>
          <w:lang w:val="es-ES" w:eastAsia="es-ES"/>
        </w:rPr>
      </w:pPr>
      <w:r w:rsidRPr="0095207C">
        <w:rPr>
          <w:lang w:val="es-ES" w:eastAsia="es-ES"/>
        </w:rPr>
        <w:t>El perfil de pacientes, que presentó fracaso de la terapia eléctrica en la fibrilación auricular, se caracteriza por la presencia de una edad ≥ 55 años, volumen de AI ≥ 34 mL/m</w:t>
      </w:r>
      <w:r w:rsidRPr="0095207C">
        <w:rPr>
          <w:vertAlign w:val="superscript"/>
          <w:lang w:val="es-ES" w:eastAsia="es-ES"/>
        </w:rPr>
        <w:t>2</w:t>
      </w:r>
      <w:r w:rsidRPr="0095207C">
        <w:rPr>
          <w:lang w:val="es-ES" w:eastAsia="es-ES"/>
        </w:rPr>
        <w:t xml:space="preserve"> y FEVI ≤ 40 % </w:t>
      </w:r>
    </w:p>
    <w:p w14:paraId="5B149838" w14:textId="77777777" w:rsidR="0095207C" w:rsidRPr="0095207C" w:rsidRDefault="0095207C" w:rsidP="0095207C">
      <w:pPr>
        <w:spacing w:line="360" w:lineRule="auto"/>
        <w:rPr>
          <w:lang w:val="es-ES" w:eastAsia="es-ES"/>
        </w:rPr>
      </w:pPr>
      <w:r w:rsidRPr="0095207C">
        <w:rPr>
          <w:lang w:val="es-ES" w:eastAsia="es-ES"/>
        </w:rPr>
        <w:t>Entonces el modelo de regresión logística ajustado será:</w:t>
      </w:r>
    </w:p>
    <w:p w14:paraId="402075F5" w14:textId="77777777" w:rsidR="0095207C" w:rsidRPr="0095207C" w:rsidRDefault="0095207C" w:rsidP="0095207C">
      <w:pPr>
        <w:spacing w:line="360" w:lineRule="auto"/>
        <w:rPr>
          <w:lang w:val="es-ES" w:eastAsia="es-ES"/>
        </w:rPr>
      </w:pPr>
    </w:p>
    <w:p w14:paraId="385A1B23" w14:textId="77777777" w:rsidR="0095207C" w:rsidRPr="0095207C" w:rsidRDefault="0095207C" w:rsidP="0095207C">
      <w:pPr>
        <w:spacing w:line="360" w:lineRule="auto"/>
        <w:jc w:val="both"/>
        <w:rPr>
          <w:lang w:val="es-ES" w:eastAsia="es-ES"/>
        </w:rPr>
      </w:pPr>
      <m:oMathPara>
        <m:oMath>
          <m:r>
            <w:rPr>
              <w:rFonts w:ascii="Cambria Math" w:hAnsi="Cambria Math"/>
              <w:lang w:val="es-ES" w:eastAsia="es-ES"/>
            </w:rPr>
            <m:t xml:space="preserve">p = </m:t>
          </m:r>
          <m:f>
            <m:fPr>
              <m:ctrlPr>
                <w:rPr>
                  <w:rFonts w:ascii="Cambria Math" w:hAnsi="Cambria Math"/>
                  <w:i/>
                  <w:lang w:val="es-ES" w:eastAsia="es-ES"/>
                </w:rPr>
              </m:ctrlPr>
            </m:fPr>
            <m:num>
              <m:r>
                <w:rPr>
                  <w:rFonts w:ascii="Cambria Math" w:hAnsi="Cambria Math"/>
                  <w:lang w:val="es-ES" w:eastAsia="es-ES"/>
                </w:rPr>
                <m:t>1</m:t>
              </m:r>
            </m:num>
            <m:den>
              <m:r>
                <w:rPr>
                  <w:rFonts w:ascii="Cambria Math" w:hAnsi="Cambria Math"/>
                  <w:lang w:val="es-ES" w:eastAsia="es-ES"/>
                </w:rPr>
                <m:t xml:space="preserve">1+ </m:t>
              </m:r>
              <m:sSup>
                <m:sSupPr>
                  <m:ctrlPr>
                    <w:rPr>
                      <w:rFonts w:ascii="Cambria Math" w:hAnsi="Cambria Math"/>
                      <w:i/>
                      <w:lang w:val="es-ES" w:eastAsia="es-ES"/>
                    </w:rPr>
                  </m:ctrlPr>
                </m:sSupPr>
                <m:e>
                  <m:r>
                    <w:rPr>
                      <w:rFonts w:ascii="Cambria Math" w:hAnsi="Cambria Math"/>
                      <w:lang w:val="es-ES" w:eastAsia="es-ES"/>
                    </w:rPr>
                    <m:t>e</m:t>
                  </m:r>
                </m:e>
                <m:sup>
                  <m:r>
                    <w:rPr>
                      <w:rFonts w:ascii="Cambria Math" w:hAnsi="Cambria Math"/>
                      <w:lang w:val="es-ES" w:eastAsia="es-ES"/>
                    </w:rPr>
                    <m:t>-z</m:t>
                  </m:r>
                </m:sup>
              </m:sSup>
            </m:den>
          </m:f>
        </m:oMath>
      </m:oMathPara>
    </w:p>
    <w:p w14:paraId="73CFCD1A" w14:textId="77777777" w:rsidR="0095207C" w:rsidRPr="0095207C" w:rsidRDefault="0095207C" w:rsidP="0095207C">
      <w:pPr>
        <w:spacing w:line="360" w:lineRule="auto"/>
        <w:jc w:val="both"/>
        <w:rPr>
          <w:lang w:val="es-ES" w:eastAsia="es-ES"/>
        </w:rPr>
      </w:pPr>
    </w:p>
    <w:p w14:paraId="05FC51EA" w14:textId="77777777" w:rsidR="0095207C" w:rsidRPr="0095207C" w:rsidRDefault="0095207C" w:rsidP="0095207C">
      <w:pPr>
        <w:spacing w:line="360" w:lineRule="auto"/>
        <w:jc w:val="both"/>
        <w:rPr>
          <w:lang w:val="es-ES" w:eastAsia="es-ES"/>
        </w:rPr>
      </w:pPr>
      <w:r w:rsidRPr="0095207C">
        <w:rPr>
          <w:lang w:val="es-ES" w:eastAsia="es-ES"/>
        </w:rPr>
        <w:t>Donde: p es la probabilidad del fracaso de la terapia eléctrica en la fibrilación auricular paroxística.</w:t>
      </w:r>
    </w:p>
    <w:p w14:paraId="3BDF2E0A" w14:textId="77777777" w:rsidR="0095207C" w:rsidRPr="0095207C" w:rsidRDefault="0095207C" w:rsidP="0095207C">
      <w:pPr>
        <w:spacing w:line="360" w:lineRule="auto"/>
        <w:jc w:val="both"/>
        <w:rPr>
          <w:lang w:val="es-ES" w:eastAsia="es-ES"/>
        </w:rPr>
      </w:pPr>
    </w:p>
    <w:p w14:paraId="7BF5F9AA" w14:textId="77777777" w:rsidR="0095207C" w:rsidRPr="0095207C" w:rsidRDefault="0095207C" w:rsidP="0095207C">
      <w:pPr>
        <w:spacing w:line="360" w:lineRule="auto"/>
        <w:jc w:val="center"/>
        <w:rPr>
          <w:vertAlign w:val="subscript"/>
          <w:lang w:val="es-ES" w:eastAsia="es-ES"/>
        </w:rPr>
      </w:pPr>
      <w:r w:rsidRPr="0095207C">
        <w:rPr>
          <w:lang w:val="es-ES" w:eastAsia="es-ES"/>
        </w:rPr>
        <w:t>Siendo: Z= β</w:t>
      </w:r>
      <w:r w:rsidRPr="0095207C">
        <w:rPr>
          <w:vertAlign w:val="subscript"/>
          <w:lang w:val="es-ES" w:eastAsia="es-ES"/>
        </w:rPr>
        <w:t>0</w:t>
      </w:r>
      <w:r w:rsidRPr="0095207C">
        <w:rPr>
          <w:lang w:val="es-ES" w:eastAsia="es-ES"/>
        </w:rPr>
        <w:t>+ β</w:t>
      </w:r>
      <w:r w:rsidRPr="0095207C">
        <w:rPr>
          <w:vertAlign w:val="subscript"/>
          <w:lang w:val="es-ES" w:eastAsia="es-ES"/>
        </w:rPr>
        <w:t>1</w:t>
      </w:r>
      <w:r w:rsidRPr="0095207C">
        <w:rPr>
          <w:lang w:val="es-ES" w:eastAsia="es-ES"/>
        </w:rPr>
        <w:t xml:space="preserve"> X</w:t>
      </w:r>
      <w:r w:rsidRPr="0095207C">
        <w:rPr>
          <w:vertAlign w:val="subscript"/>
          <w:lang w:val="es-ES" w:eastAsia="es-ES"/>
        </w:rPr>
        <w:t>1</w:t>
      </w:r>
      <w:r w:rsidRPr="0095207C">
        <w:rPr>
          <w:lang w:val="es-ES" w:eastAsia="es-ES"/>
        </w:rPr>
        <w:t>+… + β</w:t>
      </w:r>
      <w:r w:rsidRPr="0095207C">
        <w:rPr>
          <w:vertAlign w:val="subscript"/>
          <w:lang w:val="es-ES" w:eastAsia="es-ES"/>
        </w:rPr>
        <w:t>k</w:t>
      </w:r>
      <w:r w:rsidRPr="0095207C">
        <w:rPr>
          <w:lang w:val="es-ES" w:eastAsia="es-ES"/>
        </w:rPr>
        <w:t>X</w:t>
      </w:r>
      <w:r w:rsidRPr="0095207C">
        <w:rPr>
          <w:vertAlign w:val="subscript"/>
          <w:lang w:val="es-ES" w:eastAsia="es-ES"/>
        </w:rPr>
        <w:t>k</w:t>
      </w:r>
    </w:p>
    <w:p w14:paraId="2677EC44" w14:textId="77777777" w:rsidR="0095207C" w:rsidRPr="0095207C" w:rsidRDefault="0095207C" w:rsidP="0095207C">
      <w:pPr>
        <w:spacing w:line="360" w:lineRule="auto"/>
        <w:jc w:val="both"/>
        <w:rPr>
          <w:lang w:val="es-ES" w:eastAsia="es-ES"/>
        </w:rPr>
      </w:pPr>
    </w:p>
    <w:p w14:paraId="61AFA9C5" w14:textId="77777777" w:rsidR="0095207C" w:rsidRPr="0095207C" w:rsidRDefault="0095207C" w:rsidP="0095207C">
      <w:pPr>
        <w:spacing w:line="360" w:lineRule="auto"/>
        <w:jc w:val="both"/>
        <w:rPr>
          <w:lang w:val="es-ES" w:eastAsia="es-ES"/>
        </w:rPr>
      </w:pPr>
      <w:r w:rsidRPr="0095207C">
        <w:rPr>
          <w:lang w:val="es-ES" w:eastAsia="es-ES"/>
        </w:rPr>
        <w:lastRenderedPageBreak/>
        <w:t>Donde: β</w:t>
      </w:r>
      <w:r w:rsidRPr="0095207C">
        <w:rPr>
          <w:vertAlign w:val="subscript"/>
          <w:lang w:val="es-ES" w:eastAsia="es-ES"/>
        </w:rPr>
        <w:t xml:space="preserve">0 </w:t>
      </w:r>
      <w:r w:rsidRPr="0095207C">
        <w:rPr>
          <w:lang w:val="es-ES" w:eastAsia="es-ES"/>
        </w:rPr>
        <w:t>y β</w:t>
      </w:r>
      <w:r w:rsidRPr="0095207C">
        <w:rPr>
          <w:vertAlign w:val="subscript"/>
          <w:lang w:val="es-ES" w:eastAsia="es-ES"/>
        </w:rPr>
        <w:t>k</w:t>
      </w:r>
      <w:r w:rsidRPr="0095207C">
        <w:rPr>
          <w:lang w:val="es-ES" w:eastAsia="es-ES"/>
        </w:rPr>
        <w:t xml:space="preserve"> son los coeficientes estimados a partir de los datos.</w:t>
      </w:r>
    </w:p>
    <w:p w14:paraId="2B10C5D5" w14:textId="77777777" w:rsidR="0095207C" w:rsidRPr="0095207C" w:rsidRDefault="0095207C" w:rsidP="0095207C">
      <w:pPr>
        <w:spacing w:line="360" w:lineRule="auto"/>
        <w:jc w:val="both"/>
        <w:rPr>
          <w:lang w:val="es-ES" w:eastAsia="es-ES"/>
        </w:rPr>
      </w:pPr>
      <w:r w:rsidRPr="0095207C">
        <w:rPr>
          <w:lang w:val="es-ES" w:eastAsia="es-ES"/>
        </w:rPr>
        <w:t>Entonces la fórmula matemática es:</w:t>
      </w:r>
    </w:p>
    <w:p w14:paraId="3D8238FF" w14:textId="77777777" w:rsidR="0095207C" w:rsidRPr="0095207C" w:rsidRDefault="0095207C" w:rsidP="0095207C">
      <w:pPr>
        <w:spacing w:line="360" w:lineRule="auto"/>
        <w:jc w:val="both"/>
        <w:rPr>
          <w:lang w:val="es-ES" w:eastAsia="es-ES"/>
        </w:rPr>
      </w:pPr>
    </w:p>
    <w:p w14:paraId="47D16674" w14:textId="77777777" w:rsidR="0095207C" w:rsidRPr="0095207C" w:rsidRDefault="0095207C" w:rsidP="0095207C">
      <w:pPr>
        <w:spacing w:line="360" w:lineRule="auto"/>
        <w:jc w:val="center"/>
        <w:rPr>
          <w:lang w:val="es-ES" w:eastAsia="es-ES"/>
        </w:rPr>
      </w:pPr>
      <w:r w:rsidRPr="0095207C">
        <w:rPr>
          <w:lang w:val="es-ES" w:eastAsia="es-ES"/>
        </w:rPr>
        <w:t>Z= 2,189+1,228 (X</w:t>
      </w:r>
      <w:r w:rsidRPr="0095207C">
        <w:rPr>
          <w:vertAlign w:val="subscript"/>
          <w:lang w:val="es-ES" w:eastAsia="es-ES"/>
        </w:rPr>
        <w:t>1</w:t>
      </w:r>
      <w:r w:rsidRPr="0095207C">
        <w:rPr>
          <w:lang w:val="es-ES" w:eastAsia="es-ES"/>
        </w:rPr>
        <w:t>) + 1,239 (X</w:t>
      </w:r>
      <w:r w:rsidRPr="0095207C">
        <w:rPr>
          <w:vertAlign w:val="subscript"/>
          <w:lang w:val="es-ES" w:eastAsia="es-ES"/>
        </w:rPr>
        <w:t>2</w:t>
      </w:r>
      <w:r w:rsidRPr="0095207C">
        <w:rPr>
          <w:lang w:val="es-ES" w:eastAsia="es-ES"/>
        </w:rPr>
        <w:t>) +1,607 (X</w:t>
      </w:r>
      <w:proofErr w:type="gramStart"/>
      <w:r w:rsidRPr="0095207C">
        <w:rPr>
          <w:vertAlign w:val="subscript"/>
          <w:lang w:val="es-ES" w:eastAsia="es-ES"/>
        </w:rPr>
        <w:t>3</w:t>
      </w:r>
      <w:r w:rsidRPr="0095207C">
        <w:rPr>
          <w:lang w:val="es-ES" w:eastAsia="es-ES"/>
        </w:rPr>
        <w:t>)=</w:t>
      </w:r>
      <w:proofErr w:type="gramEnd"/>
      <w:r w:rsidRPr="0095207C">
        <w:rPr>
          <w:lang w:val="es-ES" w:eastAsia="es-ES"/>
        </w:rPr>
        <w:t>0 ,87670</w:t>
      </w:r>
    </w:p>
    <w:p w14:paraId="4754457C" w14:textId="77777777" w:rsidR="0095207C" w:rsidRPr="0095207C" w:rsidRDefault="0095207C" w:rsidP="0095207C">
      <w:pPr>
        <w:spacing w:line="360" w:lineRule="auto"/>
        <w:jc w:val="both"/>
        <w:rPr>
          <w:lang w:val="es-ES" w:eastAsia="es-ES"/>
        </w:rPr>
      </w:pPr>
    </w:p>
    <w:p w14:paraId="06FA7B9E" w14:textId="77777777" w:rsidR="0095207C" w:rsidRPr="0095207C" w:rsidRDefault="0095207C" w:rsidP="0095207C">
      <w:pPr>
        <w:spacing w:line="360" w:lineRule="auto"/>
        <w:jc w:val="both"/>
        <w:rPr>
          <w:lang w:val="es-ES" w:eastAsia="es-ES"/>
        </w:rPr>
      </w:pPr>
      <w:r w:rsidRPr="0095207C">
        <w:rPr>
          <w:lang w:val="es-ES" w:eastAsia="es-ES"/>
        </w:rPr>
        <w:t>Donde:</w:t>
      </w:r>
    </w:p>
    <w:p w14:paraId="52652082" w14:textId="77777777" w:rsidR="0095207C" w:rsidRPr="0095207C" w:rsidRDefault="0095207C" w:rsidP="0095207C">
      <w:pPr>
        <w:spacing w:line="360" w:lineRule="auto"/>
        <w:jc w:val="both"/>
        <w:rPr>
          <w:lang w:val="es-ES" w:eastAsia="es-ES"/>
        </w:rPr>
      </w:pPr>
      <w:r w:rsidRPr="0095207C">
        <w:rPr>
          <w:lang w:val="es-ES" w:eastAsia="es-ES"/>
        </w:rPr>
        <w:t>X</w:t>
      </w:r>
      <w:r w:rsidRPr="0095207C">
        <w:rPr>
          <w:vertAlign w:val="subscript"/>
          <w:lang w:val="es-ES" w:eastAsia="es-ES"/>
        </w:rPr>
        <w:t>1</w:t>
      </w:r>
      <w:r w:rsidRPr="0095207C">
        <w:rPr>
          <w:lang w:val="es-ES" w:eastAsia="es-ES"/>
        </w:rPr>
        <w:t>: es edad mayor o igual a 55 años</w:t>
      </w:r>
    </w:p>
    <w:p w14:paraId="0C9CF957" w14:textId="77777777" w:rsidR="0095207C" w:rsidRPr="0095207C" w:rsidRDefault="0095207C" w:rsidP="0095207C">
      <w:pPr>
        <w:spacing w:line="360" w:lineRule="auto"/>
        <w:jc w:val="both"/>
        <w:rPr>
          <w:lang w:val="it-IT" w:eastAsia="es-ES"/>
        </w:rPr>
      </w:pPr>
      <w:r w:rsidRPr="0095207C">
        <w:rPr>
          <w:lang w:val="it-IT" w:eastAsia="es-ES"/>
        </w:rPr>
        <w:t>X</w:t>
      </w:r>
      <w:r w:rsidRPr="0095207C">
        <w:rPr>
          <w:vertAlign w:val="subscript"/>
          <w:lang w:val="it-IT" w:eastAsia="es-ES"/>
        </w:rPr>
        <w:t>2</w:t>
      </w:r>
      <w:r w:rsidRPr="0095207C">
        <w:rPr>
          <w:lang w:val="it-IT" w:eastAsia="es-ES"/>
        </w:rPr>
        <w:t>: Volumen AI ≥ 34 ml/m</w:t>
      </w:r>
      <w:r w:rsidRPr="0095207C">
        <w:rPr>
          <w:vertAlign w:val="superscript"/>
          <w:lang w:val="it-IT" w:eastAsia="es-ES"/>
        </w:rPr>
        <w:t>2</w:t>
      </w:r>
    </w:p>
    <w:p w14:paraId="7D163779" w14:textId="77777777" w:rsidR="0095207C" w:rsidRPr="0095207C" w:rsidRDefault="0095207C" w:rsidP="0095207C">
      <w:pPr>
        <w:spacing w:line="360" w:lineRule="auto"/>
        <w:jc w:val="both"/>
        <w:rPr>
          <w:lang w:val="it-IT" w:eastAsia="es-ES"/>
        </w:rPr>
      </w:pPr>
      <w:r w:rsidRPr="0095207C">
        <w:rPr>
          <w:lang w:val="it-IT" w:eastAsia="es-ES"/>
        </w:rPr>
        <w:t>X</w:t>
      </w:r>
      <w:r w:rsidRPr="0095207C">
        <w:rPr>
          <w:vertAlign w:val="subscript"/>
          <w:lang w:val="it-IT" w:eastAsia="es-ES"/>
        </w:rPr>
        <w:t>3</w:t>
      </w:r>
      <w:r w:rsidRPr="0095207C">
        <w:rPr>
          <w:lang w:val="it-IT" w:eastAsia="es-ES"/>
        </w:rPr>
        <w:t>: FEVI ≤ 40 %</w:t>
      </w:r>
    </w:p>
    <w:p w14:paraId="585B17FD" w14:textId="77777777" w:rsidR="0095207C" w:rsidRPr="0095207C" w:rsidRDefault="0095207C" w:rsidP="0095207C">
      <w:pPr>
        <w:spacing w:line="360" w:lineRule="auto"/>
        <w:jc w:val="both"/>
        <w:rPr>
          <w:lang w:val="es-ES" w:eastAsia="es-ES"/>
        </w:rPr>
      </w:pPr>
      <w:r w:rsidRPr="0095207C">
        <w:rPr>
          <w:lang w:val="es-ES" w:eastAsia="es-ES"/>
        </w:rPr>
        <w:t>Este valor de 0,863 indica las probabilidades de presentar fracaso en la terapia eléctrica con las 3 variables del modelo matemático predictivo para un punto de corte de 0,05.</w:t>
      </w:r>
    </w:p>
    <w:p w14:paraId="39B428A4" w14:textId="77777777" w:rsidR="0095207C" w:rsidRPr="0095207C" w:rsidRDefault="0095207C" w:rsidP="0095207C">
      <w:pPr>
        <w:spacing w:line="360" w:lineRule="auto"/>
        <w:jc w:val="both"/>
        <w:rPr>
          <w:lang w:val="es-ES" w:eastAsia="es-ES"/>
        </w:rPr>
      </w:pPr>
      <w:r w:rsidRPr="0095207C">
        <w:rPr>
          <w:lang w:val="es-ES" w:eastAsia="es-ES"/>
        </w:rPr>
        <w:t>Para evaluar el rendimiento de modelo predictivo con calibración y capacidad de discriminación, entre los criterios que se determinaron para evaluar el ajuste del modelo, están el R</w:t>
      </w:r>
      <w:r w:rsidRPr="0095207C">
        <w:rPr>
          <w:vertAlign w:val="superscript"/>
          <w:lang w:val="es-ES" w:eastAsia="es-ES"/>
        </w:rPr>
        <w:t>2</w:t>
      </w:r>
      <w:r w:rsidRPr="0095207C">
        <w:rPr>
          <w:lang w:val="es-ES" w:eastAsia="es-ES"/>
        </w:rPr>
        <w:t xml:space="preserve"> de </w:t>
      </w:r>
      <w:r w:rsidRPr="0095207C">
        <w:rPr>
          <w:iCs/>
          <w:lang w:val="es-ES" w:eastAsia="es-ES"/>
        </w:rPr>
        <w:t>Nagelkerke</w:t>
      </w:r>
      <w:r w:rsidRPr="0095207C">
        <w:rPr>
          <w:lang w:val="es-ES" w:eastAsia="es-ES"/>
        </w:rPr>
        <w:t>, cuyo valor de 0,301 explica que el 30 % de la variabilidad de los datos es contemplada por el modelo; lo cual aportan que incluso cuando R</w:t>
      </w:r>
      <w:r w:rsidRPr="0095207C">
        <w:rPr>
          <w:vertAlign w:val="superscript"/>
          <w:lang w:val="es-ES" w:eastAsia="es-ES"/>
        </w:rPr>
        <w:t>2</w:t>
      </w:r>
      <w:r w:rsidRPr="0095207C">
        <w:rPr>
          <w:lang w:val="es-ES" w:eastAsia="es-ES"/>
        </w:rPr>
        <w:t xml:space="preserve"> sea bajo, los valores p≤ 0,05 indican una relación real entre los predictores significativos y la variable respuesta. Por otra parte, se obtuvo el estadígrafo correspondiente de la prueba de </w:t>
      </w:r>
      <w:r w:rsidRPr="0095207C">
        <w:rPr>
          <w:iCs/>
          <w:lang w:val="es-ES" w:eastAsia="es-ES"/>
        </w:rPr>
        <w:t>Hosmer-Lemenshow</w:t>
      </w:r>
      <w:r w:rsidRPr="0095207C">
        <w:rPr>
          <w:lang w:val="es-ES" w:eastAsia="es-ES"/>
        </w:rPr>
        <w:t>, con valor de 0,517 (tabla 3).</w:t>
      </w:r>
    </w:p>
    <w:p w14:paraId="4F87EC5A" w14:textId="77777777" w:rsidR="0095207C" w:rsidRPr="0095207C" w:rsidRDefault="0095207C" w:rsidP="0095207C">
      <w:pPr>
        <w:spacing w:line="360" w:lineRule="auto"/>
        <w:jc w:val="both"/>
        <w:rPr>
          <w:lang w:val="es-ES" w:eastAsia="es-ES"/>
        </w:rPr>
      </w:pPr>
    </w:p>
    <w:p w14:paraId="2C830B31" w14:textId="77777777" w:rsidR="0095207C" w:rsidRPr="0095207C" w:rsidRDefault="0095207C" w:rsidP="0095207C">
      <w:pPr>
        <w:rPr>
          <w:b/>
          <w:sz w:val="22"/>
          <w:szCs w:val="22"/>
          <w:lang w:val="es-ES" w:eastAsia="es-ES"/>
        </w:rPr>
      </w:pPr>
      <w:r w:rsidRPr="0095207C">
        <w:rPr>
          <w:b/>
          <w:sz w:val="22"/>
          <w:szCs w:val="22"/>
          <w:lang w:val="es-ES" w:eastAsia="es-ES"/>
        </w:rPr>
        <w:br w:type="page"/>
      </w:r>
    </w:p>
    <w:p w14:paraId="3A51301E" w14:textId="77777777" w:rsidR="0095207C" w:rsidRPr="0095207C" w:rsidRDefault="0095207C" w:rsidP="0095207C">
      <w:pPr>
        <w:spacing w:line="360" w:lineRule="auto"/>
        <w:jc w:val="center"/>
        <w:rPr>
          <w:sz w:val="22"/>
          <w:szCs w:val="22"/>
          <w:lang w:val="es-ES" w:eastAsia="es-ES"/>
        </w:rPr>
      </w:pPr>
      <w:r w:rsidRPr="0095207C">
        <w:rPr>
          <w:b/>
          <w:sz w:val="22"/>
          <w:szCs w:val="22"/>
          <w:lang w:val="es-ES" w:eastAsia="es-ES"/>
        </w:rPr>
        <w:lastRenderedPageBreak/>
        <w:t>Tabla 3 -</w:t>
      </w:r>
      <w:r w:rsidRPr="0095207C">
        <w:rPr>
          <w:sz w:val="22"/>
          <w:szCs w:val="22"/>
          <w:lang w:val="es-ES" w:eastAsia="es-ES"/>
        </w:rPr>
        <w:t xml:space="preserve"> Pruebas estadísticas aplicadas para evaluar </w:t>
      </w:r>
      <w:r w:rsidRPr="0095207C">
        <w:rPr>
          <w:sz w:val="22"/>
          <w:szCs w:val="22"/>
          <w:lang w:val="es-ES" w:eastAsia="es-ES"/>
        </w:rPr>
        <w:br/>
        <w:t>rendimiento y calibración del modelo</w:t>
      </w:r>
    </w:p>
    <w:tbl>
      <w:tblPr>
        <w:tblW w:w="30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1843"/>
        <w:gridCol w:w="992"/>
        <w:gridCol w:w="852"/>
      </w:tblGrid>
      <w:tr w:rsidR="0095207C" w:rsidRPr="0095207C" w14:paraId="32EA987D" w14:textId="77777777" w:rsidTr="007E0C8A">
        <w:trPr>
          <w:trHeight w:val="300"/>
          <w:jc w:val="center"/>
        </w:trPr>
        <w:tc>
          <w:tcPr>
            <w:tcW w:w="1974" w:type="pct"/>
            <w:vMerge w:val="restart"/>
            <w:shd w:val="clear" w:color="auto" w:fill="auto"/>
            <w:noWrap/>
            <w:vAlign w:val="center"/>
            <w:hideMark/>
          </w:tcPr>
          <w:p w14:paraId="57AFB627" w14:textId="77777777" w:rsidR="0095207C" w:rsidRPr="0095207C" w:rsidRDefault="0095207C" w:rsidP="0095207C">
            <w:pPr>
              <w:spacing w:line="360" w:lineRule="auto"/>
              <w:jc w:val="center"/>
              <w:rPr>
                <w:b/>
                <w:bCs/>
                <w:iCs/>
                <w:sz w:val="18"/>
                <w:szCs w:val="18"/>
                <w:lang w:val="es-ES" w:eastAsia="es-ES"/>
              </w:rPr>
            </w:pPr>
            <w:r w:rsidRPr="0095207C">
              <w:rPr>
                <w:b/>
                <w:bCs/>
                <w:iCs/>
                <w:sz w:val="18"/>
                <w:szCs w:val="18"/>
                <w:lang w:val="es-ES" w:eastAsia="es-ES"/>
              </w:rPr>
              <w:t>Hosmer y Lemenshow</w:t>
            </w:r>
          </w:p>
        </w:tc>
        <w:tc>
          <w:tcPr>
            <w:tcW w:w="1513" w:type="pct"/>
            <w:shd w:val="clear" w:color="auto" w:fill="auto"/>
            <w:vAlign w:val="center"/>
            <w:hideMark/>
          </w:tcPr>
          <w:p w14:paraId="0AEBEC69" w14:textId="77777777" w:rsidR="0095207C" w:rsidRPr="0095207C" w:rsidRDefault="0095207C" w:rsidP="0095207C">
            <w:pPr>
              <w:spacing w:line="360" w:lineRule="auto"/>
              <w:jc w:val="center"/>
              <w:rPr>
                <w:b/>
                <w:bCs/>
                <w:sz w:val="18"/>
                <w:szCs w:val="18"/>
                <w:lang w:val="es-ES" w:eastAsia="es-ES"/>
              </w:rPr>
            </w:pPr>
            <w:proofErr w:type="gramStart"/>
            <w:r w:rsidRPr="0095207C">
              <w:rPr>
                <w:b/>
                <w:bCs/>
                <w:i/>
                <w:iCs/>
                <w:sz w:val="18"/>
                <w:szCs w:val="18"/>
                <w:lang w:val="es-ES" w:eastAsia="es-ES"/>
              </w:rPr>
              <w:t xml:space="preserve">Ji </w:t>
            </w:r>
            <w:r w:rsidRPr="0095207C">
              <w:rPr>
                <w:b/>
                <w:bCs/>
                <w:sz w:val="18"/>
                <w:szCs w:val="18"/>
                <w:lang w:val="es-ES" w:eastAsia="es-ES"/>
              </w:rPr>
              <w:t>cuadrado</w:t>
            </w:r>
            <w:proofErr w:type="gramEnd"/>
          </w:p>
        </w:tc>
        <w:tc>
          <w:tcPr>
            <w:tcW w:w="814" w:type="pct"/>
            <w:shd w:val="clear" w:color="auto" w:fill="auto"/>
            <w:vAlign w:val="center"/>
            <w:hideMark/>
          </w:tcPr>
          <w:p w14:paraId="17D91D63" w14:textId="77777777" w:rsidR="0095207C" w:rsidRPr="0095207C" w:rsidRDefault="0095207C" w:rsidP="0095207C">
            <w:pPr>
              <w:spacing w:line="360" w:lineRule="auto"/>
              <w:jc w:val="center"/>
              <w:rPr>
                <w:b/>
                <w:bCs/>
                <w:sz w:val="18"/>
                <w:szCs w:val="18"/>
                <w:lang w:val="es-ES" w:eastAsia="es-ES"/>
              </w:rPr>
            </w:pPr>
            <w:r w:rsidRPr="0095207C">
              <w:rPr>
                <w:b/>
                <w:bCs/>
                <w:sz w:val="18"/>
                <w:szCs w:val="18"/>
                <w:lang w:val="es-ES" w:eastAsia="es-ES"/>
              </w:rPr>
              <w:t>gl</w:t>
            </w:r>
          </w:p>
        </w:tc>
        <w:tc>
          <w:tcPr>
            <w:tcW w:w="699" w:type="pct"/>
            <w:shd w:val="clear" w:color="auto" w:fill="auto"/>
            <w:vAlign w:val="center"/>
            <w:hideMark/>
          </w:tcPr>
          <w:p w14:paraId="7F491D00" w14:textId="77777777" w:rsidR="0095207C" w:rsidRPr="0095207C" w:rsidRDefault="0095207C" w:rsidP="0095207C">
            <w:pPr>
              <w:spacing w:line="360" w:lineRule="auto"/>
              <w:jc w:val="center"/>
              <w:rPr>
                <w:b/>
                <w:bCs/>
                <w:sz w:val="18"/>
                <w:szCs w:val="18"/>
                <w:lang w:val="es-ES" w:eastAsia="es-ES"/>
              </w:rPr>
            </w:pPr>
            <w:r w:rsidRPr="0095207C">
              <w:rPr>
                <w:b/>
                <w:bCs/>
                <w:sz w:val="18"/>
                <w:szCs w:val="18"/>
                <w:lang w:val="es-ES" w:eastAsia="es-ES"/>
              </w:rPr>
              <w:t>Sig.</w:t>
            </w:r>
          </w:p>
        </w:tc>
      </w:tr>
      <w:tr w:rsidR="0095207C" w:rsidRPr="0095207C" w14:paraId="47422636" w14:textId="77777777" w:rsidTr="007E0C8A">
        <w:trPr>
          <w:trHeight w:val="300"/>
          <w:jc w:val="center"/>
        </w:trPr>
        <w:tc>
          <w:tcPr>
            <w:tcW w:w="1974" w:type="pct"/>
            <w:vMerge/>
            <w:shd w:val="clear" w:color="auto" w:fill="auto"/>
            <w:vAlign w:val="center"/>
            <w:hideMark/>
          </w:tcPr>
          <w:p w14:paraId="6CE8C741" w14:textId="77777777" w:rsidR="0095207C" w:rsidRPr="0095207C" w:rsidRDefault="0095207C" w:rsidP="0095207C">
            <w:pPr>
              <w:spacing w:line="360" w:lineRule="auto"/>
              <w:jc w:val="center"/>
              <w:rPr>
                <w:sz w:val="18"/>
                <w:szCs w:val="18"/>
                <w:lang w:val="es-ES" w:eastAsia="es-ES"/>
              </w:rPr>
            </w:pPr>
          </w:p>
        </w:tc>
        <w:tc>
          <w:tcPr>
            <w:tcW w:w="1513" w:type="pct"/>
            <w:shd w:val="clear" w:color="auto" w:fill="auto"/>
            <w:noWrap/>
            <w:vAlign w:val="center"/>
            <w:hideMark/>
          </w:tcPr>
          <w:p w14:paraId="3930EC45" w14:textId="77777777" w:rsidR="0095207C" w:rsidRPr="0095207C" w:rsidRDefault="0095207C" w:rsidP="0095207C">
            <w:pPr>
              <w:spacing w:line="360" w:lineRule="auto"/>
              <w:jc w:val="center"/>
              <w:rPr>
                <w:sz w:val="18"/>
                <w:szCs w:val="18"/>
                <w:lang w:val="es-ES" w:eastAsia="es-ES"/>
              </w:rPr>
            </w:pPr>
            <w:r w:rsidRPr="0095207C">
              <w:rPr>
                <w:sz w:val="18"/>
                <w:szCs w:val="18"/>
                <w:lang w:val="es-ES" w:eastAsia="es-ES"/>
              </w:rPr>
              <w:t>3,248</w:t>
            </w:r>
          </w:p>
        </w:tc>
        <w:tc>
          <w:tcPr>
            <w:tcW w:w="814" w:type="pct"/>
            <w:shd w:val="clear" w:color="auto" w:fill="auto"/>
            <w:noWrap/>
            <w:vAlign w:val="center"/>
            <w:hideMark/>
          </w:tcPr>
          <w:p w14:paraId="24E4DD06" w14:textId="77777777" w:rsidR="0095207C" w:rsidRPr="0095207C" w:rsidRDefault="0095207C" w:rsidP="0095207C">
            <w:pPr>
              <w:spacing w:line="360" w:lineRule="auto"/>
              <w:jc w:val="center"/>
              <w:rPr>
                <w:sz w:val="18"/>
                <w:szCs w:val="18"/>
                <w:lang w:val="es-ES" w:eastAsia="es-ES"/>
              </w:rPr>
            </w:pPr>
            <w:r w:rsidRPr="0095207C">
              <w:rPr>
                <w:sz w:val="18"/>
                <w:szCs w:val="18"/>
                <w:lang w:val="es-ES" w:eastAsia="es-ES"/>
              </w:rPr>
              <w:t>4</w:t>
            </w:r>
          </w:p>
        </w:tc>
        <w:tc>
          <w:tcPr>
            <w:tcW w:w="699" w:type="pct"/>
            <w:shd w:val="clear" w:color="auto" w:fill="auto"/>
            <w:noWrap/>
            <w:vAlign w:val="center"/>
            <w:hideMark/>
          </w:tcPr>
          <w:p w14:paraId="7AFFED5E" w14:textId="77777777" w:rsidR="0095207C" w:rsidRPr="0095207C" w:rsidRDefault="0095207C" w:rsidP="0095207C">
            <w:pPr>
              <w:spacing w:line="360" w:lineRule="auto"/>
              <w:jc w:val="center"/>
              <w:rPr>
                <w:sz w:val="18"/>
                <w:szCs w:val="18"/>
                <w:lang w:val="es-ES" w:eastAsia="es-ES"/>
              </w:rPr>
            </w:pPr>
            <w:r w:rsidRPr="0095207C">
              <w:rPr>
                <w:sz w:val="18"/>
                <w:szCs w:val="18"/>
                <w:lang w:val="es-ES" w:eastAsia="es-ES"/>
              </w:rPr>
              <w:t>0,517</w:t>
            </w:r>
          </w:p>
        </w:tc>
      </w:tr>
      <w:tr w:rsidR="0095207C" w:rsidRPr="0095207C" w14:paraId="514FDA5C" w14:textId="77777777" w:rsidTr="007E0C8A">
        <w:trPr>
          <w:trHeight w:val="480"/>
          <w:jc w:val="center"/>
        </w:trPr>
        <w:tc>
          <w:tcPr>
            <w:tcW w:w="1974" w:type="pct"/>
            <w:vMerge w:val="restart"/>
            <w:shd w:val="clear" w:color="auto" w:fill="auto"/>
            <w:vAlign w:val="center"/>
            <w:hideMark/>
          </w:tcPr>
          <w:p w14:paraId="4FC0B138" w14:textId="77777777" w:rsidR="0095207C" w:rsidRPr="0095207C" w:rsidRDefault="0095207C" w:rsidP="0095207C">
            <w:pPr>
              <w:spacing w:line="360" w:lineRule="auto"/>
              <w:rPr>
                <w:sz w:val="18"/>
                <w:szCs w:val="18"/>
                <w:lang w:val="es-ES" w:eastAsia="es-ES"/>
              </w:rPr>
            </w:pPr>
            <w:r w:rsidRPr="0095207C">
              <w:rPr>
                <w:sz w:val="18"/>
                <w:szCs w:val="18"/>
                <w:lang w:val="es-ES" w:eastAsia="es-ES"/>
              </w:rPr>
              <w:t xml:space="preserve">R cuadrado de </w:t>
            </w:r>
            <w:r w:rsidRPr="0095207C">
              <w:rPr>
                <w:i/>
                <w:sz w:val="18"/>
                <w:szCs w:val="18"/>
                <w:lang w:val="es-ES" w:eastAsia="es-ES"/>
              </w:rPr>
              <w:t>Nagelkerke</w:t>
            </w:r>
          </w:p>
        </w:tc>
        <w:tc>
          <w:tcPr>
            <w:tcW w:w="1513" w:type="pct"/>
            <w:shd w:val="clear" w:color="auto" w:fill="auto"/>
            <w:vAlign w:val="center"/>
            <w:hideMark/>
          </w:tcPr>
          <w:p w14:paraId="2E5B95C0" w14:textId="77777777" w:rsidR="0095207C" w:rsidRPr="0095207C" w:rsidRDefault="0095207C" w:rsidP="0095207C">
            <w:pPr>
              <w:spacing w:line="360" w:lineRule="auto"/>
              <w:jc w:val="center"/>
              <w:rPr>
                <w:sz w:val="18"/>
                <w:szCs w:val="18"/>
                <w:lang w:val="es-ES" w:eastAsia="es-ES"/>
              </w:rPr>
            </w:pPr>
            <w:r w:rsidRPr="0095207C">
              <w:rPr>
                <w:sz w:val="18"/>
                <w:szCs w:val="18"/>
                <w:lang w:val="es-ES" w:eastAsia="es-ES"/>
              </w:rPr>
              <w:t>-2 log de la verosimilitud</w:t>
            </w:r>
          </w:p>
        </w:tc>
        <w:tc>
          <w:tcPr>
            <w:tcW w:w="1513" w:type="pct"/>
            <w:gridSpan w:val="2"/>
            <w:shd w:val="clear" w:color="auto" w:fill="auto"/>
            <w:vAlign w:val="center"/>
            <w:hideMark/>
          </w:tcPr>
          <w:p w14:paraId="0A8CA984" w14:textId="77777777" w:rsidR="0095207C" w:rsidRPr="0095207C" w:rsidRDefault="0095207C" w:rsidP="0095207C">
            <w:pPr>
              <w:spacing w:line="360" w:lineRule="auto"/>
              <w:jc w:val="center"/>
              <w:rPr>
                <w:sz w:val="18"/>
                <w:szCs w:val="18"/>
                <w:lang w:val="es-ES" w:eastAsia="es-ES"/>
              </w:rPr>
            </w:pPr>
            <w:r w:rsidRPr="0095207C">
              <w:rPr>
                <w:sz w:val="18"/>
                <w:szCs w:val="18"/>
                <w:lang w:val="es-ES" w:eastAsia="es-ES"/>
              </w:rPr>
              <w:t xml:space="preserve">R </w:t>
            </w:r>
            <w:proofErr w:type="gramStart"/>
            <w:r w:rsidRPr="0095207C">
              <w:rPr>
                <w:sz w:val="18"/>
                <w:szCs w:val="18"/>
                <w:vertAlign w:val="superscript"/>
                <w:lang w:val="es-ES" w:eastAsia="es-ES"/>
              </w:rPr>
              <w:t>2</w:t>
            </w:r>
            <w:r w:rsidRPr="0095207C">
              <w:rPr>
                <w:sz w:val="18"/>
                <w:szCs w:val="18"/>
                <w:lang w:val="es-ES" w:eastAsia="es-ES"/>
              </w:rPr>
              <w:t xml:space="preserve">  </w:t>
            </w:r>
            <w:r w:rsidRPr="0095207C">
              <w:rPr>
                <w:i/>
                <w:sz w:val="18"/>
                <w:szCs w:val="18"/>
                <w:lang w:val="es-ES" w:eastAsia="es-ES"/>
              </w:rPr>
              <w:t>Nagelkerke</w:t>
            </w:r>
            <w:proofErr w:type="gramEnd"/>
          </w:p>
        </w:tc>
      </w:tr>
      <w:tr w:rsidR="0095207C" w:rsidRPr="0095207C" w14:paraId="21B2A59E" w14:textId="77777777" w:rsidTr="007E0C8A">
        <w:trPr>
          <w:trHeight w:val="300"/>
          <w:jc w:val="center"/>
        </w:trPr>
        <w:tc>
          <w:tcPr>
            <w:tcW w:w="1974" w:type="pct"/>
            <w:vMerge/>
            <w:shd w:val="clear" w:color="auto" w:fill="auto"/>
            <w:vAlign w:val="center"/>
            <w:hideMark/>
          </w:tcPr>
          <w:p w14:paraId="7F78D81B" w14:textId="77777777" w:rsidR="0095207C" w:rsidRPr="0095207C" w:rsidRDefault="0095207C" w:rsidP="0095207C">
            <w:pPr>
              <w:spacing w:line="360" w:lineRule="auto"/>
              <w:jc w:val="center"/>
              <w:rPr>
                <w:sz w:val="18"/>
                <w:szCs w:val="18"/>
                <w:lang w:val="es-ES" w:eastAsia="es-ES"/>
              </w:rPr>
            </w:pPr>
          </w:p>
        </w:tc>
        <w:tc>
          <w:tcPr>
            <w:tcW w:w="1513" w:type="pct"/>
            <w:shd w:val="clear" w:color="auto" w:fill="auto"/>
            <w:noWrap/>
            <w:vAlign w:val="center"/>
            <w:hideMark/>
          </w:tcPr>
          <w:p w14:paraId="5A077819" w14:textId="77777777" w:rsidR="0095207C" w:rsidRPr="0095207C" w:rsidRDefault="0095207C" w:rsidP="0095207C">
            <w:pPr>
              <w:spacing w:line="360" w:lineRule="auto"/>
              <w:jc w:val="center"/>
              <w:rPr>
                <w:sz w:val="18"/>
                <w:szCs w:val="18"/>
                <w:lang w:val="es-ES" w:eastAsia="es-ES"/>
              </w:rPr>
            </w:pPr>
            <w:r w:rsidRPr="0095207C">
              <w:rPr>
                <w:sz w:val="18"/>
                <w:szCs w:val="18"/>
                <w:lang w:val="es-ES" w:eastAsia="es-ES"/>
              </w:rPr>
              <w:t>101,816</w:t>
            </w:r>
          </w:p>
        </w:tc>
        <w:tc>
          <w:tcPr>
            <w:tcW w:w="1513" w:type="pct"/>
            <w:gridSpan w:val="2"/>
            <w:shd w:val="clear" w:color="auto" w:fill="auto"/>
            <w:noWrap/>
            <w:vAlign w:val="center"/>
            <w:hideMark/>
          </w:tcPr>
          <w:p w14:paraId="6B972D52" w14:textId="77777777" w:rsidR="0095207C" w:rsidRPr="0095207C" w:rsidRDefault="0095207C" w:rsidP="0095207C">
            <w:pPr>
              <w:spacing w:line="360" w:lineRule="auto"/>
              <w:jc w:val="center"/>
              <w:rPr>
                <w:sz w:val="18"/>
                <w:szCs w:val="18"/>
                <w:lang w:val="es-ES" w:eastAsia="es-ES"/>
              </w:rPr>
            </w:pPr>
            <w:r w:rsidRPr="0095207C">
              <w:rPr>
                <w:sz w:val="18"/>
                <w:szCs w:val="18"/>
                <w:lang w:val="es-ES" w:eastAsia="es-ES"/>
              </w:rPr>
              <w:t>0,301</w:t>
            </w:r>
          </w:p>
        </w:tc>
      </w:tr>
      <w:tr w:rsidR="0095207C" w:rsidRPr="0095207C" w14:paraId="52944638" w14:textId="77777777" w:rsidTr="007E0C8A">
        <w:trPr>
          <w:trHeight w:val="300"/>
          <w:jc w:val="center"/>
        </w:trPr>
        <w:tc>
          <w:tcPr>
            <w:tcW w:w="5000" w:type="pct"/>
            <w:gridSpan w:val="4"/>
            <w:shd w:val="clear" w:color="auto" w:fill="auto"/>
            <w:noWrap/>
            <w:vAlign w:val="center"/>
            <w:hideMark/>
          </w:tcPr>
          <w:p w14:paraId="5D885791" w14:textId="77777777" w:rsidR="0095207C" w:rsidRPr="0095207C" w:rsidRDefault="0095207C" w:rsidP="0095207C">
            <w:pPr>
              <w:spacing w:line="360" w:lineRule="auto"/>
              <w:jc w:val="center"/>
              <w:rPr>
                <w:sz w:val="18"/>
                <w:szCs w:val="18"/>
                <w:lang w:val="es-ES" w:eastAsia="es-ES"/>
              </w:rPr>
            </w:pPr>
            <w:r w:rsidRPr="0095207C">
              <w:rPr>
                <w:sz w:val="18"/>
                <w:szCs w:val="18"/>
                <w:lang w:val="es-ES" w:eastAsia="es-ES"/>
              </w:rPr>
              <w:t>Valores predictivos del modelo (valores en %)</w:t>
            </w:r>
          </w:p>
        </w:tc>
      </w:tr>
      <w:tr w:rsidR="0095207C" w:rsidRPr="0095207C" w14:paraId="7950369D" w14:textId="77777777" w:rsidTr="007E0C8A">
        <w:trPr>
          <w:trHeight w:val="300"/>
          <w:jc w:val="center"/>
        </w:trPr>
        <w:tc>
          <w:tcPr>
            <w:tcW w:w="3487" w:type="pct"/>
            <w:gridSpan w:val="2"/>
            <w:shd w:val="clear" w:color="auto" w:fill="auto"/>
            <w:noWrap/>
            <w:vAlign w:val="center"/>
          </w:tcPr>
          <w:p w14:paraId="1D56A571" w14:textId="77777777" w:rsidR="0095207C" w:rsidRPr="0095207C" w:rsidRDefault="0095207C" w:rsidP="0095207C">
            <w:pPr>
              <w:spacing w:line="360" w:lineRule="auto"/>
              <w:rPr>
                <w:sz w:val="18"/>
                <w:szCs w:val="18"/>
                <w:lang w:val="es-ES" w:eastAsia="es-ES"/>
              </w:rPr>
            </w:pPr>
            <w:r w:rsidRPr="0095207C">
              <w:rPr>
                <w:sz w:val="18"/>
                <w:szCs w:val="18"/>
                <w:lang w:val="es-ES" w:eastAsia="es-ES"/>
              </w:rPr>
              <w:t>Sensibilidad</w:t>
            </w:r>
          </w:p>
        </w:tc>
        <w:tc>
          <w:tcPr>
            <w:tcW w:w="1513" w:type="pct"/>
            <w:gridSpan w:val="2"/>
            <w:shd w:val="clear" w:color="auto" w:fill="auto"/>
            <w:noWrap/>
            <w:vAlign w:val="center"/>
          </w:tcPr>
          <w:p w14:paraId="2015A463" w14:textId="77777777" w:rsidR="0095207C" w:rsidRPr="0095207C" w:rsidRDefault="0095207C" w:rsidP="0095207C">
            <w:pPr>
              <w:spacing w:line="360" w:lineRule="auto"/>
              <w:jc w:val="center"/>
              <w:rPr>
                <w:sz w:val="18"/>
                <w:szCs w:val="18"/>
                <w:lang w:val="es-ES" w:eastAsia="es-ES"/>
              </w:rPr>
            </w:pPr>
            <w:r w:rsidRPr="0095207C">
              <w:rPr>
                <w:sz w:val="18"/>
                <w:szCs w:val="18"/>
                <w:lang w:val="es-ES" w:eastAsia="es-ES"/>
              </w:rPr>
              <w:t xml:space="preserve">83,33 </w:t>
            </w:r>
          </w:p>
        </w:tc>
      </w:tr>
      <w:tr w:rsidR="0095207C" w:rsidRPr="0095207C" w14:paraId="30101AAE" w14:textId="77777777" w:rsidTr="007E0C8A">
        <w:trPr>
          <w:trHeight w:val="300"/>
          <w:jc w:val="center"/>
        </w:trPr>
        <w:tc>
          <w:tcPr>
            <w:tcW w:w="3487" w:type="pct"/>
            <w:gridSpan w:val="2"/>
            <w:shd w:val="clear" w:color="auto" w:fill="auto"/>
            <w:noWrap/>
            <w:vAlign w:val="center"/>
          </w:tcPr>
          <w:p w14:paraId="154C1E46" w14:textId="77777777" w:rsidR="0095207C" w:rsidRPr="0095207C" w:rsidRDefault="0095207C" w:rsidP="0095207C">
            <w:pPr>
              <w:spacing w:line="360" w:lineRule="auto"/>
              <w:rPr>
                <w:sz w:val="18"/>
                <w:szCs w:val="18"/>
                <w:lang w:val="es-ES" w:eastAsia="es-ES"/>
              </w:rPr>
            </w:pPr>
            <w:r w:rsidRPr="0095207C">
              <w:rPr>
                <w:sz w:val="18"/>
                <w:szCs w:val="18"/>
                <w:lang w:val="es-ES" w:eastAsia="es-ES"/>
              </w:rPr>
              <w:t>Especificidad</w:t>
            </w:r>
          </w:p>
        </w:tc>
        <w:tc>
          <w:tcPr>
            <w:tcW w:w="1513" w:type="pct"/>
            <w:gridSpan w:val="2"/>
            <w:shd w:val="clear" w:color="auto" w:fill="auto"/>
            <w:noWrap/>
            <w:vAlign w:val="center"/>
          </w:tcPr>
          <w:p w14:paraId="24321303" w14:textId="77777777" w:rsidR="0095207C" w:rsidRPr="0095207C" w:rsidRDefault="0095207C" w:rsidP="0095207C">
            <w:pPr>
              <w:spacing w:line="360" w:lineRule="auto"/>
              <w:jc w:val="center"/>
              <w:rPr>
                <w:sz w:val="18"/>
                <w:szCs w:val="18"/>
                <w:lang w:val="es-ES" w:eastAsia="es-ES"/>
              </w:rPr>
            </w:pPr>
            <w:r w:rsidRPr="0095207C">
              <w:rPr>
                <w:sz w:val="18"/>
                <w:szCs w:val="18"/>
                <w:lang w:val="es-ES" w:eastAsia="es-ES"/>
              </w:rPr>
              <w:t xml:space="preserve">76,67 </w:t>
            </w:r>
          </w:p>
        </w:tc>
      </w:tr>
      <w:tr w:rsidR="0095207C" w:rsidRPr="0095207C" w14:paraId="0CC49AEB" w14:textId="77777777" w:rsidTr="007E0C8A">
        <w:trPr>
          <w:trHeight w:val="300"/>
          <w:jc w:val="center"/>
        </w:trPr>
        <w:tc>
          <w:tcPr>
            <w:tcW w:w="3487" w:type="pct"/>
            <w:gridSpan w:val="2"/>
            <w:shd w:val="clear" w:color="auto" w:fill="auto"/>
            <w:noWrap/>
            <w:vAlign w:val="center"/>
          </w:tcPr>
          <w:p w14:paraId="74DC4EB6" w14:textId="77777777" w:rsidR="0095207C" w:rsidRPr="0095207C" w:rsidRDefault="0095207C" w:rsidP="0095207C">
            <w:pPr>
              <w:spacing w:line="360" w:lineRule="auto"/>
              <w:rPr>
                <w:sz w:val="18"/>
                <w:szCs w:val="18"/>
                <w:lang w:val="es-ES" w:eastAsia="es-ES"/>
              </w:rPr>
            </w:pPr>
            <w:r w:rsidRPr="0095207C">
              <w:rPr>
                <w:sz w:val="18"/>
                <w:szCs w:val="18"/>
                <w:lang w:val="es-ES" w:eastAsia="es-ES"/>
              </w:rPr>
              <w:t>Valor predictivo positivo</w:t>
            </w:r>
          </w:p>
        </w:tc>
        <w:tc>
          <w:tcPr>
            <w:tcW w:w="1513" w:type="pct"/>
            <w:gridSpan w:val="2"/>
            <w:shd w:val="clear" w:color="auto" w:fill="auto"/>
            <w:noWrap/>
            <w:vAlign w:val="center"/>
          </w:tcPr>
          <w:p w14:paraId="42C4A396" w14:textId="77777777" w:rsidR="0095207C" w:rsidRPr="0095207C" w:rsidRDefault="0095207C" w:rsidP="0095207C">
            <w:pPr>
              <w:spacing w:line="360" w:lineRule="auto"/>
              <w:jc w:val="center"/>
              <w:rPr>
                <w:sz w:val="18"/>
                <w:szCs w:val="18"/>
                <w:lang w:val="es-ES" w:eastAsia="es-ES"/>
              </w:rPr>
            </w:pPr>
            <w:r w:rsidRPr="0095207C">
              <w:rPr>
                <w:sz w:val="18"/>
                <w:szCs w:val="18"/>
                <w:lang w:val="es-ES" w:eastAsia="es-ES"/>
              </w:rPr>
              <w:t xml:space="preserve">83,33 </w:t>
            </w:r>
          </w:p>
        </w:tc>
      </w:tr>
      <w:tr w:rsidR="0095207C" w:rsidRPr="0095207C" w14:paraId="23EE8683" w14:textId="77777777" w:rsidTr="007E0C8A">
        <w:trPr>
          <w:trHeight w:val="300"/>
          <w:jc w:val="center"/>
        </w:trPr>
        <w:tc>
          <w:tcPr>
            <w:tcW w:w="3487" w:type="pct"/>
            <w:gridSpan w:val="2"/>
            <w:shd w:val="clear" w:color="auto" w:fill="auto"/>
            <w:noWrap/>
            <w:vAlign w:val="center"/>
          </w:tcPr>
          <w:p w14:paraId="6D77F2A6" w14:textId="77777777" w:rsidR="0095207C" w:rsidRPr="0095207C" w:rsidRDefault="0095207C" w:rsidP="0095207C">
            <w:pPr>
              <w:spacing w:line="360" w:lineRule="auto"/>
              <w:rPr>
                <w:sz w:val="18"/>
                <w:szCs w:val="18"/>
                <w:lang w:val="es-ES" w:eastAsia="es-ES"/>
              </w:rPr>
            </w:pPr>
            <w:r w:rsidRPr="0095207C">
              <w:rPr>
                <w:sz w:val="18"/>
                <w:szCs w:val="18"/>
                <w:lang w:val="es-ES" w:eastAsia="es-ES"/>
              </w:rPr>
              <w:t>Valor predictivo negativo</w:t>
            </w:r>
          </w:p>
        </w:tc>
        <w:tc>
          <w:tcPr>
            <w:tcW w:w="1513" w:type="pct"/>
            <w:gridSpan w:val="2"/>
            <w:shd w:val="clear" w:color="auto" w:fill="auto"/>
            <w:noWrap/>
            <w:vAlign w:val="center"/>
          </w:tcPr>
          <w:p w14:paraId="2DA4BCDF" w14:textId="77777777" w:rsidR="0095207C" w:rsidRPr="0095207C" w:rsidRDefault="0095207C" w:rsidP="0095207C">
            <w:pPr>
              <w:spacing w:line="360" w:lineRule="auto"/>
              <w:jc w:val="center"/>
              <w:rPr>
                <w:sz w:val="18"/>
                <w:szCs w:val="18"/>
                <w:lang w:val="es-ES" w:eastAsia="es-ES"/>
              </w:rPr>
            </w:pPr>
            <w:r w:rsidRPr="0095207C">
              <w:rPr>
                <w:sz w:val="18"/>
                <w:szCs w:val="18"/>
                <w:lang w:val="es-ES" w:eastAsia="es-ES"/>
              </w:rPr>
              <w:t xml:space="preserve">76,67 </w:t>
            </w:r>
          </w:p>
        </w:tc>
      </w:tr>
      <w:tr w:rsidR="0095207C" w:rsidRPr="0095207C" w14:paraId="3F8B23E0" w14:textId="77777777" w:rsidTr="007E0C8A">
        <w:trPr>
          <w:trHeight w:val="300"/>
          <w:jc w:val="center"/>
        </w:trPr>
        <w:tc>
          <w:tcPr>
            <w:tcW w:w="3487" w:type="pct"/>
            <w:gridSpan w:val="2"/>
            <w:shd w:val="clear" w:color="auto" w:fill="auto"/>
            <w:noWrap/>
            <w:vAlign w:val="center"/>
          </w:tcPr>
          <w:p w14:paraId="10AB1EB8" w14:textId="77777777" w:rsidR="0095207C" w:rsidRPr="0095207C" w:rsidRDefault="0095207C" w:rsidP="0095207C">
            <w:pPr>
              <w:spacing w:line="360" w:lineRule="auto"/>
              <w:rPr>
                <w:sz w:val="18"/>
                <w:szCs w:val="18"/>
                <w:lang w:val="es-ES" w:eastAsia="es-ES"/>
              </w:rPr>
            </w:pPr>
            <w:r w:rsidRPr="0095207C">
              <w:rPr>
                <w:sz w:val="18"/>
                <w:szCs w:val="18"/>
                <w:lang w:val="es-ES" w:eastAsia="es-ES"/>
              </w:rPr>
              <w:t xml:space="preserve">Índice </w:t>
            </w:r>
            <w:r w:rsidRPr="0095207C">
              <w:rPr>
                <w:i/>
                <w:sz w:val="18"/>
                <w:szCs w:val="18"/>
                <w:lang w:val="es-ES" w:eastAsia="es-ES"/>
              </w:rPr>
              <w:t>Youden</w:t>
            </w:r>
          </w:p>
        </w:tc>
        <w:tc>
          <w:tcPr>
            <w:tcW w:w="1513" w:type="pct"/>
            <w:gridSpan w:val="2"/>
            <w:shd w:val="clear" w:color="auto" w:fill="auto"/>
            <w:noWrap/>
            <w:vAlign w:val="center"/>
          </w:tcPr>
          <w:p w14:paraId="0FC62521" w14:textId="77777777" w:rsidR="0095207C" w:rsidRPr="0095207C" w:rsidRDefault="0095207C" w:rsidP="0095207C">
            <w:pPr>
              <w:spacing w:line="360" w:lineRule="auto"/>
              <w:jc w:val="center"/>
              <w:rPr>
                <w:sz w:val="18"/>
                <w:szCs w:val="18"/>
                <w:lang w:val="es-ES" w:eastAsia="es-ES"/>
              </w:rPr>
            </w:pPr>
            <w:r w:rsidRPr="0095207C">
              <w:rPr>
                <w:sz w:val="18"/>
                <w:szCs w:val="18"/>
                <w:lang w:val="es-ES" w:eastAsia="es-ES"/>
              </w:rPr>
              <w:t>0,50</w:t>
            </w:r>
          </w:p>
        </w:tc>
      </w:tr>
      <w:tr w:rsidR="0095207C" w:rsidRPr="0095207C" w14:paraId="23E2B839" w14:textId="77777777" w:rsidTr="007E0C8A">
        <w:trPr>
          <w:trHeight w:val="300"/>
          <w:jc w:val="center"/>
        </w:trPr>
        <w:tc>
          <w:tcPr>
            <w:tcW w:w="3487" w:type="pct"/>
            <w:gridSpan w:val="2"/>
            <w:shd w:val="clear" w:color="auto" w:fill="auto"/>
            <w:noWrap/>
            <w:vAlign w:val="center"/>
          </w:tcPr>
          <w:p w14:paraId="57EC2DC0" w14:textId="77777777" w:rsidR="0095207C" w:rsidRPr="0095207C" w:rsidRDefault="0095207C" w:rsidP="0095207C">
            <w:pPr>
              <w:spacing w:line="360" w:lineRule="auto"/>
              <w:rPr>
                <w:sz w:val="18"/>
                <w:szCs w:val="18"/>
                <w:lang w:val="es-ES" w:eastAsia="es-ES"/>
              </w:rPr>
            </w:pPr>
            <w:r w:rsidRPr="0095207C">
              <w:rPr>
                <w:sz w:val="18"/>
                <w:szCs w:val="18"/>
                <w:lang w:val="es-ES" w:eastAsia="es-ES"/>
              </w:rPr>
              <w:t>Razón de verosimilidad +</w:t>
            </w:r>
          </w:p>
        </w:tc>
        <w:tc>
          <w:tcPr>
            <w:tcW w:w="1513" w:type="pct"/>
            <w:gridSpan w:val="2"/>
            <w:shd w:val="clear" w:color="auto" w:fill="auto"/>
            <w:noWrap/>
            <w:vAlign w:val="center"/>
          </w:tcPr>
          <w:p w14:paraId="1AA415BD" w14:textId="77777777" w:rsidR="0095207C" w:rsidRPr="0095207C" w:rsidRDefault="0095207C" w:rsidP="0095207C">
            <w:pPr>
              <w:spacing w:line="360" w:lineRule="auto"/>
              <w:jc w:val="center"/>
              <w:rPr>
                <w:sz w:val="18"/>
                <w:szCs w:val="18"/>
                <w:lang w:val="es-ES" w:eastAsia="es-ES"/>
              </w:rPr>
            </w:pPr>
            <w:r w:rsidRPr="0095207C">
              <w:rPr>
                <w:sz w:val="18"/>
                <w:szCs w:val="18"/>
                <w:lang w:val="es-ES" w:eastAsia="es-ES"/>
              </w:rPr>
              <w:t>2,50</w:t>
            </w:r>
          </w:p>
        </w:tc>
      </w:tr>
      <w:tr w:rsidR="0095207C" w:rsidRPr="0095207C" w14:paraId="71FE4583" w14:textId="77777777" w:rsidTr="007E0C8A">
        <w:trPr>
          <w:trHeight w:val="300"/>
          <w:jc w:val="center"/>
        </w:trPr>
        <w:tc>
          <w:tcPr>
            <w:tcW w:w="3487" w:type="pct"/>
            <w:gridSpan w:val="2"/>
            <w:shd w:val="clear" w:color="auto" w:fill="auto"/>
            <w:noWrap/>
            <w:vAlign w:val="center"/>
          </w:tcPr>
          <w:p w14:paraId="4BC21DE6" w14:textId="77777777" w:rsidR="0095207C" w:rsidRPr="0095207C" w:rsidRDefault="0095207C" w:rsidP="0095207C">
            <w:pPr>
              <w:spacing w:line="360" w:lineRule="auto"/>
              <w:rPr>
                <w:sz w:val="18"/>
                <w:szCs w:val="18"/>
                <w:lang w:val="es-ES" w:eastAsia="es-ES"/>
              </w:rPr>
            </w:pPr>
            <w:r w:rsidRPr="0095207C">
              <w:rPr>
                <w:sz w:val="18"/>
                <w:szCs w:val="18"/>
                <w:lang w:val="es-ES" w:eastAsia="es-ES"/>
              </w:rPr>
              <w:t>Razón de verosimilidad -</w:t>
            </w:r>
          </w:p>
        </w:tc>
        <w:tc>
          <w:tcPr>
            <w:tcW w:w="1513" w:type="pct"/>
            <w:gridSpan w:val="2"/>
            <w:shd w:val="clear" w:color="auto" w:fill="auto"/>
            <w:noWrap/>
            <w:vAlign w:val="center"/>
          </w:tcPr>
          <w:p w14:paraId="7101ED6C" w14:textId="77777777" w:rsidR="0095207C" w:rsidRPr="0095207C" w:rsidRDefault="0095207C" w:rsidP="0095207C">
            <w:pPr>
              <w:spacing w:line="360" w:lineRule="auto"/>
              <w:jc w:val="center"/>
              <w:rPr>
                <w:sz w:val="18"/>
                <w:szCs w:val="18"/>
                <w:lang w:val="es-ES" w:eastAsia="es-ES"/>
              </w:rPr>
            </w:pPr>
            <w:r w:rsidRPr="0095207C">
              <w:rPr>
                <w:sz w:val="18"/>
                <w:szCs w:val="18"/>
                <w:lang w:val="es-ES" w:eastAsia="es-ES"/>
              </w:rPr>
              <w:t>0,25</w:t>
            </w:r>
          </w:p>
        </w:tc>
      </w:tr>
    </w:tbl>
    <w:p w14:paraId="42BDA767" w14:textId="77777777" w:rsidR="0095207C" w:rsidRPr="0095207C" w:rsidRDefault="0095207C" w:rsidP="0095207C">
      <w:pPr>
        <w:spacing w:line="360" w:lineRule="auto"/>
        <w:jc w:val="both"/>
        <w:rPr>
          <w:lang w:val="es-ES" w:eastAsia="es-ES"/>
        </w:rPr>
      </w:pPr>
    </w:p>
    <w:p w14:paraId="00CBFB28" w14:textId="77777777" w:rsidR="0095207C" w:rsidRPr="0095207C" w:rsidRDefault="0095207C" w:rsidP="0095207C">
      <w:pPr>
        <w:spacing w:line="360" w:lineRule="auto"/>
        <w:jc w:val="both"/>
        <w:rPr>
          <w:lang w:val="es-ES" w:eastAsia="es-ES"/>
        </w:rPr>
      </w:pPr>
      <w:r w:rsidRPr="0095207C">
        <w:rPr>
          <w:lang w:val="es-ES" w:eastAsia="es-ES"/>
        </w:rPr>
        <w:t>Al analizar el área bajo la curva (ABC (Fig. 1), a partir de la sensibilidad y especificidad, se comprobó que el ABC tuvo un rango de 0,676-0,881; de ahí la capacidad del modelo para predecir el resultado de la terapia eléctrica.</w:t>
      </w:r>
    </w:p>
    <w:p w14:paraId="2C6ECDC0" w14:textId="77777777" w:rsidR="0095207C" w:rsidRPr="0095207C" w:rsidRDefault="0095207C" w:rsidP="0095207C">
      <w:pPr>
        <w:spacing w:line="360" w:lineRule="auto"/>
        <w:jc w:val="both"/>
        <w:rPr>
          <w:lang w:val="es-ES" w:eastAsia="es-ES"/>
        </w:rPr>
      </w:pPr>
    </w:p>
    <w:p w14:paraId="31D81CA3" w14:textId="77777777" w:rsidR="0095207C" w:rsidRPr="0095207C" w:rsidRDefault="0095207C" w:rsidP="0095207C">
      <w:pPr>
        <w:spacing w:line="360" w:lineRule="auto"/>
        <w:jc w:val="center"/>
        <w:rPr>
          <w:lang w:val="es-ES" w:eastAsia="es-ES"/>
        </w:rPr>
      </w:pPr>
      <w:r w:rsidRPr="0095207C">
        <w:rPr>
          <w:noProof/>
          <w:lang w:val="es-ES" w:eastAsia="es-ES"/>
        </w:rPr>
        <w:lastRenderedPageBreak/>
        <w:drawing>
          <wp:inline distT="0" distB="0" distL="0" distR="0" wp14:anchorId="55E762CC" wp14:editId="60D54112">
            <wp:extent cx="3140075" cy="4434115"/>
            <wp:effectExtent l="0" t="0" r="3175" b="508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1">
                      <a:extLst>
                        <a:ext uri="{28A0092B-C50C-407E-A947-70E740481C1C}">
                          <a14:useLocalDpi xmlns:a14="http://schemas.microsoft.com/office/drawing/2010/main" val="0"/>
                        </a:ext>
                      </a:extLst>
                    </a:blip>
                    <a:srcRect l="8038" t="2226"/>
                    <a:stretch>
                      <a:fillRect/>
                    </a:stretch>
                  </pic:blipFill>
                  <pic:spPr bwMode="auto">
                    <a:xfrm>
                      <a:off x="0" y="0"/>
                      <a:ext cx="3142353" cy="4437332"/>
                    </a:xfrm>
                    <a:prstGeom prst="rect">
                      <a:avLst/>
                    </a:prstGeom>
                    <a:noFill/>
                    <a:ln>
                      <a:noFill/>
                    </a:ln>
                  </pic:spPr>
                </pic:pic>
              </a:graphicData>
            </a:graphic>
          </wp:inline>
        </w:drawing>
      </w:r>
    </w:p>
    <w:p w14:paraId="4ACF6F0B" w14:textId="77777777" w:rsidR="0095207C" w:rsidRPr="0095207C" w:rsidRDefault="0095207C" w:rsidP="0095207C">
      <w:pPr>
        <w:spacing w:line="360" w:lineRule="auto"/>
        <w:jc w:val="center"/>
        <w:rPr>
          <w:sz w:val="22"/>
          <w:szCs w:val="22"/>
          <w:lang w:val="es-ES" w:eastAsia="es-ES"/>
        </w:rPr>
      </w:pPr>
      <w:r w:rsidRPr="0095207C">
        <w:rPr>
          <w:b/>
          <w:sz w:val="22"/>
          <w:szCs w:val="22"/>
          <w:lang w:val="es-ES" w:eastAsia="es-ES"/>
        </w:rPr>
        <w:t xml:space="preserve">Fig. 1 - </w:t>
      </w:r>
      <w:r w:rsidRPr="0095207C">
        <w:rPr>
          <w:sz w:val="22"/>
          <w:szCs w:val="22"/>
          <w:lang w:val="es-ES" w:eastAsia="es-ES"/>
        </w:rPr>
        <w:t>Curva ABC del modelo para evaluar su discriminación (sensibilidad y especificidad).</w:t>
      </w:r>
    </w:p>
    <w:p w14:paraId="12E3E8AE" w14:textId="77777777" w:rsidR="0095207C" w:rsidRPr="0095207C" w:rsidRDefault="0095207C" w:rsidP="0095207C">
      <w:pPr>
        <w:spacing w:line="360" w:lineRule="auto"/>
        <w:jc w:val="center"/>
        <w:rPr>
          <w:lang w:val="es-ES" w:eastAsia="es-ES"/>
        </w:rPr>
      </w:pPr>
    </w:p>
    <w:p w14:paraId="4C6217C1" w14:textId="77777777" w:rsidR="0095207C" w:rsidRPr="0095207C" w:rsidRDefault="0095207C" w:rsidP="0095207C">
      <w:pPr>
        <w:spacing w:line="360" w:lineRule="auto"/>
        <w:jc w:val="both"/>
        <w:rPr>
          <w:lang w:val="es-ES" w:eastAsia="es-ES"/>
        </w:rPr>
      </w:pPr>
      <w:r w:rsidRPr="0095207C">
        <w:rPr>
          <w:lang w:val="es-ES" w:eastAsia="es-ES"/>
        </w:rPr>
        <w:t>Se pudo observar que los porcentajes correctos para ambos subconjuntos son muy parecidos y la prueba de Hosmer- Lemenshow mostró buen ajuste (tabla 4).</w:t>
      </w:r>
    </w:p>
    <w:p w14:paraId="6A3617F5" w14:textId="77777777" w:rsidR="0095207C" w:rsidRPr="0095207C" w:rsidRDefault="0095207C" w:rsidP="0095207C">
      <w:pPr>
        <w:spacing w:line="360" w:lineRule="auto"/>
        <w:rPr>
          <w:lang w:val="es-ES" w:eastAsia="es-ES"/>
        </w:rPr>
      </w:pPr>
    </w:p>
    <w:p w14:paraId="384211D5" w14:textId="77777777" w:rsidR="0095207C" w:rsidRPr="0095207C" w:rsidRDefault="0095207C" w:rsidP="0095207C">
      <w:pPr>
        <w:rPr>
          <w:b/>
          <w:sz w:val="22"/>
          <w:szCs w:val="22"/>
          <w:lang w:val="es-ES" w:eastAsia="es-ES"/>
        </w:rPr>
      </w:pPr>
      <w:r w:rsidRPr="0095207C">
        <w:rPr>
          <w:b/>
          <w:sz w:val="22"/>
          <w:szCs w:val="22"/>
          <w:lang w:val="es-ES" w:eastAsia="es-ES"/>
        </w:rPr>
        <w:br w:type="page"/>
      </w:r>
    </w:p>
    <w:p w14:paraId="59B2ED92" w14:textId="77777777" w:rsidR="0095207C" w:rsidRPr="0095207C" w:rsidRDefault="0095207C" w:rsidP="0095207C">
      <w:pPr>
        <w:spacing w:line="360" w:lineRule="auto"/>
        <w:jc w:val="center"/>
        <w:rPr>
          <w:sz w:val="22"/>
          <w:szCs w:val="22"/>
          <w:lang w:val="es-MX" w:eastAsia="es-ES"/>
        </w:rPr>
      </w:pPr>
      <w:r w:rsidRPr="0095207C">
        <w:rPr>
          <w:b/>
          <w:sz w:val="22"/>
          <w:szCs w:val="22"/>
          <w:lang w:val="es-ES" w:eastAsia="es-ES"/>
        </w:rPr>
        <w:lastRenderedPageBreak/>
        <w:t>Tabla 4 -</w:t>
      </w:r>
      <w:r w:rsidRPr="0095207C">
        <w:rPr>
          <w:sz w:val="22"/>
          <w:szCs w:val="22"/>
          <w:lang w:val="es-ES" w:eastAsia="es-ES"/>
        </w:rPr>
        <w:t xml:space="preserve"> Resultados de la validación interna</w:t>
      </w:r>
    </w:p>
    <w:tbl>
      <w:tblPr>
        <w:tblW w:w="56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0"/>
        <w:gridCol w:w="919"/>
        <w:gridCol w:w="1503"/>
        <w:gridCol w:w="1458"/>
        <w:gridCol w:w="658"/>
        <w:gridCol w:w="1176"/>
        <w:gridCol w:w="971"/>
        <w:gridCol w:w="1597"/>
      </w:tblGrid>
      <w:tr w:rsidR="0095207C" w:rsidRPr="0095207C" w14:paraId="62EC6DB0" w14:textId="77777777" w:rsidTr="007E0C8A">
        <w:trPr>
          <w:trHeight w:val="315"/>
          <w:jc w:val="center"/>
        </w:trPr>
        <w:tc>
          <w:tcPr>
            <w:tcW w:w="1297" w:type="pct"/>
            <w:vMerge w:val="restart"/>
            <w:shd w:val="clear" w:color="auto" w:fill="auto"/>
            <w:noWrap/>
            <w:vAlign w:val="center"/>
            <w:hideMark/>
          </w:tcPr>
          <w:p w14:paraId="4050E809"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 xml:space="preserve">Validación </w:t>
            </w:r>
          </w:p>
          <w:p w14:paraId="7AE26D9E"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 xml:space="preserve">interna </w:t>
            </w:r>
          </w:p>
        </w:tc>
        <w:tc>
          <w:tcPr>
            <w:tcW w:w="3703" w:type="pct"/>
            <w:gridSpan w:val="7"/>
            <w:shd w:val="clear" w:color="auto" w:fill="auto"/>
            <w:noWrap/>
            <w:vAlign w:val="center"/>
            <w:hideMark/>
          </w:tcPr>
          <w:p w14:paraId="5B944A1F"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Pronosticado</w:t>
            </w:r>
          </w:p>
        </w:tc>
      </w:tr>
      <w:tr w:rsidR="0095207C" w:rsidRPr="0095207C" w14:paraId="2DA5FEA6" w14:textId="77777777" w:rsidTr="007E0C8A">
        <w:trPr>
          <w:trHeight w:val="315"/>
          <w:jc w:val="center"/>
        </w:trPr>
        <w:tc>
          <w:tcPr>
            <w:tcW w:w="1297" w:type="pct"/>
            <w:vMerge/>
            <w:shd w:val="clear" w:color="auto" w:fill="auto"/>
            <w:noWrap/>
            <w:vAlign w:val="center"/>
            <w:hideMark/>
          </w:tcPr>
          <w:p w14:paraId="2338DE64" w14:textId="77777777" w:rsidR="0095207C" w:rsidRPr="0095207C" w:rsidRDefault="0095207C" w:rsidP="0095207C">
            <w:pPr>
              <w:spacing w:line="360" w:lineRule="auto"/>
              <w:jc w:val="center"/>
              <w:rPr>
                <w:b/>
                <w:bCs/>
                <w:color w:val="000000"/>
                <w:sz w:val="18"/>
                <w:szCs w:val="18"/>
                <w:lang w:val="es-ES" w:eastAsia="es-ES"/>
              </w:rPr>
            </w:pPr>
          </w:p>
        </w:tc>
        <w:tc>
          <w:tcPr>
            <w:tcW w:w="411" w:type="pct"/>
            <w:vMerge w:val="restart"/>
            <w:shd w:val="clear" w:color="auto" w:fill="auto"/>
            <w:noWrap/>
            <w:vAlign w:val="center"/>
            <w:hideMark/>
          </w:tcPr>
          <w:p w14:paraId="57B879EB" w14:textId="77777777" w:rsidR="0095207C" w:rsidRPr="0095207C" w:rsidRDefault="0095207C" w:rsidP="0095207C">
            <w:pPr>
              <w:keepNext/>
              <w:keepLines/>
              <w:spacing w:line="360" w:lineRule="auto"/>
              <w:jc w:val="center"/>
              <w:outlineLvl w:val="6"/>
              <w:rPr>
                <w:b/>
                <w:bCs/>
                <w:color w:val="000000"/>
                <w:sz w:val="18"/>
                <w:szCs w:val="18"/>
                <w:lang w:val="es-ES" w:eastAsia="es-ES"/>
              </w:rPr>
            </w:pPr>
            <w:r w:rsidRPr="0095207C">
              <w:rPr>
                <w:b/>
                <w:bCs/>
                <w:color w:val="000000"/>
                <w:sz w:val="18"/>
                <w:szCs w:val="18"/>
                <w:lang w:val="es-ES" w:eastAsia="es-ES"/>
              </w:rPr>
              <w:t>-</w:t>
            </w:r>
          </w:p>
        </w:tc>
        <w:tc>
          <w:tcPr>
            <w:tcW w:w="1324" w:type="pct"/>
            <w:gridSpan w:val="2"/>
            <w:shd w:val="clear" w:color="auto" w:fill="auto"/>
            <w:noWrap/>
            <w:vAlign w:val="center"/>
            <w:hideMark/>
          </w:tcPr>
          <w:p w14:paraId="5B2A132C"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Entrenamiento</w:t>
            </w:r>
          </w:p>
          <w:p w14:paraId="782E60EA"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Resultado de terapéutica</w:t>
            </w:r>
          </w:p>
        </w:tc>
        <w:tc>
          <w:tcPr>
            <w:tcW w:w="293" w:type="pct"/>
            <w:shd w:val="clear" w:color="auto" w:fill="auto"/>
            <w:noWrap/>
            <w:vAlign w:val="center"/>
            <w:hideMark/>
          </w:tcPr>
          <w:p w14:paraId="2648DA5C"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w:t>
            </w:r>
          </w:p>
        </w:tc>
        <w:tc>
          <w:tcPr>
            <w:tcW w:w="960" w:type="pct"/>
            <w:gridSpan w:val="2"/>
            <w:shd w:val="clear" w:color="auto" w:fill="auto"/>
            <w:noWrap/>
            <w:vAlign w:val="center"/>
            <w:hideMark/>
          </w:tcPr>
          <w:p w14:paraId="53EDBDE2"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Prueba</w:t>
            </w:r>
          </w:p>
          <w:p w14:paraId="629A655C"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Resultado de terapéutica</w:t>
            </w:r>
          </w:p>
        </w:tc>
        <w:tc>
          <w:tcPr>
            <w:tcW w:w="714" w:type="pct"/>
            <w:shd w:val="clear" w:color="auto" w:fill="auto"/>
            <w:noWrap/>
            <w:vAlign w:val="center"/>
            <w:hideMark/>
          </w:tcPr>
          <w:p w14:paraId="582F6797"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w:t>
            </w:r>
          </w:p>
        </w:tc>
      </w:tr>
      <w:tr w:rsidR="0095207C" w:rsidRPr="0095207C" w14:paraId="6A67663D" w14:textId="77777777" w:rsidTr="007E0C8A">
        <w:trPr>
          <w:trHeight w:val="344"/>
          <w:jc w:val="center"/>
        </w:trPr>
        <w:tc>
          <w:tcPr>
            <w:tcW w:w="1297" w:type="pct"/>
            <w:vMerge/>
            <w:shd w:val="clear" w:color="auto" w:fill="auto"/>
            <w:vAlign w:val="center"/>
            <w:hideMark/>
          </w:tcPr>
          <w:p w14:paraId="5426E445" w14:textId="77777777" w:rsidR="0095207C" w:rsidRPr="0095207C" w:rsidRDefault="0095207C" w:rsidP="0095207C">
            <w:pPr>
              <w:spacing w:line="360" w:lineRule="auto"/>
              <w:jc w:val="center"/>
              <w:rPr>
                <w:b/>
                <w:bCs/>
                <w:color w:val="000000"/>
                <w:sz w:val="18"/>
                <w:szCs w:val="18"/>
                <w:lang w:val="es-ES" w:eastAsia="es-ES"/>
              </w:rPr>
            </w:pPr>
          </w:p>
        </w:tc>
        <w:tc>
          <w:tcPr>
            <w:tcW w:w="411" w:type="pct"/>
            <w:vMerge/>
            <w:shd w:val="clear" w:color="auto" w:fill="auto"/>
            <w:noWrap/>
            <w:vAlign w:val="center"/>
            <w:hideMark/>
          </w:tcPr>
          <w:p w14:paraId="73100D38" w14:textId="77777777" w:rsidR="0095207C" w:rsidRPr="0095207C" w:rsidRDefault="0095207C" w:rsidP="0095207C">
            <w:pPr>
              <w:spacing w:line="360" w:lineRule="auto"/>
              <w:jc w:val="center"/>
              <w:rPr>
                <w:b/>
                <w:bCs/>
                <w:color w:val="000000"/>
                <w:sz w:val="18"/>
                <w:szCs w:val="18"/>
                <w:lang w:val="es-ES" w:eastAsia="es-ES"/>
              </w:rPr>
            </w:pPr>
          </w:p>
        </w:tc>
        <w:tc>
          <w:tcPr>
            <w:tcW w:w="672" w:type="pct"/>
            <w:shd w:val="clear" w:color="auto" w:fill="auto"/>
            <w:noWrap/>
            <w:vAlign w:val="center"/>
            <w:hideMark/>
          </w:tcPr>
          <w:p w14:paraId="49D81B99"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Exitosa</w:t>
            </w:r>
          </w:p>
        </w:tc>
        <w:tc>
          <w:tcPr>
            <w:tcW w:w="652" w:type="pct"/>
            <w:shd w:val="clear" w:color="auto" w:fill="auto"/>
            <w:noWrap/>
            <w:vAlign w:val="center"/>
            <w:hideMark/>
          </w:tcPr>
          <w:p w14:paraId="02A798F9"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Fallida</w:t>
            </w:r>
          </w:p>
        </w:tc>
        <w:tc>
          <w:tcPr>
            <w:tcW w:w="293" w:type="pct"/>
            <w:shd w:val="clear" w:color="auto" w:fill="auto"/>
            <w:noWrap/>
            <w:vAlign w:val="center"/>
            <w:hideMark/>
          </w:tcPr>
          <w:p w14:paraId="72A43A82"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w:t>
            </w:r>
          </w:p>
        </w:tc>
        <w:tc>
          <w:tcPr>
            <w:tcW w:w="526" w:type="pct"/>
            <w:shd w:val="clear" w:color="auto" w:fill="auto"/>
            <w:noWrap/>
            <w:vAlign w:val="center"/>
            <w:hideMark/>
          </w:tcPr>
          <w:p w14:paraId="216573F5"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Exitosa</w:t>
            </w:r>
          </w:p>
        </w:tc>
        <w:tc>
          <w:tcPr>
            <w:tcW w:w="433" w:type="pct"/>
            <w:shd w:val="clear" w:color="auto" w:fill="auto"/>
            <w:noWrap/>
            <w:vAlign w:val="center"/>
            <w:hideMark/>
          </w:tcPr>
          <w:p w14:paraId="4C1E499B"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Fallida</w:t>
            </w:r>
          </w:p>
        </w:tc>
        <w:tc>
          <w:tcPr>
            <w:tcW w:w="714" w:type="pct"/>
            <w:shd w:val="clear" w:color="auto" w:fill="auto"/>
            <w:noWrap/>
            <w:vAlign w:val="center"/>
            <w:hideMark/>
          </w:tcPr>
          <w:p w14:paraId="40FAA3B6" w14:textId="77777777" w:rsidR="0095207C" w:rsidRPr="0095207C" w:rsidRDefault="0095207C" w:rsidP="0095207C">
            <w:pPr>
              <w:spacing w:line="360" w:lineRule="auto"/>
              <w:jc w:val="center"/>
              <w:rPr>
                <w:b/>
                <w:bCs/>
                <w:color w:val="000000"/>
                <w:sz w:val="18"/>
                <w:szCs w:val="18"/>
                <w:lang w:val="es-ES" w:eastAsia="es-ES"/>
              </w:rPr>
            </w:pPr>
            <w:r w:rsidRPr="0095207C">
              <w:rPr>
                <w:b/>
                <w:bCs/>
                <w:color w:val="000000"/>
                <w:sz w:val="18"/>
                <w:szCs w:val="18"/>
                <w:lang w:val="es-ES" w:eastAsia="es-ES"/>
              </w:rPr>
              <w:t>%</w:t>
            </w:r>
          </w:p>
        </w:tc>
      </w:tr>
      <w:tr w:rsidR="0095207C" w:rsidRPr="0095207C" w14:paraId="19440AA9" w14:textId="77777777" w:rsidTr="007E0C8A">
        <w:trPr>
          <w:trHeight w:val="315"/>
          <w:jc w:val="center"/>
        </w:trPr>
        <w:tc>
          <w:tcPr>
            <w:tcW w:w="1297" w:type="pct"/>
            <w:vMerge w:val="restart"/>
            <w:shd w:val="clear" w:color="auto" w:fill="auto"/>
            <w:noWrap/>
            <w:vAlign w:val="center"/>
            <w:hideMark/>
          </w:tcPr>
          <w:p w14:paraId="1BCA2C4C" w14:textId="77777777" w:rsidR="0095207C" w:rsidRPr="0095207C" w:rsidRDefault="0095207C" w:rsidP="0095207C">
            <w:pPr>
              <w:spacing w:line="360" w:lineRule="auto"/>
              <w:rPr>
                <w:color w:val="000000"/>
                <w:sz w:val="18"/>
                <w:szCs w:val="18"/>
                <w:lang w:val="es-ES" w:eastAsia="es-ES"/>
              </w:rPr>
            </w:pPr>
            <w:r w:rsidRPr="0095207C">
              <w:rPr>
                <w:color w:val="000000"/>
                <w:sz w:val="18"/>
                <w:szCs w:val="18"/>
                <w:lang w:val="es-ES" w:eastAsia="es-ES"/>
              </w:rPr>
              <w:t>Resultado de la terapéutica</w:t>
            </w:r>
          </w:p>
        </w:tc>
        <w:tc>
          <w:tcPr>
            <w:tcW w:w="411" w:type="pct"/>
            <w:shd w:val="clear" w:color="auto" w:fill="auto"/>
            <w:noWrap/>
            <w:vAlign w:val="center"/>
            <w:hideMark/>
          </w:tcPr>
          <w:p w14:paraId="361215EF"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Exitosa</w:t>
            </w:r>
          </w:p>
        </w:tc>
        <w:tc>
          <w:tcPr>
            <w:tcW w:w="672" w:type="pct"/>
            <w:shd w:val="clear" w:color="auto" w:fill="auto"/>
            <w:noWrap/>
            <w:vAlign w:val="center"/>
            <w:hideMark/>
          </w:tcPr>
          <w:p w14:paraId="6EE03FBF"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55</w:t>
            </w:r>
          </w:p>
        </w:tc>
        <w:tc>
          <w:tcPr>
            <w:tcW w:w="652" w:type="pct"/>
            <w:shd w:val="clear" w:color="auto" w:fill="auto"/>
            <w:noWrap/>
            <w:vAlign w:val="center"/>
            <w:hideMark/>
          </w:tcPr>
          <w:p w14:paraId="2BFA7EFE"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11</w:t>
            </w:r>
          </w:p>
        </w:tc>
        <w:tc>
          <w:tcPr>
            <w:tcW w:w="293" w:type="pct"/>
            <w:shd w:val="clear" w:color="auto" w:fill="auto"/>
            <w:noWrap/>
            <w:vAlign w:val="center"/>
            <w:hideMark/>
          </w:tcPr>
          <w:p w14:paraId="43E6B2CF"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83,3</w:t>
            </w:r>
          </w:p>
        </w:tc>
        <w:tc>
          <w:tcPr>
            <w:tcW w:w="526" w:type="pct"/>
            <w:shd w:val="clear" w:color="auto" w:fill="auto"/>
            <w:noWrap/>
            <w:vAlign w:val="center"/>
            <w:hideMark/>
          </w:tcPr>
          <w:p w14:paraId="0466958E"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41</w:t>
            </w:r>
          </w:p>
        </w:tc>
        <w:tc>
          <w:tcPr>
            <w:tcW w:w="433" w:type="pct"/>
            <w:shd w:val="clear" w:color="auto" w:fill="auto"/>
            <w:noWrap/>
            <w:vAlign w:val="center"/>
            <w:hideMark/>
          </w:tcPr>
          <w:p w14:paraId="6E8420B4"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3</w:t>
            </w:r>
          </w:p>
        </w:tc>
        <w:tc>
          <w:tcPr>
            <w:tcW w:w="714" w:type="pct"/>
            <w:shd w:val="clear" w:color="auto" w:fill="auto"/>
            <w:noWrap/>
            <w:vAlign w:val="center"/>
            <w:hideMark/>
          </w:tcPr>
          <w:p w14:paraId="5DE79B77"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73,21</w:t>
            </w:r>
          </w:p>
        </w:tc>
      </w:tr>
      <w:tr w:rsidR="0095207C" w:rsidRPr="0095207C" w14:paraId="5A922D80" w14:textId="77777777" w:rsidTr="007E0C8A">
        <w:trPr>
          <w:trHeight w:val="315"/>
          <w:jc w:val="center"/>
        </w:trPr>
        <w:tc>
          <w:tcPr>
            <w:tcW w:w="1297" w:type="pct"/>
            <w:vMerge/>
            <w:shd w:val="clear" w:color="auto" w:fill="auto"/>
            <w:vAlign w:val="center"/>
            <w:hideMark/>
          </w:tcPr>
          <w:p w14:paraId="6259B47B" w14:textId="77777777" w:rsidR="0095207C" w:rsidRPr="0095207C" w:rsidRDefault="0095207C" w:rsidP="0095207C">
            <w:pPr>
              <w:spacing w:line="360" w:lineRule="auto"/>
              <w:rPr>
                <w:color w:val="000000"/>
                <w:sz w:val="18"/>
                <w:szCs w:val="18"/>
                <w:lang w:val="es-ES" w:eastAsia="es-ES"/>
              </w:rPr>
            </w:pPr>
          </w:p>
        </w:tc>
        <w:tc>
          <w:tcPr>
            <w:tcW w:w="411" w:type="pct"/>
            <w:shd w:val="clear" w:color="auto" w:fill="auto"/>
            <w:noWrap/>
            <w:vAlign w:val="center"/>
            <w:hideMark/>
          </w:tcPr>
          <w:p w14:paraId="266DD0A4"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Fallida</w:t>
            </w:r>
          </w:p>
        </w:tc>
        <w:tc>
          <w:tcPr>
            <w:tcW w:w="672" w:type="pct"/>
            <w:shd w:val="clear" w:color="auto" w:fill="auto"/>
            <w:noWrap/>
            <w:vAlign w:val="center"/>
            <w:hideMark/>
          </w:tcPr>
          <w:p w14:paraId="5DE9E404"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11</w:t>
            </w:r>
          </w:p>
        </w:tc>
        <w:tc>
          <w:tcPr>
            <w:tcW w:w="652" w:type="pct"/>
            <w:shd w:val="clear" w:color="auto" w:fill="auto"/>
            <w:noWrap/>
            <w:vAlign w:val="center"/>
            <w:hideMark/>
          </w:tcPr>
          <w:p w14:paraId="70DD4F62"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22</w:t>
            </w:r>
          </w:p>
        </w:tc>
        <w:tc>
          <w:tcPr>
            <w:tcW w:w="293" w:type="pct"/>
            <w:shd w:val="clear" w:color="auto" w:fill="auto"/>
            <w:noWrap/>
            <w:vAlign w:val="center"/>
            <w:hideMark/>
          </w:tcPr>
          <w:p w14:paraId="753B4BF3"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66,7</w:t>
            </w:r>
          </w:p>
        </w:tc>
        <w:tc>
          <w:tcPr>
            <w:tcW w:w="526" w:type="pct"/>
            <w:shd w:val="clear" w:color="auto" w:fill="auto"/>
            <w:noWrap/>
            <w:vAlign w:val="center"/>
            <w:hideMark/>
          </w:tcPr>
          <w:p w14:paraId="7EDD9219"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15</w:t>
            </w:r>
          </w:p>
        </w:tc>
        <w:tc>
          <w:tcPr>
            <w:tcW w:w="433" w:type="pct"/>
            <w:shd w:val="clear" w:color="auto" w:fill="auto"/>
            <w:noWrap/>
            <w:vAlign w:val="center"/>
            <w:hideMark/>
          </w:tcPr>
          <w:p w14:paraId="153ACDC8"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11</w:t>
            </w:r>
          </w:p>
        </w:tc>
        <w:tc>
          <w:tcPr>
            <w:tcW w:w="714" w:type="pct"/>
            <w:shd w:val="clear" w:color="auto" w:fill="auto"/>
            <w:noWrap/>
            <w:vAlign w:val="center"/>
            <w:hideMark/>
          </w:tcPr>
          <w:p w14:paraId="0BF53F83"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78,57</w:t>
            </w:r>
          </w:p>
        </w:tc>
      </w:tr>
      <w:tr w:rsidR="0095207C" w:rsidRPr="0095207C" w14:paraId="37392DF2" w14:textId="77777777" w:rsidTr="007E0C8A">
        <w:trPr>
          <w:trHeight w:val="315"/>
          <w:jc w:val="center"/>
        </w:trPr>
        <w:tc>
          <w:tcPr>
            <w:tcW w:w="1297" w:type="pct"/>
            <w:shd w:val="clear" w:color="auto" w:fill="auto"/>
            <w:noWrap/>
            <w:vAlign w:val="center"/>
            <w:hideMark/>
          </w:tcPr>
          <w:p w14:paraId="34E86815" w14:textId="77777777" w:rsidR="0095207C" w:rsidRPr="0095207C" w:rsidRDefault="0095207C" w:rsidP="0095207C">
            <w:pPr>
              <w:spacing w:line="360" w:lineRule="auto"/>
              <w:rPr>
                <w:color w:val="000000"/>
                <w:sz w:val="18"/>
                <w:szCs w:val="18"/>
                <w:lang w:val="es-ES" w:eastAsia="es-ES"/>
              </w:rPr>
            </w:pPr>
            <w:r w:rsidRPr="0095207C">
              <w:rPr>
                <w:color w:val="000000"/>
                <w:sz w:val="18"/>
                <w:szCs w:val="18"/>
                <w:lang w:val="es-ES" w:eastAsia="es-ES"/>
              </w:rPr>
              <w:t>Porcentaje global</w:t>
            </w:r>
          </w:p>
        </w:tc>
        <w:tc>
          <w:tcPr>
            <w:tcW w:w="411" w:type="pct"/>
            <w:shd w:val="clear" w:color="auto" w:fill="auto"/>
            <w:noWrap/>
            <w:vAlign w:val="center"/>
            <w:hideMark/>
          </w:tcPr>
          <w:p w14:paraId="52EDCCA3"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w:t>
            </w:r>
          </w:p>
        </w:tc>
        <w:tc>
          <w:tcPr>
            <w:tcW w:w="672" w:type="pct"/>
            <w:shd w:val="clear" w:color="auto" w:fill="auto"/>
            <w:noWrap/>
            <w:vAlign w:val="center"/>
            <w:hideMark/>
          </w:tcPr>
          <w:p w14:paraId="07D06F59"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w:t>
            </w:r>
          </w:p>
        </w:tc>
        <w:tc>
          <w:tcPr>
            <w:tcW w:w="652" w:type="pct"/>
            <w:shd w:val="clear" w:color="auto" w:fill="auto"/>
            <w:noWrap/>
            <w:vAlign w:val="center"/>
            <w:hideMark/>
          </w:tcPr>
          <w:p w14:paraId="624C4C8C"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w:t>
            </w:r>
          </w:p>
        </w:tc>
        <w:tc>
          <w:tcPr>
            <w:tcW w:w="293" w:type="pct"/>
            <w:shd w:val="clear" w:color="auto" w:fill="auto"/>
            <w:noWrap/>
            <w:vAlign w:val="center"/>
            <w:hideMark/>
          </w:tcPr>
          <w:p w14:paraId="24217EF0"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77,8</w:t>
            </w:r>
          </w:p>
        </w:tc>
        <w:tc>
          <w:tcPr>
            <w:tcW w:w="526" w:type="pct"/>
            <w:shd w:val="clear" w:color="auto" w:fill="auto"/>
            <w:noWrap/>
            <w:vAlign w:val="center"/>
            <w:hideMark/>
          </w:tcPr>
          <w:p w14:paraId="340F7C21"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w:t>
            </w:r>
          </w:p>
        </w:tc>
        <w:tc>
          <w:tcPr>
            <w:tcW w:w="433" w:type="pct"/>
            <w:shd w:val="clear" w:color="auto" w:fill="auto"/>
            <w:noWrap/>
            <w:vAlign w:val="center"/>
            <w:hideMark/>
          </w:tcPr>
          <w:p w14:paraId="5119C7A4"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w:t>
            </w:r>
          </w:p>
        </w:tc>
        <w:tc>
          <w:tcPr>
            <w:tcW w:w="714" w:type="pct"/>
            <w:shd w:val="clear" w:color="auto" w:fill="auto"/>
            <w:noWrap/>
            <w:vAlign w:val="center"/>
            <w:hideMark/>
          </w:tcPr>
          <w:p w14:paraId="650CCD9F"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74,3</w:t>
            </w:r>
          </w:p>
        </w:tc>
      </w:tr>
      <w:tr w:rsidR="0095207C" w:rsidRPr="0095207C" w14:paraId="4E573A96" w14:textId="77777777" w:rsidTr="007E0C8A">
        <w:trPr>
          <w:trHeight w:val="315"/>
          <w:jc w:val="center"/>
        </w:trPr>
        <w:tc>
          <w:tcPr>
            <w:tcW w:w="1297" w:type="pct"/>
            <w:shd w:val="clear" w:color="auto" w:fill="auto"/>
            <w:vAlign w:val="center"/>
            <w:hideMark/>
          </w:tcPr>
          <w:p w14:paraId="27A466F2" w14:textId="77777777" w:rsidR="0095207C" w:rsidRPr="0095207C" w:rsidRDefault="0095207C" w:rsidP="0095207C">
            <w:pPr>
              <w:spacing w:line="360" w:lineRule="auto"/>
              <w:rPr>
                <w:color w:val="000000"/>
                <w:sz w:val="18"/>
                <w:szCs w:val="18"/>
                <w:lang w:val="es-ES" w:eastAsia="es-ES"/>
              </w:rPr>
            </w:pPr>
            <w:r w:rsidRPr="0095207C">
              <w:rPr>
                <w:color w:val="000000"/>
                <w:sz w:val="18"/>
                <w:szCs w:val="18"/>
                <w:lang w:val="es-ES" w:eastAsia="es-ES"/>
              </w:rPr>
              <w:t>Prueba de Hosmer y Lemeshow</w:t>
            </w:r>
          </w:p>
        </w:tc>
        <w:tc>
          <w:tcPr>
            <w:tcW w:w="2029" w:type="pct"/>
            <w:gridSpan w:val="4"/>
            <w:shd w:val="clear" w:color="auto" w:fill="auto"/>
            <w:noWrap/>
            <w:vAlign w:val="center"/>
            <w:hideMark/>
          </w:tcPr>
          <w:p w14:paraId="690E1712"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p= 0,517</w:t>
            </w:r>
          </w:p>
        </w:tc>
        <w:tc>
          <w:tcPr>
            <w:tcW w:w="1673" w:type="pct"/>
            <w:gridSpan w:val="3"/>
            <w:shd w:val="clear" w:color="auto" w:fill="auto"/>
            <w:noWrap/>
            <w:vAlign w:val="center"/>
            <w:hideMark/>
          </w:tcPr>
          <w:p w14:paraId="5C98007A" w14:textId="77777777" w:rsidR="0095207C" w:rsidRPr="0095207C" w:rsidRDefault="0095207C" w:rsidP="0095207C">
            <w:pPr>
              <w:spacing w:line="360" w:lineRule="auto"/>
              <w:jc w:val="center"/>
              <w:rPr>
                <w:color w:val="000000"/>
                <w:sz w:val="18"/>
                <w:szCs w:val="18"/>
                <w:lang w:val="es-ES" w:eastAsia="es-ES"/>
              </w:rPr>
            </w:pPr>
            <w:r w:rsidRPr="0095207C">
              <w:rPr>
                <w:color w:val="000000"/>
                <w:sz w:val="18"/>
                <w:szCs w:val="18"/>
                <w:lang w:val="es-ES" w:eastAsia="es-ES"/>
              </w:rPr>
              <w:t>p= 0,995</w:t>
            </w:r>
          </w:p>
        </w:tc>
      </w:tr>
    </w:tbl>
    <w:p w14:paraId="036F6669" w14:textId="77777777" w:rsidR="0095207C" w:rsidRPr="0095207C" w:rsidRDefault="0095207C" w:rsidP="0095207C">
      <w:pPr>
        <w:spacing w:line="360" w:lineRule="auto"/>
        <w:jc w:val="both"/>
        <w:rPr>
          <w:lang w:val="es-MX" w:eastAsia="es-ES"/>
        </w:rPr>
      </w:pPr>
    </w:p>
    <w:p w14:paraId="63B87C6B" w14:textId="77777777" w:rsidR="0095207C" w:rsidRPr="0095207C" w:rsidRDefault="0095207C" w:rsidP="0095207C">
      <w:pPr>
        <w:spacing w:line="360" w:lineRule="auto"/>
        <w:jc w:val="center"/>
        <w:rPr>
          <w:b/>
          <w:sz w:val="32"/>
          <w:szCs w:val="32"/>
          <w:lang w:val="es-MX" w:eastAsia="es-ES"/>
        </w:rPr>
      </w:pPr>
    </w:p>
    <w:p w14:paraId="378A1081" w14:textId="77777777" w:rsidR="0095207C" w:rsidRPr="0095207C" w:rsidRDefault="0095207C" w:rsidP="0095207C">
      <w:pPr>
        <w:spacing w:line="360" w:lineRule="auto"/>
        <w:jc w:val="center"/>
        <w:rPr>
          <w:b/>
          <w:sz w:val="32"/>
          <w:szCs w:val="32"/>
          <w:lang w:val="es-MX" w:eastAsia="es-ES"/>
        </w:rPr>
      </w:pPr>
      <w:r w:rsidRPr="0095207C">
        <w:rPr>
          <w:b/>
          <w:sz w:val="32"/>
          <w:szCs w:val="32"/>
          <w:lang w:val="es-MX" w:eastAsia="es-ES"/>
        </w:rPr>
        <w:t>DISCUSIÓN</w:t>
      </w:r>
    </w:p>
    <w:p w14:paraId="46A7F377" w14:textId="67D71496" w:rsidR="0095207C" w:rsidRPr="0095207C" w:rsidRDefault="0095207C" w:rsidP="0095207C">
      <w:pPr>
        <w:suppressAutoHyphens/>
        <w:spacing w:line="360" w:lineRule="auto"/>
        <w:jc w:val="both"/>
        <w:rPr>
          <w:szCs w:val="32"/>
          <w:lang w:val="es-ES" w:eastAsia="es-ES"/>
        </w:rPr>
      </w:pPr>
      <w:r w:rsidRPr="0095207C">
        <w:rPr>
          <w:rFonts w:eastAsia="Calibri"/>
          <w:color w:val="000000"/>
          <w:lang w:val="es-ES" w:eastAsia="zh-CN"/>
        </w:rPr>
        <w:t>La bibliografía consultada explica  diferentes factores relacionados con el éxito o fracaso de la terapia eléctrica en la fibrilación auricular, entre los cuales se señalan: edad, índice de masa corporal, tipo de onda de choque, energía útil aplicada, enfermedad cardiovascular asociada, uso de fármacos antiarrítmicos, tamaño auricular, fracción de eyección del ventrículo izquierdo y diámetro telediastólico del ventrículo izquierdo</w:t>
      </w:r>
      <w:r w:rsidRPr="0095207C">
        <w:rPr>
          <w:rFonts w:eastAsia="Calibri"/>
          <w:lang w:val="es-ES" w:eastAsia="zh-CN"/>
        </w:rPr>
        <w:t>.</w:t>
      </w:r>
      <w:r w:rsidRPr="0095207C">
        <w:rPr>
          <w:rFonts w:eastAsia="Calibri"/>
          <w:vertAlign w:val="superscript"/>
          <w:lang w:val="es-ES" w:eastAsia="zh-CN"/>
        </w:rPr>
        <w:t>(10)</w:t>
      </w:r>
      <w:r w:rsidRPr="0095207C">
        <w:rPr>
          <w:rFonts w:eastAsia="Calibri"/>
          <w:lang w:val="es-ES" w:eastAsia="zh-CN"/>
        </w:rPr>
        <w:t xml:space="preserve"> </w:t>
      </w:r>
      <w:r w:rsidRPr="0095207C">
        <w:rPr>
          <w:rFonts w:eastAsia="Calibri"/>
          <w:i/>
          <w:iCs/>
          <w:lang w:val="es-ES" w:eastAsia="zh-CN"/>
        </w:rPr>
        <w:t xml:space="preserve">Hernández  </w:t>
      </w:r>
      <w:r w:rsidRPr="0095207C">
        <w:rPr>
          <w:rFonts w:eastAsia="Calibri"/>
          <w:iCs/>
          <w:lang w:val="es-ES" w:eastAsia="zh-CN"/>
        </w:rPr>
        <w:t>y otros,</w:t>
      </w:r>
      <w:r w:rsidRPr="0095207C">
        <w:rPr>
          <w:rFonts w:eastAsia="Calibri"/>
          <w:vertAlign w:val="superscript"/>
          <w:lang w:val="es-ES" w:eastAsia="zh-CN"/>
        </w:rPr>
        <w:t>(4)</w:t>
      </w:r>
      <w:r w:rsidRPr="0095207C">
        <w:rPr>
          <w:rFonts w:eastAsia="Calibri"/>
          <w:lang w:val="es-ES" w:eastAsia="zh-CN"/>
        </w:rPr>
        <w:t xml:space="preserve"> al igual que  </w:t>
      </w:r>
      <w:r w:rsidRPr="0095207C">
        <w:rPr>
          <w:rFonts w:eastAsia="Calibri"/>
          <w:i/>
          <w:lang w:val="es-ES" w:eastAsia="zh-CN"/>
        </w:rPr>
        <w:t>Ayaviri</w:t>
      </w:r>
      <w:r w:rsidRPr="0095207C">
        <w:rPr>
          <w:rFonts w:eastAsia="Calibri"/>
          <w:lang w:val="es-ES" w:eastAsia="zh-CN"/>
        </w:rPr>
        <w:t xml:space="preserve"> </w:t>
      </w:r>
      <w:r w:rsidRPr="0095207C">
        <w:rPr>
          <w:rFonts w:eastAsia="Calibri"/>
          <w:iCs/>
          <w:lang w:val="es-ES" w:eastAsia="zh-CN"/>
        </w:rPr>
        <w:t>y otros</w:t>
      </w:r>
      <w:r w:rsidRPr="0095207C">
        <w:rPr>
          <w:rFonts w:eastAsia="Calibri"/>
          <w:vertAlign w:val="superscript"/>
          <w:lang w:val="es-ES" w:eastAsia="zh-CN"/>
        </w:rPr>
        <w:t>(11)</w:t>
      </w:r>
      <w:r w:rsidRPr="0095207C">
        <w:rPr>
          <w:rFonts w:eastAsia="Calibri"/>
          <w:lang w:val="es-ES" w:eastAsia="zh-CN"/>
        </w:rPr>
        <w:t xml:space="preserve"> afirman  que el éxito de la cardioversión eléctrica depende de las características propias de cada paciente. </w:t>
      </w:r>
      <w:r w:rsidRPr="0095207C">
        <w:rPr>
          <w:szCs w:val="32"/>
          <w:lang w:val="es-MX" w:eastAsia="es-ES"/>
        </w:rPr>
        <w:t>En una investigación sobre recurrencia de fibrilación auricular en pacientes posablación;</w:t>
      </w:r>
      <w:r w:rsidRPr="0095207C">
        <w:rPr>
          <w:rFonts w:eastAsia="Calibri"/>
          <w:szCs w:val="22"/>
          <w:lang w:val="es-ES" w:eastAsia="zh-CN"/>
        </w:rPr>
        <w:t xml:space="preserve"> </w:t>
      </w:r>
      <w:r w:rsidRPr="0095207C">
        <w:rPr>
          <w:i/>
          <w:szCs w:val="32"/>
          <w:lang w:val="es-MX" w:eastAsia="es-ES"/>
        </w:rPr>
        <w:t xml:space="preserve">Vázquez </w:t>
      </w:r>
      <w:r w:rsidRPr="0095207C">
        <w:rPr>
          <w:iCs/>
          <w:szCs w:val="32"/>
          <w:lang w:val="es-MX" w:eastAsia="es-ES"/>
        </w:rPr>
        <w:t xml:space="preserve">y </w:t>
      </w:r>
      <w:proofErr w:type="gramStart"/>
      <w:r w:rsidRPr="0095207C">
        <w:rPr>
          <w:iCs/>
          <w:szCs w:val="32"/>
          <w:lang w:val="es-MX" w:eastAsia="es-ES"/>
        </w:rPr>
        <w:t>otros</w:t>
      </w:r>
      <w:r w:rsidRPr="0095207C">
        <w:rPr>
          <w:szCs w:val="32"/>
          <w:vertAlign w:val="superscript"/>
          <w:lang w:val="es-MX" w:eastAsia="es-ES"/>
        </w:rPr>
        <w:t>(</w:t>
      </w:r>
      <w:proofErr w:type="gramEnd"/>
      <w:r w:rsidRPr="0095207C">
        <w:rPr>
          <w:szCs w:val="32"/>
          <w:vertAlign w:val="superscript"/>
          <w:lang w:val="es-MX" w:eastAsia="es-ES"/>
        </w:rPr>
        <w:t xml:space="preserve">12) </w:t>
      </w:r>
      <w:r w:rsidRPr="0095207C">
        <w:rPr>
          <w:szCs w:val="32"/>
          <w:lang w:val="es-MX" w:eastAsia="es-ES"/>
        </w:rPr>
        <w:t xml:space="preserve">evidencian como posibles predictores de permanencia de la arritmia cardiaca, al volumen auricular izquierdo. Por otro lado, </w:t>
      </w:r>
      <w:r w:rsidRPr="0095207C">
        <w:rPr>
          <w:i/>
          <w:szCs w:val="32"/>
          <w:lang w:val="es-ES" w:eastAsia="es-ES"/>
        </w:rPr>
        <w:t xml:space="preserve">Cruz </w:t>
      </w:r>
      <w:r w:rsidRPr="0095207C">
        <w:rPr>
          <w:iCs/>
          <w:szCs w:val="32"/>
          <w:lang w:val="es-ES" w:eastAsia="es-ES"/>
        </w:rPr>
        <w:t xml:space="preserve">y </w:t>
      </w:r>
      <w:proofErr w:type="gramStart"/>
      <w:r w:rsidRPr="0095207C">
        <w:rPr>
          <w:iCs/>
          <w:szCs w:val="32"/>
          <w:lang w:val="es-ES" w:eastAsia="es-ES"/>
        </w:rPr>
        <w:t>otros</w:t>
      </w:r>
      <w:r w:rsidRPr="0095207C">
        <w:rPr>
          <w:szCs w:val="32"/>
          <w:vertAlign w:val="superscript"/>
          <w:lang w:val="es-ES" w:eastAsia="es-ES"/>
        </w:rPr>
        <w:t>(</w:t>
      </w:r>
      <w:proofErr w:type="gramEnd"/>
      <w:r w:rsidRPr="0095207C">
        <w:rPr>
          <w:szCs w:val="32"/>
          <w:vertAlign w:val="superscript"/>
          <w:lang w:val="es-ES" w:eastAsia="es-ES"/>
        </w:rPr>
        <w:t>13)</w:t>
      </w:r>
      <w:r w:rsidRPr="0095207C">
        <w:rPr>
          <w:szCs w:val="32"/>
          <w:lang w:val="es-ES" w:eastAsia="es-ES"/>
        </w:rPr>
        <w:t xml:space="preserve"> informan que los diámetros y la PAI son determinantes en el fallo de la cardioversión eléctrica; además, reportan a la función sistólica del ventrículo izquierdo como predictor de éxito en la terapia eléctrica. Lo anterior presenta ciertas similitudes con la actual investigación.</w:t>
      </w:r>
    </w:p>
    <w:p w14:paraId="3433E476" w14:textId="78CF4413" w:rsidR="0095207C" w:rsidRPr="0095207C" w:rsidRDefault="0095207C" w:rsidP="0095207C">
      <w:pPr>
        <w:spacing w:line="360" w:lineRule="auto"/>
        <w:jc w:val="both"/>
        <w:rPr>
          <w:lang w:val="es-ES" w:eastAsia="x-none" w:bidi="x-none"/>
        </w:rPr>
      </w:pPr>
      <w:bookmarkStart w:id="12" w:name="_Hlk118964969"/>
      <w:r w:rsidRPr="0095207C">
        <w:rPr>
          <w:i/>
          <w:lang w:val="es-ES" w:eastAsia="x-none" w:bidi="x-none"/>
        </w:rPr>
        <w:t xml:space="preserve">Miao </w:t>
      </w:r>
      <w:r w:rsidRPr="0095207C">
        <w:rPr>
          <w:iCs/>
          <w:lang w:val="es-ES" w:eastAsia="x-none" w:bidi="x-none"/>
        </w:rPr>
        <w:t xml:space="preserve">y </w:t>
      </w:r>
      <w:proofErr w:type="gramStart"/>
      <w:r w:rsidRPr="0095207C">
        <w:rPr>
          <w:iCs/>
          <w:lang w:val="es-ES" w:eastAsia="x-none" w:bidi="x-none"/>
        </w:rPr>
        <w:t>otros,</w:t>
      </w:r>
      <w:r w:rsidRPr="0095207C">
        <w:rPr>
          <w:vertAlign w:val="superscript"/>
          <w:lang w:val="es-ES" w:eastAsia="x-none" w:bidi="x-none"/>
        </w:rPr>
        <w:t>(</w:t>
      </w:r>
      <w:proofErr w:type="gramEnd"/>
      <w:r w:rsidRPr="0095207C">
        <w:rPr>
          <w:vertAlign w:val="superscript"/>
          <w:lang w:val="es-ES" w:eastAsia="x-none" w:bidi="x-none"/>
        </w:rPr>
        <w:t>14)</w:t>
      </w:r>
      <w:r w:rsidRPr="0095207C">
        <w:rPr>
          <w:lang w:val="es-ES" w:eastAsia="x-none" w:bidi="x-none"/>
        </w:rPr>
        <w:t xml:space="preserve"> en un análisis multivariado, muestran como predictores de recurrencia a la FEVI≤ 40 %, edad mayor de 65 años y el volumen de auricular izquierdo elevado. </w:t>
      </w:r>
      <w:r w:rsidRPr="0095207C">
        <w:rPr>
          <w:i/>
          <w:lang w:val="es-ES" w:eastAsia="x-none" w:bidi="x-none"/>
        </w:rPr>
        <w:t xml:space="preserve">Hernández </w:t>
      </w:r>
      <w:r w:rsidRPr="0095207C">
        <w:rPr>
          <w:iCs/>
          <w:lang w:val="es-ES" w:eastAsia="x-none" w:bidi="x-none"/>
        </w:rPr>
        <w:t xml:space="preserve">y </w:t>
      </w:r>
      <w:proofErr w:type="gramStart"/>
      <w:r w:rsidRPr="0095207C">
        <w:rPr>
          <w:iCs/>
          <w:lang w:val="es-ES" w:eastAsia="x-none" w:bidi="x-none"/>
        </w:rPr>
        <w:t>otros</w:t>
      </w:r>
      <w:r w:rsidRPr="0095207C">
        <w:rPr>
          <w:vertAlign w:val="superscript"/>
          <w:lang w:val="es-ES" w:eastAsia="x-none" w:bidi="x-none"/>
        </w:rPr>
        <w:t>(</w:t>
      </w:r>
      <w:proofErr w:type="gramEnd"/>
      <w:r w:rsidRPr="0095207C">
        <w:rPr>
          <w:vertAlign w:val="superscript"/>
          <w:lang w:val="es-ES" w:eastAsia="x-none" w:bidi="x-none"/>
        </w:rPr>
        <w:t>4)</w:t>
      </w:r>
      <w:r w:rsidRPr="0095207C">
        <w:rPr>
          <w:lang w:val="es-ES" w:eastAsia="x-none" w:bidi="x-none"/>
        </w:rPr>
        <w:t xml:space="preserve"> enumeran a la FEVI, antecedentes de daño estructural, diámetros y VAI como elementos del éxito o fracaso del resultado de la terapéutica en pacientes con fibrilación auricular. </w:t>
      </w:r>
      <w:r w:rsidRPr="0095207C">
        <w:rPr>
          <w:i/>
          <w:lang w:val="es-ES" w:eastAsia="x-none" w:bidi="x-none"/>
        </w:rPr>
        <w:t xml:space="preserve">Kranert </w:t>
      </w:r>
      <w:r w:rsidRPr="0095207C">
        <w:rPr>
          <w:iCs/>
          <w:lang w:val="es-ES" w:eastAsia="x-none" w:bidi="x-none"/>
        </w:rPr>
        <w:t xml:space="preserve">y </w:t>
      </w:r>
      <w:proofErr w:type="gramStart"/>
      <w:r w:rsidRPr="0095207C">
        <w:rPr>
          <w:iCs/>
          <w:lang w:val="es-ES" w:eastAsia="x-none" w:bidi="x-none"/>
        </w:rPr>
        <w:t>otros</w:t>
      </w:r>
      <w:r w:rsidRPr="0095207C">
        <w:rPr>
          <w:vertAlign w:val="superscript"/>
          <w:lang w:val="es-ES" w:eastAsia="x-none" w:bidi="x-none"/>
        </w:rPr>
        <w:t>(</w:t>
      </w:r>
      <w:proofErr w:type="gramEnd"/>
      <w:r w:rsidRPr="0095207C">
        <w:rPr>
          <w:vertAlign w:val="superscript"/>
          <w:lang w:val="es-ES" w:eastAsia="x-none" w:bidi="x-none"/>
        </w:rPr>
        <w:t>15)</w:t>
      </w:r>
      <w:r w:rsidRPr="0095207C">
        <w:rPr>
          <w:lang w:val="es-ES" w:eastAsia="x-none" w:bidi="x-none"/>
        </w:rPr>
        <w:t xml:space="preserve"> identifican el VAI como factor predictor independiente del resultado de la cardioversión. Similares datos aportan autores </w:t>
      </w:r>
      <w:r w:rsidRPr="0095207C">
        <w:rPr>
          <w:lang w:val="es-ES" w:eastAsia="x-none" w:bidi="x-none"/>
        </w:rPr>
        <w:lastRenderedPageBreak/>
        <w:t xml:space="preserve">como </w:t>
      </w:r>
      <w:r w:rsidRPr="0095207C">
        <w:rPr>
          <w:i/>
          <w:lang w:val="es-ES" w:eastAsia="x-none" w:bidi="x-none"/>
        </w:rPr>
        <w:t>Lyngbakken</w:t>
      </w:r>
      <w:r w:rsidRPr="0095207C">
        <w:rPr>
          <w:iCs/>
          <w:lang w:val="es-ES" w:eastAsia="x-none" w:bidi="x-none"/>
        </w:rPr>
        <w:t xml:space="preserve"> y </w:t>
      </w:r>
      <w:proofErr w:type="gramStart"/>
      <w:r w:rsidRPr="0095207C">
        <w:rPr>
          <w:iCs/>
          <w:lang w:val="es-ES" w:eastAsia="x-none" w:bidi="x-none"/>
        </w:rPr>
        <w:t>otros</w:t>
      </w:r>
      <w:r w:rsidRPr="0095207C">
        <w:rPr>
          <w:vertAlign w:val="superscript"/>
          <w:lang w:val="es-ES" w:eastAsia="x-none" w:bidi="x-none"/>
        </w:rPr>
        <w:t>(</w:t>
      </w:r>
      <w:proofErr w:type="gramEnd"/>
      <w:r w:rsidRPr="0095207C">
        <w:rPr>
          <w:vertAlign w:val="superscript"/>
          <w:lang w:val="es-ES" w:eastAsia="x-none" w:bidi="x-none"/>
        </w:rPr>
        <w:t>16)</w:t>
      </w:r>
      <w:r w:rsidRPr="0095207C">
        <w:rPr>
          <w:lang w:val="es-ES" w:eastAsia="x-none" w:bidi="x-none"/>
        </w:rPr>
        <w:t xml:space="preserve"> y </w:t>
      </w:r>
      <w:r w:rsidRPr="0095207C">
        <w:rPr>
          <w:i/>
          <w:lang w:val="es-ES" w:eastAsia="x-none" w:bidi="x-none"/>
        </w:rPr>
        <w:t xml:space="preserve">Gawalko </w:t>
      </w:r>
      <w:r w:rsidRPr="0095207C">
        <w:rPr>
          <w:iCs/>
          <w:lang w:val="es-ES" w:eastAsia="x-none" w:bidi="x-none"/>
        </w:rPr>
        <w:t xml:space="preserve">y </w:t>
      </w:r>
      <w:bookmarkStart w:id="13" w:name="_Hlk125362281"/>
      <w:r w:rsidRPr="0095207C">
        <w:rPr>
          <w:iCs/>
          <w:lang w:val="es-ES" w:eastAsia="x-none" w:bidi="x-none"/>
        </w:rPr>
        <w:t>otros;</w:t>
      </w:r>
      <w:r w:rsidRPr="0095207C">
        <w:rPr>
          <w:vertAlign w:val="superscript"/>
          <w:lang w:val="es-ES" w:eastAsia="x-none" w:bidi="x-none"/>
        </w:rPr>
        <w:t>(17)</w:t>
      </w:r>
      <w:r w:rsidRPr="0095207C">
        <w:rPr>
          <w:lang w:val="es-ES" w:eastAsia="x-none" w:bidi="x-none"/>
        </w:rPr>
        <w:t xml:space="preserve"> estos señalan que la persistencia de fibrilación auricular se asocia a alteraciones en el </w:t>
      </w:r>
      <w:bookmarkEnd w:id="13"/>
      <w:r w:rsidRPr="0095207C">
        <w:rPr>
          <w:lang w:val="es-ES" w:eastAsia="x-none" w:bidi="x-none"/>
        </w:rPr>
        <w:t xml:space="preserve">VAI. </w:t>
      </w:r>
    </w:p>
    <w:p w14:paraId="45D0609A" w14:textId="77777777" w:rsidR="0095207C" w:rsidRPr="0095207C" w:rsidRDefault="0095207C" w:rsidP="0095207C">
      <w:pPr>
        <w:spacing w:line="360" w:lineRule="auto"/>
        <w:jc w:val="both"/>
        <w:rPr>
          <w:lang w:val="es-ES" w:eastAsia="x-none" w:bidi="x-none"/>
        </w:rPr>
      </w:pPr>
      <w:r w:rsidRPr="0095207C">
        <w:rPr>
          <w:lang w:val="es-ES" w:eastAsia="x-none" w:bidi="x-none"/>
        </w:rPr>
        <w:t xml:space="preserve">En otros </w:t>
      </w:r>
      <w:proofErr w:type="gramStart"/>
      <w:r w:rsidRPr="0095207C">
        <w:rPr>
          <w:lang w:val="es-ES" w:eastAsia="x-none" w:bidi="x-none"/>
        </w:rPr>
        <w:t>estudios,</w:t>
      </w:r>
      <w:r w:rsidRPr="0095207C">
        <w:rPr>
          <w:vertAlign w:val="superscript"/>
          <w:lang w:val="es-ES" w:eastAsia="x-none" w:bidi="x-none"/>
        </w:rPr>
        <w:t>(</w:t>
      </w:r>
      <w:proofErr w:type="gramEnd"/>
      <w:r w:rsidRPr="0095207C">
        <w:rPr>
          <w:vertAlign w:val="superscript"/>
          <w:lang w:val="es-ES" w:eastAsia="x-none" w:bidi="x-none"/>
        </w:rPr>
        <w:t>18,19)</w:t>
      </w:r>
      <w:r w:rsidRPr="0095207C">
        <w:rPr>
          <w:lang w:val="es-ES" w:eastAsia="x-none" w:bidi="x-none"/>
        </w:rPr>
        <w:t xml:space="preserve"> factores como la edad, disfunción global del ventrículo izquierdo, volumen de auricular izquierdo elevado, se muestran como los de mayor riesgo de recurrencia. </w:t>
      </w:r>
    </w:p>
    <w:p w14:paraId="6616D6B3" w14:textId="77777777" w:rsidR="0095207C" w:rsidRPr="0095207C" w:rsidRDefault="0095207C" w:rsidP="0095207C">
      <w:pPr>
        <w:spacing w:line="360" w:lineRule="auto"/>
        <w:jc w:val="both"/>
        <w:rPr>
          <w:color w:val="000000"/>
          <w:lang w:val="es-ES" w:eastAsia="x-none" w:bidi="x-none"/>
        </w:rPr>
      </w:pPr>
      <w:r w:rsidRPr="0095207C">
        <w:rPr>
          <w:color w:val="000000"/>
          <w:lang w:val="es-ES" w:eastAsia="x-none" w:bidi="x-none"/>
        </w:rPr>
        <w:t>La tabla 2 muestra el análisis multivariado de regresión logística, en la cual la inclusión de variables independientes fue paso a paso, a través del método Wald</w:t>
      </w:r>
      <w:r w:rsidRPr="0095207C">
        <w:rPr>
          <w:i/>
          <w:iCs/>
          <w:color w:val="000000"/>
          <w:lang w:val="es-ES" w:eastAsia="x-none" w:bidi="x-none"/>
        </w:rPr>
        <w:t>,</w:t>
      </w:r>
      <w:r w:rsidRPr="0095207C">
        <w:rPr>
          <w:color w:val="000000"/>
          <w:lang w:val="es-ES" w:eastAsia="x-none" w:bidi="x-none"/>
        </w:rPr>
        <w:t xml:space="preserve"> lo que permitió mitigar el efecto de la colinealidad. Quedó como modelo predictivo concluyente del estudio el conformado por las variables edad &gt; 55 años, FEVI ≤ 40 %, volumen de AI ≥ 34 mL/m</w:t>
      </w:r>
      <w:r w:rsidRPr="0095207C">
        <w:rPr>
          <w:color w:val="000000"/>
          <w:vertAlign w:val="superscript"/>
          <w:lang w:val="es-ES" w:eastAsia="x-none" w:bidi="x-none"/>
        </w:rPr>
        <w:t>2</w:t>
      </w:r>
      <w:r w:rsidRPr="0095207C">
        <w:rPr>
          <w:color w:val="000000"/>
          <w:lang w:val="es-ES" w:eastAsia="x-none" w:bidi="x-none"/>
        </w:rPr>
        <w:t xml:space="preserve">. </w:t>
      </w:r>
    </w:p>
    <w:p w14:paraId="15377A4E" w14:textId="699F277F" w:rsidR="0095207C" w:rsidRPr="0095207C" w:rsidRDefault="0095207C" w:rsidP="0095207C">
      <w:pPr>
        <w:spacing w:line="360" w:lineRule="auto"/>
        <w:jc w:val="both"/>
        <w:rPr>
          <w:color w:val="000000"/>
          <w:lang w:val="es-ES" w:eastAsia="x-none" w:bidi="x-none"/>
        </w:rPr>
      </w:pPr>
      <w:r w:rsidRPr="0095207C">
        <w:rPr>
          <w:color w:val="000000"/>
          <w:lang w:val="es-ES" w:eastAsia="x-none" w:bidi="x-none"/>
        </w:rPr>
        <w:t xml:space="preserve">Coincide con modelos de otros autores en algunas variables y difiere en otras. </w:t>
      </w:r>
      <w:r w:rsidRPr="0095207C">
        <w:rPr>
          <w:i/>
          <w:color w:val="000000"/>
          <w:lang w:val="es-ES" w:eastAsia="x-none" w:bidi="x-none"/>
        </w:rPr>
        <w:t xml:space="preserve">Miao </w:t>
      </w:r>
      <w:r w:rsidRPr="0095207C">
        <w:rPr>
          <w:iCs/>
          <w:color w:val="000000"/>
          <w:lang w:val="es-ES" w:eastAsia="x-none" w:bidi="x-none"/>
        </w:rPr>
        <w:t xml:space="preserve">y </w:t>
      </w:r>
      <w:proofErr w:type="gramStart"/>
      <w:r w:rsidRPr="0095207C">
        <w:rPr>
          <w:iCs/>
          <w:color w:val="000000"/>
          <w:lang w:val="es-ES" w:eastAsia="x-none" w:bidi="x-none"/>
        </w:rPr>
        <w:t>otros</w:t>
      </w:r>
      <w:r w:rsidRPr="0095207C">
        <w:rPr>
          <w:color w:val="000000"/>
          <w:vertAlign w:val="superscript"/>
          <w:lang w:val="es-ES" w:eastAsia="x-none" w:bidi="x-none"/>
        </w:rPr>
        <w:t>(</w:t>
      </w:r>
      <w:proofErr w:type="gramEnd"/>
      <w:r w:rsidRPr="0095207C">
        <w:rPr>
          <w:color w:val="000000"/>
          <w:vertAlign w:val="superscript"/>
          <w:lang w:val="es-ES" w:eastAsia="x-none" w:bidi="x-none"/>
        </w:rPr>
        <w:t>14)</w:t>
      </w:r>
      <w:r w:rsidRPr="0095207C">
        <w:rPr>
          <w:color w:val="000000"/>
          <w:lang w:val="es-ES" w:eastAsia="x-none" w:bidi="x-none"/>
        </w:rPr>
        <w:t xml:space="preserve"> aportan un modelo predictivo basado en la estructura y función del diámetro y volumen de aurícula izquierda; que muestra buena precisión en la predicción de la recurrencia de fibrilación auricular; </w:t>
      </w:r>
      <w:r w:rsidRPr="0095207C">
        <w:rPr>
          <w:i/>
          <w:color w:val="000000"/>
          <w:lang w:val="es-ES" w:eastAsia="x-none" w:bidi="x-none"/>
        </w:rPr>
        <w:t xml:space="preserve">Kramer </w:t>
      </w:r>
      <w:r w:rsidRPr="0095207C">
        <w:rPr>
          <w:iCs/>
          <w:color w:val="000000"/>
          <w:lang w:val="es-ES" w:eastAsia="x-none" w:bidi="x-none"/>
        </w:rPr>
        <w:t>y otros</w:t>
      </w:r>
      <w:r w:rsidRPr="0095207C">
        <w:rPr>
          <w:color w:val="000000"/>
          <w:vertAlign w:val="superscript"/>
          <w:lang w:val="es-ES" w:eastAsia="x-none" w:bidi="x-none"/>
        </w:rPr>
        <w:t>(20)</w:t>
      </w:r>
      <w:r w:rsidRPr="0095207C">
        <w:rPr>
          <w:color w:val="000000"/>
          <w:lang w:val="es-ES" w:eastAsia="x-none" w:bidi="x-none"/>
        </w:rPr>
        <w:t xml:space="preserve"> fundamentan otro modelo predictivo de persistencia de fibrilación auricular, con las variables: edad avanzada, función de la aurícula izquierda, obesidad e insuficiencia mitral. </w:t>
      </w:r>
      <w:r w:rsidRPr="0095207C">
        <w:rPr>
          <w:i/>
          <w:lang w:val="es-ES" w:eastAsia="x-none" w:bidi="x-none"/>
        </w:rPr>
        <w:t xml:space="preserve">Collazo </w:t>
      </w:r>
      <w:r w:rsidRPr="0095207C">
        <w:rPr>
          <w:iCs/>
          <w:lang w:val="es-ES" w:eastAsia="x-none" w:bidi="x-none"/>
        </w:rPr>
        <w:t xml:space="preserve">y </w:t>
      </w:r>
      <w:proofErr w:type="gramStart"/>
      <w:r w:rsidRPr="0095207C">
        <w:rPr>
          <w:iCs/>
          <w:lang w:val="es-ES" w:eastAsia="x-none" w:bidi="x-none"/>
        </w:rPr>
        <w:t>otros</w:t>
      </w:r>
      <w:r w:rsidRPr="0095207C">
        <w:rPr>
          <w:vertAlign w:val="superscript"/>
          <w:lang w:val="es-ES" w:eastAsia="x-none" w:bidi="x-none"/>
        </w:rPr>
        <w:t>(</w:t>
      </w:r>
      <w:proofErr w:type="gramEnd"/>
      <w:r w:rsidRPr="0095207C">
        <w:rPr>
          <w:vertAlign w:val="superscript"/>
          <w:lang w:val="es-ES" w:eastAsia="x-none" w:bidi="x-none"/>
        </w:rPr>
        <w:t>21)</w:t>
      </w:r>
      <w:r w:rsidRPr="0095207C">
        <w:rPr>
          <w:lang w:val="es-ES" w:eastAsia="x-none" w:bidi="x-none"/>
        </w:rPr>
        <w:t xml:space="preserve"> relacionan factores predictivos como la edad, hipertensión arterial, lo que posibilita de manera factible y precisa, la identificación del nivel de riesgo de los pacientes, para desarrollar recurrencias. </w:t>
      </w:r>
      <w:r w:rsidRPr="0095207C">
        <w:rPr>
          <w:color w:val="000000"/>
          <w:lang w:val="es-ES" w:eastAsia="x-none" w:bidi="x-none"/>
        </w:rPr>
        <w:t xml:space="preserve">La prueba de </w:t>
      </w:r>
      <w:r w:rsidRPr="0095207C">
        <w:rPr>
          <w:i/>
          <w:color w:val="000000"/>
          <w:lang w:val="es-ES" w:eastAsia="x-none" w:bidi="x-none"/>
        </w:rPr>
        <w:t>Hosmer-Lemenshow</w:t>
      </w:r>
      <w:r w:rsidRPr="0095207C">
        <w:rPr>
          <w:color w:val="000000"/>
          <w:lang w:val="es-ES" w:eastAsia="x-none" w:bidi="x-none"/>
        </w:rPr>
        <w:t xml:space="preserve"> obtuvo un valor de 0,517 lo cual indica que el modelo posee un buen ajuste y calibración del modelo. </w:t>
      </w:r>
    </w:p>
    <w:p w14:paraId="0C5BBDAF" w14:textId="3999F139" w:rsidR="0095207C" w:rsidRPr="0095207C" w:rsidRDefault="0095207C" w:rsidP="0095207C">
      <w:pPr>
        <w:spacing w:line="360" w:lineRule="auto"/>
        <w:jc w:val="both"/>
        <w:rPr>
          <w:color w:val="000000"/>
          <w:lang w:val="es-ES" w:eastAsia="x-none" w:bidi="x-none"/>
        </w:rPr>
      </w:pPr>
      <w:r w:rsidRPr="0095207C">
        <w:rPr>
          <w:color w:val="000000"/>
          <w:lang w:val="es-ES" w:eastAsia="x-none" w:bidi="x-none"/>
        </w:rPr>
        <w:t xml:space="preserve">Se observó un área bajo la curva de 0,779 por lo que el modelo tiene capacidad discriminatoria. Varios autores utilizan esta herramienta estadística para fines discriminativo tales como </w:t>
      </w:r>
      <w:r w:rsidRPr="0095207C">
        <w:rPr>
          <w:i/>
          <w:color w:val="000000"/>
          <w:lang w:val="es-ES" w:eastAsia="x-none" w:bidi="x-none"/>
        </w:rPr>
        <w:t>Núñez</w:t>
      </w:r>
      <w:r w:rsidRPr="0095207C">
        <w:rPr>
          <w:iCs/>
          <w:color w:val="000000"/>
          <w:lang w:val="es-ES" w:eastAsia="x-none" w:bidi="x-none"/>
        </w:rPr>
        <w:t xml:space="preserve"> y </w:t>
      </w:r>
      <w:proofErr w:type="gramStart"/>
      <w:r w:rsidRPr="0095207C">
        <w:rPr>
          <w:iCs/>
          <w:color w:val="000000"/>
          <w:lang w:val="es-ES" w:eastAsia="x-none" w:bidi="x-none"/>
        </w:rPr>
        <w:t>otros</w:t>
      </w:r>
      <w:r w:rsidRPr="0095207C">
        <w:rPr>
          <w:color w:val="000000"/>
          <w:lang w:val="es-ES" w:eastAsia="x-none" w:bidi="x-none"/>
        </w:rPr>
        <w:t>,</w:t>
      </w:r>
      <w:r w:rsidRPr="0095207C">
        <w:rPr>
          <w:color w:val="000000"/>
          <w:vertAlign w:val="superscript"/>
          <w:lang w:val="es-ES" w:eastAsia="x-none" w:bidi="x-none"/>
        </w:rPr>
        <w:t>(</w:t>
      </w:r>
      <w:proofErr w:type="gramEnd"/>
      <w:r w:rsidRPr="0095207C">
        <w:rPr>
          <w:color w:val="000000"/>
          <w:vertAlign w:val="superscript"/>
          <w:lang w:val="es-ES" w:eastAsia="x-none" w:bidi="x-none"/>
        </w:rPr>
        <w:t>22)</w:t>
      </w:r>
      <w:r w:rsidRPr="0095207C">
        <w:rPr>
          <w:color w:val="000000"/>
          <w:lang w:val="es-ES" w:eastAsia="x-none" w:bidi="x-none"/>
        </w:rPr>
        <w:t xml:space="preserve"> </w:t>
      </w:r>
      <w:r w:rsidRPr="0095207C">
        <w:rPr>
          <w:i/>
          <w:color w:val="000000"/>
          <w:lang w:val="es-ES" w:eastAsia="x-none" w:bidi="x-none"/>
        </w:rPr>
        <w:t>Niederdöckl</w:t>
      </w:r>
      <w:r w:rsidRPr="0095207C">
        <w:rPr>
          <w:color w:val="000000"/>
          <w:lang w:val="es-ES" w:eastAsia="x-none" w:bidi="x-none"/>
        </w:rPr>
        <w:t xml:space="preserve"> </w:t>
      </w:r>
      <w:r w:rsidRPr="0095207C">
        <w:rPr>
          <w:iCs/>
          <w:color w:val="000000"/>
          <w:lang w:val="es-ES" w:eastAsia="x-none" w:bidi="x-none"/>
        </w:rPr>
        <w:t>y otros,</w:t>
      </w:r>
      <w:r w:rsidRPr="0095207C">
        <w:rPr>
          <w:color w:val="000000"/>
          <w:vertAlign w:val="superscript"/>
          <w:lang w:val="es-ES" w:eastAsia="x-none" w:bidi="x-none"/>
        </w:rPr>
        <w:t>(23)</w:t>
      </w:r>
      <w:r w:rsidRPr="0095207C">
        <w:rPr>
          <w:color w:val="000000"/>
          <w:lang w:val="es-ES" w:eastAsia="x-none" w:bidi="x-none"/>
        </w:rPr>
        <w:t xml:space="preserve"> entonces, un buen ajuste y capacidad discriminatoria se traducen en buen rendimiento del modelo predictivo.</w:t>
      </w:r>
    </w:p>
    <w:p w14:paraId="368890A8" w14:textId="77777777" w:rsidR="0095207C" w:rsidRPr="0095207C" w:rsidRDefault="0095207C" w:rsidP="0095207C">
      <w:pPr>
        <w:spacing w:line="360" w:lineRule="auto"/>
        <w:jc w:val="both"/>
        <w:rPr>
          <w:color w:val="000000"/>
          <w:lang w:val="es-ES" w:eastAsia="x-none" w:bidi="x-none"/>
        </w:rPr>
      </w:pPr>
      <w:r w:rsidRPr="0095207C">
        <w:rPr>
          <w:color w:val="000000"/>
          <w:lang w:val="es-ES" w:eastAsia="x-none" w:bidi="x-none"/>
        </w:rPr>
        <w:t xml:space="preserve">Los valores predictivos del modelo se muestran en la tabla 3. Posee una sensibilidad adecuada y especificidad baja y un buen valor predictivo positivo. O sea, que el modelo pronostica bien los que van a tener éxito en el resultado de la terapéutica. </w:t>
      </w:r>
    </w:p>
    <w:p w14:paraId="30224BB5" w14:textId="4E707AB2" w:rsidR="0095207C" w:rsidRPr="0095207C" w:rsidRDefault="0095207C" w:rsidP="0095207C">
      <w:pPr>
        <w:spacing w:line="360" w:lineRule="auto"/>
        <w:jc w:val="both"/>
        <w:rPr>
          <w:color w:val="000000"/>
          <w:lang w:val="es-ES" w:eastAsia="x-none" w:bidi="x-none"/>
        </w:rPr>
      </w:pPr>
      <w:r w:rsidRPr="0095207C">
        <w:rPr>
          <w:color w:val="000000"/>
          <w:lang w:val="es-ES" w:eastAsia="x-none" w:bidi="x-none"/>
        </w:rPr>
        <w:t xml:space="preserve">Según </w:t>
      </w:r>
      <w:r w:rsidRPr="0095207C">
        <w:rPr>
          <w:i/>
          <w:color w:val="000000"/>
          <w:lang w:val="es-ES" w:eastAsia="x-none" w:bidi="x-none"/>
        </w:rPr>
        <w:t xml:space="preserve">Díaz </w:t>
      </w:r>
      <w:proofErr w:type="gramStart"/>
      <w:r w:rsidRPr="0095207C">
        <w:rPr>
          <w:i/>
          <w:color w:val="000000"/>
          <w:lang w:val="es-ES" w:eastAsia="x-none" w:bidi="x-none"/>
        </w:rPr>
        <w:t>Narváez</w:t>
      </w:r>
      <w:r w:rsidRPr="0095207C">
        <w:rPr>
          <w:iCs/>
          <w:color w:val="000000"/>
          <w:lang w:val="es-ES" w:eastAsia="x-none" w:bidi="x-none"/>
        </w:rPr>
        <w:t>,</w:t>
      </w:r>
      <w:r w:rsidRPr="0095207C">
        <w:rPr>
          <w:color w:val="000000"/>
          <w:vertAlign w:val="superscript"/>
          <w:lang w:val="es-ES" w:eastAsia="x-none" w:bidi="x-none"/>
        </w:rPr>
        <w:t>(</w:t>
      </w:r>
      <w:proofErr w:type="gramEnd"/>
      <w:r w:rsidRPr="0095207C">
        <w:rPr>
          <w:color w:val="000000"/>
          <w:vertAlign w:val="superscript"/>
          <w:lang w:val="es-ES" w:eastAsia="x-none" w:bidi="x-none"/>
        </w:rPr>
        <w:t>24)</w:t>
      </w:r>
      <w:r w:rsidRPr="0095207C">
        <w:rPr>
          <w:color w:val="000000"/>
          <w:lang w:val="es-ES" w:eastAsia="x-none" w:bidi="x-none"/>
        </w:rPr>
        <w:t xml:space="preserve"> los valores bajos R</w:t>
      </w:r>
      <w:r w:rsidRPr="0095207C">
        <w:rPr>
          <w:color w:val="000000"/>
          <w:vertAlign w:val="superscript"/>
          <w:lang w:val="es-ES" w:eastAsia="x-none" w:bidi="x-none"/>
        </w:rPr>
        <w:t xml:space="preserve">2 </w:t>
      </w:r>
      <w:r w:rsidRPr="0095207C">
        <w:rPr>
          <w:color w:val="000000"/>
          <w:lang w:val="es-ES" w:eastAsia="x-none" w:bidi="x-none"/>
        </w:rPr>
        <w:t xml:space="preserve"> Nagelkerke y significación estadísticas pudieran tener relación con dispersión de los valores y en gran medida a la muestra seleccionada; lo antes expuesto tiene similitud con lo expresado en la actual investigación; en ese mismo aspecto </w:t>
      </w:r>
      <w:r w:rsidRPr="0095207C">
        <w:rPr>
          <w:i/>
          <w:color w:val="000000"/>
          <w:lang w:val="es-ES" w:eastAsia="x-none" w:bidi="x-none"/>
        </w:rPr>
        <w:t>Domínguez</w:t>
      </w:r>
      <w:r w:rsidRPr="0095207C">
        <w:rPr>
          <w:color w:val="000000"/>
          <w:lang w:val="es-ES" w:eastAsia="x-none" w:bidi="x-none"/>
        </w:rPr>
        <w:t xml:space="preserve"> y otros</w:t>
      </w:r>
      <w:r w:rsidRPr="0095207C">
        <w:rPr>
          <w:color w:val="000000"/>
          <w:vertAlign w:val="superscript"/>
          <w:lang w:val="es-ES" w:eastAsia="x-none" w:bidi="x-none"/>
        </w:rPr>
        <w:t>(25)</w:t>
      </w:r>
      <w:r w:rsidRPr="0095207C">
        <w:rPr>
          <w:color w:val="000000"/>
          <w:lang w:val="es-ES" w:eastAsia="x-none" w:bidi="x-none"/>
        </w:rPr>
        <w:t xml:space="preserve"> afirman lo antes expuesto.</w:t>
      </w:r>
    </w:p>
    <w:p w14:paraId="2EBF2DF4" w14:textId="77777777" w:rsidR="0095207C" w:rsidRPr="0095207C" w:rsidRDefault="0095207C" w:rsidP="0095207C">
      <w:pPr>
        <w:spacing w:line="360" w:lineRule="auto"/>
        <w:jc w:val="both"/>
        <w:rPr>
          <w:rFonts w:eastAsia="Calibri"/>
          <w:color w:val="000000"/>
          <w:vertAlign w:val="superscript"/>
          <w:lang w:val="es-ES" w:eastAsia="x-none" w:bidi="x-none"/>
        </w:rPr>
      </w:pPr>
      <w:r w:rsidRPr="0095207C">
        <w:rPr>
          <w:rFonts w:eastAsia="Calibri"/>
          <w:color w:val="000000"/>
          <w:lang w:val="es-ES" w:eastAsia="x-none" w:bidi="x-none"/>
        </w:rPr>
        <w:lastRenderedPageBreak/>
        <w:t xml:space="preserve">En la validación interna se pudo observar que los porcentajes correctos para ambos subconjuntos fueron muy parecidos, con buen ajuste, según la prueba de Hosmer-Lemenshow. Coincide con lo mostrado por </w:t>
      </w:r>
      <w:r w:rsidRPr="0095207C">
        <w:rPr>
          <w:rFonts w:eastAsia="Calibri"/>
          <w:i/>
          <w:color w:val="000000"/>
          <w:lang w:val="es-ES" w:eastAsia="x-none" w:bidi="x-none"/>
        </w:rPr>
        <w:t>Bermúdez</w:t>
      </w:r>
      <w:r w:rsidRPr="0095207C">
        <w:rPr>
          <w:rFonts w:eastAsia="Calibri"/>
          <w:color w:val="000000"/>
          <w:lang w:val="es-ES" w:eastAsia="x-none" w:bidi="x-none"/>
        </w:rPr>
        <w:t xml:space="preserve"> y </w:t>
      </w:r>
      <w:proofErr w:type="gramStart"/>
      <w:r w:rsidRPr="0095207C">
        <w:rPr>
          <w:rFonts w:eastAsia="Calibri"/>
          <w:color w:val="000000"/>
          <w:lang w:val="es-ES" w:eastAsia="x-none" w:bidi="x-none"/>
        </w:rPr>
        <w:t>otros.</w:t>
      </w:r>
      <w:r w:rsidRPr="0095207C">
        <w:rPr>
          <w:rFonts w:eastAsia="Calibri"/>
          <w:color w:val="000000"/>
          <w:vertAlign w:val="superscript"/>
          <w:lang w:val="es-ES" w:eastAsia="x-none" w:bidi="x-none"/>
        </w:rPr>
        <w:t>(</w:t>
      </w:r>
      <w:proofErr w:type="gramEnd"/>
      <w:r w:rsidRPr="0095207C">
        <w:rPr>
          <w:rFonts w:eastAsia="Calibri"/>
          <w:color w:val="000000"/>
          <w:vertAlign w:val="superscript"/>
          <w:lang w:val="es-ES" w:eastAsia="x-none" w:bidi="x-none"/>
        </w:rPr>
        <w:t>26)</w:t>
      </w:r>
    </w:p>
    <w:p w14:paraId="7752C340" w14:textId="77777777" w:rsidR="0095207C" w:rsidRPr="0095207C" w:rsidRDefault="0095207C" w:rsidP="0095207C">
      <w:pPr>
        <w:spacing w:line="360" w:lineRule="auto"/>
        <w:jc w:val="both"/>
        <w:rPr>
          <w:color w:val="000000"/>
          <w:lang w:val="es-ES" w:eastAsia="x-none" w:bidi="x-none"/>
        </w:rPr>
      </w:pPr>
      <w:r w:rsidRPr="0095207C">
        <w:rPr>
          <w:color w:val="000000"/>
          <w:lang w:val="es-ES" w:eastAsia="x-none" w:bidi="x-none"/>
        </w:rPr>
        <w:t>La principal limitación del presente estudio radica en que se trata de una cohorte perteneciente a una sola institución de salud, por lo tanto, en otros contextos la generalización de los resultados se recomienda con la realización de validaciones externas.</w:t>
      </w:r>
    </w:p>
    <w:p w14:paraId="3D1977BE" w14:textId="77777777" w:rsidR="0095207C" w:rsidRPr="0095207C" w:rsidRDefault="0095207C" w:rsidP="0095207C">
      <w:pPr>
        <w:spacing w:line="360" w:lineRule="auto"/>
        <w:jc w:val="both"/>
        <w:outlineLvl w:val="0"/>
        <w:rPr>
          <w:color w:val="000000"/>
          <w:lang w:val="es-ES" w:eastAsia="es-ES"/>
        </w:rPr>
      </w:pPr>
      <w:bookmarkStart w:id="14" w:name="_Hlk118965062"/>
      <w:bookmarkEnd w:id="12"/>
      <w:r w:rsidRPr="0095207C">
        <w:rPr>
          <w:lang w:val="es-ES" w:eastAsia="es-ES"/>
        </w:rPr>
        <w:t xml:space="preserve">En conclusión, el </w:t>
      </w:r>
      <w:r w:rsidRPr="0095207C">
        <w:rPr>
          <w:color w:val="000000"/>
          <w:lang w:val="es-ES" w:eastAsia="es-ES"/>
        </w:rPr>
        <w:t xml:space="preserve">modelo predictivo elaborado está compuesto por los predictores edad &gt; 55 años, FEVI; volumen de aurícula izquierda; presenta un buen ajuste y poder discriminante, sobre todo valor predictivo positivo. </w:t>
      </w:r>
    </w:p>
    <w:p w14:paraId="151399DB" w14:textId="77777777" w:rsidR="0095207C" w:rsidRPr="0095207C" w:rsidRDefault="0095207C" w:rsidP="0095207C">
      <w:pPr>
        <w:spacing w:line="360" w:lineRule="auto"/>
        <w:jc w:val="both"/>
        <w:rPr>
          <w:lang w:val="es-ES" w:eastAsia="es-ES"/>
        </w:rPr>
      </w:pPr>
      <w:r w:rsidRPr="0095207C">
        <w:rPr>
          <w:lang w:val="es-ES" w:eastAsia="es-ES"/>
        </w:rPr>
        <w:t xml:space="preserve"> </w:t>
      </w:r>
    </w:p>
    <w:p w14:paraId="2C021444" w14:textId="77777777" w:rsidR="0095207C" w:rsidRPr="0095207C" w:rsidRDefault="0095207C" w:rsidP="0095207C">
      <w:pPr>
        <w:spacing w:line="360" w:lineRule="auto"/>
        <w:jc w:val="both"/>
        <w:rPr>
          <w:lang w:val="es-ES" w:eastAsia="es-ES"/>
        </w:rPr>
      </w:pPr>
    </w:p>
    <w:bookmarkEnd w:id="14"/>
    <w:p w14:paraId="66D046E6" w14:textId="77777777" w:rsidR="0095207C" w:rsidRPr="0095207C" w:rsidRDefault="0095207C" w:rsidP="0095207C">
      <w:pPr>
        <w:spacing w:line="360" w:lineRule="auto"/>
        <w:jc w:val="center"/>
        <w:rPr>
          <w:b/>
          <w:sz w:val="32"/>
          <w:szCs w:val="32"/>
          <w:lang w:val="es-ES" w:eastAsia="es-ES"/>
        </w:rPr>
      </w:pPr>
      <w:r w:rsidRPr="0095207C">
        <w:rPr>
          <w:b/>
          <w:sz w:val="32"/>
          <w:szCs w:val="32"/>
          <w:lang w:val="es-ES" w:eastAsia="es-ES"/>
        </w:rPr>
        <w:t>REFERENCIAS BIBLIOGRÁFICAS</w:t>
      </w:r>
    </w:p>
    <w:p w14:paraId="5F3CC95C" w14:textId="77777777" w:rsidR="0095207C" w:rsidRPr="0095207C" w:rsidRDefault="0095207C" w:rsidP="0095207C">
      <w:pPr>
        <w:spacing w:line="360" w:lineRule="auto"/>
        <w:contextualSpacing/>
        <w:rPr>
          <w:lang w:val="es-ES" w:eastAsia="es-ES"/>
        </w:rPr>
      </w:pPr>
      <w:r w:rsidRPr="0095207C">
        <w:rPr>
          <w:lang w:val="es-ES" w:eastAsia="es-ES"/>
        </w:rPr>
        <w:t xml:space="preserve">1. Guerra García D, Valladares Carvajal F, Bernal-Valladares E, Díaz-Quiñones J. Factores de riesgo asociados a ictus cardioembólico en pacientes con fibrilación auricular no valvular. Revista Finlay.  2018 [acceso: 11/02/2023]; 8(1):10-11. Disponible en: </w:t>
      </w:r>
      <w:hyperlink r:id="rId12" w:history="1">
        <w:r w:rsidRPr="0095207C">
          <w:rPr>
            <w:color w:val="0000FF"/>
            <w:lang w:val="es-ES" w:eastAsia="es-ES"/>
          </w:rPr>
          <w:t>https://revfinlay.sld.cu/index.php/finlay/article/view/577</w:t>
        </w:r>
      </w:hyperlink>
      <w:r w:rsidRPr="0095207C">
        <w:rPr>
          <w:lang w:val="es-ES" w:eastAsia="es-ES"/>
        </w:rPr>
        <w:t xml:space="preserve"> </w:t>
      </w:r>
    </w:p>
    <w:p w14:paraId="3A05A62A" w14:textId="77777777" w:rsidR="0095207C" w:rsidRPr="0095207C" w:rsidRDefault="0095207C" w:rsidP="0095207C">
      <w:pPr>
        <w:spacing w:line="360" w:lineRule="auto"/>
        <w:contextualSpacing/>
        <w:rPr>
          <w:lang w:val="es-ES" w:eastAsia="es-ES"/>
        </w:rPr>
      </w:pPr>
      <w:r w:rsidRPr="0095207C">
        <w:rPr>
          <w:lang w:val="en-US" w:eastAsia="es-ES"/>
        </w:rPr>
        <w:t xml:space="preserve">2. Kotalczyk A, Lip GY, Calkins H. The 2020 ESC Guidelines on the Diagnosis and Management of Atrial Fibrillation. </w:t>
      </w:r>
      <w:r w:rsidRPr="0095207C">
        <w:rPr>
          <w:lang w:val="es-ES" w:eastAsia="es-ES"/>
        </w:rPr>
        <w:t xml:space="preserve">Arrhythmia &amp; Electrophysiology Review. 2021; 10(2):65–7. DOI: 10.15420/aer.2021.07   </w:t>
      </w:r>
    </w:p>
    <w:p w14:paraId="05C467A3" w14:textId="77777777" w:rsidR="0095207C" w:rsidRPr="0095207C" w:rsidRDefault="0095207C" w:rsidP="0095207C">
      <w:pPr>
        <w:spacing w:line="360" w:lineRule="auto"/>
        <w:contextualSpacing/>
        <w:rPr>
          <w:lang w:val="es-ES" w:eastAsia="es-ES"/>
        </w:rPr>
      </w:pPr>
      <w:r w:rsidRPr="0095207C">
        <w:rPr>
          <w:lang w:val="es-ES" w:eastAsia="es-ES"/>
        </w:rPr>
        <w:t xml:space="preserve">3. Forero-Gómez JE, Moreno JM, Agudelo CA, Rodríguez-Arias EA, Sánchez-Moscoso PA. Fibrilación auricular: enfoque para el médico no cardiólogo. Iatreia. 2017 [acceso 08/10/2023]; 30(4):404-22. Disponible en: </w:t>
      </w:r>
      <w:hyperlink r:id="rId13" w:history="1">
        <w:r w:rsidRPr="0095207C">
          <w:rPr>
            <w:color w:val="0000FF"/>
            <w:lang w:val="es-ES" w:eastAsia="es-ES"/>
          </w:rPr>
          <w:t>http://www.scielo.org.co/pdf/iat/v30n4/0121-0793- iat-30-04-00404.pdf</w:t>
        </w:r>
      </w:hyperlink>
      <w:r w:rsidRPr="0095207C">
        <w:rPr>
          <w:lang w:val="es-ES" w:eastAsia="es-ES"/>
        </w:rPr>
        <w:t xml:space="preserve">  </w:t>
      </w:r>
    </w:p>
    <w:p w14:paraId="5AC88B8A" w14:textId="77777777" w:rsidR="0095207C" w:rsidRPr="0095207C" w:rsidRDefault="0095207C" w:rsidP="0095207C">
      <w:pPr>
        <w:spacing w:line="360" w:lineRule="auto"/>
        <w:contextualSpacing/>
        <w:rPr>
          <w:lang w:val="es-ES" w:eastAsia="es-ES"/>
        </w:rPr>
      </w:pPr>
      <w:r w:rsidRPr="0095207C">
        <w:rPr>
          <w:lang w:val="es-ES" w:eastAsia="es-ES"/>
        </w:rPr>
        <w:t xml:space="preserve">4. Hernández Velazquez F, Carcasés Lamorú S, Lamorú-Turro R, Rodríguez-Camacho A. Caracterización clínica y tratamiento de pacientes con fibrilación auricular. Rev </w:t>
      </w:r>
      <w:proofErr w:type="gramStart"/>
      <w:r w:rsidRPr="0095207C">
        <w:rPr>
          <w:lang w:val="es-ES" w:eastAsia="es-ES"/>
        </w:rPr>
        <w:t>Cubana</w:t>
      </w:r>
      <w:proofErr w:type="gramEnd"/>
      <w:r w:rsidRPr="0095207C">
        <w:rPr>
          <w:lang w:val="es-ES" w:eastAsia="es-ES"/>
        </w:rPr>
        <w:t xml:space="preserve"> Med Milit. 2022 [acceso: 16/03/2023];51(4):3-4. Disponible en: </w:t>
      </w:r>
      <w:hyperlink r:id="rId14" w:history="1">
        <w:r w:rsidRPr="0095207C">
          <w:rPr>
            <w:color w:val="0000FF"/>
            <w:lang w:val="es-ES" w:eastAsia="es-ES"/>
          </w:rPr>
          <w:t>https://revmedmilitar.sld.cu/index.php/mil/article/view/1829</w:t>
        </w:r>
      </w:hyperlink>
      <w:r w:rsidRPr="0095207C">
        <w:rPr>
          <w:lang w:val="es-ES" w:eastAsia="es-ES"/>
        </w:rPr>
        <w:t xml:space="preserve"> </w:t>
      </w:r>
    </w:p>
    <w:p w14:paraId="5A9E173B" w14:textId="77777777" w:rsidR="0095207C" w:rsidRPr="0095207C" w:rsidRDefault="0095207C" w:rsidP="0095207C">
      <w:pPr>
        <w:spacing w:line="360" w:lineRule="auto"/>
        <w:contextualSpacing/>
        <w:rPr>
          <w:lang w:val="es-ES" w:eastAsia="es-ES"/>
        </w:rPr>
      </w:pPr>
      <w:r w:rsidRPr="0095207C">
        <w:rPr>
          <w:lang w:val="es-ES" w:eastAsia="es-ES"/>
        </w:rPr>
        <w:lastRenderedPageBreak/>
        <w:t xml:space="preserve">5. Ministerio de Salud Pública. Anuario Estadístico 2020. La Habana: MINSAP; 2021. [acceso: 19/01/2023]. Disponible en: </w:t>
      </w:r>
      <w:hyperlink r:id="rId15" w:history="1">
        <w:r w:rsidRPr="0095207C">
          <w:rPr>
            <w:color w:val="0000FF"/>
            <w:lang w:val="es-ES" w:eastAsia="es-ES"/>
          </w:rPr>
          <w:t>https://files.sld.cu/bvscuba/files/2021/08/Anuario-Estadistico-Español-2020-Definitivo.pdf</w:t>
        </w:r>
      </w:hyperlink>
      <w:r w:rsidRPr="0095207C">
        <w:rPr>
          <w:lang w:val="es-ES" w:eastAsia="es-ES"/>
        </w:rPr>
        <w:t xml:space="preserve"> </w:t>
      </w:r>
    </w:p>
    <w:p w14:paraId="7DEE1410" w14:textId="77777777" w:rsidR="0095207C" w:rsidRPr="0095207C" w:rsidRDefault="0095207C" w:rsidP="0095207C">
      <w:pPr>
        <w:spacing w:line="360" w:lineRule="auto"/>
        <w:contextualSpacing/>
        <w:rPr>
          <w:lang w:val="es-ES" w:eastAsia="es-ES"/>
        </w:rPr>
      </w:pPr>
      <w:r w:rsidRPr="0095207C">
        <w:rPr>
          <w:lang w:val="es-ES" w:eastAsia="es-ES"/>
        </w:rPr>
        <w:t>6. Álvarez-Aliaga A, Maceo-Gómez L. Índices de predicción, algunos aspectos metodológicos para su construcción y validación. MULTIMED. 2014 [acceso 28/10/ 2023]; 18(2</w:t>
      </w:r>
      <w:proofErr w:type="gramStart"/>
      <w:r w:rsidRPr="0095207C">
        <w:rPr>
          <w:lang w:val="es-ES" w:eastAsia="es-ES"/>
        </w:rPr>
        <w:t>):[</w:t>
      </w:r>
      <w:proofErr w:type="gramEnd"/>
      <w:r w:rsidRPr="0095207C">
        <w:rPr>
          <w:lang w:val="es-ES" w:eastAsia="es-ES"/>
        </w:rPr>
        <w:t xml:space="preserve">aprox. 19 p.]. Disponible en: </w:t>
      </w:r>
      <w:hyperlink r:id="rId16" w:history="1">
        <w:r w:rsidRPr="0095207C">
          <w:rPr>
            <w:color w:val="0000FF"/>
            <w:lang w:val="es-ES" w:eastAsia="es-ES"/>
          </w:rPr>
          <w:t>https://revmultimed.sld.cu/index.php/mtm/article/view/45</w:t>
        </w:r>
      </w:hyperlink>
      <w:r w:rsidRPr="0095207C">
        <w:rPr>
          <w:lang w:val="es-ES" w:eastAsia="es-ES"/>
        </w:rPr>
        <w:t xml:space="preserve"> </w:t>
      </w:r>
    </w:p>
    <w:p w14:paraId="31849DA7" w14:textId="77777777" w:rsidR="0095207C" w:rsidRPr="0095207C" w:rsidRDefault="0095207C" w:rsidP="0095207C">
      <w:pPr>
        <w:spacing w:line="360" w:lineRule="auto"/>
        <w:contextualSpacing/>
        <w:rPr>
          <w:lang w:val="es-ES" w:eastAsia="es-ES"/>
        </w:rPr>
      </w:pPr>
      <w:r w:rsidRPr="0095207C">
        <w:rPr>
          <w:lang w:val="es-ES" w:eastAsia="es-ES"/>
        </w:rPr>
        <w:t>7. Sagaró-del-Campo N, Zamora-Matamoros L. ¿Cómo aplicar el análisis estadístico implicativo en los estudios de causalidad en salud? Revista Electrónica Dr. Zoilo E. Marinello Vidaurreta. 2020 [acceso 28/10/2023]; 45(1</w:t>
      </w:r>
      <w:proofErr w:type="gramStart"/>
      <w:r w:rsidRPr="0095207C">
        <w:rPr>
          <w:lang w:val="es-ES" w:eastAsia="es-ES"/>
        </w:rPr>
        <w:t>):[</w:t>
      </w:r>
      <w:proofErr w:type="gramEnd"/>
      <w:r w:rsidRPr="0095207C">
        <w:rPr>
          <w:lang w:val="es-ES" w:eastAsia="es-ES"/>
        </w:rPr>
        <w:t xml:space="preserve">aprox. 8 pág.]. Disponible en: </w:t>
      </w:r>
      <w:hyperlink r:id="rId17" w:history="1">
        <w:r w:rsidRPr="0095207C">
          <w:rPr>
            <w:color w:val="0000FF"/>
            <w:lang w:val="es-ES" w:eastAsia="es-ES"/>
          </w:rPr>
          <w:t>https://revzoilomarinello.sld.cu/index.php/zmv/article/view/1960</w:t>
        </w:r>
      </w:hyperlink>
    </w:p>
    <w:p w14:paraId="47A0E29D" w14:textId="77777777" w:rsidR="0095207C" w:rsidRPr="0095207C" w:rsidRDefault="0095207C" w:rsidP="0095207C">
      <w:pPr>
        <w:spacing w:line="360" w:lineRule="auto"/>
        <w:contextualSpacing/>
        <w:rPr>
          <w:lang w:val="es-ES" w:eastAsia="es-ES"/>
        </w:rPr>
      </w:pPr>
      <w:r w:rsidRPr="0095207C">
        <w:rPr>
          <w:lang w:val="es-ES" w:eastAsia="es-ES"/>
        </w:rPr>
        <w:t xml:space="preserve">8. Soto A, Cvetkovich Vega A. Estudios de casos y controles. Revista Facultad Medicina Humana. 2020; 20(1):138-43. DOI: 10.25176/RFMH.v20i1.2555 </w:t>
      </w:r>
    </w:p>
    <w:p w14:paraId="02227DCD" w14:textId="77777777" w:rsidR="0095207C" w:rsidRPr="0095207C" w:rsidRDefault="0095207C" w:rsidP="0095207C">
      <w:pPr>
        <w:spacing w:line="360" w:lineRule="auto"/>
        <w:contextualSpacing/>
        <w:rPr>
          <w:lang w:val="es-ES" w:eastAsia="es-ES"/>
        </w:rPr>
      </w:pPr>
      <w:r w:rsidRPr="0095207C">
        <w:rPr>
          <w:lang w:val="es-ES" w:eastAsia="es-ES"/>
        </w:rPr>
        <w:t>9. Cerda J, Cifuentes L. Uso de curvas ROC en investigación clínica: Aspectos teórico-prácticos. Revista Chilena Infectología.  2012; 29(2): 138-141. DOI: 10.4067/S0716-10182012000200003</w:t>
      </w:r>
    </w:p>
    <w:p w14:paraId="0040D002" w14:textId="77777777" w:rsidR="0095207C" w:rsidRPr="0095207C" w:rsidRDefault="0095207C" w:rsidP="0095207C">
      <w:pPr>
        <w:spacing w:line="360" w:lineRule="auto"/>
        <w:contextualSpacing/>
        <w:rPr>
          <w:lang w:val="es-ES" w:eastAsia="es-ES"/>
        </w:rPr>
      </w:pPr>
      <w:r w:rsidRPr="0095207C">
        <w:rPr>
          <w:lang w:val="es-ES" w:eastAsia="es-ES"/>
        </w:rPr>
        <w:t xml:space="preserve">10. Varela-García R. Cardioversión eléctrica como modalidad terapéutica en pacientes con fibrilación auricular. MEDISAN. 2018 [acceso: 11/02/2023]; 22(7):762. Disponible en: </w:t>
      </w:r>
      <w:hyperlink r:id="rId18" w:history="1">
        <w:r w:rsidRPr="0095207C">
          <w:rPr>
            <w:color w:val="0000FF"/>
            <w:lang w:val="es-ES" w:eastAsia="es-ES"/>
          </w:rPr>
          <w:t>https://medisan.sld.cu/index.php/san/article/view/1296</w:t>
        </w:r>
      </w:hyperlink>
      <w:r w:rsidRPr="0095207C">
        <w:rPr>
          <w:lang w:val="es-ES" w:eastAsia="es-ES"/>
        </w:rPr>
        <w:t xml:space="preserve"> </w:t>
      </w:r>
    </w:p>
    <w:p w14:paraId="5178887C" w14:textId="77777777" w:rsidR="0095207C" w:rsidRPr="0095207C" w:rsidRDefault="0095207C" w:rsidP="0095207C">
      <w:pPr>
        <w:spacing w:line="360" w:lineRule="auto"/>
        <w:contextualSpacing/>
        <w:rPr>
          <w:lang w:val="es-ES" w:eastAsia="es-ES"/>
        </w:rPr>
      </w:pPr>
      <w:r w:rsidRPr="0095207C">
        <w:rPr>
          <w:lang w:val="es-ES" w:eastAsia="es-ES"/>
        </w:rPr>
        <w:t xml:space="preserve">11. Ayaviri Dilean E, Orellana Arnez S, Arispe Gutierrez J, Salinas Gil AS, Orellana Aguilar ML. Cardioversión eléctrica y cardioversión farmacológica en pacientes con fibrilación auricular. Revista UNITEPC. 2020 [acceso:  27/10/2023]; 7(1):32-42. Disponible en: </w:t>
      </w:r>
      <w:hyperlink r:id="rId19" w:history="1">
        <w:r w:rsidRPr="0095207C">
          <w:rPr>
            <w:color w:val="0000FF"/>
            <w:lang w:val="es-ES" w:eastAsia="es-ES"/>
          </w:rPr>
          <w:t>http://www.scielo.org.bo/scielo.php?script=sci_arttext&amp;pid=S2520-98252020000100004&amp;lng=es</w:t>
        </w:r>
      </w:hyperlink>
      <w:r w:rsidRPr="0095207C">
        <w:rPr>
          <w:lang w:val="es-ES" w:eastAsia="es-ES"/>
        </w:rPr>
        <w:t xml:space="preserve">  </w:t>
      </w:r>
    </w:p>
    <w:p w14:paraId="1818F0E2" w14:textId="77777777" w:rsidR="0095207C" w:rsidRPr="0095207C" w:rsidRDefault="0095207C" w:rsidP="0095207C">
      <w:pPr>
        <w:spacing w:line="360" w:lineRule="auto"/>
        <w:contextualSpacing/>
        <w:rPr>
          <w:lang w:val="es-ES" w:eastAsia="es-ES"/>
        </w:rPr>
      </w:pPr>
      <w:r w:rsidRPr="0095207C">
        <w:rPr>
          <w:lang w:val="es-ES" w:eastAsia="es-ES"/>
        </w:rPr>
        <w:t>12. Vásquez JP, Leiria Tiago LL, Kruse Marcelo L, Pires LM, Lima Gustavo GD. Recurrencia de fibrilación auricular posablación de venas pulmonares. Identificación de factores predictores. Rev. Urug. Cardiol. 2020; 35(1):231-248. DOI: 10.29277/cardio.35.1.12</w:t>
      </w:r>
    </w:p>
    <w:p w14:paraId="0FDDD0A4" w14:textId="77777777" w:rsidR="0095207C" w:rsidRPr="0095207C" w:rsidRDefault="0095207C" w:rsidP="0095207C">
      <w:pPr>
        <w:spacing w:line="360" w:lineRule="auto"/>
        <w:contextualSpacing/>
        <w:rPr>
          <w:lang w:val="es-ES" w:eastAsia="es-ES"/>
        </w:rPr>
      </w:pPr>
      <w:r w:rsidRPr="0095207C">
        <w:rPr>
          <w:lang w:val="es-ES" w:eastAsia="es-ES"/>
        </w:rPr>
        <w:t>13. Cruz-Cardentey M, Pérez-Rivera T, Méndez--Rosabal A. Factores predictores de éxito de la cardioversión eléctrica en la fibrilación auricular. CorSalud. 2014 [acceso: 28/10/2023]; 6(4</w:t>
      </w:r>
      <w:proofErr w:type="gramStart"/>
      <w:r w:rsidRPr="0095207C">
        <w:rPr>
          <w:lang w:val="es-ES" w:eastAsia="es-ES"/>
        </w:rPr>
        <w:t>):[</w:t>
      </w:r>
      <w:proofErr w:type="gramEnd"/>
      <w:r w:rsidRPr="0095207C">
        <w:rPr>
          <w:lang w:val="es-ES" w:eastAsia="es-ES"/>
        </w:rPr>
        <w:t xml:space="preserve">aprox. 7 p.]. Disponible en: </w:t>
      </w:r>
      <w:hyperlink r:id="rId20" w:history="1">
        <w:r w:rsidRPr="0095207C">
          <w:rPr>
            <w:color w:val="0000FF"/>
            <w:lang w:val="es-ES" w:eastAsia="es-ES"/>
          </w:rPr>
          <w:t>https://revcorsalud.sld.cu/index.php/cors/article/view/115</w:t>
        </w:r>
      </w:hyperlink>
      <w:r w:rsidRPr="0095207C">
        <w:rPr>
          <w:lang w:val="es-ES" w:eastAsia="es-ES"/>
        </w:rPr>
        <w:t xml:space="preserve"> </w:t>
      </w:r>
    </w:p>
    <w:p w14:paraId="4B99E271" w14:textId="77777777" w:rsidR="0095207C" w:rsidRPr="0095207C" w:rsidRDefault="0095207C" w:rsidP="0095207C">
      <w:pPr>
        <w:spacing w:line="360" w:lineRule="auto"/>
        <w:contextualSpacing/>
        <w:rPr>
          <w:lang w:val="en-US" w:eastAsia="es-ES"/>
        </w:rPr>
      </w:pPr>
      <w:r w:rsidRPr="0095207C">
        <w:rPr>
          <w:lang w:val="en-US" w:eastAsia="es-ES"/>
        </w:rPr>
        <w:lastRenderedPageBreak/>
        <w:t xml:space="preserve">14. Miao Y, Xu M, Zhang C, Liu H, Shao X, Wang Y, et al. An echocardiographic model for predicting the recurrence of paroxysmal atrial fibrillation after circumferential pulmonary vein ablation. Clinical Cardiology. 2021; 44(11):1506–15. DOI: 10.1002/clc.23712  </w:t>
      </w:r>
    </w:p>
    <w:p w14:paraId="6990F219" w14:textId="77777777" w:rsidR="0095207C" w:rsidRPr="0095207C" w:rsidRDefault="0095207C" w:rsidP="0095207C">
      <w:pPr>
        <w:spacing w:line="360" w:lineRule="auto"/>
        <w:contextualSpacing/>
        <w:rPr>
          <w:lang w:val="en-US" w:eastAsia="es-ES"/>
        </w:rPr>
      </w:pPr>
      <w:r w:rsidRPr="0095207C">
        <w:rPr>
          <w:lang w:val="en-US" w:eastAsia="es-ES"/>
        </w:rPr>
        <w:t xml:space="preserve">15. Kranert M, Shchetynska-marinova T, Liebe V, Doesch C, Papavassiliu T, Akin I, et al. Recurrence of Atrial Fibrillation in Dependence of Left Atrial Volume Index. In Vivo. 2020; 34(2):889–96. DOI: 10.21873/invivo.11854 </w:t>
      </w:r>
    </w:p>
    <w:p w14:paraId="78A49C3E" w14:textId="77777777" w:rsidR="0095207C" w:rsidRPr="0095207C" w:rsidRDefault="0095207C" w:rsidP="0095207C">
      <w:pPr>
        <w:spacing w:line="360" w:lineRule="auto"/>
        <w:contextualSpacing/>
        <w:rPr>
          <w:lang w:val="en-US" w:eastAsia="es-ES"/>
        </w:rPr>
      </w:pPr>
      <w:r w:rsidRPr="0095207C">
        <w:rPr>
          <w:lang w:val="en-US" w:eastAsia="es-ES"/>
        </w:rPr>
        <w:t xml:space="preserve">16. Lyngbakken MN, Rønningen PS, Solberg MG, Berge T, Brynildsen J, Aagaard EN, et al. Prediction of incident atrial fibrillation with cardiac biomarkers and left atrial volumes. Heart. </w:t>
      </w:r>
      <w:proofErr w:type="gramStart"/>
      <w:r w:rsidRPr="0095207C">
        <w:rPr>
          <w:lang w:val="en-US" w:eastAsia="es-ES"/>
        </w:rPr>
        <w:t>2023;</w:t>
      </w:r>
      <w:r w:rsidRPr="0095207C" w:rsidDel="00E372A4">
        <w:rPr>
          <w:lang w:val="en-US" w:eastAsia="es-ES"/>
        </w:rPr>
        <w:t xml:space="preserve"> </w:t>
      </w:r>
      <w:r w:rsidRPr="0095207C">
        <w:rPr>
          <w:rFonts w:ascii="Segoe UI" w:eastAsia="Calibri" w:hAnsi="Segoe UI" w:cs="Segoe UI"/>
          <w:sz w:val="22"/>
          <w:szCs w:val="22"/>
          <w:shd w:val="clear" w:color="auto" w:fill="FFFFFF"/>
          <w:lang w:val="en-US" w:eastAsia="en-US"/>
        </w:rPr>
        <w:t xml:space="preserve"> </w:t>
      </w:r>
      <w:r w:rsidRPr="0095207C">
        <w:rPr>
          <w:lang w:val="en-US" w:eastAsia="es-ES"/>
        </w:rPr>
        <w:t>109</w:t>
      </w:r>
      <w:proofErr w:type="gramEnd"/>
      <w:r w:rsidRPr="0095207C">
        <w:rPr>
          <w:lang w:val="en-US" w:eastAsia="es-ES"/>
        </w:rPr>
        <w:t xml:space="preserve">(5):356-363. DOI: 10.1136/heartjnl-2022-321608 </w:t>
      </w:r>
    </w:p>
    <w:p w14:paraId="5E0AFDB1" w14:textId="77777777" w:rsidR="0095207C" w:rsidRPr="0095207C" w:rsidRDefault="0095207C" w:rsidP="0095207C">
      <w:pPr>
        <w:spacing w:line="360" w:lineRule="auto"/>
        <w:contextualSpacing/>
        <w:rPr>
          <w:lang w:val="en-US" w:eastAsia="es-ES"/>
        </w:rPr>
      </w:pPr>
      <w:r w:rsidRPr="0095207C">
        <w:rPr>
          <w:lang w:val="en-US" w:eastAsia="es-ES"/>
        </w:rPr>
        <w:t xml:space="preserve">17. Gawałko M, Lodziński P, Budnik M, Tymińska A, Wancerz A, Ozierański K, et al. </w:t>
      </w:r>
      <w:proofErr w:type="gramStart"/>
      <w:r w:rsidRPr="0095207C">
        <w:rPr>
          <w:lang w:val="en-US" w:eastAsia="es-ES"/>
        </w:rPr>
        <w:t>Vascular disease</w:t>
      </w:r>
      <w:proofErr w:type="gramEnd"/>
      <w:r w:rsidRPr="0095207C">
        <w:rPr>
          <w:lang w:val="en-US" w:eastAsia="es-ES"/>
        </w:rPr>
        <w:t xml:space="preserve"> in patients with atrial fibrillation. A report from Polish participants in the EORP‐AF General Long‐Term Registry. International Journal of Clinical Practice. 2020; 75:9. DOI: 10.1111/ijcp.13701   </w:t>
      </w:r>
    </w:p>
    <w:p w14:paraId="66B36336" w14:textId="77777777" w:rsidR="0095207C" w:rsidRPr="0095207C" w:rsidRDefault="0095207C" w:rsidP="0095207C">
      <w:pPr>
        <w:spacing w:line="360" w:lineRule="auto"/>
        <w:contextualSpacing/>
        <w:rPr>
          <w:lang w:val="es-ES" w:eastAsia="es-ES"/>
        </w:rPr>
      </w:pPr>
      <w:r w:rsidRPr="0095207C">
        <w:rPr>
          <w:lang w:val="en-US" w:eastAsia="es-ES"/>
        </w:rPr>
        <w:t xml:space="preserve">18. Gudiño A, Chediak C. Epidemiology, pathogenesis and genetics of atrial fibrillation. </w:t>
      </w:r>
      <w:r w:rsidRPr="0095207C">
        <w:rPr>
          <w:lang w:val="es-ES" w:eastAsia="es-ES"/>
        </w:rPr>
        <w:t xml:space="preserve">Medwave Año XII. 2012; </w:t>
      </w:r>
      <w:proofErr w:type="gramStart"/>
      <w:r w:rsidRPr="0095207C">
        <w:rPr>
          <w:lang w:val="es-ES" w:eastAsia="es-ES"/>
        </w:rPr>
        <w:t>3:e</w:t>
      </w:r>
      <w:proofErr w:type="gramEnd"/>
      <w:r w:rsidRPr="0095207C">
        <w:rPr>
          <w:lang w:val="es-ES" w:eastAsia="es-ES"/>
        </w:rPr>
        <w:t>5337-e5337. DOI: 10.5867/medwave.2012.03.5337</w:t>
      </w:r>
    </w:p>
    <w:p w14:paraId="0AF20EC0" w14:textId="77777777" w:rsidR="0095207C" w:rsidRPr="0095207C" w:rsidRDefault="0095207C" w:rsidP="0095207C">
      <w:pPr>
        <w:spacing w:line="360" w:lineRule="auto"/>
        <w:contextualSpacing/>
        <w:rPr>
          <w:color w:val="FF0000"/>
          <w:lang w:val="es-MX" w:eastAsia="es-ES"/>
        </w:rPr>
      </w:pPr>
      <w:r w:rsidRPr="0095207C">
        <w:rPr>
          <w:lang w:val="es-ES" w:eastAsia="es-ES"/>
        </w:rPr>
        <w:t xml:space="preserve">19. Mora-Llabata V, Dubois-Marqués D, Roldán-Torres I, Mateu-Navarro C, Sanz-García JJ, Moreno-Ballester V, et al. Prevalencia de fibrilación auricular y características de la fibrilación auricular no valvular en la población general. Registro AFINVA. Revista Colombiana de Cardiología. </w:t>
      </w:r>
      <w:r w:rsidRPr="0095207C">
        <w:rPr>
          <w:lang w:val="es-MX" w:eastAsia="es-ES"/>
        </w:rPr>
        <w:t>2017 [acceso: 17/02/2023]; 24(1): 26-</w:t>
      </w:r>
      <w:proofErr w:type="gramStart"/>
      <w:r w:rsidRPr="0095207C">
        <w:rPr>
          <w:lang w:val="es-MX" w:eastAsia="es-ES"/>
        </w:rPr>
        <w:t>33.Disponible</w:t>
      </w:r>
      <w:proofErr w:type="gramEnd"/>
      <w:r w:rsidRPr="0095207C">
        <w:rPr>
          <w:lang w:val="es-MX" w:eastAsia="es-ES"/>
        </w:rPr>
        <w:t xml:space="preserve"> en:</w:t>
      </w:r>
      <w:r w:rsidRPr="0095207C">
        <w:rPr>
          <w:rFonts w:ascii="Calibri" w:eastAsia="Calibri" w:hAnsi="Calibri"/>
          <w:sz w:val="22"/>
          <w:szCs w:val="22"/>
          <w:lang w:val="es-ES" w:eastAsia="en-US"/>
        </w:rPr>
        <w:t xml:space="preserve"> </w:t>
      </w:r>
      <w:hyperlink r:id="rId21" w:history="1">
        <w:r w:rsidRPr="0095207C">
          <w:rPr>
            <w:color w:val="0000FF"/>
            <w:lang w:val="es-MX" w:eastAsia="es-ES"/>
          </w:rPr>
          <w:t>https://www.sciencedirect.com/science/article/pii/S0120563316300079</w:t>
        </w:r>
      </w:hyperlink>
      <w:r w:rsidRPr="0095207C">
        <w:rPr>
          <w:lang w:val="es-MX" w:eastAsia="es-ES"/>
        </w:rPr>
        <w:t xml:space="preserve"> </w:t>
      </w:r>
    </w:p>
    <w:p w14:paraId="032C8018" w14:textId="77777777" w:rsidR="0095207C" w:rsidRPr="0095207C" w:rsidRDefault="0095207C" w:rsidP="0095207C">
      <w:pPr>
        <w:spacing w:line="360" w:lineRule="auto"/>
        <w:contextualSpacing/>
        <w:rPr>
          <w:lang w:val="en-US" w:eastAsia="es-ES"/>
        </w:rPr>
      </w:pPr>
      <w:r w:rsidRPr="0095207C">
        <w:rPr>
          <w:lang w:val="en-US" w:eastAsia="es-ES"/>
        </w:rPr>
        <w:t xml:space="preserve">20. Kramer CM, DiMarco JP, Kolm P, Ho CY, Desai MY, Kwong RY, et al. Predictors of Major Atrial Fibrillation Endpoints in the National Heart, Lung, and Blood Institute HCMR. JACC: Clinical Electrophysiology. 2021; 7(11):1376–86. DOI 10.1016/j.jacep.2021.04.004 </w:t>
      </w:r>
    </w:p>
    <w:p w14:paraId="5D3ACFDD" w14:textId="77777777" w:rsidR="0095207C" w:rsidRPr="0095207C" w:rsidRDefault="0095207C" w:rsidP="0095207C">
      <w:pPr>
        <w:spacing w:line="360" w:lineRule="auto"/>
        <w:contextualSpacing/>
        <w:rPr>
          <w:lang w:val="es-ES" w:eastAsia="es-ES"/>
        </w:rPr>
      </w:pPr>
      <w:r w:rsidRPr="0095207C">
        <w:rPr>
          <w:lang w:val="es-ES" w:eastAsia="es-ES"/>
        </w:rPr>
        <w:t xml:space="preserve">21. Collazo Rodríguez PM, Rodríguez Leyva D, Pérez Martín O, Cruz Cardentey M, Mengana Betancourt A, Prohías Martínez J, et al. Índice predictivo clínico, electrocardiográfico y ecocardiográfico de las recurrencias de la fibrilación auricular paroxística. CorSalud. 2017 [acceso: 20/01/2023]; 9(2):59-69. Disponible en: </w:t>
      </w:r>
      <w:hyperlink r:id="rId22" w:history="1">
        <w:r w:rsidRPr="0095207C">
          <w:rPr>
            <w:color w:val="0000FF"/>
            <w:lang w:val="es-ES" w:eastAsia="es-ES"/>
          </w:rPr>
          <w:t>http://scielo.sld.cu/scielo.php?script=sci_arttext&amp;pid=S207871702017000200002&amp;lng=es</w:t>
        </w:r>
      </w:hyperlink>
      <w:r w:rsidRPr="0095207C">
        <w:rPr>
          <w:lang w:val="es-ES" w:eastAsia="es-ES"/>
        </w:rPr>
        <w:t xml:space="preserve"> </w:t>
      </w:r>
    </w:p>
    <w:p w14:paraId="34454581" w14:textId="77777777" w:rsidR="0095207C" w:rsidRPr="0095207C" w:rsidRDefault="0095207C" w:rsidP="0095207C">
      <w:pPr>
        <w:spacing w:line="360" w:lineRule="auto"/>
        <w:contextualSpacing/>
        <w:rPr>
          <w:lang w:val="en-US" w:eastAsia="es-ES"/>
        </w:rPr>
      </w:pPr>
      <w:r w:rsidRPr="0095207C">
        <w:rPr>
          <w:lang w:val="es-ES" w:eastAsia="es-ES"/>
        </w:rPr>
        <w:lastRenderedPageBreak/>
        <w:t xml:space="preserve">22. Núñez García JC, Sánchez Puente A, Sampedro-Gómez J, Vicente-Palacios, V, Jiménez-Navarro, M, Oterino-Manzanas et al. </w:t>
      </w:r>
      <w:r w:rsidRPr="0095207C">
        <w:rPr>
          <w:lang w:val="en-US" w:eastAsia="es-ES"/>
        </w:rPr>
        <w:t xml:space="preserve">Outcome Analysis in Elective Electrical Cardioversion of Atrial Fibrillation Patients: Development and Validation of a Machine Learning Prognostic Model. Journal of clinical medicine. 2022; 11(9):2636. DOI: 10.3390/jcm11092636 </w:t>
      </w:r>
    </w:p>
    <w:p w14:paraId="608825C7" w14:textId="77777777" w:rsidR="0095207C" w:rsidRPr="0095207C" w:rsidRDefault="0095207C" w:rsidP="0095207C">
      <w:pPr>
        <w:spacing w:line="360" w:lineRule="auto"/>
        <w:contextualSpacing/>
        <w:rPr>
          <w:lang w:val="es-ES" w:eastAsia="es-ES"/>
        </w:rPr>
      </w:pPr>
      <w:r w:rsidRPr="0095207C">
        <w:rPr>
          <w:lang w:val="en-US" w:eastAsia="es-ES"/>
        </w:rPr>
        <w:t xml:space="preserve">23. Niederdöckl J, Simon A, Cacioppo F, Buchtele N, Merrelaar A, Schütz N, et al. Predicting spontaneous conversion to sinus rhythm in symptomatic atrial fibrillation: The ReSinus score. </w:t>
      </w:r>
      <w:r w:rsidRPr="0095207C">
        <w:rPr>
          <w:lang w:val="es-ES" w:eastAsia="es-ES"/>
        </w:rPr>
        <w:t xml:space="preserve">European Journal of Internal Medicine. 2021 [acceso: 19/03/2023]; 83:45–53. Disponible en: </w:t>
      </w:r>
      <w:hyperlink r:id="rId23" w:history="1">
        <w:r w:rsidRPr="0095207C">
          <w:rPr>
            <w:color w:val="0000FF"/>
            <w:lang w:val="es-ES" w:eastAsia="es-ES"/>
          </w:rPr>
          <w:t>https://www.sciencedirect.com/science/article/pii/S0953620520303150</w:t>
        </w:r>
      </w:hyperlink>
      <w:r w:rsidRPr="0095207C">
        <w:rPr>
          <w:lang w:val="es-ES" w:eastAsia="es-ES"/>
        </w:rPr>
        <w:t xml:space="preserve"> </w:t>
      </w:r>
    </w:p>
    <w:p w14:paraId="621E1ACF" w14:textId="77777777" w:rsidR="0095207C" w:rsidRPr="0095207C" w:rsidRDefault="0095207C" w:rsidP="0095207C">
      <w:pPr>
        <w:spacing w:line="360" w:lineRule="auto"/>
        <w:contextualSpacing/>
        <w:rPr>
          <w:lang w:val="es-ES" w:eastAsia="es-ES"/>
        </w:rPr>
      </w:pPr>
      <w:r w:rsidRPr="0095207C">
        <w:rPr>
          <w:lang w:val="es-ES" w:eastAsia="es-ES"/>
        </w:rPr>
        <w:t>24. Díaz-Narváez VP. Regresión logística y decisiones clínicas. Nutrición Hospitalaria. 2017; 34(6):1505-1505. DOI: 10.20960/nh.1468</w:t>
      </w:r>
    </w:p>
    <w:p w14:paraId="37F75709" w14:textId="77777777" w:rsidR="0095207C" w:rsidRPr="0095207C" w:rsidRDefault="0095207C" w:rsidP="0095207C">
      <w:pPr>
        <w:spacing w:line="360" w:lineRule="auto"/>
        <w:contextualSpacing/>
        <w:rPr>
          <w:lang w:val="es-ES" w:eastAsia="es-ES"/>
        </w:rPr>
      </w:pPr>
      <w:r w:rsidRPr="0095207C">
        <w:rPr>
          <w:lang w:val="es-ES" w:eastAsia="es-ES"/>
        </w:rPr>
        <w:t xml:space="preserve">25. Domínguez Dueñas L, Goode-Romero G, Aguayo-Ortiza R. Relaciones cuantitativas estructura-actividad/propiedad en dos dimensiones empleando el programa R. Educación Química. 2019; 930(2):27. DOI: 10.22201/fq.18708404e.2019.2.67211 </w:t>
      </w:r>
    </w:p>
    <w:p w14:paraId="26D2B3F6" w14:textId="77777777" w:rsidR="0095207C" w:rsidRPr="0095207C" w:rsidRDefault="0095207C" w:rsidP="0095207C">
      <w:pPr>
        <w:spacing w:line="360" w:lineRule="auto"/>
        <w:contextualSpacing/>
        <w:rPr>
          <w:lang w:val="es-ES" w:eastAsia="es-ES"/>
        </w:rPr>
      </w:pPr>
      <w:r w:rsidRPr="0095207C">
        <w:rPr>
          <w:lang w:val="es-ES" w:eastAsia="es-ES"/>
        </w:rPr>
        <w:t xml:space="preserve">26. Bermúdez Yera G, Barreto Fiu E, Chaljub-Bravo E, López de la Cruz Y, Naranjo Ugalde A, Rabassa- López –Calleja M, et. Diseño y validación de la escala pronostica cubana PREDICMED para estratificar el riesgo de mediastinitis postoperatoria. Corsalud 2020 [acceso: 17/11/2023];12(4) [aprox. 9 pag.] disponible en </w:t>
      </w:r>
      <w:hyperlink r:id="rId24" w:history="1">
        <w:r w:rsidRPr="0095207C">
          <w:rPr>
            <w:color w:val="0000FF"/>
            <w:lang w:val="es-ES" w:eastAsia="es-ES"/>
          </w:rPr>
          <w:t>https://revcorsalud.sld.cu/index.php/cors/article/view/734</w:t>
        </w:r>
      </w:hyperlink>
      <w:r w:rsidRPr="0095207C">
        <w:rPr>
          <w:lang w:val="es-ES" w:eastAsia="es-ES"/>
        </w:rPr>
        <w:t xml:space="preserve"> </w:t>
      </w:r>
    </w:p>
    <w:p w14:paraId="7C4EA6FA" w14:textId="77777777" w:rsidR="0095207C" w:rsidRPr="0095207C" w:rsidRDefault="0095207C" w:rsidP="0095207C">
      <w:pPr>
        <w:spacing w:line="360" w:lineRule="auto"/>
        <w:contextualSpacing/>
        <w:jc w:val="center"/>
        <w:rPr>
          <w:b/>
          <w:lang w:val="es-ES" w:eastAsia="es-ES"/>
        </w:rPr>
      </w:pPr>
    </w:p>
    <w:p w14:paraId="7068B104" w14:textId="77777777" w:rsidR="0095207C" w:rsidRPr="0095207C" w:rsidRDefault="0095207C" w:rsidP="0095207C">
      <w:pPr>
        <w:spacing w:line="360" w:lineRule="auto"/>
        <w:contextualSpacing/>
        <w:jc w:val="center"/>
        <w:rPr>
          <w:b/>
          <w:lang w:val="es-ES" w:eastAsia="es-ES"/>
        </w:rPr>
      </w:pPr>
    </w:p>
    <w:p w14:paraId="7B5BCB61" w14:textId="77777777" w:rsidR="0095207C" w:rsidRPr="0095207C" w:rsidRDefault="0095207C" w:rsidP="0095207C">
      <w:pPr>
        <w:spacing w:line="360" w:lineRule="auto"/>
        <w:contextualSpacing/>
        <w:jc w:val="center"/>
        <w:rPr>
          <w:b/>
          <w:lang w:val="es-ES" w:eastAsia="es-ES"/>
        </w:rPr>
      </w:pPr>
      <w:r w:rsidRPr="0095207C">
        <w:rPr>
          <w:b/>
          <w:lang w:val="es-ES" w:eastAsia="es-ES"/>
        </w:rPr>
        <w:t>Conflictos de interés</w:t>
      </w:r>
    </w:p>
    <w:p w14:paraId="0B963BDB" w14:textId="77777777" w:rsidR="0095207C" w:rsidRPr="0095207C" w:rsidRDefault="0095207C" w:rsidP="0095207C">
      <w:pPr>
        <w:spacing w:line="360" w:lineRule="auto"/>
        <w:contextualSpacing/>
        <w:rPr>
          <w:lang w:val="es-ES" w:eastAsia="es-ES"/>
        </w:rPr>
      </w:pPr>
      <w:r w:rsidRPr="0095207C">
        <w:rPr>
          <w:lang w:val="es-ES" w:eastAsia="es-ES"/>
        </w:rPr>
        <w:t>Los autores declaran no tener conflictos de intereses.</w:t>
      </w:r>
    </w:p>
    <w:p w14:paraId="1D82FE87" w14:textId="77777777" w:rsidR="0095207C" w:rsidRPr="0095207C" w:rsidRDefault="0095207C" w:rsidP="0095207C">
      <w:pPr>
        <w:spacing w:line="360" w:lineRule="auto"/>
        <w:contextualSpacing/>
        <w:jc w:val="both"/>
        <w:rPr>
          <w:lang w:val="es-ES" w:eastAsia="es-ES"/>
        </w:rPr>
      </w:pPr>
    </w:p>
    <w:p w14:paraId="456B3CD6" w14:textId="77777777" w:rsidR="0095207C" w:rsidRPr="0095207C" w:rsidRDefault="0095207C" w:rsidP="0095207C">
      <w:pPr>
        <w:spacing w:line="360" w:lineRule="auto"/>
        <w:jc w:val="center"/>
        <w:rPr>
          <w:b/>
          <w:lang w:val="es-ES" w:eastAsia="es-ES"/>
        </w:rPr>
      </w:pPr>
      <w:bookmarkStart w:id="15" w:name="_Hlk118965132"/>
      <w:r w:rsidRPr="0095207C">
        <w:rPr>
          <w:b/>
          <w:lang w:val="es-ES" w:eastAsia="es-ES"/>
        </w:rPr>
        <w:t>Contribuciones de los autores</w:t>
      </w:r>
    </w:p>
    <w:bookmarkEnd w:id="15"/>
    <w:p w14:paraId="3E09B5A2" w14:textId="77777777" w:rsidR="0095207C" w:rsidRPr="0095207C" w:rsidRDefault="0095207C" w:rsidP="0095207C">
      <w:pPr>
        <w:spacing w:line="360" w:lineRule="auto"/>
        <w:jc w:val="both"/>
        <w:rPr>
          <w:rFonts w:eastAsia="Calibri"/>
          <w:i/>
          <w:lang w:val="es-ES" w:eastAsia="en-US"/>
        </w:rPr>
      </w:pPr>
      <w:r w:rsidRPr="0095207C">
        <w:rPr>
          <w:rFonts w:eastAsia="Calibri"/>
          <w:lang w:val="es-ES" w:eastAsia="en-US"/>
        </w:rPr>
        <w:t xml:space="preserve">Conceptualización: </w:t>
      </w:r>
      <w:r w:rsidRPr="0095207C">
        <w:rPr>
          <w:rFonts w:eastAsia="Calibri"/>
          <w:i/>
          <w:lang w:val="es-ES" w:eastAsia="en-US"/>
        </w:rPr>
        <w:t xml:space="preserve">Yoandro Rosabal García. </w:t>
      </w:r>
    </w:p>
    <w:p w14:paraId="1589E42B" w14:textId="77777777" w:rsidR="0095207C" w:rsidRPr="0095207C" w:rsidRDefault="0095207C" w:rsidP="0095207C">
      <w:pPr>
        <w:spacing w:line="360" w:lineRule="auto"/>
        <w:rPr>
          <w:rFonts w:eastAsia="Calibri"/>
          <w:i/>
          <w:lang w:val="es-ES" w:eastAsia="en-US"/>
        </w:rPr>
      </w:pPr>
      <w:r w:rsidRPr="0095207C">
        <w:rPr>
          <w:rFonts w:eastAsia="Calibri"/>
          <w:lang w:val="es-ES" w:eastAsia="en-US"/>
        </w:rPr>
        <w:t xml:space="preserve">Curación de datos: </w:t>
      </w:r>
      <w:r w:rsidRPr="0095207C">
        <w:rPr>
          <w:rFonts w:eastAsia="Calibri"/>
          <w:i/>
          <w:lang w:val="es-ES" w:eastAsia="en-US"/>
        </w:rPr>
        <w:t xml:space="preserve">Yoandro Rosabal García. </w:t>
      </w:r>
    </w:p>
    <w:p w14:paraId="6602F0B4" w14:textId="77777777" w:rsidR="0095207C" w:rsidRPr="0095207C" w:rsidRDefault="0095207C" w:rsidP="0095207C">
      <w:pPr>
        <w:spacing w:line="360" w:lineRule="auto"/>
        <w:jc w:val="both"/>
        <w:rPr>
          <w:rFonts w:eastAsia="Calibri"/>
          <w:i/>
          <w:lang w:val="es-ES" w:eastAsia="en-US"/>
        </w:rPr>
      </w:pPr>
      <w:r w:rsidRPr="0095207C">
        <w:rPr>
          <w:rFonts w:eastAsia="Calibri"/>
          <w:lang w:val="es-ES" w:eastAsia="en-US"/>
        </w:rPr>
        <w:t xml:space="preserve">Análisis formal: </w:t>
      </w:r>
      <w:r w:rsidRPr="0095207C">
        <w:rPr>
          <w:rFonts w:eastAsia="Calibri"/>
          <w:i/>
          <w:lang w:val="es-ES" w:eastAsia="en-US"/>
        </w:rPr>
        <w:t>Eddy Alberto Rosales Guibert.</w:t>
      </w:r>
    </w:p>
    <w:p w14:paraId="19D9143E" w14:textId="77777777" w:rsidR="0095207C" w:rsidRPr="0095207C" w:rsidRDefault="0095207C" w:rsidP="0095207C">
      <w:pPr>
        <w:spacing w:line="360" w:lineRule="auto"/>
        <w:jc w:val="both"/>
        <w:rPr>
          <w:rFonts w:eastAsia="Calibri"/>
          <w:i/>
          <w:lang w:val="es-ES" w:eastAsia="en-US"/>
        </w:rPr>
      </w:pPr>
      <w:r w:rsidRPr="0095207C">
        <w:rPr>
          <w:rFonts w:eastAsia="Calibri"/>
          <w:lang w:val="es-ES" w:eastAsia="en-US"/>
        </w:rPr>
        <w:t xml:space="preserve">Investigación: </w:t>
      </w:r>
      <w:r w:rsidRPr="0095207C">
        <w:rPr>
          <w:rFonts w:eastAsia="Calibri"/>
          <w:i/>
          <w:lang w:val="es-ES" w:eastAsia="en-US"/>
        </w:rPr>
        <w:t xml:space="preserve">Yoandro Rosabal García. </w:t>
      </w:r>
    </w:p>
    <w:p w14:paraId="37EA42C0" w14:textId="77777777" w:rsidR="0095207C" w:rsidRPr="0095207C" w:rsidRDefault="0095207C" w:rsidP="0095207C">
      <w:pPr>
        <w:spacing w:line="360" w:lineRule="auto"/>
        <w:jc w:val="both"/>
        <w:rPr>
          <w:rFonts w:eastAsia="Calibri"/>
          <w:i/>
          <w:lang w:val="es-ES" w:eastAsia="en-US"/>
        </w:rPr>
      </w:pPr>
      <w:r w:rsidRPr="0095207C">
        <w:rPr>
          <w:rFonts w:eastAsia="Calibri"/>
          <w:lang w:val="es-ES" w:eastAsia="en-US"/>
        </w:rPr>
        <w:t xml:space="preserve">Metodología: </w:t>
      </w:r>
      <w:r w:rsidRPr="0095207C">
        <w:rPr>
          <w:rFonts w:eastAsia="Calibri"/>
          <w:i/>
          <w:lang w:val="es-ES" w:eastAsia="en-US"/>
        </w:rPr>
        <w:t xml:space="preserve">Eddy Alberto Rosales Guibert. </w:t>
      </w:r>
    </w:p>
    <w:p w14:paraId="310F8A61" w14:textId="77777777" w:rsidR="0095207C" w:rsidRPr="0095207C" w:rsidRDefault="0095207C" w:rsidP="0095207C">
      <w:pPr>
        <w:spacing w:line="360" w:lineRule="auto"/>
        <w:jc w:val="both"/>
        <w:rPr>
          <w:rFonts w:eastAsia="Calibri"/>
          <w:lang w:val="es-ES" w:eastAsia="en-US"/>
        </w:rPr>
      </w:pPr>
      <w:r w:rsidRPr="0095207C">
        <w:rPr>
          <w:rFonts w:eastAsia="Calibri"/>
          <w:lang w:val="es-ES" w:eastAsia="en-US"/>
        </w:rPr>
        <w:lastRenderedPageBreak/>
        <w:t xml:space="preserve">Administración del proyecto: </w:t>
      </w:r>
      <w:r w:rsidRPr="0095207C">
        <w:rPr>
          <w:rFonts w:eastAsia="Calibri"/>
          <w:i/>
          <w:lang w:val="es-ES" w:eastAsia="en-US"/>
        </w:rPr>
        <w:t>Yoandro Rosabal García.</w:t>
      </w:r>
      <w:r w:rsidRPr="0095207C">
        <w:rPr>
          <w:rFonts w:eastAsia="Calibri"/>
          <w:lang w:val="es-ES" w:eastAsia="en-US"/>
        </w:rPr>
        <w:t xml:space="preserve"> </w:t>
      </w:r>
    </w:p>
    <w:p w14:paraId="3C3C81C8" w14:textId="77777777" w:rsidR="0095207C" w:rsidRPr="0095207C" w:rsidRDefault="0095207C" w:rsidP="0095207C">
      <w:pPr>
        <w:spacing w:line="360" w:lineRule="auto"/>
        <w:jc w:val="both"/>
        <w:rPr>
          <w:rFonts w:eastAsia="Calibri"/>
          <w:lang w:val="es-ES" w:eastAsia="en-US"/>
        </w:rPr>
      </w:pPr>
      <w:r w:rsidRPr="0095207C">
        <w:rPr>
          <w:rFonts w:eastAsia="Calibri"/>
          <w:lang w:val="es-ES" w:eastAsia="en-US"/>
        </w:rPr>
        <w:t xml:space="preserve">Recursos: </w:t>
      </w:r>
      <w:r w:rsidRPr="0095207C">
        <w:rPr>
          <w:rFonts w:eastAsia="Calibri"/>
          <w:i/>
          <w:lang w:val="es-ES" w:eastAsia="en-US"/>
        </w:rPr>
        <w:t>Lorchen Torres Quiñones.</w:t>
      </w:r>
      <w:r w:rsidRPr="0095207C">
        <w:rPr>
          <w:rFonts w:eastAsia="Calibri"/>
          <w:lang w:val="es-ES" w:eastAsia="en-US"/>
        </w:rPr>
        <w:t xml:space="preserve"> </w:t>
      </w:r>
    </w:p>
    <w:p w14:paraId="784BA7A0" w14:textId="77777777" w:rsidR="0095207C" w:rsidRPr="0095207C" w:rsidRDefault="0095207C" w:rsidP="0095207C">
      <w:pPr>
        <w:spacing w:line="360" w:lineRule="auto"/>
        <w:jc w:val="both"/>
        <w:rPr>
          <w:rFonts w:eastAsia="Calibri"/>
          <w:lang w:val="es-ES" w:eastAsia="en-US"/>
        </w:rPr>
      </w:pPr>
      <w:r w:rsidRPr="0095207C">
        <w:rPr>
          <w:rFonts w:eastAsia="Calibri"/>
          <w:lang w:val="es-ES" w:eastAsia="en-US"/>
        </w:rPr>
        <w:t xml:space="preserve">Software: </w:t>
      </w:r>
      <w:bookmarkStart w:id="16" w:name="_Hlk117084771"/>
      <w:r w:rsidRPr="0095207C">
        <w:rPr>
          <w:rFonts w:eastAsia="Calibri"/>
          <w:i/>
          <w:lang w:val="es-ES" w:eastAsia="en-US"/>
        </w:rPr>
        <w:t>Lorchen Torres Quiñones.</w:t>
      </w:r>
      <w:r w:rsidRPr="0095207C">
        <w:rPr>
          <w:rFonts w:eastAsia="Calibri"/>
          <w:lang w:val="es-ES" w:eastAsia="en-US"/>
        </w:rPr>
        <w:t xml:space="preserve"> </w:t>
      </w:r>
      <w:bookmarkEnd w:id="16"/>
    </w:p>
    <w:p w14:paraId="096A9A64" w14:textId="77777777" w:rsidR="0095207C" w:rsidRPr="0095207C" w:rsidRDefault="0095207C" w:rsidP="0095207C">
      <w:pPr>
        <w:spacing w:line="360" w:lineRule="auto"/>
        <w:jc w:val="both"/>
        <w:rPr>
          <w:rFonts w:eastAsia="Calibri"/>
          <w:i/>
          <w:lang w:val="es-ES" w:eastAsia="en-US"/>
        </w:rPr>
      </w:pPr>
      <w:r w:rsidRPr="0095207C">
        <w:rPr>
          <w:rFonts w:eastAsia="Calibri"/>
          <w:lang w:val="es-ES" w:eastAsia="en-US"/>
        </w:rPr>
        <w:t xml:space="preserve">Supervisión: </w:t>
      </w:r>
      <w:r w:rsidRPr="0095207C">
        <w:rPr>
          <w:rFonts w:eastAsia="Calibri"/>
          <w:i/>
          <w:lang w:val="es-ES" w:eastAsia="en-US"/>
        </w:rPr>
        <w:t xml:space="preserve">Yoandro Rosabal García. </w:t>
      </w:r>
    </w:p>
    <w:p w14:paraId="59B1AC25" w14:textId="77777777" w:rsidR="0095207C" w:rsidRPr="0095207C" w:rsidRDefault="0095207C" w:rsidP="0095207C">
      <w:pPr>
        <w:spacing w:line="360" w:lineRule="auto"/>
        <w:jc w:val="both"/>
        <w:rPr>
          <w:rFonts w:eastAsia="Calibri"/>
          <w:i/>
          <w:lang w:val="es-ES" w:eastAsia="en-US"/>
        </w:rPr>
      </w:pPr>
      <w:r w:rsidRPr="0095207C">
        <w:rPr>
          <w:rFonts w:eastAsia="Calibri"/>
          <w:lang w:val="es-ES" w:eastAsia="en-US"/>
        </w:rPr>
        <w:t xml:space="preserve">Validación: </w:t>
      </w:r>
      <w:r w:rsidRPr="0095207C">
        <w:rPr>
          <w:rFonts w:eastAsia="Calibri"/>
          <w:i/>
          <w:lang w:val="es-ES" w:eastAsia="en-US"/>
        </w:rPr>
        <w:t xml:space="preserve">Eddy Alberto Rosales Guibert. </w:t>
      </w:r>
    </w:p>
    <w:p w14:paraId="1025DBAA" w14:textId="77777777" w:rsidR="0095207C" w:rsidRPr="0095207C" w:rsidRDefault="0095207C" w:rsidP="0095207C">
      <w:pPr>
        <w:spacing w:line="360" w:lineRule="auto"/>
        <w:jc w:val="both"/>
        <w:rPr>
          <w:rFonts w:eastAsia="Calibri"/>
          <w:lang w:val="es-ES" w:eastAsia="en-US"/>
        </w:rPr>
      </w:pPr>
      <w:r w:rsidRPr="0095207C">
        <w:rPr>
          <w:rFonts w:eastAsia="Calibri"/>
          <w:lang w:val="es-ES" w:eastAsia="en-US"/>
        </w:rPr>
        <w:t xml:space="preserve">Visualización: </w:t>
      </w:r>
      <w:r w:rsidRPr="0095207C">
        <w:rPr>
          <w:rFonts w:eastAsia="Calibri"/>
          <w:i/>
          <w:lang w:val="es-ES" w:eastAsia="en-US"/>
        </w:rPr>
        <w:t>Yoandro Rosabal García.</w:t>
      </w:r>
      <w:r w:rsidRPr="0095207C">
        <w:rPr>
          <w:rFonts w:eastAsia="Calibri"/>
          <w:lang w:val="es-ES" w:eastAsia="en-US"/>
        </w:rPr>
        <w:t xml:space="preserve"> </w:t>
      </w:r>
    </w:p>
    <w:p w14:paraId="1768C288" w14:textId="77777777" w:rsidR="0095207C" w:rsidRPr="0095207C" w:rsidRDefault="0095207C" w:rsidP="0095207C">
      <w:pPr>
        <w:spacing w:line="360" w:lineRule="auto"/>
        <w:jc w:val="both"/>
        <w:rPr>
          <w:rFonts w:eastAsia="Calibri"/>
          <w:lang w:val="es-ES" w:eastAsia="en-US"/>
        </w:rPr>
      </w:pPr>
      <w:r w:rsidRPr="0095207C">
        <w:rPr>
          <w:rFonts w:eastAsia="Calibri"/>
          <w:lang w:val="es-ES" w:eastAsia="en-US"/>
        </w:rPr>
        <w:t xml:space="preserve">Redacción – borrador original: </w:t>
      </w:r>
      <w:r w:rsidRPr="0095207C">
        <w:rPr>
          <w:rFonts w:eastAsia="Calibri"/>
          <w:i/>
          <w:lang w:val="es-ES" w:eastAsia="en-US"/>
        </w:rPr>
        <w:t>Lorchen Torres Quiñones</w:t>
      </w:r>
      <w:r w:rsidRPr="0095207C">
        <w:rPr>
          <w:rFonts w:eastAsia="Calibri"/>
          <w:lang w:val="es-ES" w:eastAsia="en-US"/>
        </w:rPr>
        <w:t>.</w:t>
      </w:r>
    </w:p>
    <w:p w14:paraId="28FB909B" w14:textId="77777777" w:rsidR="0095207C" w:rsidRPr="0095207C" w:rsidRDefault="0095207C" w:rsidP="0095207C">
      <w:pPr>
        <w:spacing w:line="360" w:lineRule="auto"/>
        <w:jc w:val="both"/>
        <w:rPr>
          <w:rFonts w:eastAsia="Calibri"/>
          <w:lang w:val="es-ES" w:eastAsia="en-US"/>
        </w:rPr>
      </w:pPr>
      <w:r w:rsidRPr="0095207C">
        <w:rPr>
          <w:rFonts w:eastAsia="Calibri"/>
          <w:lang w:val="es-ES" w:eastAsia="en-US"/>
        </w:rPr>
        <w:t xml:space="preserve">Redacción – revisión y edición: </w:t>
      </w:r>
      <w:r w:rsidRPr="0095207C">
        <w:rPr>
          <w:rFonts w:eastAsia="Calibri"/>
          <w:i/>
          <w:lang w:val="es-ES" w:eastAsia="en-US"/>
        </w:rPr>
        <w:t>Yoandro Rosabal García</w:t>
      </w:r>
      <w:r w:rsidRPr="0095207C">
        <w:rPr>
          <w:rFonts w:eastAsia="Calibri"/>
          <w:lang w:val="es-ES" w:eastAsia="en-US"/>
        </w:rPr>
        <w:t>.</w:t>
      </w:r>
    </w:p>
    <w:p w14:paraId="7D4F4447" w14:textId="77777777" w:rsidR="00675476" w:rsidRPr="0055115D" w:rsidRDefault="00675476" w:rsidP="00EA1FEF">
      <w:pPr>
        <w:pStyle w:val="PDFRevista"/>
      </w:pPr>
    </w:p>
    <w:sectPr w:rsidR="00675476" w:rsidRPr="0055115D" w:rsidSect="00FD3DF8">
      <w:headerReference w:type="default" r:id="rId25"/>
      <w:footerReference w:type="even" r:id="rId26"/>
      <w:footerReference w:type="default" r:id="rId2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7298D" w14:textId="77777777" w:rsidR="0050325A" w:rsidRDefault="0050325A">
      <w:r>
        <w:separator/>
      </w:r>
    </w:p>
  </w:endnote>
  <w:endnote w:type="continuationSeparator" w:id="0">
    <w:p w14:paraId="3A03B8A6" w14:textId="77777777" w:rsidR="0050325A" w:rsidRDefault="00503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B6DC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0FEFB1A"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E94297" w14:textId="77777777" w:rsidR="000F3690" w:rsidRPr="00AE044C" w:rsidRDefault="000F3690" w:rsidP="00391509">
    <w:pPr>
      <w:pStyle w:val="Piedepgina"/>
      <w:ind w:right="360"/>
      <w:rPr>
        <w:sz w:val="22"/>
        <w:szCs w:val="22"/>
      </w:rPr>
    </w:pPr>
    <w:r>
      <w:rPr>
        <w:noProof/>
        <w:lang w:val="en-US" w:eastAsia="en-US"/>
      </w:rPr>
      <mc:AlternateContent>
        <mc:Choice Requires="wps">
          <w:drawing>
            <wp:anchor distT="0" distB="0" distL="114300" distR="114300" simplePos="0" relativeHeight="251656192" behindDoc="0" locked="0" layoutInCell="1" allowOverlap="1" wp14:anchorId="27D5CAC2" wp14:editId="4FD03C08">
              <wp:simplePos x="0" y="0"/>
              <wp:positionH relativeFrom="column">
                <wp:posOffset>3810</wp:posOffset>
              </wp:positionH>
              <wp:positionV relativeFrom="paragraph">
                <wp:posOffset>50165</wp:posOffset>
              </wp:positionV>
              <wp:extent cx="6286500" cy="19050"/>
              <wp:effectExtent l="19050" t="19050" r="19050" b="1905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06403A" id="Line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B293cscBAABuAwAADgAAAAAAAAAAAAAA&#10;AAAuAgAAZHJzL2Uyb0RvYy54bWxQSwECLQAUAAYACAAAACEAhoC+k9oAAAAFAQAADwAAAAAAAAAA&#10;AAAAAAAhBAAAZHJzL2Rvd25yZXYueG1sUEsFBgAAAAAEAAQA8wAAACgFAAAAAA==&#10;" strokecolor="blue" strokeweight="2.25pt"/>
          </w:pict>
        </mc:Fallback>
      </mc:AlternateContent>
    </w:r>
  </w:p>
  <w:p w14:paraId="61AC9CEE" w14:textId="77777777" w:rsidR="00675476" w:rsidRPr="00AE044C" w:rsidRDefault="0050325A" w:rsidP="00391509">
    <w:pPr>
      <w:pStyle w:val="Piedepgina"/>
      <w:ind w:right="360"/>
      <w:rPr>
        <w:sz w:val="22"/>
        <w:szCs w:val="22"/>
      </w:rPr>
    </w:pPr>
    <w:hyperlink r:id="rId1" w:history="1">
      <w:r w:rsidR="00391509" w:rsidRPr="00AE044C">
        <w:rPr>
          <w:rStyle w:val="Hipervnculo"/>
          <w:sz w:val="22"/>
          <w:szCs w:val="22"/>
        </w:rPr>
        <w:t>http://scielo.sld.cu</w:t>
      </w:r>
    </w:hyperlink>
  </w:p>
  <w:p w14:paraId="360D3CE4" w14:textId="77777777" w:rsidR="00391509" w:rsidRPr="00AE044C" w:rsidRDefault="0050325A" w:rsidP="00AE044C">
    <w:pPr>
      <w:pStyle w:val="Piedepgina"/>
      <w:tabs>
        <w:tab w:val="clear" w:pos="4252"/>
        <w:tab w:val="left" w:pos="8504"/>
      </w:tabs>
      <w:ind w:right="360"/>
      <w:rPr>
        <w:sz w:val="22"/>
        <w:szCs w:val="22"/>
      </w:rPr>
    </w:pPr>
    <w:hyperlink r:id="rId2" w:history="1">
      <w:r w:rsidR="00A66186" w:rsidRPr="003B01A8">
        <w:rPr>
          <w:rStyle w:val="Hipervnculo"/>
          <w:sz w:val="22"/>
          <w:szCs w:val="22"/>
        </w:rPr>
        <w:t>https://revmedmilitar.sld.cu</w:t>
      </w:r>
    </w:hyperlink>
    <w:r w:rsidR="00391509" w:rsidRPr="00AE044C">
      <w:rPr>
        <w:sz w:val="22"/>
        <w:szCs w:val="22"/>
      </w:rPr>
      <w:t xml:space="preserve"> </w:t>
    </w:r>
    <w:r w:rsidR="00AE044C">
      <w:rPr>
        <w:sz w:val="22"/>
        <w:szCs w:val="22"/>
      </w:rPr>
      <w:tab/>
    </w:r>
  </w:p>
  <w:p w14:paraId="34E5B5EB" w14:textId="77777777"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Pr>
        <w:rFonts w:ascii="Verdana" w:hAnsi="Verdana"/>
        <w:noProof/>
        <w:sz w:val="18"/>
        <w:szCs w:val="18"/>
        <w:lang w:val="en-US" w:eastAsia="en-US"/>
      </w:rPr>
      <w:drawing>
        <wp:inline distT="0" distB="0" distL="0" distR="0" wp14:anchorId="029BEAA8" wp14:editId="3285EA27">
          <wp:extent cx="642106" cy="148894"/>
          <wp:effectExtent l="0" t="0" r="5715" b="3810"/>
          <wp:docPr id="8"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Commons.png"/>
                  <pic:cNvPicPr/>
                </pic:nvPicPr>
                <pic:blipFill>
                  <a:blip r:embed="rId4">
                    <a:extLst>
                      <a:ext uri="{28A0092B-C50C-407E-A947-70E740481C1C}">
                        <a14:useLocalDpi xmlns:a14="http://schemas.microsoft.com/office/drawing/2010/main" val="0"/>
                      </a:ext>
                    </a:extLst>
                  </a:blip>
                  <a:stretch>
                    <a:fillRect/>
                  </a:stretch>
                </pic:blipFill>
                <pic:spPr>
                  <a:xfrm>
                    <a:off x="0" y="0"/>
                    <a:ext cx="792951" cy="18387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7201A2" w14:textId="77777777" w:rsidR="0050325A" w:rsidRDefault="0050325A">
      <w:r>
        <w:separator/>
      </w:r>
    </w:p>
  </w:footnote>
  <w:footnote w:type="continuationSeparator" w:id="0">
    <w:p w14:paraId="45443733" w14:textId="77777777" w:rsidR="0050325A" w:rsidRDefault="005032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1EDE88" w14:textId="225F8BE4" w:rsidR="00CC376A" w:rsidRPr="00AE044C" w:rsidRDefault="0095207C"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4</w:t>
    </w:r>
    <w:r w:rsidR="007D2D0C" w:rsidRPr="00AE044C">
      <w:rPr>
        <w:sz w:val="22"/>
        <w:szCs w:val="22"/>
      </w:rPr>
      <w:t>):</w:t>
    </w:r>
    <w:r w:rsidR="007D2D0C">
      <w:rPr>
        <w:b/>
        <w:noProof/>
        <w:color w:val="00FFFF"/>
        <w:sz w:val="22"/>
        <w:szCs w:val="22"/>
        <w:lang w:val="en-US" w:eastAsia="en-US"/>
      </w:rPr>
      <w:drawing>
        <wp:anchor distT="0" distB="0" distL="114300" distR="114300" simplePos="0" relativeHeight="251663360" behindDoc="1" locked="0" layoutInCell="1" allowOverlap="1" wp14:anchorId="51350E8D" wp14:editId="7B7C2092">
          <wp:simplePos x="0" y="0"/>
          <wp:positionH relativeFrom="column">
            <wp:posOffset>2540</wp:posOffset>
          </wp:positionH>
          <wp:positionV relativeFrom="paragraph">
            <wp:posOffset>-598539</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6333490" cy="593725"/>
                  </a:xfrm>
                  <a:prstGeom prst="rect">
                    <a:avLst/>
                  </a:prstGeom>
                </pic:spPr>
              </pic:pic>
            </a:graphicData>
          </a:graphic>
        </wp:anchor>
      </w:drawing>
    </w:r>
    <w:r>
      <w:rPr>
        <w:sz w:val="22"/>
        <w:szCs w:val="22"/>
      </w:rPr>
      <w:t>e02302831</w:t>
    </w:r>
  </w:p>
  <w:p w14:paraId="614BF373" w14:textId="77777777" w:rsidR="00A477DE" w:rsidRDefault="000F3690">
    <w:r w:rsidRPr="00CC376A">
      <w:rPr>
        <w:rFonts w:ascii="Verdana" w:hAnsi="Verdana"/>
        <w:noProof/>
        <w:color w:val="00FFFF"/>
        <w:sz w:val="18"/>
        <w:szCs w:val="18"/>
        <w:lang w:val="en-US" w:eastAsia="en-US"/>
      </w:rPr>
      <mc:AlternateContent>
        <mc:Choice Requires="wps">
          <w:drawing>
            <wp:anchor distT="0" distB="0" distL="114300" distR="114300" simplePos="0" relativeHeight="251654144" behindDoc="0" locked="0" layoutInCell="1" allowOverlap="1" wp14:anchorId="63FA69B6" wp14:editId="18B661E2">
              <wp:simplePos x="0" y="0"/>
              <wp:positionH relativeFrom="column">
                <wp:posOffset>709</wp:posOffset>
              </wp:positionH>
              <wp:positionV relativeFrom="paragraph">
                <wp:posOffset>42486</wp:posOffset>
              </wp:positionV>
              <wp:extent cx="6307322" cy="28575"/>
              <wp:effectExtent l="19050" t="19050" r="36830" b="2857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322" cy="28575"/>
                      </a:xfrm>
                      <a:prstGeom prst="line">
                        <a:avLst/>
                      </a:prstGeom>
                      <a:noFill/>
                      <a:ln w="28575">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F23249" id="Line 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03E4"/>
    <w:multiLevelType w:val="hybridMultilevel"/>
    <w:tmpl w:val="C6B6AECC"/>
    <w:lvl w:ilvl="0" w:tplc="9554605C">
      <w:numFmt w:val="bullet"/>
      <w:lvlText w:val=""/>
      <w:lvlJc w:val="left"/>
      <w:pPr>
        <w:ind w:left="2520" w:hanging="360"/>
      </w:pPr>
      <w:rPr>
        <w:rFonts w:ascii="Wingdings" w:eastAsia="Times New Roman" w:hAnsi="Wingdings" w:cs="Arial" w:hint="default"/>
      </w:rPr>
    </w:lvl>
    <w:lvl w:ilvl="1" w:tplc="0C0A000D">
      <w:start w:val="1"/>
      <w:numFmt w:val="bullet"/>
      <w:lvlText w:val=""/>
      <w:lvlJc w:val="left"/>
      <w:pPr>
        <w:ind w:left="2520" w:hanging="360"/>
      </w:pPr>
      <w:rPr>
        <w:rFonts w:ascii="Wingdings" w:hAnsi="Wingdings"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 w15:restartNumberingAfterBreak="0">
    <w:nsid w:val="08956132"/>
    <w:multiLevelType w:val="hybridMultilevel"/>
    <w:tmpl w:val="0B483C14"/>
    <w:lvl w:ilvl="0" w:tplc="AEB4DF32">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F8F13B9"/>
    <w:multiLevelType w:val="hybridMultilevel"/>
    <w:tmpl w:val="F7646FB6"/>
    <w:lvl w:ilvl="0" w:tplc="DAEE96C2">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11633629"/>
    <w:multiLevelType w:val="hybridMultilevel"/>
    <w:tmpl w:val="1A4637C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4DF5DB9"/>
    <w:multiLevelType w:val="hybridMultilevel"/>
    <w:tmpl w:val="B4A6FB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79C707F"/>
    <w:multiLevelType w:val="hybridMultilevel"/>
    <w:tmpl w:val="0B4836F0"/>
    <w:lvl w:ilvl="0" w:tplc="0C0A000D">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1B6B13BC"/>
    <w:multiLevelType w:val="hybridMultilevel"/>
    <w:tmpl w:val="79120CB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C103B23"/>
    <w:multiLevelType w:val="hybridMultilevel"/>
    <w:tmpl w:val="CC8A566C"/>
    <w:lvl w:ilvl="0" w:tplc="AEB4DF32">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C144F3C"/>
    <w:multiLevelType w:val="hybridMultilevel"/>
    <w:tmpl w:val="A75E5D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F9E71D6"/>
    <w:multiLevelType w:val="hybridMultilevel"/>
    <w:tmpl w:val="047436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337673F3"/>
    <w:multiLevelType w:val="hybridMultilevel"/>
    <w:tmpl w:val="D4C04E0E"/>
    <w:lvl w:ilvl="0" w:tplc="D122B94A">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36DD741F"/>
    <w:multiLevelType w:val="hybridMultilevel"/>
    <w:tmpl w:val="2C52BFD4"/>
    <w:lvl w:ilvl="0" w:tplc="AEB4DF32">
      <w:start w:val="1"/>
      <w:numFmt w:val="decimal"/>
      <w:lvlText w:val="%1-"/>
      <w:lvlJc w:val="left"/>
      <w:pPr>
        <w:ind w:left="1065" w:hanging="705"/>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3C2B03A6"/>
    <w:multiLevelType w:val="hybridMultilevel"/>
    <w:tmpl w:val="364A44C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ED40C2C"/>
    <w:multiLevelType w:val="hybridMultilevel"/>
    <w:tmpl w:val="5882DDFC"/>
    <w:lvl w:ilvl="0" w:tplc="A5C4F8D2">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F0B5B05"/>
    <w:multiLevelType w:val="hybridMultilevel"/>
    <w:tmpl w:val="50C4FB1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0AB2794"/>
    <w:multiLevelType w:val="hybridMultilevel"/>
    <w:tmpl w:val="1BC83AB0"/>
    <w:lvl w:ilvl="0" w:tplc="70201902">
      <w:start w:val="1"/>
      <w:numFmt w:val="decimal"/>
      <w:lvlText w:val="%1."/>
      <w:lvlJc w:val="left"/>
      <w:pPr>
        <w:ind w:left="36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49E50C06"/>
    <w:multiLevelType w:val="hybridMultilevel"/>
    <w:tmpl w:val="179AC04A"/>
    <w:lvl w:ilvl="0" w:tplc="0C0A000F">
      <w:start w:val="1"/>
      <w:numFmt w:val="decimal"/>
      <w:lvlText w:val="%1."/>
      <w:lvlJc w:val="left"/>
      <w:pPr>
        <w:ind w:left="786"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7"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8" w15:restartNumberingAfterBreak="0">
    <w:nsid w:val="51A324F6"/>
    <w:multiLevelType w:val="multilevel"/>
    <w:tmpl w:val="DB76B60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65011D9"/>
    <w:multiLevelType w:val="hybridMultilevel"/>
    <w:tmpl w:val="EB14E0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5E467826"/>
    <w:multiLevelType w:val="hybridMultilevel"/>
    <w:tmpl w:val="4C0A900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60BB3DA5"/>
    <w:multiLevelType w:val="hybridMultilevel"/>
    <w:tmpl w:val="3822C89C"/>
    <w:lvl w:ilvl="0" w:tplc="94E24B36">
      <w:start w:val="1"/>
      <w:numFmt w:val="decimal"/>
      <w:lvlText w:val="%1."/>
      <w:lvlJc w:val="left"/>
      <w:pPr>
        <w:ind w:left="36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6B458D6"/>
    <w:multiLevelType w:val="hybridMultilevel"/>
    <w:tmpl w:val="CFF8E940"/>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686A665D"/>
    <w:multiLevelType w:val="hybridMultilevel"/>
    <w:tmpl w:val="92CAD3B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72AE54FB"/>
    <w:multiLevelType w:val="hybridMultilevel"/>
    <w:tmpl w:val="D68898B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54B0A58"/>
    <w:multiLevelType w:val="hybridMultilevel"/>
    <w:tmpl w:val="09649A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7"/>
  </w:num>
  <w:num w:numId="2">
    <w:abstractNumId w:val="21"/>
  </w:num>
  <w:num w:numId="3">
    <w:abstractNumId w:val="3"/>
  </w:num>
  <w:num w:numId="4">
    <w:abstractNumId w:val="6"/>
  </w:num>
  <w:num w:numId="5">
    <w:abstractNumId w:val="5"/>
  </w:num>
  <w:num w:numId="6">
    <w:abstractNumId w:val="8"/>
  </w:num>
  <w:num w:numId="7">
    <w:abstractNumId w:val="23"/>
  </w:num>
  <w:num w:numId="8">
    <w:abstractNumId w:val="16"/>
  </w:num>
  <w:num w:numId="9">
    <w:abstractNumId w:val="0"/>
  </w:num>
  <w:num w:numId="10">
    <w:abstractNumId w:val="20"/>
  </w:num>
  <w:num w:numId="11">
    <w:abstractNumId w:val="24"/>
  </w:num>
  <w:num w:numId="12">
    <w:abstractNumId w:val="14"/>
  </w:num>
  <w:num w:numId="13">
    <w:abstractNumId w:val="1"/>
  </w:num>
  <w:num w:numId="14">
    <w:abstractNumId w:val="7"/>
  </w:num>
  <w:num w:numId="15">
    <w:abstractNumId w:val="11"/>
  </w:num>
  <w:num w:numId="16">
    <w:abstractNumId w:val="9"/>
  </w:num>
  <w:num w:numId="17">
    <w:abstractNumId w:val="18"/>
    <w:lvlOverride w:ilvl="0">
      <w:startOverride w:val="1"/>
    </w:lvlOverride>
    <w:lvlOverride w:ilvl="1"/>
    <w:lvlOverride w:ilvl="2"/>
    <w:lvlOverride w:ilvl="3"/>
    <w:lvlOverride w:ilvl="4"/>
    <w:lvlOverride w:ilvl="5"/>
    <w:lvlOverride w:ilvl="6"/>
    <w:lvlOverride w:ilvl="7"/>
    <w:lvlOverride w:ilvl="8"/>
  </w:num>
  <w:num w:numId="18">
    <w:abstractNumId w:val="4"/>
  </w:num>
  <w:num w:numId="19">
    <w:abstractNumId w:val="15"/>
  </w:num>
  <w:num w:numId="2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9"/>
  </w:num>
  <w:num w:numId="23">
    <w:abstractNumId w:val="10"/>
  </w:num>
  <w:num w:numId="24">
    <w:abstractNumId w:val="12"/>
  </w:num>
  <w:num w:numId="25">
    <w:abstractNumId w:val="2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07C"/>
    <w:rsid w:val="00016811"/>
    <w:rsid w:val="00057F45"/>
    <w:rsid w:val="000D3958"/>
    <w:rsid w:val="000F3690"/>
    <w:rsid w:val="001221D1"/>
    <w:rsid w:val="00165CB5"/>
    <w:rsid w:val="00180CE9"/>
    <w:rsid w:val="001D56F1"/>
    <w:rsid w:val="00222EF7"/>
    <w:rsid w:val="00230DD5"/>
    <w:rsid w:val="00242F83"/>
    <w:rsid w:val="00250AE9"/>
    <w:rsid w:val="00380D64"/>
    <w:rsid w:val="00391509"/>
    <w:rsid w:val="003E03D5"/>
    <w:rsid w:val="00486BFA"/>
    <w:rsid w:val="00493701"/>
    <w:rsid w:val="004E2065"/>
    <w:rsid w:val="0050325A"/>
    <w:rsid w:val="005508A2"/>
    <w:rsid w:val="0055115D"/>
    <w:rsid w:val="00566F71"/>
    <w:rsid w:val="005918BD"/>
    <w:rsid w:val="006173A6"/>
    <w:rsid w:val="00675476"/>
    <w:rsid w:val="007C430F"/>
    <w:rsid w:val="007D2D0C"/>
    <w:rsid w:val="007D614D"/>
    <w:rsid w:val="00915D3C"/>
    <w:rsid w:val="0095207C"/>
    <w:rsid w:val="00960D6A"/>
    <w:rsid w:val="00991D85"/>
    <w:rsid w:val="009A0560"/>
    <w:rsid w:val="009B0917"/>
    <w:rsid w:val="009F0F96"/>
    <w:rsid w:val="00A23C0C"/>
    <w:rsid w:val="00A477DE"/>
    <w:rsid w:val="00A66186"/>
    <w:rsid w:val="00A71E65"/>
    <w:rsid w:val="00AE044C"/>
    <w:rsid w:val="00B31971"/>
    <w:rsid w:val="00B4380A"/>
    <w:rsid w:val="00B66ECB"/>
    <w:rsid w:val="00C7523A"/>
    <w:rsid w:val="00CC1B6E"/>
    <w:rsid w:val="00CC376A"/>
    <w:rsid w:val="00CC48A1"/>
    <w:rsid w:val="00CF50E0"/>
    <w:rsid w:val="00D85951"/>
    <w:rsid w:val="00E62606"/>
    <w:rsid w:val="00EA1FEF"/>
    <w:rsid w:val="00EC5A6B"/>
    <w:rsid w:val="00EE301D"/>
    <w:rsid w:val="00F91B11"/>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39A6CB"/>
  <w15:docId w15:val="{1B31924A-ABAB-40A2-B2E8-E3EF70494C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paragraph" w:styleId="Ttulo1">
    <w:name w:val="heading 1"/>
    <w:basedOn w:val="Normal"/>
    <w:next w:val="Normal"/>
    <w:link w:val="Ttulo1Car"/>
    <w:uiPriority w:val="9"/>
    <w:qFormat/>
    <w:rsid w:val="0095207C"/>
    <w:pPr>
      <w:keepNext/>
      <w:keepLines/>
      <w:spacing w:before="320" w:after="80"/>
      <w:jc w:val="center"/>
      <w:outlineLvl w:val="0"/>
    </w:pPr>
    <w:rPr>
      <w:rFonts w:ascii="Calibri Light" w:eastAsia="SimSun" w:hAnsi="Calibri Light"/>
      <w:color w:val="2E74B5"/>
      <w:sz w:val="40"/>
      <w:szCs w:val="40"/>
      <w:lang w:val="es-ES" w:eastAsia="es-ES"/>
    </w:rPr>
  </w:style>
  <w:style w:type="paragraph" w:styleId="Ttulo2">
    <w:name w:val="heading 2"/>
    <w:basedOn w:val="Normal"/>
    <w:next w:val="Normal"/>
    <w:link w:val="Ttulo2Car"/>
    <w:uiPriority w:val="9"/>
    <w:semiHidden/>
    <w:unhideWhenUsed/>
    <w:qFormat/>
    <w:rsid w:val="0095207C"/>
    <w:pPr>
      <w:keepNext/>
      <w:keepLines/>
      <w:spacing w:before="160" w:after="40"/>
      <w:jc w:val="center"/>
      <w:outlineLvl w:val="1"/>
    </w:pPr>
    <w:rPr>
      <w:rFonts w:ascii="Calibri Light" w:eastAsia="SimSun" w:hAnsi="Calibri Light"/>
      <w:sz w:val="32"/>
      <w:szCs w:val="32"/>
      <w:lang w:val="es-ES" w:eastAsia="es-ES"/>
    </w:rPr>
  </w:style>
  <w:style w:type="paragraph" w:styleId="Ttulo3">
    <w:name w:val="heading 3"/>
    <w:basedOn w:val="Normal"/>
    <w:next w:val="Normal"/>
    <w:link w:val="Ttulo3Car"/>
    <w:uiPriority w:val="9"/>
    <w:semiHidden/>
    <w:unhideWhenUsed/>
    <w:qFormat/>
    <w:rsid w:val="0095207C"/>
    <w:pPr>
      <w:keepNext/>
      <w:keepLines/>
      <w:spacing w:before="160"/>
      <w:outlineLvl w:val="2"/>
    </w:pPr>
    <w:rPr>
      <w:rFonts w:ascii="Calibri Light" w:eastAsia="SimSun" w:hAnsi="Calibri Light"/>
      <w:sz w:val="32"/>
      <w:szCs w:val="32"/>
      <w:lang w:val="es-ES" w:eastAsia="es-ES"/>
    </w:rPr>
  </w:style>
  <w:style w:type="paragraph" w:styleId="Ttulo4">
    <w:name w:val="heading 4"/>
    <w:basedOn w:val="Normal"/>
    <w:next w:val="Normal"/>
    <w:link w:val="Ttulo4Car"/>
    <w:uiPriority w:val="9"/>
    <w:semiHidden/>
    <w:unhideWhenUsed/>
    <w:qFormat/>
    <w:rsid w:val="0095207C"/>
    <w:pPr>
      <w:keepNext/>
      <w:keepLines/>
      <w:spacing w:before="80" w:line="300" w:lineRule="auto"/>
      <w:outlineLvl w:val="3"/>
    </w:pPr>
    <w:rPr>
      <w:rFonts w:ascii="Calibri Light" w:eastAsia="SimSun" w:hAnsi="Calibri Light"/>
      <w:i/>
      <w:iCs/>
      <w:sz w:val="30"/>
      <w:szCs w:val="30"/>
      <w:lang w:val="es-ES" w:eastAsia="es-ES"/>
    </w:rPr>
  </w:style>
  <w:style w:type="paragraph" w:styleId="Ttulo5">
    <w:name w:val="heading 5"/>
    <w:basedOn w:val="Normal"/>
    <w:next w:val="Normal"/>
    <w:link w:val="Ttulo5Car"/>
    <w:uiPriority w:val="9"/>
    <w:semiHidden/>
    <w:unhideWhenUsed/>
    <w:qFormat/>
    <w:rsid w:val="0095207C"/>
    <w:pPr>
      <w:keepNext/>
      <w:keepLines/>
      <w:spacing w:before="40" w:line="300" w:lineRule="auto"/>
      <w:outlineLvl w:val="4"/>
    </w:pPr>
    <w:rPr>
      <w:rFonts w:ascii="Calibri Light" w:eastAsia="SimSun" w:hAnsi="Calibri Light"/>
      <w:sz w:val="28"/>
      <w:szCs w:val="28"/>
      <w:lang w:val="es-ES" w:eastAsia="es-ES"/>
    </w:rPr>
  </w:style>
  <w:style w:type="paragraph" w:styleId="Ttulo6">
    <w:name w:val="heading 6"/>
    <w:basedOn w:val="Normal"/>
    <w:next w:val="Normal"/>
    <w:link w:val="Ttulo6Car"/>
    <w:uiPriority w:val="9"/>
    <w:semiHidden/>
    <w:unhideWhenUsed/>
    <w:qFormat/>
    <w:rsid w:val="0095207C"/>
    <w:pPr>
      <w:keepNext/>
      <w:keepLines/>
      <w:spacing w:before="40" w:line="300" w:lineRule="auto"/>
      <w:outlineLvl w:val="5"/>
    </w:pPr>
    <w:rPr>
      <w:rFonts w:ascii="Calibri Light" w:eastAsia="SimSun" w:hAnsi="Calibri Light"/>
      <w:i/>
      <w:iCs/>
      <w:sz w:val="26"/>
      <w:szCs w:val="26"/>
      <w:lang w:val="es-ES" w:eastAsia="es-ES"/>
    </w:rPr>
  </w:style>
  <w:style w:type="paragraph" w:styleId="Ttulo7">
    <w:name w:val="heading 7"/>
    <w:basedOn w:val="Normal"/>
    <w:next w:val="Normal"/>
    <w:link w:val="Ttulo7Car"/>
    <w:uiPriority w:val="9"/>
    <w:semiHidden/>
    <w:unhideWhenUsed/>
    <w:qFormat/>
    <w:rsid w:val="0095207C"/>
    <w:pPr>
      <w:keepNext/>
      <w:keepLines/>
      <w:spacing w:before="40" w:line="300" w:lineRule="auto"/>
      <w:outlineLvl w:val="6"/>
    </w:pPr>
    <w:rPr>
      <w:rFonts w:ascii="Calibri Light" w:eastAsia="SimSun" w:hAnsi="Calibri Light"/>
      <w:lang w:val="es-ES" w:eastAsia="es-ES"/>
    </w:rPr>
  </w:style>
  <w:style w:type="paragraph" w:styleId="Ttulo8">
    <w:name w:val="heading 8"/>
    <w:basedOn w:val="Normal"/>
    <w:next w:val="Normal"/>
    <w:link w:val="Ttulo8Car"/>
    <w:uiPriority w:val="9"/>
    <w:semiHidden/>
    <w:unhideWhenUsed/>
    <w:qFormat/>
    <w:rsid w:val="0095207C"/>
    <w:pPr>
      <w:keepNext/>
      <w:keepLines/>
      <w:spacing w:before="40" w:line="300" w:lineRule="auto"/>
      <w:outlineLvl w:val="7"/>
    </w:pPr>
    <w:rPr>
      <w:rFonts w:ascii="Calibri Light" w:eastAsia="SimSun" w:hAnsi="Calibri Light"/>
      <w:i/>
      <w:iCs/>
      <w:sz w:val="22"/>
      <w:szCs w:val="22"/>
      <w:lang w:val="es-ES" w:eastAsia="es-ES"/>
    </w:rPr>
  </w:style>
  <w:style w:type="paragraph" w:styleId="Ttulo9">
    <w:name w:val="heading 9"/>
    <w:basedOn w:val="Normal"/>
    <w:next w:val="Normal"/>
    <w:link w:val="Ttulo9Car"/>
    <w:uiPriority w:val="9"/>
    <w:semiHidden/>
    <w:unhideWhenUsed/>
    <w:qFormat/>
    <w:rsid w:val="0095207C"/>
    <w:pPr>
      <w:keepNext/>
      <w:keepLines/>
      <w:spacing w:before="40" w:line="300" w:lineRule="auto"/>
      <w:outlineLvl w:val="8"/>
    </w:pPr>
    <w:rPr>
      <w:rFonts w:ascii="Calibri" w:hAnsi="Calibri"/>
      <w:b/>
      <w:bCs/>
      <w:i/>
      <w:iCs/>
      <w:sz w:val="21"/>
      <w:szCs w:val="21"/>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themeColor="text1"/>
      <w:lang w:val="es-CU"/>
    </w:rPr>
  </w:style>
  <w:style w:type="character" w:customStyle="1" w:styleId="PDFRevistaCar">
    <w:name w:val="PDF_Revista Car"/>
    <w:basedOn w:val="Fuentedeprrafopredeter"/>
    <w:link w:val="PDFRevista"/>
    <w:rsid w:val="00EA1FEF"/>
    <w:rPr>
      <w:color w:val="000000" w:themeColor="text1"/>
      <w:sz w:val="24"/>
      <w:szCs w:val="24"/>
      <w:lang w:val="es-CU" w:eastAsia="es-ES_tradnl"/>
    </w:rPr>
  </w:style>
  <w:style w:type="character" w:styleId="Mencinsinresolver">
    <w:name w:val="Unresolved Mention"/>
    <w:basedOn w:val="Fuentedeprrafopredeter"/>
    <w:uiPriority w:val="99"/>
    <w:semiHidden/>
    <w:unhideWhenUsed/>
    <w:rsid w:val="00A66186"/>
    <w:rPr>
      <w:color w:val="605E5C"/>
      <w:shd w:val="clear" w:color="auto" w:fill="E1DFDD"/>
    </w:rPr>
  </w:style>
  <w:style w:type="character" w:customStyle="1" w:styleId="Ttulo1Car">
    <w:name w:val="Título 1 Car"/>
    <w:basedOn w:val="Fuentedeprrafopredeter"/>
    <w:link w:val="Ttulo1"/>
    <w:uiPriority w:val="9"/>
    <w:rsid w:val="0095207C"/>
    <w:rPr>
      <w:rFonts w:ascii="Calibri Light" w:eastAsia="SimSun" w:hAnsi="Calibri Light"/>
      <w:color w:val="2E74B5"/>
      <w:sz w:val="40"/>
      <w:szCs w:val="40"/>
    </w:rPr>
  </w:style>
  <w:style w:type="character" w:customStyle="1" w:styleId="Ttulo2Car">
    <w:name w:val="Título 2 Car"/>
    <w:basedOn w:val="Fuentedeprrafopredeter"/>
    <w:link w:val="Ttulo2"/>
    <w:uiPriority w:val="9"/>
    <w:semiHidden/>
    <w:rsid w:val="0095207C"/>
    <w:rPr>
      <w:rFonts w:ascii="Calibri Light" w:eastAsia="SimSun" w:hAnsi="Calibri Light"/>
      <w:sz w:val="32"/>
      <w:szCs w:val="32"/>
    </w:rPr>
  </w:style>
  <w:style w:type="character" w:customStyle="1" w:styleId="Ttulo3Car">
    <w:name w:val="Título 3 Car"/>
    <w:basedOn w:val="Fuentedeprrafopredeter"/>
    <w:link w:val="Ttulo3"/>
    <w:uiPriority w:val="9"/>
    <w:semiHidden/>
    <w:rsid w:val="0095207C"/>
    <w:rPr>
      <w:rFonts w:ascii="Calibri Light" w:eastAsia="SimSun" w:hAnsi="Calibri Light"/>
      <w:sz w:val="32"/>
      <w:szCs w:val="32"/>
    </w:rPr>
  </w:style>
  <w:style w:type="character" w:customStyle="1" w:styleId="Ttulo4Car">
    <w:name w:val="Título 4 Car"/>
    <w:basedOn w:val="Fuentedeprrafopredeter"/>
    <w:link w:val="Ttulo4"/>
    <w:uiPriority w:val="9"/>
    <w:semiHidden/>
    <w:rsid w:val="0095207C"/>
    <w:rPr>
      <w:rFonts w:ascii="Calibri Light" w:eastAsia="SimSun" w:hAnsi="Calibri Light"/>
      <w:i/>
      <w:iCs/>
      <w:sz w:val="30"/>
      <w:szCs w:val="30"/>
    </w:rPr>
  </w:style>
  <w:style w:type="character" w:customStyle="1" w:styleId="Ttulo5Car">
    <w:name w:val="Título 5 Car"/>
    <w:basedOn w:val="Fuentedeprrafopredeter"/>
    <w:link w:val="Ttulo5"/>
    <w:uiPriority w:val="9"/>
    <w:semiHidden/>
    <w:rsid w:val="0095207C"/>
    <w:rPr>
      <w:rFonts w:ascii="Calibri Light" w:eastAsia="SimSun" w:hAnsi="Calibri Light"/>
      <w:sz w:val="28"/>
      <w:szCs w:val="28"/>
    </w:rPr>
  </w:style>
  <w:style w:type="character" w:customStyle="1" w:styleId="Ttulo6Car">
    <w:name w:val="Título 6 Car"/>
    <w:basedOn w:val="Fuentedeprrafopredeter"/>
    <w:link w:val="Ttulo6"/>
    <w:uiPriority w:val="9"/>
    <w:semiHidden/>
    <w:rsid w:val="0095207C"/>
    <w:rPr>
      <w:rFonts w:ascii="Calibri Light" w:eastAsia="SimSun" w:hAnsi="Calibri Light"/>
      <w:i/>
      <w:iCs/>
      <w:sz w:val="26"/>
      <w:szCs w:val="26"/>
    </w:rPr>
  </w:style>
  <w:style w:type="character" w:customStyle="1" w:styleId="Ttulo7Car">
    <w:name w:val="Título 7 Car"/>
    <w:basedOn w:val="Fuentedeprrafopredeter"/>
    <w:link w:val="Ttulo7"/>
    <w:uiPriority w:val="9"/>
    <w:semiHidden/>
    <w:rsid w:val="0095207C"/>
    <w:rPr>
      <w:rFonts w:ascii="Calibri Light" w:eastAsia="SimSun" w:hAnsi="Calibri Light"/>
      <w:sz w:val="24"/>
      <w:szCs w:val="24"/>
    </w:rPr>
  </w:style>
  <w:style w:type="character" w:customStyle="1" w:styleId="Ttulo8Car">
    <w:name w:val="Título 8 Car"/>
    <w:basedOn w:val="Fuentedeprrafopredeter"/>
    <w:link w:val="Ttulo8"/>
    <w:uiPriority w:val="9"/>
    <w:semiHidden/>
    <w:rsid w:val="0095207C"/>
    <w:rPr>
      <w:rFonts w:ascii="Calibri Light" w:eastAsia="SimSun" w:hAnsi="Calibri Light"/>
      <w:i/>
      <w:iCs/>
      <w:sz w:val="22"/>
      <w:szCs w:val="22"/>
    </w:rPr>
  </w:style>
  <w:style w:type="character" w:customStyle="1" w:styleId="Ttulo9Car">
    <w:name w:val="Título 9 Car"/>
    <w:basedOn w:val="Fuentedeprrafopredeter"/>
    <w:link w:val="Ttulo9"/>
    <w:uiPriority w:val="9"/>
    <w:semiHidden/>
    <w:rsid w:val="0095207C"/>
    <w:rPr>
      <w:rFonts w:ascii="Calibri" w:hAnsi="Calibri"/>
      <w:b/>
      <w:bCs/>
      <w:i/>
      <w:iCs/>
      <w:sz w:val="21"/>
      <w:szCs w:val="21"/>
    </w:rPr>
  </w:style>
  <w:style w:type="numbering" w:customStyle="1" w:styleId="Sinlista1">
    <w:name w:val="Sin lista1"/>
    <w:next w:val="Sinlista"/>
    <w:uiPriority w:val="99"/>
    <w:semiHidden/>
    <w:unhideWhenUsed/>
    <w:rsid w:val="0095207C"/>
  </w:style>
  <w:style w:type="numbering" w:customStyle="1" w:styleId="Sinlista11">
    <w:name w:val="Sin lista11"/>
    <w:next w:val="Sinlista"/>
    <w:uiPriority w:val="99"/>
    <w:semiHidden/>
    <w:unhideWhenUsed/>
    <w:rsid w:val="0095207C"/>
  </w:style>
  <w:style w:type="character" w:styleId="nfasissutil">
    <w:name w:val="Subtle Emphasis"/>
    <w:uiPriority w:val="19"/>
    <w:qFormat/>
    <w:rsid w:val="0095207C"/>
    <w:rPr>
      <w:i/>
      <w:iCs/>
      <w:color w:val="595959"/>
    </w:rPr>
  </w:style>
  <w:style w:type="paragraph" w:styleId="Ttulo">
    <w:name w:val="Title"/>
    <w:basedOn w:val="Normal"/>
    <w:next w:val="Normal"/>
    <w:link w:val="TtuloCar"/>
    <w:uiPriority w:val="10"/>
    <w:qFormat/>
    <w:rsid w:val="0095207C"/>
    <w:pPr>
      <w:pBdr>
        <w:top w:val="single" w:sz="6" w:space="8" w:color="A5A5A5"/>
        <w:bottom w:val="single" w:sz="6" w:space="8" w:color="A5A5A5"/>
      </w:pBdr>
      <w:spacing w:after="400"/>
      <w:contextualSpacing/>
      <w:jc w:val="center"/>
    </w:pPr>
    <w:rPr>
      <w:rFonts w:ascii="Calibri Light" w:eastAsia="SimSun" w:hAnsi="Calibri Light"/>
      <w:caps/>
      <w:color w:val="44546A"/>
      <w:spacing w:val="30"/>
      <w:sz w:val="72"/>
      <w:szCs w:val="72"/>
      <w:lang w:val="es-ES" w:eastAsia="es-ES"/>
    </w:rPr>
  </w:style>
  <w:style w:type="character" w:customStyle="1" w:styleId="TtuloCar">
    <w:name w:val="Título Car"/>
    <w:basedOn w:val="Fuentedeprrafopredeter"/>
    <w:link w:val="Ttulo"/>
    <w:uiPriority w:val="10"/>
    <w:rsid w:val="0095207C"/>
    <w:rPr>
      <w:rFonts w:ascii="Calibri Light" w:eastAsia="SimSun" w:hAnsi="Calibri Light"/>
      <w:caps/>
      <w:color w:val="44546A"/>
      <w:spacing w:val="30"/>
      <w:sz w:val="72"/>
      <w:szCs w:val="72"/>
    </w:rPr>
  </w:style>
  <w:style w:type="paragraph" w:styleId="Subttulo">
    <w:name w:val="Subtitle"/>
    <w:basedOn w:val="Normal"/>
    <w:next w:val="Normal"/>
    <w:link w:val="SubttuloCar"/>
    <w:uiPriority w:val="11"/>
    <w:qFormat/>
    <w:rsid w:val="0095207C"/>
    <w:pPr>
      <w:numPr>
        <w:ilvl w:val="1"/>
      </w:numPr>
      <w:spacing w:after="160" w:line="300" w:lineRule="auto"/>
      <w:jc w:val="center"/>
    </w:pPr>
    <w:rPr>
      <w:rFonts w:ascii="Calibri" w:hAnsi="Calibri"/>
      <w:color w:val="44546A"/>
      <w:sz w:val="28"/>
      <w:szCs w:val="28"/>
      <w:lang w:val="es-ES" w:eastAsia="es-ES"/>
    </w:rPr>
  </w:style>
  <w:style w:type="character" w:customStyle="1" w:styleId="SubttuloCar">
    <w:name w:val="Subtítulo Car"/>
    <w:basedOn w:val="Fuentedeprrafopredeter"/>
    <w:link w:val="Subttulo"/>
    <w:uiPriority w:val="11"/>
    <w:rsid w:val="0095207C"/>
    <w:rPr>
      <w:rFonts w:ascii="Calibri" w:hAnsi="Calibri"/>
      <w:color w:val="44546A"/>
      <w:sz w:val="28"/>
      <w:szCs w:val="28"/>
    </w:rPr>
  </w:style>
  <w:style w:type="character" w:customStyle="1" w:styleId="EncabezadoCar1">
    <w:name w:val="Encabezado Car1"/>
    <w:basedOn w:val="Fuentedeprrafopredeter"/>
    <w:uiPriority w:val="99"/>
    <w:semiHidden/>
    <w:rsid w:val="0095207C"/>
  </w:style>
  <w:style w:type="table" w:styleId="Sombreadoclaro">
    <w:name w:val="Light Shading"/>
    <w:basedOn w:val="Tablanormal"/>
    <w:uiPriority w:val="60"/>
    <w:rsid w:val="0095207C"/>
    <w:rPr>
      <w:rFonts w:ascii="Calibri" w:hAnsi="Calibri"/>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aconcuadrcula1">
    <w:name w:val="Tabla con cuadrícula1"/>
    <w:basedOn w:val="Tablanormal"/>
    <w:next w:val="Tablaconcuadrcula"/>
    <w:uiPriority w:val="59"/>
    <w:rsid w:val="0095207C"/>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Cuadrculaclara-nfasis1">
    <w:name w:val="Light Grid Accent 1"/>
    <w:basedOn w:val="Tablanormal"/>
    <w:uiPriority w:val="62"/>
    <w:rsid w:val="0095207C"/>
    <w:rPr>
      <w:rFonts w:ascii="Calibri" w:hAnsi="Calibri"/>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Verdana" w:eastAsia="Times New Roman" w:hAnsi="Verdan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Verdana" w:eastAsia="Times New Roman" w:hAnsi="Verdan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Mencinsinresolver1">
    <w:name w:val="Mención sin resolver1"/>
    <w:uiPriority w:val="99"/>
    <w:semiHidden/>
    <w:unhideWhenUsed/>
    <w:rsid w:val="0095207C"/>
    <w:rPr>
      <w:color w:val="605E5C"/>
      <w:shd w:val="clear" w:color="auto" w:fill="E1DFDD"/>
    </w:rPr>
  </w:style>
  <w:style w:type="table" w:customStyle="1" w:styleId="Tabladecuadrcula31">
    <w:name w:val="Tabla de cuadrícula 31"/>
    <w:basedOn w:val="Tablanormal"/>
    <w:uiPriority w:val="48"/>
    <w:rsid w:val="0095207C"/>
    <w:rPr>
      <w:rFonts w:ascii="Calibri" w:hAnsi="Calibri"/>
      <w:lang w:val="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Tablaconcuadrcula3-nfasis21">
    <w:name w:val="Tabla con cuadrícula 3 - Énfasis 21"/>
    <w:basedOn w:val="Tablanormal"/>
    <w:uiPriority w:val="48"/>
    <w:rsid w:val="0095207C"/>
    <w:rPr>
      <w:rFonts w:ascii="Calibri" w:hAnsi="Calibri"/>
      <w:lang w:val="en-US"/>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customStyle="1" w:styleId="Tabladelista6concolores1">
    <w:name w:val="Tabla de lista 6 con colores1"/>
    <w:basedOn w:val="Tablanormal"/>
    <w:uiPriority w:val="51"/>
    <w:rsid w:val="0095207C"/>
    <w:rPr>
      <w:rFonts w:ascii="Calibri" w:hAnsi="Calibri"/>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Sombreadoclaro-nfasis1">
    <w:name w:val="Light Shading Accent 1"/>
    <w:basedOn w:val="Tablanormal"/>
    <w:uiPriority w:val="60"/>
    <w:rsid w:val="0095207C"/>
    <w:rPr>
      <w:rFonts w:ascii="Calibri" w:hAnsi="Calibri"/>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Sombreadoclaro-nfasis3">
    <w:name w:val="Light Shading Accent 3"/>
    <w:basedOn w:val="Tablanormal"/>
    <w:uiPriority w:val="60"/>
    <w:rsid w:val="0095207C"/>
    <w:rPr>
      <w:rFonts w:ascii="Calibri" w:hAnsi="Calibri"/>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Tablanormal21">
    <w:name w:val="Tabla normal 21"/>
    <w:basedOn w:val="Tablanormal"/>
    <w:uiPriority w:val="42"/>
    <w:rsid w:val="0095207C"/>
    <w:rPr>
      <w:rFonts w:ascii="Calibri" w:hAnsi="Calibri"/>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normal41">
    <w:name w:val="Tabla normal 41"/>
    <w:basedOn w:val="Tablanormal"/>
    <w:uiPriority w:val="44"/>
    <w:rsid w:val="0095207C"/>
    <w:rPr>
      <w:rFonts w:ascii="Calibri" w:hAnsi="Calibri"/>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nfasis">
    <w:name w:val="Emphasis"/>
    <w:uiPriority w:val="20"/>
    <w:qFormat/>
    <w:rsid w:val="0095207C"/>
    <w:rPr>
      <w:i/>
      <w:iCs/>
      <w:color w:val="000000"/>
    </w:rPr>
  </w:style>
  <w:style w:type="character" w:styleId="Refdecomentario">
    <w:name w:val="annotation reference"/>
    <w:uiPriority w:val="99"/>
    <w:semiHidden/>
    <w:unhideWhenUsed/>
    <w:rsid w:val="0095207C"/>
    <w:rPr>
      <w:sz w:val="16"/>
      <w:szCs w:val="16"/>
    </w:rPr>
  </w:style>
  <w:style w:type="paragraph" w:styleId="Textocomentario">
    <w:name w:val="annotation text"/>
    <w:basedOn w:val="Normal"/>
    <w:link w:val="TextocomentarioCar"/>
    <w:uiPriority w:val="99"/>
    <w:unhideWhenUsed/>
    <w:qFormat/>
    <w:rsid w:val="0095207C"/>
    <w:pPr>
      <w:spacing w:after="160" w:line="300" w:lineRule="auto"/>
    </w:pPr>
    <w:rPr>
      <w:rFonts w:ascii="Calibri" w:hAnsi="Calibri"/>
      <w:sz w:val="20"/>
      <w:szCs w:val="20"/>
      <w:lang w:val="es-ES" w:eastAsia="es-ES"/>
    </w:rPr>
  </w:style>
  <w:style w:type="character" w:customStyle="1" w:styleId="TextocomentarioCar">
    <w:name w:val="Texto comentario Car"/>
    <w:basedOn w:val="Fuentedeprrafopredeter"/>
    <w:link w:val="Textocomentario"/>
    <w:uiPriority w:val="99"/>
    <w:qFormat/>
    <w:rsid w:val="0095207C"/>
    <w:rPr>
      <w:rFonts w:ascii="Calibri" w:hAnsi="Calibri"/>
    </w:rPr>
  </w:style>
  <w:style w:type="paragraph" w:styleId="Asuntodelcomentario">
    <w:name w:val="annotation subject"/>
    <w:basedOn w:val="Textocomentario"/>
    <w:next w:val="Textocomentario"/>
    <w:link w:val="AsuntodelcomentarioCar"/>
    <w:uiPriority w:val="99"/>
    <w:semiHidden/>
    <w:unhideWhenUsed/>
    <w:rsid w:val="0095207C"/>
    <w:rPr>
      <w:b/>
      <w:bCs/>
    </w:rPr>
  </w:style>
  <w:style w:type="character" w:customStyle="1" w:styleId="AsuntodelcomentarioCar">
    <w:name w:val="Asunto del comentario Car"/>
    <w:basedOn w:val="TextocomentarioCar"/>
    <w:link w:val="Asuntodelcomentario"/>
    <w:uiPriority w:val="99"/>
    <w:semiHidden/>
    <w:rsid w:val="0095207C"/>
    <w:rPr>
      <w:rFonts w:ascii="Calibri" w:hAnsi="Calibri"/>
      <w:b/>
      <w:bCs/>
    </w:rPr>
  </w:style>
  <w:style w:type="character" w:customStyle="1" w:styleId="Mencinsinresolver2">
    <w:name w:val="Mención sin resolver2"/>
    <w:uiPriority w:val="99"/>
    <w:semiHidden/>
    <w:unhideWhenUsed/>
    <w:rsid w:val="0095207C"/>
    <w:rPr>
      <w:color w:val="605E5C"/>
      <w:shd w:val="clear" w:color="auto" w:fill="E1DFDD"/>
    </w:rPr>
  </w:style>
  <w:style w:type="table" w:styleId="Sombreadomedio2-nfasis1">
    <w:name w:val="Medium Shading 2 Accent 1"/>
    <w:basedOn w:val="Tablanormal"/>
    <w:uiPriority w:val="64"/>
    <w:rsid w:val="0095207C"/>
    <w:rPr>
      <w:rFonts w:ascii="Calibri" w:hAnsi="Calibri"/>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clara">
    <w:name w:val="Light List"/>
    <w:basedOn w:val="Tablanormal"/>
    <w:uiPriority w:val="61"/>
    <w:rsid w:val="0095207C"/>
    <w:rPr>
      <w:rFonts w:ascii="Calibri" w:hAnsi="Calibri"/>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Estilo1">
    <w:name w:val="Estilo1"/>
    <w:basedOn w:val="Tablaconcuadrcula1clara1"/>
    <w:uiPriority w:val="99"/>
    <w:rsid w:val="0095207C"/>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clara1">
    <w:name w:val="Tabla con cuadrícula clara1"/>
    <w:basedOn w:val="Tablanormal"/>
    <w:uiPriority w:val="40"/>
    <w:rsid w:val="0095207C"/>
    <w:rPr>
      <w:rFonts w:ascii="Calibri" w:hAnsi="Calibri"/>
      <w:lang w:val="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aconcuadrcula1clara1">
    <w:name w:val="Tabla con cuadrícula 1 clara1"/>
    <w:basedOn w:val="Tablanormal"/>
    <w:uiPriority w:val="46"/>
    <w:rsid w:val="0095207C"/>
    <w:rPr>
      <w:rFonts w:ascii="Calibri" w:hAnsi="Calibri"/>
      <w:lang w:val="en-US"/>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normal11">
    <w:name w:val="Tabla normal 11"/>
    <w:basedOn w:val="Tablanormal"/>
    <w:uiPriority w:val="41"/>
    <w:rsid w:val="0095207C"/>
    <w:rPr>
      <w:rFonts w:ascii="Calibri" w:hAnsi="Calibri"/>
      <w:lang w:val="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Listavistosa">
    <w:name w:val="Colorful List"/>
    <w:basedOn w:val="Tablanormal"/>
    <w:uiPriority w:val="72"/>
    <w:rsid w:val="0095207C"/>
    <w:rPr>
      <w:rFonts w:ascii="Calibri" w:hAnsi="Calibri"/>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styleId="Descripcin">
    <w:name w:val="caption"/>
    <w:basedOn w:val="Normal"/>
    <w:next w:val="Normal"/>
    <w:uiPriority w:val="35"/>
    <w:semiHidden/>
    <w:unhideWhenUsed/>
    <w:qFormat/>
    <w:rsid w:val="0095207C"/>
    <w:pPr>
      <w:spacing w:after="160"/>
    </w:pPr>
    <w:rPr>
      <w:rFonts w:ascii="Calibri" w:hAnsi="Calibri"/>
      <w:b/>
      <w:bCs/>
      <w:color w:val="404040"/>
      <w:sz w:val="16"/>
      <w:szCs w:val="16"/>
      <w:lang w:val="es-ES" w:eastAsia="es-ES"/>
    </w:rPr>
  </w:style>
  <w:style w:type="character" w:styleId="Textoennegrita">
    <w:name w:val="Strong"/>
    <w:uiPriority w:val="22"/>
    <w:qFormat/>
    <w:rsid w:val="0095207C"/>
    <w:rPr>
      <w:b/>
      <w:bCs/>
    </w:rPr>
  </w:style>
  <w:style w:type="paragraph" w:styleId="Sinespaciado">
    <w:name w:val="No Spacing"/>
    <w:uiPriority w:val="1"/>
    <w:qFormat/>
    <w:rsid w:val="0095207C"/>
    <w:rPr>
      <w:rFonts w:ascii="Calibri" w:hAnsi="Calibri"/>
      <w:sz w:val="21"/>
      <w:szCs w:val="21"/>
    </w:rPr>
  </w:style>
  <w:style w:type="paragraph" w:styleId="Cita">
    <w:name w:val="Quote"/>
    <w:basedOn w:val="Normal"/>
    <w:next w:val="Normal"/>
    <w:link w:val="CitaCar"/>
    <w:uiPriority w:val="29"/>
    <w:qFormat/>
    <w:rsid w:val="0095207C"/>
    <w:pPr>
      <w:spacing w:before="160" w:after="160" w:line="300" w:lineRule="auto"/>
      <w:ind w:left="720" w:right="720"/>
      <w:jc w:val="center"/>
    </w:pPr>
    <w:rPr>
      <w:rFonts w:ascii="Calibri" w:hAnsi="Calibri"/>
      <w:i/>
      <w:iCs/>
      <w:color w:val="7B7B7B"/>
      <w:lang w:val="es-ES" w:eastAsia="es-ES"/>
    </w:rPr>
  </w:style>
  <w:style w:type="character" w:customStyle="1" w:styleId="CitaCar">
    <w:name w:val="Cita Car"/>
    <w:basedOn w:val="Fuentedeprrafopredeter"/>
    <w:link w:val="Cita"/>
    <w:uiPriority w:val="29"/>
    <w:rsid w:val="0095207C"/>
    <w:rPr>
      <w:rFonts w:ascii="Calibri" w:hAnsi="Calibri"/>
      <w:i/>
      <w:iCs/>
      <w:color w:val="7B7B7B"/>
      <w:sz w:val="24"/>
      <w:szCs w:val="24"/>
    </w:rPr>
  </w:style>
  <w:style w:type="paragraph" w:styleId="Citadestacada">
    <w:name w:val="Intense Quote"/>
    <w:basedOn w:val="Normal"/>
    <w:next w:val="Normal"/>
    <w:link w:val="CitadestacadaCar"/>
    <w:uiPriority w:val="30"/>
    <w:qFormat/>
    <w:rsid w:val="0095207C"/>
    <w:pPr>
      <w:spacing w:before="160" w:after="160" w:line="276" w:lineRule="auto"/>
      <w:ind w:left="936" w:right="936"/>
      <w:jc w:val="center"/>
    </w:pPr>
    <w:rPr>
      <w:rFonts w:ascii="Calibri Light" w:eastAsia="SimSun" w:hAnsi="Calibri Light"/>
      <w:caps/>
      <w:color w:val="2E74B5"/>
      <w:sz w:val="28"/>
      <w:szCs w:val="28"/>
      <w:lang w:val="es-ES" w:eastAsia="es-ES"/>
    </w:rPr>
  </w:style>
  <w:style w:type="character" w:customStyle="1" w:styleId="CitadestacadaCar">
    <w:name w:val="Cita destacada Car"/>
    <w:basedOn w:val="Fuentedeprrafopredeter"/>
    <w:link w:val="Citadestacada"/>
    <w:uiPriority w:val="30"/>
    <w:rsid w:val="0095207C"/>
    <w:rPr>
      <w:rFonts w:ascii="Calibri Light" w:eastAsia="SimSun" w:hAnsi="Calibri Light"/>
      <w:caps/>
      <w:color w:val="2E74B5"/>
      <w:sz w:val="28"/>
      <w:szCs w:val="28"/>
    </w:rPr>
  </w:style>
  <w:style w:type="character" w:styleId="nfasisintenso">
    <w:name w:val="Intense Emphasis"/>
    <w:uiPriority w:val="21"/>
    <w:qFormat/>
    <w:rsid w:val="0095207C"/>
    <w:rPr>
      <w:b/>
      <w:bCs/>
      <w:i/>
      <w:iCs/>
      <w:color w:val="auto"/>
    </w:rPr>
  </w:style>
  <w:style w:type="character" w:styleId="Referenciasutil">
    <w:name w:val="Subtle Reference"/>
    <w:uiPriority w:val="31"/>
    <w:qFormat/>
    <w:rsid w:val="0095207C"/>
    <w:rPr>
      <w:caps w:val="0"/>
      <w:smallCaps/>
      <w:color w:val="404040"/>
      <w:spacing w:val="0"/>
      <w:u w:val="single" w:color="7F7F7F"/>
    </w:rPr>
  </w:style>
  <w:style w:type="character" w:styleId="Referenciaintensa">
    <w:name w:val="Intense Reference"/>
    <w:uiPriority w:val="32"/>
    <w:qFormat/>
    <w:rsid w:val="0095207C"/>
    <w:rPr>
      <w:b/>
      <w:bCs/>
      <w:caps w:val="0"/>
      <w:smallCaps/>
      <w:color w:val="auto"/>
      <w:spacing w:val="0"/>
      <w:u w:val="single"/>
    </w:rPr>
  </w:style>
  <w:style w:type="character" w:styleId="Ttulodellibro">
    <w:name w:val="Book Title"/>
    <w:uiPriority w:val="33"/>
    <w:qFormat/>
    <w:rsid w:val="0095207C"/>
    <w:rPr>
      <w:b/>
      <w:bCs/>
      <w:caps w:val="0"/>
      <w:smallCaps/>
      <w:spacing w:val="0"/>
    </w:rPr>
  </w:style>
  <w:style w:type="paragraph" w:styleId="TtuloTDC">
    <w:name w:val="TOC Heading"/>
    <w:basedOn w:val="Ttulo1"/>
    <w:next w:val="Normal"/>
    <w:uiPriority w:val="39"/>
    <w:semiHidden/>
    <w:unhideWhenUsed/>
    <w:qFormat/>
    <w:rsid w:val="0095207C"/>
    <w:pPr>
      <w:outlineLvl w:val="9"/>
    </w:pPr>
  </w:style>
  <w:style w:type="table" w:customStyle="1" w:styleId="Tabladelista1clara-nfasis31">
    <w:name w:val="Tabla de lista 1 clara - Énfasis 31"/>
    <w:basedOn w:val="Tablanormal"/>
    <w:uiPriority w:val="46"/>
    <w:rsid w:val="0095207C"/>
    <w:rPr>
      <w:rFonts w:ascii="Calibri" w:hAnsi="Calibri"/>
      <w:lang w:val="en-US"/>
    </w:rPr>
    <w:tblPr>
      <w:tblStyleRowBandSize w:val="1"/>
      <w:tblStyleColBandSize w:val="1"/>
    </w:tblPr>
    <w:tblStylePr w:type="firstRow">
      <w:rPr>
        <w:b/>
        <w:bCs/>
      </w:rPr>
      <w:tblPr/>
      <w:tcPr>
        <w:tcBorders>
          <w:bottom w:val="single" w:sz="4" w:space="0" w:color="C9C9C9"/>
        </w:tcBorders>
      </w:tcPr>
    </w:tblStylePr>
    <w:tblStylePr w:type="lastRow">
      <w:rPr>
        <w:b/>
        <w:bCs/>
      </w:rPr>
      <w:tblPr/>
      <w:tcPr>
        <w:tcBorders>
          <w:top w:val="sing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lista21">
    <w:name w:val="Tabla de lista 21"/>
    <w:basedOn w:val="Tablanormal"/>
    <w:uiPriority w:val="47"/>
    <w:rsid w:val="0095207C"/>
    <w:rPr>
      <w:rFonts w:ascii="Calibri" w:hAnsi="Calibri"/>
      <w:lang w:val="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ipervnculovisitado">
    <w:name w:val="FollowedHyperlink"/>
    <w:uiPriority w:val="99"/>
    <w:semiHidden/>
    <w:unhideWhenUsed/>
    <w:rsid w:val="0095207C"/>
    <w:rPr>
      <w:color w:val="954F72"/>
      <w:u w:val="single"/>
    </w:rPr>
  </w:style>
  <w:style w:type="paragraph" w:styleId="Prrafodelista">
    <w:name w:val="List Paragraph"/>
    <w:basedOn w:val="Normal"/>
    <w:uiPriority w:val="34"/>
    <w:qFormat/>
    <w:rsid w:val="0095207C"/>
    <w:pPr>
      <w:spacing w:after="160" w:line="300" w:lineRule="auto"/>
      <w:ind w:left="720"/>
      <w:contextualSpacing/>
    </w:pPr>
    <w:rPr>
      <w:rFonts w:ascii="Calibri" w:hAnsi="Calibri"/>
      <w:sz w:val="21"/>
      <w:szCs w:val="21"/>
      <w:lang w:val="es-ES" w:eastAsia="es-ES"/>
    </w:rPr>
  </w:style>
  <w:style w:type="table" w:customStyle="1" w:styleId="Tablaconcuadrcula1clara-nfasis51">
    <w:name w:val="Tabla con cuadrícula 1 clara - Énfasis 51"/>
    <w:basedOn w:val="Tablanormal"/>
    <w:uiPriority w:val="46"/>
    <w:rsid w:val="0095207C"/>
    <w:rPr>
      <w:rFonts w:ascii="Calibri" w:hAnsi="Calibri"/>
      <w:lang w:val="en-US"/>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normal22">
    <w:name w:val="Tabla normal 22"/>
    <w:basedOn w:val="Tablanormal"/>
    <w:uiPriority w:val="42"/>
    <w:rsid w:val="0095207C"/>
    <w:rPr>
      <w:rFonts w:ascii="Calibri" w:hAnsi="Calibri"/>
      <w:lang w:val="en-US"/>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adelista31">
    <w:name w:val="Tabla de lista 31"/>
    <w:basedOn w:val="Tablanormal"/>
    <w:uiPriority w:val="48"/>
    <w:rsid w:val="0095207C"/>
    <w:rPr>
      <w:rFonts w:ascii="Calibri" w:hAnsi="Calibri"/>
      <w:lang w:val="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Tabladelista2-nfasis31">
    <w:name w:val="Tabla de lista 2 - Énfasis 31"/>
    <w:basedOn w:val="Tablanormal"/>
    <w:uiPriority w:val="47"/>
    <w:rsid w:val="0095207C"/>
    <w:rPr>
      <w:rFonts w:ascii="Calibri" w:hAnsi="Calibri"/>
      <w:lang w:val="en-US"/>
    </w:rPr>
    <w:tblPr>
      <w:tblStyleRowBandSize w:val="1"/>
      <w:tblStyleColBandSize w:val="1"/>
      <w:tblBorders>
        <w:top w:val="single" w:sz="4" w:space="0" w:color="C9C9C9"/>
        <w:bottom w:val="single" w:sz="4" w:space="0" w:color="C9C9C9"/>
        <w:insideH w:val="single" w:sz="4" w:space="0" w:color="C9C9C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Tabladelista6concolores-nfasis11">
    <w:name w:val="Tabla de lista 6 con colores - Énfasis 11"/>
    <w:basedOn w:val="Tablanormal"/>
    <w:uiPriority w:val="51"/>
    <w:rsid w:val="0095207C"/>
    <w:rPr>
      <w:rFonts w:ascii="Calibri" w:eastAsia="Calibri" w:hAnsi="Calibri"/>
      <w:color w:val="2F5496"/>
      <w:lang w:val="en-US" w:eastAsia="en-US"/>
    </w:rPr>
    <w:tblPr>
      <w:tblStyleRowBandSize w:val="1"/>
      <w:tblStyleColBandSize w:val="1"/>
      <w:tblBorders>
        <w:top w:val="single" w:sz="4" w:space="0" w:color="4472C4"/>
        <w:bottom w:val="single" w:sz="4" w:space="0" w:color="4472C4"/>
      </w:tblBorders>
    </w:tblPr>
    <w:tblStylePr w:type="firstRow">
      <w:rPr>
        <w:b/>
        <w:bCs/>
      </w:rPr>
      <w:tblPr/>
      <w:tcPr>
        <w:tcBorders>
          <w:bottom w:val="single" w:sz="4" w:space="0" w:color="4472C4"/>
        </w:tcBorders>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adelista6concolores2">
    <w:name w:val="Tabla de lista 6 con colores2"/>
    <w:basedOn w:val="Tablanormal"/>
    <w:uiPriority w:val="51"/>
    <w:rsid w:val="0095207C"/>
    <w:rPr>
      <w:rFonts w:ascii="Calibri" w:hAnsi="Calibri"/>
      <w:color w:val="000000"/>
      <w:lang w:val="en-US"/>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extoindependiente">
    <w:name w:val="Body Text"/>
    <w:basedOn w:val="Normal"/>
    <w:link w:val="TextoindependienteCar"/>
    <w:uiPriority w:val="99"/>
    <w:unhideWhenUsed/>
    <w:rsid w:val="0095207C"/>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95207C"/>
    <w:rPr>
      <w:rFonts w:ascii="Arial" w:hAnsi="Arial" w:cs="Arial"/>
      <w:sz w:val="12"/>
      <w:szCs w:val="12"/>
    </w:rPr>
  </w:style>
  <w:style w:type="paragraph" w:styleId="Lista">
    <w:name w:val="List"/>
    <w:basedOn w:val="Normal"/>
    <w:uiPriority w:val="99"/>
    <w:unhideWhenUsed/>
    <w:rsid w:val="0095207C"/>
    <w:pPr>
      <w:ind w:left="283" w:hanging="283"/>
      <w:contextualSpacing/>
    </w:pPr>
    <w:rPr>
      <w:rFonts w:ascii="Arial" w:hAnsi="Arial" w:cs="Arial"/>
      <w:sz w:val="12"/>
      <w:szCs w:val="12"/>
      <w:lang w:val="es-ES" w:eastAsia="es-ES"/>
    </w:rPr>
  </w:style>
  <w:style w:type="paragraph" w:styleId="Revisin">
    <w:name w:val="Revision"/>
    <w:hidden/>
    <w:uiPriority w:val="99"/>
    <w:semiHidden/>
    <w:rsid w:val="0095207C"/>
    <w:rPr>
      <w:rFonts w:ascii="Calibri" w:eastAsia="Calibri" w:hAnsi="Calibri"/>
      <w:sz w:val="22"/>
      <w:szCs w:val="22"/>
      <w:lang w:eastAsia="en-US"/>
    </w:rPr>
  </w:style>
  <w:style w:type="character" w:customStyle="1" w:styleId="Mencinsinresolver3">
    <w:name w:val="Mención sin resolver3"/>
    <w:uiPriority w:val="99"/>
    <w:semiHidden/>
    <w:unhideWhenUsed/>
    <w:rsid w:val="0095207C"/>
    <w:rPr>
      <w:color w:val="605E5C"/>
      <w:shd w:val="clear" w:color="auto" w:fill="E1DFDD"/>
    </w:rPr>
  </w:style>
  <w:style w:type="paragraph" w:customStyle="1" w:styleId="p">
    <w:name w:val="p"/>
    <w:basedOn w:val="Normal"/>
    <w:rsid w:val="0095207C"/>
    <w:pPr>
      <w:spacing w:before="100" w:beforeAutospacing="1" w:after="100" w:afterAutospacing="1"/>
    </w:pPr>
    <w:rPr>
      <w:lang w:val="x-none" w:eastAsia="x-none"/>
    </w:rPr>
  </w:style>
  <w:style w:type="character" w:customStyle="1" w:styleId="Mencinsinresolver4">
    <w:name w:val="Mención sin resolver4"/>
    <w:uiPriority w:val="99"/>
    <w:semiHidden/>
    <w:unhideWhenUsed/>
    <w:rsid w:val="0095207C"/>
    <w:rPr>
      <w:color w:val="605E5C"/>
      <w:shd w:val="clear" w:color="auto" w:fill="E1DFDD"/>
    </w:rPr>
  </w:style>
  <w:style w:type="character" w:customStyle="1" w:styleId="Mencinsinresolver5">
    <w:name w:val="Mención sin resolver5"/>
    <w:uiPriority w:val="99"/>
    <w:semiHidden/>
    <w:unhideWhenUsed/>
    <w:rsid w:val="0095207C"/>
    <w:rPr>
      <w:color w:val="605E5C"/>
      <w:shd w:val="clear" w:color="auto" w:fill="E1DFDD"/>
    </w:rPr>
  </w:style>
  <w:style w:type="character" w:styleId="Textodelmarcadordeposicin">
    <w:name w:val="Placeholder Text"/>
    <w:basedOn w:val="Fuentedeprrafopredeter"/>
    <w:uiPriority w:val="99"/>
    <w:semiHidden/>
    <w:rsid w:val="0095207C"/>
    <w:rPr>
      <w:color w:val="808080"/>
    </w:rPr>
  </w:style>
  <w:style w:type="character" w:customStyle="1" w:styleId="Mencinsinresolver6">
    <w:name w:val="Mención sin resolver6"/>
    <w:basedOn w:val="Fuentedeprrafopredeter"/>
    <w:uiPriority w:val="99"/>
    <w:semiHidden/>
    <w:unhideWhenUsed/>
    <w:rsid w:val="0095207C"/>
    <w:rPr>
      <w:color w:val="605E5C"/>
      <w:shd w:val="clear" w:color="auto" w:fill="E1DFDD"/>
    </w:rPr>
  </w:style>
  <w:style w:type="character" w:customStyle="1" w:styleId="Mencinsinresolver7">
    <w:name w:val="Mención sin resolver7"/>
    <w:basedOn w:val="Fuentedeprrafopredeter"/>
    <w:uiPriority w:val="99"/>
    <w:semiHidden/>
    <w:unhideWhenUsed/>
    <w:rsid w:val="009520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2902-5936" TargetMode="External"/><Relationship Id="rId13" Type="http://schemas.openxmlformats.org/officeDocument/2006/relationships/hyperlink" Target="http://www.scielo.org.co/pdf/iat/v30n4/0121-0793-%20iat-30-04-00404.pdf" TargetMode="External"/><Relationship Id="rId18" Type="http://schemas.openxmlformats.org/officeDocument/2006/relationships/hyperlink" Target="https://medisan.sld.cu/index.php/san/article/view/1296"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sciencedirect.com/science/article/pii/S0120563316300079" TargetMode="External"/><Relationship Id="rId7" Type="http://schemas.openxmlformats.org/officeDocument/2006/relationships/hyperlink" Target="https://orcid.org/0000-0003-1261-5494" TargetMode="External"/><Relationship Id="rId12" Type="http://schemas.openxmlformats.org/officeDocument/2006/relationships/hyperlink" Target="https://revfinlay.sld.cu/index.php/finlay/article/view/577" TargetMode="External"/><Relationship Id="rId17" Type="http://schemas.openxmlformats.org/officeDocument/2006/relationships/hyperlink" Target="https://revzoilomarinello.sld.cu/index.php/zmv/article/view/1960"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revmultimed.sld.cu/index.php/mtm/article/view/45" TargetMode="External"/><Relationship Id="rId20" Type="http://schemas.openxmlformats.org/officeDocument/2006/relationships/hyperlink" Target="https://revcorsalud.sld.cu/index.php/cors/article/view/115"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openxmlformats.org/officeDocument/2006/relationships/hyperlink" Target="https://revcorsalud.sld.cu/index.php/cors/article/view/734" TargetMode="External"/><Relationship Id="rId5" Type="http://schemas.openxmlformats.org/officeDocument/2006/relationships/footnotes" Target="footnotes.xml"/><Relationship Id="rId15" Type="http://schemas.openxmlformats.org/officeDocument/2006/relationships/hyperlink" Target="https://files.sld.cu/bvscuba/files/2021/08/Anuario-Estadistico-Espa&#241;ol-2020-Definitivo.pdf" TargetMode="External"/><Relationship Id="rId23" Type="http://schemas.openxmlformats.org/officeDocument/2006/relationships/hyperlink" Target="https://www.sciencedirect.com/science/article/pii/S0953620520303150" TargetMode="External"/><Relationship Id="rId28" Type="http://schemas.openxmlformats.org/officeDocument/2006/relationships/fontTable" Target="fontTable.xml"/><Relationship Id="rId10" Type="http://schemas.openxmlformats.org/officeDocument/2006/relationships/hyperlink" Target="mailto:yoandrorg@gmail.com" TargetMode="External"/><Relationship Id="rId19" Type="http://schemas.openxmlformats.org/officeDocument/2006/relationships/hyperlink" Target="http://www.scielo.org.bo/scielo.php?script=sci_arttext&amp;pid=S2520-98252020000100004&amp;lng=es" TargetMode="External"/><Relationship Id="rId4" Type="http://schemas.openxmlformats.org/officeDocument/2006/relationships/webSettings" Target="webSettings.xml"/><Relationship Id="rId9" Type="http://schemas.openxmlformats.org/officeDocument/2006/relationships/hyperlink" Target="https://orcid.org/0000-0002-8225-4113" TargetMode="External"/><Relationship Id="rId14" Type="http://schemas.openxmlformats.org/officeDocument/2006/relationships/hyperlink" Target="https://revmedmilitar.sld.cu/index.php/mil/article/view/1829" TargetMode="External"/><Relationship Id="rId22" Type="http://schemas.openxmlformats.org/officeDocument/2006/relationships/hyperlink" Target="http://scielo.sld.cu/scielo.php?script=sci_arttext&amp;pid=S207871702017000200002&amp;lng=es" TargetMode="External"/><Relationship Id="rId27"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s://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E:\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8</TotalTime>
  <Pages>18</Pages>
  <Words>4648</Words>
  <Characters>25564</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30152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RCMM</dc:creator>
  <cp:lastModifiedBy>RCMM</cp:lastModifiedBy>
  <cp:revision>7</cp:revision>
  <cp:lastPrinted>2023-12-07T17:44:00Z</cp:lastPrinted>
  <dcterms:created xsi:type="dcterms:W3CDTF">2023-12-07T17:38:00Z</dcterms:created>
  <dcterms:modified xsi:type="dcterms:W3CDTF">2023-12-07T17:46:00Z</dcterms:modified>
</cp:coreProperties>
</file>