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4178" w14:textId="77777777" w:rsidR="00E06FD9" w:rsidRPr="00E06FD9" w:rsidRDefault="00E06FD9" w:rsidP="00E06FD9">
      <w:pPr>
        <w:spacing w:line="360" w:lineRule="auto"/>
        <w:jc w:val="right"/>
        <w:rPr>
          <w:sz w:val="20"/>
          <w:szCs w:val="20"/>
          <w:lang w:val="es-ES" w:eastAsia="es-ES"/>
        </w:rPr>
      </w:pPr>
      <w:r w:rsidRPr="00E06FD9">
        <w:rPr>
          <w:sz w:val="20"/>
          <w:szCs w:val="20"/>
          <w:lang w:val="es-ES" w:eastAsia="es-ES"/>
        </w:rPr>
        <w:t>Artículo de investigación</w:t>
      </w:r>
    </w:p>
    <w:p w14:paraId="04B7774F" w14:textId="77777777" w:rsidR="00E06FD9" w:rsidRPr="00E06FD9" w:rsidRDefault="00E06FD9" w:rsidP="00E06FD9">
      <w:pPr>
        <w:spacing w:line="360" w:lineRule="auto"/>
        <w:jc w:val="right"/>
        <w:rPr>
          <w:sz w:val="20"/>
          <w:szCs w:val="20"/>
          <w:lang w:val="es-ES" w:eastAsia="es-ES"/>
        </w:rPr>
      </w:pPr>
    </w:p>
    <w:p w14:paraId="0D68B598" w14:textId="77777777" w:rsidR="00E06FD9" w:rsidRPr="00E06FD9" w:rsidRDefault="00E06FD9" w:rsidP="00E06FD9">
      <w:pPr>
        <w:spacing w:line="360" w:lineRule="auto"/>
        <w:jc w:val="center"/>
        <w:rPr>
          <w:b/>
          <w:sz w:val="28"/>
          <w:szCs w:val="28"/>
          <w:lang w:val="es-ES" w:eastAsia="es-ES"/>
        </w:rPr>
      </w:pPr>
      <w:r w:rsidRPr="00E06FD9">
        <w:rPr>
          <w:b/>
          <w:sz w:val="28"/>
          <w:szCs w:val="28"/>
          <w:lang w:val="es-ES" w:eastAsia="es-ES"/>
        </w:rPr>
        <w:t>Factores pronósticos del deterioro cognitivo en pacientes adictos a sustancias psicoactivas</w:t>
      </w:r>
    </w:p>
    <w:p w14:paraId="050B3BEC" w14:textId="77777777" w:rsidR="00E06FD9" w:rsidRPr="00E06FD9" w:rsidRDefault="00E06FD9" w:rsidP="00E06FD9">
      <w:pPr>
        <w:autoSpaceDE w:val="0"/>
        <w:autoSpaceDN w:val="0"/>
        <w:adjustRightInd w:val="0"/>
        <w:spacing w:line="360" w:lineRule="auto"/>
        <w:jc w:val="center"/>
        <w:rPr>
          <w:sz w:val="28"/>
          <w:szCs w:val="28"/>
          <w:lang w:val="en-US" w:eastAsia="es-ES"/>
        </w:rPr>
      </w:pPr>
      <w:r w:rsidRPr="00E06FD9">
        <w:rPr>
          <w:sz w:val="28"/>
          <w:szCs w:val="28"/>
          <w:lang w:val="en-US" w:eastAsia="es-ES"/>
        </w:rPr>
        <w:t>Prognostic factors of cognitive impairment in patients addicted to psychoactive substances</w:t>
      </w:r>
    </w:p>
    <w:p w14:paraId="1B068CF3" w14:textId="77777777" w:rsidR="00E06FD9" w:rsidRPr="00E06FD9" w:rsidRDefault="00E06FD9" w:rsidP="00E06FD9">
      <w:pPr>
        <w:autoSpaceDE w:val="0"/>
        <w:autoSpaceDN w:val="0"/>
        <w:adjustRightInd w:val="0"/>
        <w:spacing w:line="360" w:lineRule="auto"/>
        <w:jc w:val="center"/>
        <w:rPr>
          <w:sz w:val="28"/>
          <w:szCs w:val="28"/>
          <w:lang w:val="en-US" w:eastAsia="es-ES"/>
        </w:rPr>
      </w:pPr>
    </w:p>
    <w:p w14:paraId="655A134D" w14:textId="77777777" w:rsidR="00E06FD9" w:rsidRPr="00E06FD9" w:rsidRDefault="00E06FD9" w:rsidP="00E06FD9">
      <w:pPr>
        <w:autoSpaceDE w:val="0"/>
        <w:autoSpaceDN w:val="0"/>
        <w:adjustRightInd w:val="0"/>
        <w:spacing w:line="360" w:lineRule="auto"/>
        <w:jc w:val="both"/>
        <w:rPr>
          <w:rFonts w:eastAsia="Calibri"/>
          <w:color w:val="000000"/>
          <w:lang w:val="es-ES" w:eastAsia="en-US"/>
        </w:rPr>
      </w:pPr>
      <w:proofErr w:type="spellStart"/>
      <w:r w:rsidRPr="00E06FD9">
        <w:rPr>
          <w:rFonts w:eastAsia="Calibri"/>
          <w:color w:val="000000"/>
          <w:lang w:val="es-ES" w:eastAsia="en-US"/>
        </w:rPr>
        <w:t>Yanetsi</w:t>
      </w:r>
      <w:proofErr w:type="spellEnd"/>
      <w:r w:rsidRPr="00E06FD9">
        <w:rPr>
          <w:rFonts w:eastAsia="Calibri"/>
          <w:color w:val="000000"/>
          <w:lang w:val="es-ES" w:eastAsia="en-US"/>
        </w:rPr>
        <w:t xml:space="preserve"> Contreras </w:t>
      </w:r>
      <w:proofErr w:type="spellStart"/>
      <w:r w:rsidRPr="00E06FD9">
        <w:rPr>
          <w:rFonts w:eastAsia="Calibri"/>
          <w:color w:val="000000"/>
          <w:lang w:val="es-ES" w:eastAsia="en-US"/>
        </w:rPr>
        <w:t>Olive</w:t>
      </w:r>
      <w:r w:rsidRPr="00E06FD9">
        <w:rPr>
          <w:rFonts w:eastAsia="Calibri"/>
          <w:color w:val="000000"/>
          <w:vertAlign w:val="superscript"/>
          <w:lang w:val="es-ES" w:eastAsia="en-US"/>
        </w:rPr>
        <w:t>1</w:t>
      </w:r>
      <w:proofErr w:type="spellEnd"/>
      <w:r w:rsidRPr="00E06FD9">
        <w:rPr>
          <w:rFonts w:eastAsia="Calibri"/>
          <w:color w:val="000000"/>
          <w:vertAlign w:val="superscript"/>
          <w:lang w:val="es-ES" w:eastAsia="en-US"/>
        </w:rPr>
        <w:t xml:space="preserve"> </w:t>
      </w:r>
      <w:hyperlink r:id="rId7" w:history="1">
        <w:r w:rsidRPr="00E06FD9">
          <w:rPr>
            <w:rFonts w:eastAsia="Calibri"/>
            <w:color w:val="0000FF"/>
            <w:lang w:val="es-ES" w:eastAsia="en-US"/>
          </w:rPr>
          <w:t>https://orcid.org/0000-0002-7112-1411</w:t>
        </w:r>
      </w:hyperlink>
    </w:p>
    <w:p w14:paraId="4BA366AF" w14:textId="77777777" w:rsidR="00E06FD9" w:rsidRPr="00E06FD9" w:rsidRDefault="00E06FD9" w:rsidP="00E06FD9">
      <w:pPr>
        <w:autoSpaceDE w:val="0"/>
        <w:autoSpaceDN w:val="0"/>
        <w:adjustRightInd w:val="0"/>
        <w:spacing w:line="360" w:lineRule="auto"/>
        <w:jc w:val="both"/>
        <w:rPr>
          <w:rFonts w:eastAsia="Calibri"/>
          <w:color w:val="0000FF"/>
          <w:lang w:val="es-ES" w:eastAsia="en-US"/>
        </w:rPr>
      </w:pPr>
      <w:r w:rsidRPr="00E06FD9">
        <w:rPr>
          <w:rFonts w:eastAsia="Calibri"/>
          <w:color w:val="000000"/>
          <w:lang w:val="es-ES" w:eastAsia="en-US"/>
        </w:rPr>
        <w:t xml:space="preserve">Osvaldo Miranda </w:t>
      </w:r>
      <w:proofErr w:type="spellStart"/>
      <w:r w:rsidRPr="00E06FD9">
        <w:rPr>
          <w:rFonts w:eastAsia="Calibri"/>
          <w:color w:val="000000"/>
          <w:lang w:val="es-ES" w:eastAsia="en-US"/>
        </w:rPr>
        <w:t>Gómez</w:t>
      </w:r>
      <w:r w:rsidRPr="00E06FD9">
        <w:rPr>
          <w:rFonts w:eastAsia="Calibri"/>
          <w:color w:val="000000"/>
          <w:vertAlign w:val="superscript"/>
          <w:lang w:val="es-ES" w:eastAsia="en-US"/>
        </w:rPr>
        <w:t>1</w:t>
      </w:r>
      <w:proofErr w:type="spellEnd"/>
      <w:r w:rsidRPr="00E06FD9">
        <w:rPr>
          <w:rFonts w:eastAsia="Calibri"/>
          <w:color w:val="000000"/>
          <w:lang w:val="es-ES" w:eastAsia="en-US"/>
        </w:rPr>
        <w:t xml:space="preserve">* </w:t>
      </w:r>
      <w:hyperlink r:id="rId8" w:history="1">
        <w:r w:rsidRPr="00E06FD9">
          <w:rPr>
            <w:rFonts w:eastAsia="Calibri"/>
            <w:color w:val="0000FF"/>
            <w:lang w:val="es-ES" w:eastAsia="en-US"/>
          </w:rPr>
          <w:t>https://orcid.org/0000-0002-7017-6808</w:t>
        </w:r>
      </w:hyperlink>
    </w:p>
    <w:p w14:paraId="56A72F20" w14:textId="77777777" w:rsidR="00E06FD9" w:rsidRPr="00E06FD9" w:rsidRDefault="00E06FD9" w:rsidP="00E06FD9">
      <w:pPr>
        <w:autoSpaceDE w:val="0"/>
        <w:autoSpaceDN w:val="0"/>
        <w:adjustRightInd w:val="0"/>
        <w:spacing w:line="360" w:lineRule="auto"/>
        <w:jc w:val="both"/>
        <w:rPr>
          <w:rFonts w:eastAsia="Calibri"/>
          <w:color w:val="000000"/>
          <w:kern w:val="2"/>
          <w:lang w:val="en-US" w:eastAsia="en-US"/>
        </w:rPr>
      </w:pPr>
      <w:proofErr w:type="spellStart"/>
      <w:r w:rsidRPr="00E06FD9">
        <w:rPr>
          <w:rFonts w:eastAsia="Calibri"/>
          <w:color w:val="000000"/>
          <w:kern w:val="2"/>
          <w:lang w:val="en-US" w:eastAsia="en-US"/>
        </w:rPr>
        <w:t>Nerkys</w:t>
      </w:r>
      <w:proofErr w:type="spellEnd"/>
      <w:r w:rsidRPr="00E06FD9">
        <w:rPr>
          <w:rFonts w:eastAsia="Calibri"/>
          <w:color w:val="000000"/>
          <w:kern w:val="2"/>
          <w:lang w:val="en-US" w:eastAsia="en-US"/>
        </w:rPr>
        <w:t xml:space="preserve"> Anay </w:t>
      </w:r>
      <w:proofErr w:type="spellStart"/>
      <w:r w:rsidRPr="00E06FD9">
        <w:rPr>
          <w:rFonts w:eastAsia="Calibri"/>
          <w:color w:val="000000"/>
          <w:kern w:val="2"/>
          <w:lang w:val="en-US" w:eastAsia="en-US"/>
        </w:rPr>
        <w:t>Orbeal</w:t>
      </w:r>
      <w:proofErr w:type="spellEnd"/>
      <w:r w:rsidRPr="00E06FD9">
        <w:rPr>
          <w:rFonts w:eastAsia="Calibri"/>
          <w:color w:val="000000"/>
          <w:kern w:val="2"/>
          <w:lang w:val="en-US" w:eastAsia="en-US"/>
        </w:rPr>
        <w:t xml:space="preserve"> </w:t>
      </w:r>
      <w:proofErr w:type="spellStart"/>
      <w:r w:rsidRPr="00E06FD9">
        <w:rPr>
          <w:rFonts w:eastAsia="Calibri"/>
          <w:color w:val="000000"/>
          <w:kern w:val="2"/>
          <w:lang w:val="en-US" w:eastAsia="en-US"/>
        </w:rPr>
        <w:t>Gutiérrez</w:t>
      </w:r>
      <w:r w:rsidRPr="00E06FD9">
        <w:rPr>
          <w:rFonts w:eastAsia="Calibri"/>
          <w:color w:val="000000"/>
          <w:kern w:val="2"/>
          <w:vertAlign w:val="superscript"/>
          <w:lang w:val="en-US" w:eastAsia="en-US"/>
        </w:rPr>
        <w:t>1</w:t>
      </w:r>
      <w:proofErr w:type="spellEnd"/>
      <w:r w:rsidRPr="00E06FD9">
        <w:rPr>
          <w:rFonts w:eastAsia="Calibri"/>
          <w:color w:val="000000"/>
          <w:kern w:val="2"/>
          <w:vertAlign w:val="superscript"/>
          <w:lang w:val="en-US" w:eastAsia="en-US"/>
        </w:rPr>
        <w:t xml:space="preserve"> </w:t>
      </w:r>
      <w:hyperlink r:id="rId9" w:history="1">
        <w:r w:rsidRPr="00E06FD9">
          <w:rPr>
            <w:rFonts w:eastAsia="Calibri"/>
            <w:color w:val="0000FF"/>
            <w:kern w:val="2"/>
            <w:lang w:val="en-US" w:eastAsia="en-US"/>
          </w:rPr>
          <w:t>https://orcid.org/0000-0001-7718-3915</w:t>
        </w:r>
      </w:hyperlink>
    </w:p>
    <w:p w14:paraId="66C7B983" w14:textId="77777777" w:rsidR="00E06FD9" w:rsidRPr="00E06FD9" w:rsidRDefault="00E06FD9" w:rsidP="00E06FD9">
      <w:pPr>
        <w:autoSpaceDE w:val="0"/>
        <w:autoSpaceDN w:val="0"/>
        <w:adjustRightInd w:val="0"/>
        <w:spacing w:line="360" w:lineRule="auto"/>
        <w:jc w:val="both"/>
        <w:rPr>
          <w:rFonts w:eastAsia="Calibri"/>
          <w:color w:val="000000"/>
          <w:kern w:val="2"/>
          <w:lang w:val="en-US" w:eastAsia="en-US"/>
        </w:rPr>
      </w:pPr>
    </w:p>
    <w:p w14:paraId="1724BD18" w14:textId="77777777" w:rsidR="00E06FD9" w:rsidRPr="00E06FD9" w:rsidRDefault="00E06FD9" w:rsidP="00E06FD9">
      <w:pPr>
        <w:autoSpaceDE w:val="0"/>
        <w:autoSpaceDN w:val="0"/>
        <w:adjustRightInd w:val="0"/>
        <w:spacing w:line="360" w:lineRule="auto"/>
        <w:jc w:val="both"/>
        <w:rPr>
          <w:rFonts w:eastAsia="Calibri"/>
          <w:color w:val="000000"/>
          <w:kern w:val="2"/>
          <w:lang w:val="es-ES" w:eastAsia="en-US"/>
        </w:rPr>
      </w:pPr>
      <w:proofErr w:type="spellStart"/>
      <w:r w:rsidRPr="00E06FD9">
        <w:rPr>
          <w:rFonts w:eastAsia="Calibri"/>
          <w:color w:val="000000"/>
          <w:kern w:val="2"/>
          <w:vertAlign w:val="superscript"/>
          <w:lang w:val="es-ES" w:eastAsia="en-US"/>
        </w:rPr>
        <w:t>1</w:t>
      </w:r>
      <w:r w:rsidRPr="00E06FD9">
        <w:rPr>
          <w:rFonts w:eastAsia="Calibri"/>
          <w:color w:val="000000"/>
          <w:kern w:val="2"/>
          <w:lang w:val="es-ES" w:eastAsia="en-US"/>
        </w:rPr>
        <w:t>Universidad</w:t>
      </w:r>
      <w:proofErr w:type="spellEnd"/>
      <w:r w:rsidRPr="00E06FD9">
        <w:rPr>
          <w:rFonts w:eastAsia="Calibri"/>
          <w:color w:val="000000"/>
          <w:kern w:val="2"/>
          <w:lang w:val="es-ES" w:eastAsia="en-US"/>
        </w:rPr>
        <w:t xml:space="preserve"> de Ciencias Médicas de las Fuerzas Armadas Revolucionarias. Hospital Militar Central “Dr. Carlos J Finlay”. La Habana, Cuba. </w:t>
      </w:r>
    </w:p>
    <w:p w14:paraId="777707C6" w14:textId="77777777" w:rsidR="00E06FD9" w:rsidRPr="00E06FD9" w:rsidRDefault="00E06FD9" w:rsidP="00E06FD9">
      <w:pPr>
        <w:autoSpaceDE w:val="0"/>
        <w:autoSpaceDN w:val="0"/>
        <w:adjustRightInd w:val="0"/>
        <w:spacing w:line="360" w:lineRule="auto"/>
        <w:jc w:val="both"/>
        <w:rPr>
          <w:rFonts w:eastAsia="Calibri"/>
          <w:color w:val="000000"/>
          <w:kern w:val="2"/>
          <w:lang w:val="es-ES" w:eastAsia="en-US"/>
        </w:rPr>
      </w:pPr>
    </w:p>
    <w:p w14:paraId="2C7230C4" w14:textId="77777777" w:rsidR="00E06FD9" w:rsidRPr="00E06FD9" w:rsidRDefault="00E06FD9" w:rsidP="00E06FD9">
      <w:pPr>
        <w:autoSpaceDE w:val="0"/>
        <w:autoSpaceDN w:val="0"/>
        <w:adjustRightInd w:val="0"/>
        <w:spacing w:line="360" w:lineRule="auto"/>
        <w:rPr>
          <w:rFonts w:eastAsia="Calibri"/>
          <w:color w:val="000000"/>
          <w:kern w:val="2"/>
          <w:lang w:val="es-ES" w:eastAsia="en-US"/>
        </w:rPr>
      </w:pPr>
      <w:r w:rsidRPr="00E06FD9">
        <w:rPr>
          <w:rFonts w:eastAsia="Calibri"/>
          <w:color w:val="000000"/>
          <w:kern w:val="2"/>
          <w:lang w:val="es-ES" w:eastAsia="en-US"/>
        </w:rPr>
        <w:t xml:space="preserve">*Autor para la correspondencia. Correo electrónico: </w:t>
      </w:r>
      <w:hyperlink r:id="rId10" w:history="1">
        <w:r w:rsidRPr="00E06FD9">
          <w:rPr>
            <w:rFonts w:eastAsia="Calibri"/>
            <w:color w:val="0000FF"/>
            <w:kern w:val="2"/>
            <w:lang w:val="es-ES" w:eastAsia="en-US"/>
          </w:rPr>
          <w:t>hfinlay29@infomed.sld.cu</w:t>
        </w:r>
      </w:hyperlink>
      <w:r w:rsidRPr="00E06FD9">
        <w:rPr>
          <w:rFonts w:eastAsia="Calibri"/>
          <w:color w:val="0000FF"/>
          <w:kern w:val="2"/>
          <w:lang w:val="es-ES" w:eastAsia="en-US"/>
        </w:rPr>
        <w:t xml:space="preserve">; </w:t>
      </w:r>
      <w:hyperlink r:id="rId11" w:history="1">
        <w:r w:rsidRPr="00E06FD9">
          <w:rPr>
            <w:rFonts w:eastAsia="Calibri"/>
            <w:color w:val="0000FF"/>
            <w:kern w:val="2"/>
            <w:lang w:val="es-ES" w:eastAsia="en-US"/>
          </w:rPr>
          <w:t>omiranda@infomed.sld.cu</w:t>
        </w:r>
      </w:hyperlink>
    </w:p>
    <w:p w14:paraId="33C5902B" w14:textId="77777777" w:rsidR="00E06FD9" w:rsidRPr="00E06FD9" w:rsidRDefault="00E06FD9" w:rsidP="00E06FD9">
      <w:pPr>
        <w:spacing w:line="360" w:lineRule="auto"/>
        <w:jc w:val="both"/>
        <w:rPr>
          <w:b/>
          <w:bCs/>
          <w:lang w:val="es-ES" w:eastAsia="es-ES"/>
        </w:rPr>
      </w:pPr>
    </w:p>
    <w:p w14:paraId="3D38879B" w14:textId="77777777" w:rsidR="00E06FD9" w:rsidRPr="00E06FD9" w:rsidRDefault="00E06FD9" w:rsidP="00E06FD9">
      <w:pPr>
        <w:spacing w:line="360" w:lineRule="auto"/>
        <w:jc w:val="both"/>
        <w:rPr>
          <w:b/>
          <w:bCs/>
          <w:lang w:val="es-ES" w:eastAsia="es-ES"/>
        </w:rPr>
      </w:pPr>
      <w:r w:rsidRPr="00E06FD9">
        <w:rPr>
          <w:b/>
          <w:bCs/>
          <w:lang w:val="es-ES" w:eastAsia="es-ES"/>
        </w:rPr>
        <w:t xml:space="preserve">RESUMEN </w:t>
      </w:r>
    </w:p>
    <w:p w14:paraId="3CB711D0" w14:textId="77777777" w:rsidR="00E06FD9" w:rsidRPr="00E06FD9" w:rsidRDefault="00E06FD9" w:rsidP="00E06FD9">
      <w:pPr>
        <w:autoSpaceDE w:val="0"/>
        <w:autoSpaceDN w:val="0"/>
        <w:adjustRightInd w:val="0"/>
        <w:spacing w:line="360" w:lineRule="auto"/>
        <w:jc w:val="both"/>
        <w:rPr>
          <w:lang w:val="es-ES" w:eastAsia="es-ES"/>
        </w:rPr>
      </w:pPr>
      <w:r w:rsidRPr="00E06FD9">
        <w:rPr>
          <w:b/>
          <w:lang w:val="es-ES" w:eastAsia="es-ES"/>
        </w:rPr>
        <w:t xml:space="preserve">Introducción: </w:t>
      </w:r>
      <w:r w:rsidRPr="00E06FD9">
        <w:rPr>
          <w:bCs/>
          <w:lang w:val="es-ES" w:eastAsia="es-ES"/>
        </w:rPr>
        <w:t>Es importante considerar los daños que el consumo de sustancias psicoactivas produce al cerebro, para entender el pronóstico y la evolución del paciente, ya que puede causar deterioro cognitivo y llegar a la demencia.</w:t>
      </w:r>
    </w:p>
    <w:p w14:paraId="56331D7F" w14:textId="77777777" w:rsidR="00E06FD9" w:rsidRPr="00E06FD9" w:rsidRDefault="00E06FD9" w:rsidP="00E06FD9">
      <w:pPr>
        <w:autoSpaceDE w:val="0"/>
        <w:autoSpaceDN w:val="0"/>
        <w:adjustRightInd w:val="0"/>
        <w:spacing w:line="360" w:lineRule="auto"/>
        <w:jc w:val="both"/>
        <w:rPr>
          <w:lang w:val="es-MX" w:eastAsia="es-ES"/>
        </w:rPr>
      </w:pPr>
      <w:r w:rsidRPr="00E06FD9">
        <w:rPr>
          <w:b/>
          <w:lang w:val="es-ES" w:eastAsia="es-ES"/>
        </w:rPr>
        <w:t xml:space="preserve">Objetivo: </w:t>
      </w:r>
      <w:r w:rsidRPr="00E06FD9">
        <w:rPr>
          <w:lang w:val="es-MX" w:eastAsia="es-ES"/>
        </w:rPr>
        <w:t xml:space="preserve">Determinar los factores pronósticos del deterioro cognitivo en pacientes adictos a sustancias psicoactivas. </w:t>
      </w:r>
    </w:p>
    <w:p w14:paraId="01FF6F2D" w14:textId="77777777" w:rsidR="00E06FD9" w:rsidRPr="00E06FD9" w:rsidRDefault="00E06FD9" w:rsidP="00E06FD9">
      <w:pPr>
        <w:autoSpaceDE w:val="0"/>
        <w:autoSpaceDN w:val="0"/>
        <w:adjustRightInd w:val="0"/>
        <w:spacing w:line="360" w:lineRule="auto"/>
        <w:jc w:val="both"/>
        <w:rPr>
          <w:rFonts w:eastAsia="Calibri"/>
          <w:color w:val="000000"/>
          <w:lang w:val="es-MX" w:eastAsia="en-US"/>
        </w:rPr>
      </w:pPr>
      <w:r w:rsidRPr="00E06FD9">
        <w:rPr>
          <w:rFonts w:eastAsia="Calibri"/>
          <w:b/>
          <w:color w:val="000000"/>
          <w:lang w:val="es-ES" w:eastAsia="en-US"/>
        </w:rPr>
        <w:t xml:space="preserve">Método: </w:t>
      </w:r>
      <w:r w:rsidRPr="00E06FD9">
        <w:rPr>
          <w:rFonts w:eastAsia="Calibri"/>
          <w:color w:val="000000"/>
          <w:lang w:val="es-MX" w:eastAsia="en-US"/>
        </w:rPr>
        <w:t xml:space="preserve">Se desarrolló un estudio observacional, analítico y transversal. Se trabajó con los pacientes atendidos por consumos de sustancias, en un servicio de psicología, del año 2016 al 2019. Las variables estudiadas fueron: función ejecutiva, edad, ideación suicida, sexo, características clínicas del consumo, sustancia consumida, coeficiente intelectual, deterioro cognitivo, ansiedad, depresión y tiempo de consumo. </w:t>
      </w:r>
      <w:r w:rsidRPr="00E06FD9">
        <w:rPr>
          <w:rFonts w:eastAsia="Calibri"/>
          <w:color w:val="000000"/>
          <w:lang w:val="es-ES" w:eastAsia="en-US"/>
        </w:rPr>
        <w:t xml:space="preserve">Se utilizaron técnicas tanto de la estadística descriptiva, como de la estadística inferencial. </w:t>
      </w:r>
    </w:p>
    <w:p w14:paraId="3F58C340" w14:textId="0E8AA8FA" w:rsidR="00E06FD9" w:rsidRPr="00E06FD9" w:rsidRDefault="00E06FD9" w:rsidP="00E06FD9">
      <w:pPr>
        <w:spacing w:line="360" w:lineRule="auto"/>
        <w:jc w:val="both"/>
        <w:rPr>
          <w:bCs/>
          <w:lang w:val="es-ES" w:eastAsia="es-ES"/>
        </w:rPr>
      </w:pPr>
      <w:r w:rsidRPr="00E06FD9">
        <w:rPr>
          <w:b/>
          <w:lang w:val="es-ES" w:eastAsia="es-ES"/>
        </w:rPr>
        <w:lastRenderedPageBreak/>
        <w:t xml:space="preserve">Resultados: </w:t>
      </w:r>
      <w:r w:rsidRPr="00E06FD9">
        <w:rPr>
          <w:bCs/>
          <w:lang w:val="es-ES" w:eastAsia="es-ES"/>
        </w:rPr>
        <w:t>Se estudiaron 257 pacientes, con consumo fundamentalmente de alcohol y marihuana, edad promedio de 34 años, predominó el sexo masculino (89 %) y una media de 17 años de consumo. El 47</w:t>
      </w:r>
      <w:r w:rsidR="00F50E58">
        <w:rPr>
          <w:bCs/>
          <w:lang w:val="es-ES" w:eastAsia="es-ES"/>
        </w:rPr>
        <w:t> </w:t>
      </w:r>
      <w:r w:rsidRPr="00E06FD9">
        <w:rPr>
          <w:bCs/>
          <w:lang w:val="es-ES" w:eastAsia="es-ES"/>
        </w:rPr>
        <w:t>% de los pacientes presentó deterioro cognitivo leve y 9,34 % deterioro cognitivo moderado. El deterioro cognitivo se asoció con tener tolerancia invertida (</w:t>
      </w:r>
      <w:proofErr w:type="spellStart"/>
      <w:r w:rsidRPr="00E06FD9">
        <w:rPr>
          <w:bCs/>
          <w:i/>
          <w:iCs/>
          <w:lang w:val="es-ES" w:eastAsia="es-ES"/>
        </w:rPr>
        <w:t>odd</w:t>
      </w:r>
      <w:proofErr w:type="spellEnd"/>
      <w:r w:rsidRPr="00E06FD9">
        <w:rPr>
          <w:bCs/>
          <w:i/>
          <w:iCs/>
          <w:lang w:val="es-ES" w:eastAsia="es-ES"/>
        </w:rPr>
        <w:t xml:space="preserve"> ratio - </w:t>
      </w:r>
      <w:proofErr w:type="spellStart"/>
      <w:r w:rsidRPr="00E06FD9">
        <w:rPr>
          <w:bCs/>
          <w:lang w:val="es-ES" w:eastAsia="es-ES"/>
        </w:rPr>
        <w:t>OR</w:t>
      </w:r>
      <w:proofErr w:type="spellEnd"/>
      <w:r w:rsidRPr="00E06FD9">
        <w:rPr>
          <w:bCs/>
          <w:lang w:val="es-ES" w:eastAsia="es-ES"/>
        </w:rPr>
        <w:t>= 6,4), disfunción ejecutiva (</w:t>
      </w:r>
      <w:proofErr w:type="spellStart"/>
      <w:r w:rsidRPr="00E06FD9">
        <w:rPr>
          <w:bCs/>
          <w:lang w:val="es-ES" w:eastAsia="es-ES"/>
        </w:rPr>
        <w:t>OR</w:t>
      </w:r>
      <w:proofErr w:type="spellEnd"/>
      <w:r w:rsidRPr="00E06FD9">
        <w:rPr>
          <w:bCs/>
          <w:lang w:val="es-ES" w:eastAsia="es-ES"/>
        </w:rPr>
        <w:t>= 4,2), depresión (</w:t>
      </w:r>
      <w:proofErr w:type="spellStart"/>
      <w:r w:rsidRPr="00E06FD9">
        <w:rPr>
          <w:bCs/>
          <w:lang w:val="es-ES" w:eastAsia="es-ES"/>
        </w:rPr>
        <w:t>OR</w:t>
      </w:r>
      <w:proofErr w:type="spellEnd"/>
      <w:r w:rsidRPr="00E06FD9">
        <w:rPr>
          <w:bCs/>
          <w:lang w:val="es-ES" w:eastAsia="es-ES"/>
        </w:rPr>
        <w:t>= 4,1), ansiedad (</w:t>
      </w:r>
      <w:proofErr w:type="spellStart"/>
      <w:r w:rsidRPr="00E06FD9">
        <w:rPr>
          <w:bCs/>
          <w:lang w:val="es-ES" w:eastAsia="es-ES"/>
        </w:rPr>
        <w:t>OR</w:t>
      </w:r>
      <w:proofErr w:type="spellEnd"/>
      <w:r w:rsidRPr="00E06FD9">
        <w:rPr>
          <w:bCs/>
          <w:lang w:val="es-ES" w:eastAsia="es-ES"/>
        </w:rPr>
        <w:t>= 2,4), consumir otras sustancias diferentes al alcohol (</w:t>
      </w:r>
      <w:proofErr w:type="spellStart"/>
      <w:r w:rsidRPr="00E06FD9">
        <w:rPr>
          <w:bCs/>
          <w:lang w:val="es-ES" w:eastAsia="es-ES"/>
        </w:rPr>
        <w:t>OR</w:t>
      </w:r>
      <w:proofErr w:type="spellEnd"/>
      <w:r w:rsidRPr="00E06FD9">
        <w:rPr>
          <w:bCs/>
          <w:lang w:val="es-ES" w:eastAsia="es-ES"/>
        </w:rPr>
        <w:t>= 2,6), tener necesidad subjetiva de consumo (</w:t>
      </w:r>
      <w:proofErr w:type="spellStart"/>
      <w:r w:rsidRPr="00E06FD9">
        <w:rPr>
          <w:bCs/>
          <w:lang w:val="es-ES" w:eastAsia="es-ES"/>
        </w:rPr>
        <w:t>OR</w:t>
      </w:r>
      <w:proofErr w:type="spellEnd"/>
      <w:r w:rsidRPr="00E06FD9">
        <w:rPr>
          <w:bCs/>
          <w:lang w:val="es-ES" w:eastAsia="es-ES"/>
        </w:rPr>
        <w:t>= 2,5), alterada capacidad de abstención (</w:t>
      </w:r>
      <w:proofErr w:type="spellStart"/>
      <w:r w:rsidRPr="00E06FD9">
        <w:rPr>
          <w:bCs/>
          <w:lang w:val="es-ES" w:eastAsia="es-ES"/>
        </w:rPr>
        <w:t>OR</w:t>
      </w:r>
      <w:proofErr w:type="spellEnd"/>
      <w:r w:rsidRPr="00E06FD9">
        <w:rPr>
          <w:bCs/>
          <w:lang w:val="es-ES" w:eastAsia="es-ES"/>
        </w:rPr>
        <w:t>= 2,3) e ideación suicida (</w:t>
      </w:r>
      <w:proofErr w:type="spellStart"/>
      <w:r w:rsidRPr="00E06FD9">
        <w:rPr>
          <w:bCs/>
          <w:lang w:val="es-ES" w:eastAsia="es-ES"/>
        </w:rPr>
        <w:t>OR</w:t>
      </w:r>
      <w:proofErr w:type="spellEnd"/>
      <w:r w:rsidRPr="00E06FD9">
        <w:rPr>
          <w:bCs/>
          <w:lang w:val="es-ES" w:eastAsia="es-ES"/>
        </w:rPr>
        <w:t xml:space="preserve">= 2,0). </w:t>
      </w:r>
    </w:p>
    <w:p w14:paraId="4B47470B" w14:textId="77777777" w:rsidR="00E06FD9" w:rsidRPr="00E06FD9" w:rsidRDefault="00E06FD9" w:rsidP="00E06FD9">
      <w:pPr>
        <w:tabs>
          <w:tab w:val="left" w:pos="284"/>
        </w:tabs>
        <w:autoSpaceDE w:val="0"/>
        <w:autoSpaceDN w:val="0"/>
        <w:adjustRightInd w:val="0"/>
        <w:spacing w:line="360" w:lineRule="auto"/>
        <w:jc w:val="both"/>
        <w:rPr>
          <w:lang w:val="es-ES" w:eastAsia="es-ES"/>
        </w:rPr>
      </w:pPr>
      <w:r w:rsidRPr="00E06FD9">
        <w:rPr>
          <w:b/>
          <w:lang w:val="es-ES" w:eastAsia="es-ES"/>
        </w:rPr>
        <w:t xml:space="preserve">Conclusiones: </w:t>
      </w:r>
      <w:r w:rsidRPr="00E06FD9">
        <w:rPr>
          <w:color w:val="000000"/>
          <w:lang w:val="es-ES" w:eastAsia="es-ES"/>
        </w:rPr>
        <w:t>L</w:t>
      </w:r>
      <w:r w:rsidRPr="00E06FD9">
        <w:rPr>
          <w:lang w:val="es-ES" w:eastAsia="es-ES"/>
        </w:rPr>
        <w:t xml:space="preserve">os factores pronósticos del deterioro cognitivo en los pacientes adictos son: tolerancia invertida, alteraciones ejecutivas, depresión, ansiedad, consumir otras drogas diferentes al alcohol, tener alterada la capacidad de abstención y presentar ideas suicidas. </w:t>
      </w:r>
    </w:p>
    <w:p w14:paraId="087D44D8" w14:textId="77777777" w:rsidR="00E06FD9" w:rsidRPr="00E06FD9" w:rsidRDefault="00E06FD9" w:rsidP="00E06FD9">
      <w:pPr>
        <w:spacing w:line="360" w:lineRule="auto"/>
        <w:jc w:val="both"/>
        <w:rPr>
          <w:bCs/>
          <w:lang w:val="es-ES" w:eastAsia="es-ES"/>
        </w:rPr>
      </w:pPr>
      <w:r w:rsidRPr="00E06FD9">
        <w:rPr>
          <w:b/>
          <w:lang w:val="es-ES" w:eastAsia="es-ES"/>
        </w:rPr>
        <w:t xml:space="preserve">Palabras clave: </w:t>
      </w:r>
      <w:r w:rsidRPr="00E06FD9">
        <w:rPr>
          <w:bCs/>
          <w:lang w:val="es-ES" w:eastAsia="es-ES"/>
        </w:rPr>
        <w:t xml:space="preserve">pronóstico; disfunción cognitiva; cannabis; cerebro; ideación suicida; etanol. </w:t>
      </w:r>
    </w:p>
    <w:p w14:paraId="48C6CFC3" w14:textId="77777777" w:rsidR="00E06FD9" w:rsidRPr="00E06FD9" w:rsidRDefault="00E06FD9" w:rsidP="00E06FD9">
      <w:pPr>
        <w:spacing w:line="360" w:lineRule="auto"/>
        <w:jc w:val="both"/>
        <w:rPr>
          <w:bCs/>
          <w:lang w:val="es-ES" w:eastAsia="es-ES"/>
        </w:rPr>
      </w:pPr>
    </w:p>
    <w:p w14:paraId="0E1D35A6" w14:textId="77777777" w:rsidR="00E06FD9" w:rsidRPr="00E06FD9" w:rsidRDefault="00E06FD9" w:rsidP="00E06FD9">
      <w:pPr>
        <w:spacing w:line="360" w:lineRule="auto"/>
        <w:jc w:val="both"/>
        <w:rPr>
          <w:b/>
          <w:bCs/>
          <w:lang w:val="en-US" w:eastAsia="es-ES"/>
        </w:rPr>
      </w:pPr>
      <w:r w:rsidRPr="00E06FD9">
        <w:rPr>
          <w:b/>
          <w:bCs/>
          <w:lang w:val="en-US" w:eastAsia="es-ES"/>
        </w:rPr>
        <w:t xml:space="preserve">ABSTRACT </w:t>
      </w:r>
    </w:p>
    <w:p w14:paraId="119FD190" w14:textId="77777777" w:rsidR="00E06FD9" w:rsidRPr="00E06FD9" w:rsidRDefault="00E06FD9" w:rsidP="00E06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E06FD9">
        <w:rPr>
          <w:b/>
          <w:bCs/>
          <w:lang w:val="en-US" w:eastAsia="es-ES"/>
        </w:rPr>
        <w:t>Introduction:</w:t>
      </w:r>
      <w:r w:rsidRPr="00E06FD9">
        <w:rPr>
          <w:lang w:val="en-US" w:eastAsia="es-ES"/>
        </w:rPr>
        <w:t xml:space="preserve"> It is important to consider the damage that the consumption of psychoactive substances produces to the brain, in order to understand the prognosis and evolution of the patient, since it can cause cognitive impairment and reach dementia. </w:t>
      </w:r>
    </w:p>
    <w:p w14:paraId="3B3733E4" w14:textId="77777777" w:rsidR="00E06FD9" w:rsidRPr="00E06FD9" w:rsidRDefault="00E06FD9" w:rsidP="00E06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E06FD9">
        <w:rPr>
          <w:b/>
          <w:bCs/>
          <w:lang w:val="en-US" w:eastAsia="es-ES"/>
        </w:rPr>
        <w:t>Objective:</w:t>
      </w:r>
      <w:r w:rsidRPr="00E06FD9">
        <w:rPr>
          <w:lang w:val="en-US" w:eastAsia="es-ES"/>
        </w:rPr>
        <w:t xml:space="preserve"> To determine the prognostic factors of cognitive impairment in patients addicted to psychoactive substances. </w:t>
      </w:r>
    </w:p>
    <w:p w14:paraId="4FCE7C9B" w14:textId="77777777" w:rsidR="00E06FD9" w:rsidRPr="00E06FD9" w:rsidRDefault="00E06FD9" w:rsidP="00E06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E06FD9">
        <w:rPr>
          <w:b/>
          <w:bCs/>
          <w:lang w:val="en-US" w:eastAsia="es-ES"/>
        </w:rPr>
        <w:t>Methods:</w:t>
      </w:r>
      <w:r w:rsidRPr="00E06FD9">
        <w:rPr>
          <w:lang w:val="en-US" w:eastAsia="es-ES"/>
        </w:rPr>
        <w:t xml:space="preserve"> An observational, analytical and cross-sectional study was developed. We worked with patients treated for substance use, in a psychology service, from 2016 to 2019. The variables studied were: executive function, age, suicidal ideation, sex, clinical characteristics of consumption, substance consumed, intelligence quotient, cognitive impairment, anxiety, depression and time of consumption. Both descriptive and inferential statistical techniques were used. </w:t>
      </w:r>
    </w:p>
    <w:p w14:paraId="3F8F2ACA" w14:textId="77777777" w:rsidR="00E06FD9" w:rsidRPr="00E06FD9" w:rsidRDefault="00E06FD9" w:rsidP="00E06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E06FD9">
        <w:rPr>
          <w:b/>
          <w:bCs/>
          <w:lang w:val="en-US" w:eastAsia="es-ES"/>
        </w:rPr>
        <w:t>Results:</w:t>
      </w:r>
      <w:r w:rsidRPr="00E06FD9">
        <w:rPr>
          <w:lang w:val="en-US" w:eastAsia="es-ES"/>
        </w:rPr>
        <w:t xml:space="preserve"> 257 patients were studied, with consumption mainly of alcohol and marijuana, average age of 34 years, predominantly male (89%) and an average of 17 years of consumption. 47% of the patients had mild cognitive impairment and 9.34% had moderate cognitive impairment. Cognitive impairment was associated with having inverted tolerance (odd ratio OR= 6.4), executive dysfunction (OR= 4.2), depression (OR= 4.1), anxiety (OR= 2.4), consuming substances other than alcohol (OR= 2.6), having </w:t>
      </w:r>
      <w:r w:rsidRPr="00E06FD9">
        <w:rPr>
          <w:lang w:val="en-US" w:eastAsia="es-ES"/>
        </w:rPr>
        <w:lastRenderedPageBreak/>
        <w:t xml:space="preserve">subjective need for consumption (OR= 2.5), altered abstinence capacity (OR= 2.3) and suicidal ideation (OR= 2.0). </w:t>
      </w:r>
    </w:p>
    <w:p w14:paraId="7269511C" w14:textId="77777777" w:rsidR="00E06FD9" w:rsidRPr="00E06FD9" w:rsidRDefault="00E06FD9" w:rsidP="00E06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E06FD9">
        <w:rPr>
          <w:b/>
          <w:bCs/>
          <w:lang w:val="en-US" w:eastAsia="es-ES"/>
        </w:rPr>
        <w:t>Conclusions:</w:t>
      </w:r>
      <w:r w:rsidRPr="00E06FD9">
        <w:rPr>
          <w:lang w:val="en-US" w:eastAsia="es-ES"/>
        </w:rPr>
        <w:t xml:space="preserve"> The prognostic factors of cognitive impairment in addicted patients are: inverted tolerance, executive alterations, depression, anxiety, consuming drugs other than alcohol, having altered abstinence capacity and presenting suicidal ideation.</w:t>
      </w:r>
    </w:p>
    <w:p w14:paraId="4D59952F" w14:textId="77777777" w:rsidR="00E06FD9" w:rsidRPr="00E06FD9" w:rsidRDefault="00E06FD9" w:rsidP="00E06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E06FD9">
        <w:rPr>
          <w:b/>
          <w:bCs/>
          <w:lang w:val="en-US" w:eastAsia="es-ES"/>
        </w:rPr>
        <w:t>Keywords:</w:t>
      </w:r>
      <w:r w:rsidRPr="00E06FD9">
        <w:rPr>
          <w:lang w:val="en-US" w:eastAsia="es-ES"/>
        </w:rPr>
        <w:t xml:space="preserve"> prognosis; cognitive dysfunction; cannabis; cerebrum; suicidal ideation; ethanol.</w:t>
      </w:r>
    </w:p>
    <w:p w14:paraId="00BD0937" w14:textId="77777777" w:rsidR="00E06FD9" w:rsidRPr="00E06FD9" w:rsidRDefault="00E06FD9" w:rsidP="00E06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p>
    <w:p w14:paraId="6F172DFD" w14:textId="77777777" w:rsidR="00E06FD9" w:rsidRPr="00E06FD9" w:rsidRDefault="00E06FD9" w:rsidP="00E06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p>
    <w:p w14:paraId="674C26CA" w14:textId="77777777" w:rsidR="00E06FD9" w:rsidRPr="00E06FD9" w:rsidRDefault="00E06FD9" w:rsidP="00E06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E06FD9">
        <w:rPr>
          <w:lang w:val="es-ES" w:eastAsia="es-ES"/>
        </w:rPr>
        <w:t>Recibido: 25/02/2023</w:t>
      </w:r>
    </w:p>
    <w:p w14:paraId="6F78FDB4" w14:textId="77777777" w:rsidR="00E06FD9" w:rsidRPr="00E06FD9" w:rsidRDefault="00E06FD9" w:rsidP="00E06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E06FD9">
        <w:rPr>
          <w:lang w:val="es-ES" w:eastAsia="es-ES"/>
        </w:rPr>
        <w:t>Aprobado: 05/07/2023</w:t>
      </w:r>
    </w:p>
    <w:p w14:paraId="0FA9D8EE" w14:textId="77777777" w:rsidR="00E06FD9" w:rsidRPr="00E06FD9" w:rsidRDefault="00E06FD9" w:rsidP="00E06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p>
    <w:p w14:paraId="01F3E3BA" w14:textId="77777777" w:rsidR="00E06FD9" w:rsidRPr="00E06FD9" w:rsidRDefault="00E06FD9" w:rsidP="00E06FD9">
      <w:pPr>
        <w:spacing w:line="360" w:lineRule="auto"/>
        <w:jc w:val="both"/>
        <w:rPr>
          <w:lang w:val="es-ES" w:eastAsia="es-ES"/>
        </w:rPr>
      </w:pPr>
    </w:p>
    <w:p w14:paraId="04741211" w14:textId="77777777" w:rsidR="00E06FD9" w:rsidRPr="00E06FD9" w:rsidRDefault="00E06FD9" w:rsidP="00E06FD9">
      <w:pPr>
        <w:spacing w:line="360" w:lineRule="auto"/>
        <w:jc w:val="center"/>
        <w:rPr>
          <w:b/>
          <w:sz w:val="32"/>
          <w:szCs w:val="32"/>
          <w:lang w:val="es-ES" w:eastAsia="es-ES"/>
        </w:rPr>
      </w:pPr>
      <w:r w:rsidRPr="00E06FD9">
        <w:rPr>
          <w:b/>
          <w:sz w:val="32"/>
          <w:szCs w:val="32"/>
          <w:lang w:val="es-ES" w:eastAsia="es-ES"/>
        </w:rPr>
        <w:t>INTRODUCCIÓN</w:t>
      </w:r>
    </w:p>
    <w:p w14:paraId="73E5D231" w14:textId="77777777" w:rsidR="00E06FD9" w:rsidRPr="00E06FD9" w:rsidRDefault="00E06FD9" w:rsidP="00E06FD9">
      <w:pPr>
        <w:autoSpaceDE w:val="0"/>
        <w:autoSpaceDN w:val="0"/>
        <w:adjustRightInd w:val="0"/>
        <w:spacing w:line="360" w:lineRule="auto"/>
        <w:jc w:val="both"/>
        <w:rPr>
          <w:vertAlign w:val="superscript"/>
          <w:lang w:val="es-MX" w:eastAsia="es-ES"/>
        </w:rPr>
      </w:pPr>
      <w:r w:rsidRPr="00E06FD9">
        <w:rPr>
          <w:lang w:val="es-MX" w:eastAsia="es-ES"/>
        </w:rPr>
        <w:t xml:space="preserve">Las adicciones afectan la salud mental al involucrar el funcionamiento alterado de un buen número de circuitos cerebrales que se traduce en múltiples trastornos cognitivos, emocionales y </w:t>
      </w:r>
      <w:proofErr w:type="gramStart"/>
      <w:r w:rsidRPr="00E06FD9">
        <w:rPr>
          <w:lang w:val="es-MX" w:eastAsia="es-ES"/>
        </w:rPr>
        <w:t>comportamentales.</w:t>
      </w:r>
      <w:r w:rsidRPr="00E06FD9">
        <w:rPr>
          <w:vertAlign w:val="superscript"/>
          <w:lang w:val="es-MX" w:eastAsia="es-ES"/>
        </w:rPr>
        <w:t>(</w:t>
      </w:r>
      <w:proofErr w:type="gramEnd"/>
      <w:r w:rsidRPr="00E06FD9">
        <w:rPr>
          <w:vertAlign w:val="superscript"/>
          <w:lang w:val="es-MX" w:eastAsia="es-ES"/>
        </w:rPr>
        <w:t>1)</w:t>
      </w:r>
    </w:p>
    <w:p w14:paraId="52BDA597" w14:textId="77777777" w:rsidR="00E06FD9" w:rsidRPr="00E06FD9" w:rsidRDefault="00E06FD9" w:rsidP="00E06FD9">
      <w:pPr>
        <w:autoSpaceDE w:val="0"/>
        <w:autoSpaceDN w:val="0"/>
        <w:adjustRightInd w:val="0"/>
        <w:spacing w:line="360" w:lineRule="auto"/>
        <w:jc w:val="both"/>
        <w:rPr>
          <w:lang w:val="es-MX" w:eastAsia="es-ES"/>
        </w:rPr>
      </w:pPr>
      <w:r w:rsidRPr="00E06FD9">
        <w:rPr>
          <w:lang w:val="es-MX" w:eastAsia="es-ES"/>
        </w:rPr>
        <w:t xml:space="preserve">Las alteraciones cognitivas se manifiestan principalmente como déficits en el funcionamiento cognitivo global, en especial en la memoria, la atención y las funciones </w:t>
      </w:r>
      <w:proofErr w:type="gramStart"/>
      <w:r w:rsidRPr="00E06FD9">
        <w:rPr>
          <w:lang w:val="es-MX" w:eastAsia="es-ES"/>
        </w:rPr>
        <w:t>ejecutivas.</w:t>
      </w:r>
      <w:r w:rsidRPr="00E06FD9">
        <w:rPr>
          <w:vertAlign w:val="superscript"/>
          <w:lang w:val="es-MX" w:eastAsia="es-ES"/>
        </w:rPr>
        <w:t>(</w:t>
      </w:r>
      <w:proofErr w:type="gramEnd"/>
      <w:r w:rsidRPr="00E06FD9">
        <w:rPr>
          <w:vertAlign w:val="superscript"/>
          <w:lang w:val="es-MX" w:eastAsia="es-ES"/>
        </w:rPr>
        <w:t>2)</w:t>
      </w:r>
      <w:r w:rsidRPr="00E06FD9">
        <w:rPr>
          <w:lang w:val="es-MX" w:eastAsia="es-ES"/>
        </w:rPr>
        <w:t xml:space="preserve"> Lo anterior supone un obstáculo para la asimilación de los tratamientos, en la medida en que estos daños dificultan la adquisición y puesta en práctica de nuevos contenidos y destrezas. Efectivamente, el éxito terapéutico suele depender, entre otros aspectos, de que el adicto sea capaz de ser consciente de sus propios déficits, entender y razonar instrucciones complejas, inhibir respuestas impulsivas, planificar sus actividades diarias o tomar decisiones cotidianas.</w:t>
      </w:r>
    </w:p>
    <w:p w14:paraId="50866FE4" w14:textId="77777777" w:rsidR="00E06FD9" w:rsidRPr="00E06FD9" w:rsidRDefault="00E06FD9" w:rsidP="00E06FD9">
      <w:pPr>
        <w:autoSpaceDE w:val="0"/>
        <w:autoSpaceDN w:val="0"/>
        <w:adjustRightInd w:val="0"/>
        <w:spacing w:line="360" w:lineRule="auto"/>
        <w:jc w:val="both"/>
        <w:rPr>
          <w:vertAlign w:val="superscript"/>
          <w:lang w:val="es-MX" w:eastAsia="es-ES"/>
        </w:rPr>
      </w:pPr>
      <w:r w:rsidRPr="00E06FD9">
        <w:rPr>
          <w:lang w:val="es-MX" w:eastAsia="es-ES"/>
        </w:rPr>
        <w:t xml:space="preserve">La mayor parte de las publicaciones, que evalúan el daño neuropsicológico en consumidores de drogas, se han centrado en el análisis específico de una determinada función o de una lista de funciones; sin contemplar en conjunto el deterioro y su posible asociación con estados afectivos. El empleo de diferentes pruebas para medir una misma función, el bajo tamaño de la muestra que presenta la mayoría de los estudios, la variación en la gravedad del consumo de las sustancias y en los tiempos de abstinencia </w:t>
      </w:r>
      <w:r w:rsidRPr="00E06FD9">
        <w:rPr>
          <w:lang w:val="es-MX" w:eastAsia="es-ES"/>
        </w:rPr>
        <w:lastRenderedPageBreak/>
        <w:t xml:space="preserve">previos a la exploración, el control de las recaídas o la diversidad del grupo control empleado, contribuyen, entre otros factores, a explicar la amplia variación en los resultados encontrados en los diferentes </w:t>
      </w:r>
      <w:proofErr w:type="gramStart"/>
      <w:r w:rsidRPr="00E06FD9">
        <w:rPr>
          <w:lang w:val="es-MX" w:eastAsia="es-ES"/>
        </w:rPr>
        <w:t>estudios.</w:t>
      </w:r>
      <w:r w:rsidRPr="00E06FD9">
        <w:rPr>
          <w:vertAlign w:val="superscript"/>
          <w:lang w:val="es-MX" w:eastAsia="es-ES"/>
        </w:rPr>
        <w:t>(</w:t>
      </w:r>
      <w:proofErr w:type="gramEnd"/>
      <w:r w:rsidRPr="00E06FD9">
        <w:rPr>
          <w:vertAlign w:val="superscript"/>
          <w:lang w:val="es-MX" w:eastAsia="es-ES"/>
        </w:rPr>
        <w:t>3,4,5)</w:t>
      </w:r>
    </w:p>
    <w:p w14:paraId="507F5618" w14:textId="77777777" w:rsidR="00E06FD9" w:rsidRPr="00E06FD9" w:rsidRDefault="00E06FD9" w:rsidP="00E06FD9">
      <w:pPr>
        <w:autoSpaceDE w:val="0"/>
        <w:autoSpaceDN w:val="0"/>
        <w:adjustRightInd w:val="0"/>
        <w:spacing w:line="360" w:lineRule="auto"/>
        <w:jc w:val="both"/>
        <w:rPr>
          <w:lang w:val="es-MX" w:eastAsia="es-ES"/>
        </w:rPr>
      </w:pPr>
      <w:r w:rsidRPr="00E06FD9">
        <w:rPr>
          <w:lang w:val="es-MX" w:eastAsia="es-ES"/>
        </w:rPr>
        <w:t xml:space="preserve">El objetivo de esta investigación es determinar los factores pronósticos del deterioro cognitivo en pacientes adictos a sustancias psicoactivas. </w:t>
      </w:r>
    </w:p>
    <w:p w14:paraId="4016AF82" w14:textId="77777777" w:rsidR="00E06FD9" w:rsidRPr="00E06FD9" w:rsidRDefault="00E06FD9" w:rsidP="00E06FD9">
      <w:pPr>
        <w:autoSpaceDE w:val="0"/>
        <w:autoSpaceDN w:val="0"/>
        <w:adjustRightInd w:val="0"/>
        <w:spacing w:line="360" w:lineRule="auto"/>
        <w:jc w:val="both"/>
        <w:rPr>
          <w:lang w:val="es-MX" w:eastAsia="es-ES"/>
        </w:rPr>
      </w:pPr>
    </w:p>
    <w:p w14:paraId="4157F16F" w14:textId="77777777" w:rsidR="00E06FD9" w:rsidRPr="00E06FD9" w:rsidRDefault="00E06FD9" w:rsidP="00E06FD9">
      <w:pPr>
        <w:autoSpaceDE w:val="0"/>
        <w:autoSpaceDN w:val="0"/>
        <w:adjustRightInd w:val="0"/>
        <w:spacing w:line="360" w:lineRule="auto"/>
        <w:jc w:val="both"/>
        <w:rPr>
          <w:lang w:val="es-MX" w:eastAsia="es-ES"/>
        </w:rPr>
      </w:pPr>
    </w:p>
    <w:p w14:paraId="65D5F5AE" w14:textId="77777777" w:rsidR="00E06FD9" w:rsidRPr="00E06FD9" w:rsidRDefault="00E06FD9" w:rsidP="00E06FD9">
      <w:pPr>
        <w:autoSpaceDE w:val="0"/>
        <w:autoSpaceDN w:val="0"/>
        <w:adjustRightInd w:val="0"/>
        <w:spacing w:line="360" w:lineRule="auto"/>
        <w:jc w:val="center"/>
        <w:rPr>
          <w:b/>
          <w:bCs/>
          <w:sz w:val="32"/>
          <w:szCs w:val="32"/>
          <w:lang w:val="es-ES" w:eastAsia="es-ES"/>
        </w:rPr>
      </w:pPr>
      <w:r w:rsidRPr="00E06FD9">
        <w:rPr>
          <w:b/>
          <w:bCs/>
          <w:sz w:val="32"/>
          <w:szCs w:val="32"/>
          <w:lang w:val="es-ES" w:eastAsia="es-ES"/>
        </w:rPr>
        <w:t>MÉTODOS</w:t>
      </w:r>
    </w:p>
    <w:p w14:paraId="5C3F038E" w14:textId="77777777" w:rsidR="00E06FD9" w:rsidRPr="00E06FD9" w:rsidRDefault="00E06FD9" w:rsidP="00E06FD9">
      <w:pPr>
        <w:autoSpaceDE w:val="0"/>
        <w:autoSpaceDN w:val="0"/>
        <w:adjustRightInd w:val="0"/>
        <w:spacing w:line="360" w:lineRule="auto"/>
        <w:jc w:val="center"/>
        <w:rPr>
          <w:b/>
          <w:bCs/>
          <w:sz w:val="28"/>
          <w:szCs w:val="28"/>
          <w:lang w:val="es-MX" w:eastAsia="es-ES"/>
        </w:rPr>
      </w:pPr>
      <w:r w:rsidRPr="00E06FD9">
        <w:rPr>
          <w:b/>
          <w:bCs/>
          <w:sz w:val="28"/>
          <w:szCs w:val="28"/>
          <w:lang w:val="es-MX" w:eastAsia="es-ES"/>
        </w:rPr>
        <w:t>Diseño</w:t>
      </w:r>
    </w:p>
    <w:p w14:paraId="78783546" w14:textId="77777777" w:rsidR="00E06FD9" w:rsidRPr="00E06FD9" w:rsidRDefault="00E06FD9" w:rsidP="00E06FD9">
      <w:pPr>
        <w:autoSpaceDE w:val="0"/>
        <w:autoSpaceDN w:val="0"/>
        <w:adjustRightInd w:val="0"/>
        <w:spacing w:line="360" w:lineRule="auto"/>
        <w:jc w:val="both"/>
        <w:rPr>
          <w:lang w:val="es-MX" w:eastAsia="es-ES"/>
        </w:rPr>
      </w:pPr>
      <w:r w:rsidRPr="00E06FD9">
        <w:rPr>
          <w:lang w:val="es-MX" w:eastAsia="es-ES"/>
        </w:rPr>
        <w:t xml:space="preserve">Se desarrolló un estudio observacional, analítico y transversal. </w:t>
      </w:r>
    </w:p>
    <w:p w14:paraId="36A0C4B4" w14:textId="77777777" w:rsidR="00E06FD9" w:rsidRPr="00E06FD9" w:rsidRDefault="00E06FD9" w:rsidP="00E06FD9">
      <w:pPr>
        <w:autoSpaceDE w:val="0"/>
        <w:autoSpaceDN w:val="0"/>
        <w:adjustRightInd w:val="0"/>
        <w:spacing w:line="360" w:lineRule="auto"/>
        <w:jc w:val="center"/>
        <w:rPr>
          <w:b/>
          <w:bCs/>
          <w:sz w:val="28"/>
          <w:szCs w:val="28"/>
          <w:lang w:val="es-MX" w:eastAsia="es-ES"/>
        </w:rPr>
      </w:pPr>
      <w:r w:rsidRPr="00E06FD9">
        <w:rPr>
          <w:b/>
          <w:bCs/>
          <w:sz w:val="28"/>
          <w:szCs w:val="28"/>
          <w:lang w:val="es-MX" w:eastAsia="es-ES"/>
        </w:rPr>
        <w:t>Sujetos</w:t>
      </w:r>
    </w:p>
    <w:p w14:paraId="50A6F40C" w14:textId="77777777" w:rsidR="00E06FD9" w:rsidRPr="00E06FD9" w:rsidRDefault="00E06FD9" w:rsidP="00E06FD9">
      <w:pPr>
        <w:autoSpaceDE w:val="0"/>
        <w:autoSpaceDN w:val="0"/>
        <w:adjustRightInd w:val="0"/>
        <w:spacing w:line="360" w:lineRule="auto"/>
        <w:jc w:val="both"/>
        <w:rPr>
          <w:lang w:val="es-MX" w:eastAsia="es-ES"/>
        </w:rPr>
      </w:pPr>
      <w:r w:rsidRPr="00E06FD9">
        <w:rPr>
          <w:lang w:val="es-MX" w:eastAsia="es-ES"/>
        </w:rPr>
        <w:t>Se trabajó con un universo, que estuvo constituido por los 257 pacientes atendidos en el Servicio de Psicología del Hospital Militar Central “Dr. Carlos J. Finlay”, del año 2016 al año 2019. Los participantes en el estudio tenían:</w:t>
      </w:r>
    </w:p>
    <w:p w14:paraId="2FED5537" w14:textId="77777777" w:rsidR="00E06FD9" w:rsidRPr="00E06FD9" w:rsidRDefault="00E06FD9" w:rsidP="00E06FD9">
      <w:pPr>
        <w:autoSpaceDE w:val="0"/>
        <w:autoSpaceDN w:val="0"/>
        <w:adjustRightInd w:val="0"/>
        <w:spacing w:line="360" w:lineRule="auto"/>
        <w:jc w:val="both"/>
        <w:rPr>
          <w:lang w:val="es-MX" w:eastAsia="es-ES"/>
        </w:rPr>
      </w:pPr>
    </w:p>
    <w:p w14:paraId="3EEAE530" w14:textId="77777777" w:rsidR="00E06FD9" w:rsidRPr="00E06FD9" w:rsidRDefault="00E06FD9" w:rsidP="00E06FD9">
      <w:pPr>
        <w:numPr>
          <w:ilvl w:val="0"/>
          <w:numId w:val="6"/>
        </w:numPr>
        <w:autoSpaceDE w:val="0"/>
        <w:autoSpaceDN w:val="0"/>
        <w:adjustRightInd w:val="0"/>
        <w:spacing w:after="200" w:line="360" w:lineRule="auto"/>
        <w:ind w:left="567" w:hanging="425"/>
        <w:contextualSpacing/>
        <w:jc w:val="both"/>
        <w:rPr>
          <w:lang w:val="es-MX" w:eastAsia="es-PE"/>
        </w:rPr>
      </w:pPr>
      <w:r w:rsidRPr="00E06FD9">
        <w:rPr>
          <w:lang w:val="es-MX" w:eastAsia="es-PE"/>
        </w:rPr>
        <w:t>Diagnóstico de adicción a sustancias psicoactivas, según los criterios del DSM-</w:t>
      </w:r>
      <w:proofErr w:type="gramStart"/>
      <w:r w:rsidRPr="00E06FD9">
        <w:rPr>
          <w:lang w:val="es-MX" w:eastAsia="es-PE"/>
        </w:rPr>
        <w:t>V.</w:t>
      </w:r>
      <w:r w:rsidRPr="00E06FD9">
        <w:rPr>
          <w:vertAlign w:val="superscript"/>
          <w:lang w:val="es-MX" w:eastAsia="es-PE"/>
        </w:rPr>
        <w:t>(</w:t>
      </w:r>
      <w:proofErr w:type="gramEnd"/>
      <w:r w:rsidRPr="00E06FD9">
        <w:rPr>
          <w:vertAlign w:val="superscript"/>
          <w:lang w:val="es-MX" w:eastAsia="es-PE"/>
        </w:rPr>
        <w:t>6)</w:t>
      </w:r>
    </w:p>
    <w:p w14:paraId="546743D8" w14:textId="77777777" w:rsidR="00E06FD9" w:rsidRPr="00E06FD9" w:rsidRDefault="00E06FD9" w:rsidP="00E06FD9">
      <w:pPr>
        <w:numPr>
          <w:ilvl w:val="0"/>
          <w:numId w:val="6"/>
        </w:numPr>
        <w:autoSpaceDE w:val="0"/>
        <w:autoSpaceDN w:val="0"/>
        <w:adjustRightInd w:val="0"/>
        <w:spacing w:after="200" w:line="360" w:lineRule="auto"/>
        <w:ind w:left="567" w:hanging="425"/>
        <w:contextualSpacing/>
        <w:jc w:val="both"/>
        <w:rPr>
          <w:lang w:val="es-MX" w:eastAsia="es-PE"/>
        </w:rPr>
      </w:pPr>
      <w:r w:rsidRPr="00E06FD9">
        <w:rPr>
          <w:lang w:val="es-MX" w:eastAsia="es-PE"/>
        </w:rPr>
        <w:t>Nivel de escolaridad de noveno grado o superior.</w:t>
      </w:r>
    </w:p>
    <w:p w14:paraId="18A29468" w14:textId="77777777" w:rsidR="00E06FD9" w:rsidRPr="00E06FD9" w:rsidRDefault="00E06FD9" w:rsidP="00E06FD9">
      <w:pPr>
        <w:numPr>
          <w:ilvl w:val="0"/>
          <w:numId w:val="6"/>
        </w:numPr>
        <w:autoSpaceDE w:val="0"/>
        <w:autoSpaceDN w:val="0"/>
        <w:adjustRightInd w:val="0"/>
        <w:spacing w:after="200" w:line="360" w:lineRule="auto"/>
        <w:ind w:left="567" w:hanging="425"/>
        <w:contextualSpacing/>
        <w:jc w:val="both"/>
        <w:rPr>
          <w:lang w:val="es-MX" w:eastAsia="es-PE"/>
        </w:rPr>
      </w:pPr>
      <w:r w:rsidRPr="00E06FD9">
        <w:rPr>
          <w:lang w:val="es-MX" w:eastAsia="es-PE"/>
        </w:rPr>
        <w:t xml:space="preserve">Que accedieron a participar en la investigación, para lo cual se recogió consentimiento informado.  </w:t>
      </w:r>
    </w:p>
    <w:p w14:paraId="30241294" w14:textId="77777777" w:rsidR="00E06FD9" w:rsidRPr="00E06FD9" w:rsidRDefault="00E06FD9" w:rsidP="00E06FD9">
      <w:pPr>
        <w:numPr>
          <w:ilvl w:val="0"/>
          <w:numId w:val="6"/>
        </w:numPr>
        <w:autoSpaceDE w:val="0"/>
        <w:autoSpaceDN w:val="0"/>
        <w:adjustRightInd w:val="0"/>
        <w:spacing w:after="200" w:line="360" w:lineRule="auto"/>
        <w:ind w:left="567" w:hanging="425"/>
        <w:contextualSpacing/>
        <w:jc w:val="both"/>
        <w:rPr>
          <w:lang w:val="es-MX" w:eastAsia="es-PE"/>
        </w:rPr>
      </w:pPr>
      <w:r w:rsidRPr="00E06FD9">
        <w:rPr>
          <w:lang w:val="es-MX" w:eastAsia="es-PE"/>
        </w:rPr>
        <w:t>Sin deterioro cognitivo grave (descartado con el Mini examen del estado mental de Folstein</w:t>
      </w:r>
      <w:proofErr w:type="gramStart"/>
      <w:r w:rsidRPr="00E06FD9">
        <w:rPr>
          <w:lang w:val="es-MX" w:eastAsia="es-PE"/>
        </w:rPr>
        <w:t>).</w:t>
      </w:r>
      <w:r w:rsidRPr="00E06FD9">
        <w:rPr>
          <w:vertAlign w:val="superscript"/>
          <w:lang w:val="es-MX" w:eastAsia="es-PE"/>
        </w:rPr>
        <w:t>(</w:t>
      </w:r>
      <w:proofErr w:type="gramEnd"/>
      <w:r w:rsidRPr="00E06FD9">
        <w:rPr>
          <w:vertAlign w:val="superscript"/>
          <w:lang w:val="es-MX" w:eastAsia="es-PE"/>
        </w:rPr>
        <w:t>7)</w:t>
      </w:r>
    </w:p>
    <w:p w14:paraId="72E98577" w14:textId="77777777" w:rsidR="00E06FD9" w:rsidRPr="00E06FD9" w:rsidRDefault="00E06FD9" w:rsidP="00E06FD9">
      <w:pPr>
        <w:numPr>
          <w:ilvl w:val="0"/>
          <w:numId w:val="6"/>
        </w:numPr>
        <w:autoSpaceDE w:val="0"/>
        <w:autoSpaceDN w:val="0"/>
        <w:adjustRightInd w:val="0"/>
        <w:spacing w:after="200" w:line="360" w:lineRule="auto"/>
        <w:ind w:left="567" w:hanging="425"/>
        <w:contextualSpacing/>
        <w:jc w:val="both"/>
        <w:rPr>
          <w:lang w:val="es-MX" w:eastAsia="es-PE"/>
        </w:rPr>
      </w:pPr>
      <w:r w:rsidRPr="00E06FD9">
        <w:rPr>
          <w:lang w:val="es-MX" w:eastAsia="es-PE"/>
        </w:rPr>
        <w:t>Sin recidivas de la adicción, en las 3 semanas previas a la evaluación.</w:t>
      </w:r>
    </w:p>
    <w:p w14:paraId="03B20DEF" w14:textId="77777777" w:rsidR="00E06FD9" w:rsidRPr="00E06FD9" w:rsidRDefault="00E06FD9" w:rsidP="00E06FD9">
      <w:pPr>
        <w:numPr>
          <w:ilvl w:val="0"/>
          <w:numId w:val="6"/>
        </w:numPr>
        <w:autoSpaceDE w:val="0"/>
        <w:autoSpaceDN w:val="0"/>
        <w:adjustRightInd w:val="0"/>
        <w:spacing w:after="200" w:line="360" w:lineRule="auto"/>
        <w:ind w:left="567" w:hanging="425"/>
        <w:contextualSpacing/>
        <w:jc w:val="both"/>
        <w:rPr>
          <w:lang w:val="es-MX" w:eastAsia="es-PE"/>
        </w:rPr>
      </w:pPr>
      <w:r w:rsidRPr="00E06FD9">
        <w:rPr>
          <w:lang w:val="es-MX" w:eastAsia="es-PE"/>
        </w:rPr>
        <w:t xml:space="preserve">Que no se clasificaran como enfermedad </w:t>
      </w:r>
      <w:proofErr w:type="gramStart"/>
      <w:r w:rsidRPr="00E06FD9">
        <w:rPr>
          <w:lang w:val="es-MX" w:eastAsia="es-PE"/>
        </w:rPr>
        <w:t>dual.</w:t>
      </w:r>
      <w:r w:rsidRPr="00E06FD9">
        <w:rPr>
          <w:vertAlign w:val="superscript"/>
          <w:lang w:val="es-MX" w:eastAsia="es-PE"/>
        </w:rPr>
        <w:t>(</w:t>
      </w:r>
      <w:proofErr w:type="gramEnd"/>
      <w:r w:rsidRPr="00E06FD9">
        <w:rPr>
          <w:vertAlign w:val="superscript"/>
          <w:lang w:val="es-MX" w:eastAsia="es-PE"/>
        </w:rPr>
        <w:t>8)</w:t>
      </w:r>
    </w:p>
    <w:p w14:paraId="60CD4C49" w14:textId="77777777" w:rsidR="00E06FD9" w:rsidRPr="00E06FD9" w:rsidRDefault="00E06FD9" w:rsidP="00E06FD9">
      <w:pPr>
        <w:numPr>
          <w:ilvl w:val="0"/>
          <w:numId w:val="6"/>
        </w:numPr>
        <w:autoSpaceDE w:val="0"/>
        <w:autoSpaceDN w:val="0"/>
        <w:adjustRightInd w:val="0"/>
        <w:spacing w:after="200" w:line="360" w:lineRule="auto"/>
        <w:ind w:left="567" w:hanging="425"/>
        <w:contextualSpacing/>
        <w:jc w:val="both"/>
        <w:rPr>
          <w:lang w:val="es-MX" w:eastAsia="es-PE"/>
        </w:rPr>
      </w:pPr>
      <w:r w:rsidRPr="00E06FD9">
        <w:rPr>
          <w:lang w:val="es-MX" w:eastAsia="es-PE"/>
        </w:rPr>
        <w:t xml:space="preserve">Que no presentaron encefalopatías por consumo de sustancias, descartado por evaluación clínica con especialista de Neurología. </w:t>
      </w:r>
    </w:p>
    <w:p w14:paraId="3EF46AC8" w14:textId="77777777" w:rsidR="00E06FD9" w:rsidRPr="00E06FD9" w:rsidRDefault="00E06FD9" w:rsidP="00E06FD9">
      <w:pPr>
        <w:numPr>
          <w:ilvl w:val="0"/>
          <w:numId w:val="6"/>
        </w:numPr>
        <w:autoSpaceDE w:val="0"/>
        <w:autoSpaceDN w:val="0"/>
        <w:adjustRightInd w:val="0"/>
        <w:spacing w:after="200" w:line="360" w:lineRule="auto"/>
        <w:ind w:left="567" w:hanging="425"/>
        <w:contextualSpacing/>
        <w:jc w:val="both"/>
        <w:rPr>
          <w:lang w:val="es-MX" w:eastAsia="es-PE"/>
        </w:rPr>
      </w:pPr>
      <w:r w:rsidRPr="00E06FD9">
        <w:rPr>
          <w:lang w:val="es-MX" w:eastAsia="es-PE"/>
        </w:rPr>
        <w:t xml:space="preserve">Que no tuvieran familiares de primera línea con trastornos mentales diferentes a las adicciones. </w:t>
      </w:r>
    </w:p>
    <w:p w14:paraId="41B14177" w14:textId="77777777" w:rsidR="00E06FD9" w:rsidRPr="00E06FD9" w:rsidRDefault="00E06FD9" w:rsidP="00E06FD9">
      <w:pPr>
        <w:autoSpaceDE w:val="0"/>
        <w:autoSpaceDN w:val="0"/>
        <w:adjustRightInd w:val="0"/>
        <w:spacing w:line="360" w:lineRule="auto"/>
        <w:jc w:val="center"/>
        <w:rPr>
          <w:b/>
          <w:bCs/>
          <w:lang w:val="es-MX" w:eastAsia="es-ES"/>
        </w:rPr>
      </w:pPr>
    </w:p>
    <w:p w14:paraId="2B643E49" w14:textId="77777777" w:rsidR="007B372F" w:rsidRDefault="007B372F">
      <w:pPr>
        <w:rPr>
          <w:b/>
          <w:bCs/>
          <w:sz w:val="28"/>
          <w:szCs w:val="28"/>
          <w:lang w:val="es-MX" w:eastAsia="es-ES"/>
        </w:rPr>
      </w:pPr>
      <w:r>
        <w:rPr>
          <w:b/>
          <w:bCs/>
          <w:sz w:val="28"/>
          <w:szCs w:val="28"/>
          <w:lang w:val="es-MX" w:eastAsia="es-ES"/>
        </w:rPr>
        <w:br w:type="page"/>
      </w:r>
    </w:p>
    <w:p w14:paraId="48293EA8" w14:textId="3D095DE7" w:rsidR="00E06FD9" w:rsidRPr="00E06FD9" w:rsidRDefault="00E06FD9" w:rsidP="00E06FD9">
      <w:pPr>
        <w:autoSpaceDE w:val="0"/>
        <w:autoSpaceDN w:val="0"/>
        <w:adjustRightInd w:val="0"/>
        <w:spacing w:line="360" w:lineRule="auto"/>
        <w:jc w:val="center"/>
        <w:rPr>
          <w:b/>
          <w:bCs/>
          <w:sz w:val="28"/>
          <w:szCs w:val="28"/>
          <w:lang w:val="es-MX" w:eastAsia="es-ES"/>
        </w:rPr>
      </w:pPr>
      <w:r w:rsidRPr="00E06FD9">
        <w:rPr>
          <w:b/>
          <w:bCs/>
          <w:sz w:val="28"/>
          <w:szCs w:val="28"/>
          <w:lang w:val="es-MX" w:eastAsia="es-ES"/>
        </w:rPr>
        <w:lastRenderedPageBreak/>
        <w:t>Variables</w:t>
      </w:r>
    </w:p>
    <w:p w14:paraId="7155975C" w14:textId="77777777" w:rsidR="00E06FD9" w:rsidRPr="00E06FD9" w:rsidRDefault="00E06FD9" w:rsidP="007B372F">
      <w:pPr>
        <w:autoSpaceDE w:val="0"/>
        <w:autoSpaceDN w:val="0"/>
        <w:adjustRightInd w:val="0"/>
        <w:spacing w:line="360" w:lineRule="auto"/>
        <w:jc w:val="both"/>
        <w:rPr>
          <w:lang w:val="es-MX" w:eastAsia="es-ES"/>
        </w:rPr>
      </w:pPr>
      <w:r w:rsidRPr="00E06FD9">
        <w:rPr>
          <w:lang w:val="es-MX" w:eastAsia="es-ES"/>
        </w:rPr>
        <w:t>Las variables estudiadas fueron:</w:t>
      </w:r>
    </w:p>
    <w:p w14:paraId="7B9C8693" w14:textId="77777777" w:rsidR="00E06FD9" w:rsidRPr="00E06FD9" w:rsidRDefault="00E06FD9" w:rsidP="007B372F">
      <w:pPr>
        <w:autoSpaceDE w:val="0"/>
        <w:autoSpaceDN w:val="0"/>
        <w:adjustRightInd w:val="0"/>
        <w:spacing w:line="360" w:lineRule="auto"/>
        <w:jc w:val="both"/>
        <w:rPr>
          <w:lang w:val="es-MX" w:eastAsia="es-ES"/>
        </w:rPr>
      </w:pPr>
    </w:p>
    <w:p w14:paraId="3EE3B3CF" w14:textId="77777777" w:rsidR="00E06FD9" w:rsidRPr="00E06FD9" w:rsidRDefault="00E06FD9" w:rsidP="007B372F">
      <w:pPr>
        <w:numPr>
          <w:ilvl w:val="0"/>
          <w:numId w:val="7"/>
        </w:numPr>
        <w:autoSpaceDE w:val="0"/>
        <w:autoSpaceDN w:val="0"/>
        <w:adjustRightInd w:val="0"/>
        <w:spacing w:line="360" w:lineRule="auto"/>
        <w:ind w:left="567" w:hanging="425"/>
        <w:contextualSpacing/>
        <w:jc w:val="both"/>
        <w:rPr>
          <w:lang w:val="es-MX" w:eastAsia="es-PE"/>
        </w:rPr>
      </w:pPr>
      <w:r w:rsidRPr="00E06FD9">
        <w:rPr>
          <w:lang w:val="es-MX" w:eastAsia="es-PE"/>
        </w:rPr>
        <w:t>Funciones ejecutivas: alterada y normal.</w:t>
      </w:r>
    </w:p>
    <w:p w14:paraId="4075D029" w14:textId="77777777" w:rsidR="00E06FD9" w:rsidRPr="00E06FD9" w:rsidRDefault="00E06FD9" w:rsidP="007B372F">
      <w:pPr>
        <w:numPr>
          <w:ilvl w:val="0"/>
          <w:numId w:val="7"/>
        </w:numPr>
        <w:autoSpaceDE w:val="0"/>
        <w:autoSpaceDN w:val="0"/>
        <w:adjustRightInd w:val="0"/>
        <w:spacing w:line="360" w:lineRule="auto"/>
        <w:ind w:left="567" w:hanging="425"/>
        <w:contextualSpacing/>
        <w:jc w:val="both"/>
        <w:rPr>
          <w:lang w:val="es-MX" w:eastAsia="es-PE"/>
        </w:rPr>
      </w:pPr>
      <w:r w:rsidRPr="00E06FD9">
        <w:rPr>
          <w:lang w:val="es-MX" w:eastAsia="es-PE"/>
        </w:rPr>
        <w:t>Edad cronológica.</w:t>
      </w:r>
    </w:p>
    <w:p w14:paraId="02BF8512" w14:textId="77777777" w:rsidR="00E06FD9" w:rsidRPr="00E06FD9" w:rsidRDefault="00E06FD9" w:rsidP="007B372F">
      <w:pPr>
        <w:numPr>
          <w:ilvl w:val="0"/>
          <w:numId w:val="7"/>
        </w:numPr>
        <w:autoSpaceDE w:val="0"/>
        <w:autoSpaceDN w:val="0"/>
        <w:adjustRightInd w:val="0"/>
        <w:spacing w:line="360" w:lineRule="auto"/>
        <w:ind w:left="567" w:hanging="425"/>
        <w:contextualSpacing/>
        <w:jc w:val="both"/>
        <w:rPr>
          <w:lang w:val="es-MX" w:eastAsia="es-PE"/>
        </w:rPr>
      </w:pPr>
      <w:r w:rsidRPr="00E06FD9">
        <w:rPr>
          <w:lang w:val="es-MX" w:eastAsia="es-PE"/>
        </w:rPr>
        <w:t>Sexo.</w:t>
      </w:r>
    </w:p>
    <w:p w14:paraId="0860C4A8" w14:textId="77777777" w:rsidR="00E06FD9" w:rsidRPr="00E06FD9" w:rsidRDefault="00E06FD9" w:rsidP="007B372F">
      <w:pPr>
        <w:numPr>
          <w:ilvl w:val="0"/>
          <w:numId w:val="7"/>
        </w:numPr>
        <w:autoSpaceDE w:val="0"/>
        <w:autoSpaceDN w:val="0"/>
        <w:adjustRightInd w:val="0"/>
        <w:spacing w:line="360" w:lineRule="auto"/>
        <w:ind w:left="567" w:hanging="425"/>
        <w:contextualSpacing/>
        <w:jc w:val="both"/>
        <w:rPr>
          <w:lang w:val="es-MX" w:eastAsia="es-PE"/>
        </w:rPr>
      </w:pPr>
      <w:r w:rsidRPr="00E06FD9">
        <w:rPr>
          <w:lang w:val="es-MX" w:eastAsia="es-PE"/>
        </w:rPr>
        <w:t>Nivel escolar: sexto grado, noveno grado, duodécimo grado, técnico medio y universitario.</w:t>
      </w:r>
    </w:p>
    <w:p w14:paraId="03650E98" w14:textId="77777777" w:rsidR="00E06FD9" w:rsidRPr="00E06FD9" w:rsidRDefault="00E06FD9" w:rsidP="007B372F">
      <w:pPr>
        <w:numPr>
          <w:ilvl w:val="0"/>
          <w:numId w:val="7"/>
        </w:numPr>
        <w:autoSpaceDE w:val="0"/>
        <w:autoSpaceDN w:val="0"/>
        <w:adjustRightInd w:val="0"/>
        <w:spacing w:line="360" w:lineRule="auto"/>
        <w:ind w:left="567" w:hanging="425"/>
        <w:contextualSpacing/>
        <w:jc w:val="both"/>
        <w:rPr>
          <w:lang w:val="es-MX" w:eastAsia="es-PE"/>
        </w:rPr>
      </w:pPr>
      <w:r w:rsidRPr="00E06FD9">
        <w:rPr>
          <w:lang w:val="es-MX" w:eastAsia="es-PE"/>
        </w:rPr>
        <w:t>Características clínicas del consumo (alteración de la capacidad de abstención, necesidad subjetiva de consumo, patrón de consumo, tolerancia, alteración de la capacidad para detener el consumo y consumo persistente a pesar de daño físico o mental).</w:t>
      </w:r>
    </w:p>
    <w:p w14:paraId="56ED921C" w14:textId="77777777" w:rsidR="00E06FD9" w:rsidRPr="00E06FD9" w:rsidRDefault="00E06FD9" w:rsidP="007B372F">
      <w:pPr>
        <w:numPr>
          <w:ilvl w:val="0"/>
          <w:numId w:val="7"/>
        </w:numPr>
        <w:autoSpaceDE w:val="0"/>
        <w:autoSpaceDN w:val="0"/>
        <w:adjustRightInd w:val="0"/>
        <w:spacing w:line="360" w:lineRule="auto"/>
        <w:ind w:left="567" w:hanging="425"/>
        <w:contextualSpacing/>
        <w:jc w:val="both"/>
        <w:rPr>
          <w:lang w:val="es-MX" w:eastAsia="es-PE"/>
        </w:rPr>
      </w:pPr>
      <w:r w:rsidRPr="00E06FD9">
        <w:rPr>
          <w:lang w:val="es-MX" w:eastAsia="es-PE"/>
        </w:rPr>
        <w:t>Sustancia consumida: alcohol y sus derivados; otras drogas diferentes al alcohol.</w:t>
      </w:r>
    </w:p>
    <w:p w14:paraId="730B0FE4" w14:textId="77777777" w:rsidR="00E06FD9" w:rsidRPr="00E06FD9" w:rsidRDefault="00E06FD9" w:rsidP="007B372F">
      <w:pPr>
        <w:numPr>
          <w:ilvl w:val="0"/>
          <w:numId w:val="7"/>
        </w:numPr>
        <w:autoSpaceDE w:val="0"/>
        <w:autoSpaceDN w:val="0"/>
        <w:adjustRightInd w:val="0"/>
        <w:spacing w:line="360" w:lineRule="auto"/>
        <w:ind w:left="567" w:hanging="425"/>
        <w:contextualSpacing/>
        <w:jc w:val="both"/>
        <w:rPr>
          <w:lang w:val="es-MX" w:eastAsia="es-PE"/>
        </w:rPr>
      </w:pPr>
      <w:r w:rsidRPr="00E06FD9">
        <w:rPr>
          <w:lang w:val="es-MX" w:eastAsia="es-PE"/>
        </w:rPr>
        <w:t>Antecedentes familiares de adicción: presencia o ausencia.</w:t>
      </w:r>
    </w:p>
    <w:p w14:paraId="0A6DA155" w14:textId="77777777" w:rsidR="00E06FD9" w:rsidRPr="00E06FD9" w:rsidRDefault="00E06FD9" w:rsidP="007B372F">
      <w:pPr>
        <w:numPr>
          <w:ilvl w:val="0"/>
          <w:numId w:val="7"/>
        </w:numPr>
        <w:autoSpaceDE w:val="0"/>
        <w:autoSpaceDN w:val="0"/>
        <w:adjustRightInd w:val="0"/>
        <w:spacing w:line="360" w:lineRule="auto"/>
        <w:ind w:left="567" w:hanging="425"/>
        <w:contextualSpacing/>
        <w:jc w:val="both"/>
        <w:rPr>
          <w:lang w:val="es-MX" w:eastAsia="es-PE"/>
        </w:rPr>
      </w:pPr>
      <w:r w:rsidRPr="00E06FD9">
        <w:rPr>
          <w:lang w:val="es-MX" w:eastAsia="es-PE"/>
        </w:rPr>
        <w:t xml:space="preserve">Antecedentes familiares de ideación suicida: presencia o ausencia. </w:t>
      </w:r>
    </w:p>
    <w:p w14:paraId="2AD2E4F7" w14:textId="77777777" w:rsidR="00E06FD9" w:rsidRPr="00E06FD9" w:rsidRDefault="00E06FD9" w:rsidP="007B372F">
      <w:pPr>
        <w:numPr>
          <w:ilvl w:val="0"/>
          <w:numId w:val="7"/>
        </w:numPr>
        <w:autoSpaceDE w:val="0"/>
        <w:autoSpaceDN w:val="0"/>
        <w:adjustRightInd w:val="0"/>
        <w:spacing w:line="360" w:lineRule="auto"/>
        <w:ind w:left="567" w:hanging="425"/>
        <w:contextualSpacing/>
        <w:jc w:val="both"/>
        <w:rPr>
          <w:lang w:val="es-MX" w:eastAsia="es-PE"/>
        </w:rPr>
      </w:pPr>
      <w:r w:rsidRPr="00E06FD9">
        <w:rPr>
          <w:lang w:val="es-MX" w:eastAsia="es-PE"/>
        </w:rPr>
        <w:t xml:space="preserve">Coeficiente intelectual: </w:t>
      </w:r>
      <w:r w:rsidRPr="00E06FD9">
        <w:rPr>
          <w:lang w:eastAsia="es-ES"/>
        </w:rPr>
        <w:t>Clasificaciones</w:t>
      </w:r>
      <w:r w:rsidRPr="00E06FD9">
        <w:rPr>
          <w:lang w:eastAsia="es-PE"/>
        </w:rPr>
        <w:t xml:space="preserve"> de inteligencia general: muy s</w:t>
      </w:r>
      <w:r w:rsidRPr="00E06FD9">
        <w:rPr>
          <w:lang w:eastAsia="es-ES"/>
        </w:rPr>
        <w:t>uperior</w:t>
      </w:r>
      <w:r w:rsidRPr="00E06FD9">
        <w:rPr>
          <w:lang w:eastAsia="es-PE"/>
        </w:rPr>
        <w:t>, s</w:t>
      </w:r>
      <w:r w:rsidRPr="00E06FD9">
        <w:rPr>
          <w:lang w:eastAsia="es-ES"/>
        </w:rPr>
        <w:t>uperior</w:t>
      </w:r>
      <w:r w:rsidRPr="00E06FD9">
        <w:rPr>
          <w:lang w:eastAsia="es-PE"/>
        </w:rPr>
        <w:t>, n</w:t>
      </w:r>
      <w:r w:rsidRPr="00E06FD9">
        <w:rPr>
          <w:lang w:eastAsia="es-ES"/>
        </w:rPr>
        <w:t xml:space="preserve">ormal </w:t>
      </w:r>
      <w:r w:rsidRPr="00E06FD9">
        <w:rPr>
          <w:lang w:eastAsia="es-PE"/>
        </w:rPr>
        <w:t>a</w:t>
      </w:r>
      <w:r w:rsidRPr="00E06FD9">
        <w:rPr>
          <w:lang w:eastAsia="es-ES"/>
        </w:rPr>
        <w:t>lto</w:t>
      </w:r>
      <w:r w:rsidRPr="00E06FD9">
        <w:rPr>
          <w:lang w:eastAsia="es-PE"/>
        </w:rPr>
        <w:t>, n</w:t>
      </w:r>
      <w:r w:rsidRPr="00E06FD9">
        <w:rPr>
          <w:lang w:eastAsia="es-ES"/>
        </w:rPr>
        <w:t>ormal</w:t>
      </w:r>
      <w:r w:rsidRPr="00E06FD9">
        <w:rPr>
          <w:lang w:eastAsia="es-PE"/>
        </w:rPr>
        <w:t>, n</w:t>
      </w:r>
      <w:r w:rsidRPr="00E06FD9">
        <w:rPr>
          <w:lang w:eastAsia="es-ES"/>
        </w:rPr>
        <w:t xml:space="preserve">ormal </w:t>
      </w:r>
      <w:r w:rsidRPr="00E06FD9">
        <w:rPr>
          <w:lang w:eastAsia="es-PE"/>
        </w:rPr>
        <w:t>b</w:t>
      </w:r>
      <w:r w:rsidRPr="00E06FD9">
        <w:rPr>
          <w:lang w:eastAsia="es-ES"/>
        </w:rPr>
        <w:t>ajo</w:t>
      </w:r>
      <w:r w:rsidRPr="00E06FD9">
        <w:rPr>
          <w:lang w:eastAsia="es-PE"/>
        </w:rPr>
        <w:t xml:space="preserve"> y d</w:t>
      </w:r>
      <w:r w:rsidRPr="00E06FD9">
        <w:rPr>
          <w:lang w:eastAsia="es-ES"/>
        </w:rPr>
        <w:t>eficiente</w:t>
      </w:r>
      <w:r w:rsidRPr="00E06FD9">
        <w:rPr>
          <w:lang w:eastAsia="es-PE"/>
        </w:rPr>
        <w:t xml:space="preserve">. </w:t>
      </w:r>
    </w:p>
    <w:p w14:paraId="77A69C36" w14:textId="77777777" w:rsidR="00E06FD9" w:rsidRPr="00E06FD9" w:rsidRDefault="00E06FD9" w:rsidP="007B372F">
      <w:pPr>
        <w:numPr>
          <w:ilvl w:val="0"/>
          <w:numId w:val="7"/>
        </w:numPr>
        <w:autoSpaceDE w:val="0"/>
        <w:autoSpaceDN w:val="0"/>
        <w:adjustRightInd w:val="0"/>
        <w:spacing w:line="360" w:lineRule="auto"/>
        <w:ind w:left="567" w:hanging="425"/>
        <w:contextualSpacing/>
        <w:jc w:val="both"/>
        <w:rPr>
          <w:lang w:val="es-MX" w:eastAsia="es-PE"/>
        </w:rPr>
      </w:pPr>
      <w:r w:rsidRPr="00E06FD9">
        <w:rPr>
          <w:lang w:val="es-MX" w:eastAsia="es-PE"/>
        </w:rPr>
        <w:t>Deterioro cognitivo: deterioro cognitivo leve, moderado y grave.</w:t>
      </w:r>
    </w:p>
    <w:p w14:paraId="4DC3C491" w14:textId="77777777" w:rsidR="00E06FD9" w:rsidRPr="00E06FD9" w:rsidRDefault="00E06FD9" w:rsidP="007B372F">
      <w:pPr>
        <w:numPr>
          <w:ilvl w:val="0"/>
          <w:numId w:val="7"/>
        </w:numPr>
        <w:autoSpaceDE w:val="0"/>
        <w:autoSpaceDN w:val="0"/>
        <w:adjustRightInd w:val="0"/>
        <w:spacing w:line="360" w:lineRule="auto"/>
        <w:ind w:left="567" w:hanging="425"/>
        <w:contextualSpacing/>
        <w:jc w:val="both"/>
        <w:rPr>
          <w:lang w:val="es-MX" w:eastAsia="es-PE"/>
        </w:rPr>
      </w:pPr>
      <w:r w:rsidRPr="00E06FD9">
        <w:rPr>
          <w:lang w:val="es-MX" w:eastAsia="es-PE"/>
        </w:rPr>
        <w:t>Ansiedad: clasificada en muy baja, baja, normal, alta y muy alta.</w:t>
      </w:r>
    </w:p>
    <w:p w14:paraId="6A58DFBE" w14:textId="77777777" w:rsidR="00E06FD9" w:rsidRPr="00E06FD9" w:rsidRDefault="00E06FD9" w:rsidP="007B372F">
      <w:pPr>
        <w:numPr>
          <w:ilvl w:val="0"/>
          <w:numId w:val="7"/>
        </w:numPr>
        <w:autoSpaceDE w:val="0"/>
        <w:autoSpaceDN w:val="0"/>
        <w:adjustRightInd w:val="0"/>
        <w:spacing w:line="360" w:lineRule="auto"/>
        <w:ind w:left="567" w:hanging="425"/>
        <w:contextualSpacing/>
        <w:jc w:val="both"/>
        <w:rPr>
          <w:lang w:val="es-MX" w:eastAsia="es-PE"/>
        </w:rPr>
      </w:pPr>
      <w:r w:rsidRPr="00E06FD9">
        <w:rPr>
          <w:lang w:val="es-MX" w:eastAsia="es-PE"/>
        </w:rPr>
        <w:t>Depresión: clasificada en muy baja, baja, normal, alta y muy alta.</w:t>
      </w:r>
    </w:p>
    <w:p w14:paraId="6E8C5988" w14:textId="77777777" w:rsidR="00E06FD9" w:rsidRPr="00E06FD9" w:rsidRDefault="00E06FD9" w:rsidP="007B372F">
      <w:pPr>
        <w:numPr>
          <w:ilvl w:val="0"/>
          <w:numId w:val="7"/>
        </w:numPr>
        <w:autoSpaceDE w:val="0"/>
        <w:autoSpaceDN w:val="0"/>
        <w:adjustRightInd w:val="0"/>
        <w:spacing w:line="360" w:lineRule="auto"/>
        <w:ind w:left="567" w:hanging="425"/>
        <w:contextualSpacing/>
        <w:jc w:val="both"/>
        <w:rPr>
          <w:lang w:val="es-MX" w:eastAsia="es-PE"/>
        </w:rPr>
      </w:pPr>
      <w:r w:rsidRPr="00E06FD9">
        <w:rPr>
          <w:lang w:val="es-MX" w:eastAsia="es-PE"/>
        </w:rPr>
        <w:t xml:space="preserve">Tiempo de consumo: tiempo medido en días y meses, desde que inicio el consumo hasta el día de la evaluación. </w:t>
      </w:r>
    </w:p>
    <w:p w14:paraId="1953AA9F" w14:textId="77777777" w:rsidR="00E06FD9" w:rsidRPr="00E06FD9" w:rsidRDefault="00E06FD9" w:rsidP="00E06FD9">
      <w:pPr>
        <w:autoSpaceDE w:val="0"/>
        <w:autoSpaceDN w:val="0"/>
        <w:adjustRightInd w:val="0"/>
        <w:spacing w:line="360" w:lineRule="auto"/>
        <w:jc w:val="center"/>
        <w:rPr>
          <w:b/>
          <w:bCs/>
          <w:lang w:val="es-MX" w:eastAsia="es-ES"/>
        </w:rPr>
      </w:pPr>
    </w:p>
    <w:p w14:paraId="39C5651D" w14:textId="77777777" w:rsidR="00E06FD9" w:rsidRPr="00E06FD9" w:rsidRDefault="00E06FD9" w:rsidP="00E06FD9">
      <w:pPr>
        <w:autoSpaceDE w:val="0"/>
        <w:autoSpaceDN w:val="0"/>
        <w:adjustRightInd w:val="0"/>
        <w:spacing w:line="360" w:lineRule="auto"/>
        <w:jc w:val="center"/>
        <w:rPr>
          <w:b/>
          <w:bCs/>
          <w:sz w:val="28"/>
          <w:szCs w:val="28"/>
          <w:lang w:val="es-MX" w:eastAsia="es-ES"/>
        </w:rPr>
      </w:pPr>
      <w:r w:rsidRPr="00E06FD9">
        <w:rPr>
          <w:b/>
          <w:bCs/>
          <w:sz w:val="28"/>
          <w:szCs w:val="28"/>
          <w:lang w:val="es-MX" w:eastAsia="es-ES"/>
        </w:rPr>
        <w:t>Procedimientos</w:t>
      </w:r>
    </w:p>
    <w:p w14:paraId="64C4CAB9" w14:textId="77777777" w:rsidR="00E06FD9" w:rsidRPr="00E06FD9" w:rsidRDefault="00E06FD9" w:rsidP="00E06FD9">
      <w:pPr>
        <w:autoSpaceDE w:val="0"/>
        <w:autoSpaceDN w:val="0"/>
        <w:adjustRightInd w:val="0"/>
        <w:spacing w:line="360" w:lineRule="auto"/>
        <w:jc w:val="both"/>
        <w:rPr>
          <w:lang w:val="es-MX" w:eastAsia="es-ES"/>
        </w:rPr>
      </w:pPr>
      <w:r w:rsidRPr="00E06FD9">
        <w:rPr>
          <w:lang w:val="es-MX" w:eastAsia="es-ES"/>
        </w:rPr>
        <w:t xml:space="preserve">Para obtener los datos de las variables se aplicó a los pacientes los siguientes instrumentos: </w:t>
      </w:r>
    </w:p>
    <w:p w14:paraId="6CA1F618" w14:textId="77777777" w:rsidR="00E06FD9" w:rsidRPr="00E06FD9" w:rsidRDefault="00E06FD9" w:rsidP="00E06FD9">
      <w:pPr>
        <w:autoSpaceDE w:val="0"/>
        <w:autoSpaceDN w:val="0"/>
        <w:adjustRightInd w:val="0"/>
        <w:spacing w:line="360" w:lineRule="auto"/>
        <w:jc w:val="both"/>
        <w:rPr>
          <w:lang w:val="es-MX" w:eastAsia="es-ES"/>
        </w:rPr>
      </w:pPr>
    </w:p>
    <w:p w14:paraId="1C6ADD39" w14:textId="77777777" w:rsidR="00E06FD9" w:rsidRPr="00E06FD9" w:rsidRDefault="00E06FD9" w:rsidP="00E06FD9">
      <w:pPr>
        <w:numPr>
          <w:ilvl w:val="0"/>
          <w:numId w:val="12"/>
        </w:numPr>
        <w:spacing w:after="200" w:line="360" w:lineRule="auto"/>
        <w:ind w:left="284" w:hanging="284"/>
        <w:contextualSpacing/>
        <w:jc w:val="both"/>
        <w:rPr>
          <w:i/>
          <w:lang w:val="es-PE" w:eastAsia="es-ES"/>
        </w:rPr>
      </w:pPr>
      <w:r w:rsidRPr="00E06FD9">
        <w:rPr>
          <w:lang w:val="es-MX" w:eastAsia="es-PE"/>
        </w:rPr>
        <w:t>Entrevista semiestructurada: s</w:t>
      </w:r>
      <w:proofErr w:type="spellStart"/>
      <w:r w:rsidRPr="00E06FD9">
        <w:rPr>
          <w:lang w:val="es-PE" w:eastAsia="es-PE"/>
        </w:rPr>
        <w:t>e</w:t>
      </w:r>
      <w:proofErr w:type="spellEnd"/>
      <w:r w:rsidRPr="00E06FD9">
        <w:rPr>
          <w:lang w:val="es-PE" w:eastAsia="es-PE"/>
        </w:rPr>
        <w:t xml:space="preserve"> realizó con el objetivo de tener una visión más integradora del paciente, al considerar factores sociodemográficos y características clínica del consumo (ver archivo complementario).</w:t>
      </w:r>
    </w:p>
    <w:p w14:paraId="4AB599C4" w14:textId="77777777" w:rsidR="00E06FD9" w:rsidRPr="00E06FD9" w:rsidRDefault="00E06FD9" w:rsidP="00E06FD9">
      <w:pPr>
        <w:spacing w:line="360" w:lineRule="auto"/>
        <w:jc w:val="both"/>
        <w:rPr>
          <w:lang w:val="es-ES" w:eastAsia="es-ES"/>
        </w:rPr>
      </w:pPr>
    </w:p>
    <w:p w14:paraId="33D8C7AD" w14:textId="77777777" w:rsidR="00E06FD9" w:rsidRPr="00E06FD9" w:rsidRDefault="00E06FD9" w:rsidP="00E06FD9">
      <w:pPr>
        <w:spacing w:line="360" w:lineRule="auto"/>
        <w:jc w:val="both"/>
        <w:rPr>
          <w:i/>
          <w:lang w:val="es-ES" w:eastAsia="es-ES"/>
        </w:rPr>
      </w:pPr>
      <w:r w:rsidRPr="00E06FD9">
        <w:rPr>
          <w:lang w:val="es-ES" w:eastAsia="es-ES"/>
        </w:rPr>
        <w:t xml:space="preserve"> La información recogida por esta vía se analizó en 2 etapas</w:t>
      </w:r>
      <w:r w:rsidRPr="00E06FD9">
        <w:rPr>
          <w:i/>
          <w:lang w:val="es-ES" w:eastAsia="es-ES"/>
        </w:rPr>
        <w:t>:</w:t>
      </w:r>
    </w:p>
    <w:p w14:paraId="1E70F8AA" w14:textId="77777777" w:rsidR="00E06FD9" w:rsidRPr="00E06FD9" w:rsidRDefault="00E06FD9" w:rsidP="00E06FD9">
      <w:pPr>
        <w:spacing w:line="360" w:lineRule="auto"/>
        <w:jc w:val="both"/>
        <w:rPr>
          <w:i/>
          <w:lang w:val="es-ES" w:eastAsia="es-ES"/>
        </w:rPr>
      </w:pPr>
    </w:p>
    <w:p w14:paraId="6F0049CD" w14:textId="77777777" w:rsidR="00E06FD9" w:rsidRPr="00E06FD9" w:rsidRDefault="00E06FD9" w:rsidP="00E06FD9">
      <w:pPr>
        <w:numPr>
          <w:ilvl w:val="0"/>
          <w:numId w:val="10"/>
        </w:numPr>
        <w:spacing w:after="200" w:line="360" w:lineRule="auto"/>
        <w:contextualSpacing/>
        <w:jc w:val="both"/>
        <w:rPr>
          <w:lang w:val="es-PE" w:eastAsia="es-PE"/>
        </w:rPr>
      </w:pPr>
      <w:r w:rsidRPr="00E06FD9">
        <w:rPr>
          <w:iCs/>
          <w:lang w:val="es-PE" w:eastAsia="es-PE"/>
        </w:rPr>
        <w:t>Primera:</w:t>
      </w:r>
      <w:r w:rsidRPr="00E06FD9">
        <w:rPr>
          <w:lang w:val="es-PE" w:eastAsia="es-PE"/>
        </w:rPr>
        <w:t xml:space="preserve"> elementos sociodemográficos: edad, sexo, nivel escolar.  </w:t>
      </w:r>
    </w:p>
    <w:p w14:paraId="791C3894" w14:textId="77777777" w:rsidR="00E06FD9" w:rsidRPr="00E06FD9" w:rsidRDefault="00E06FD9" w:rsidP="00E06FD9">
      <w:pPr>
        <w:numPr>
          <w:ilvl w:val="0"/>
          <w:numId w:val="10"/>
        </w:numPr>
        <w:spacing w:after="200" w:line="360" w:lineRule="auto"/>
        <w:contextualSpacing/>
        <w:jc w:val="both"/>
        <w:rPr>
          <w:lang w:val="es-PE" w:eastAsia="es-PE"/>
        </w:rPr>
      </w:pPr>
      <w:r w:rsidRPr="00E06FD9">
        <w:rPr>
          <w:iCs/>
          <w:lang w:val="es-PE" w:eastAsia="es-ES"/>
        </w:rPr>
        <w:t>Segunda:</w:t>
      </w:r>
      <w:r w:rsidRPr="00E06FD9">
        <w:rPr>
          <w:i/>
          <w:lang w:val="es-PE" w:eastAsia="es-ES"/>
        </w:rPr>
        <w:t xml:space="preserve"> </w:t>
      </w:r>
      <w:r w:rsidRPr="00E06FD9">
        <w:rPr>
          <w:lang w:val="es-PE" w:eastAsia="es-ES"/>
        </w:rPr>
        <w:t xml:space="preserve">con estos tópicos se analizaron las variables características clínicas del consumo, al referirse a: sustancia consumida, tiempo consumiendo la sustancia, tiempo hasta la recaída, patrón de consumo, desintoxicaciones previas, necesidad subjetiva de consumo, alteración de la capacidad para detener el consumo, alteración de la capacidad de abstención, tolerancia y consumo persistente a pesar del daño físico o mental. </w:t>
      </w:r>
    </w:p>
    <w:p w14:paraId="4AB37063" w14:textId="77777777" w:rsidR="00E06FD9" w:rsidRPr="00E06FD9" w:rsidRDefault="00E06FD9" w:rsidP="00E06FD9">
      <w:pPr>
        <w:numPr>
          <w:ilvl w:val="0"/>
          <w:numId w:val="13"/>
        </w:numPr>
        <w:autoSpaceDE w:val="0"/>
        <w:autoSpaceDN w:val="0"/>
        <w:adjustRightInd w:val="0"/>
        <w:spacing w:after="200" w:line="360" w:lineRule="auto"/>
        <w:contextualSpacing/>
        <w:jc w:val="both"/>
        <w:rPr>
          <w:vertAlign w:val="superscript"/>
          <w:lang w:val="es-MX" w:eastAsia="es-PE"/>
        </w:rPr>
      </w:pPr>
      <w:r w:rsidRPr="00E06FD9">
        <w:rPr>
          <w:lang w:val="es-MX" w:eastAsia="es-PE"/>
        </w:rPr>
        <w:t xml:space="preserve">Test de colores y palabras de </w:t>
      </w:r>
      <w:proofErr w:type="spellStart"/>
      <w:proofErr w:type="gramStart"/>
      <w:r w:rsidRPr="00E06FD9">
        <w:rPr>
          <w:lang w:val="es-MX" w:eastAsia="es-PE"/>
        </w:rPr>
        <w:t>Stroop</w:t>
      </w:r>
      <w:proofErr w:type="spellEnd"/>
      <w:r w:rsidRPr="00E06FD9">
        <w:rPr>
          <w:lang w:val="es-MX" w:eastAsia="es-PE"/>
        </w:rPr>
        <w:t>.</w:t>
      </w:r>
      <w:r w:rsidRPr="00E06FD9">
        <w:rPr>
          <w:vertAlign w:val="superscript"/>
          <w:lang w:val="es-MX" w:eastAsia="es-PE"/>
        </w:rPr>
        <w:t>(</w:t>
      </w:r>
      <w:proofErr w:type="gramEnd"/>
      <w:r w:rsidRPr="00E06FD9">
        <w:rPr>
          <w:vertAlign w:val="superscript"/>
          <w:lang w:val="es-MX" w:eastAsia="es-PE"/>
        </w:rPr>
        <w:t>9)</w:t>
      </w:r>
    </w:p>
    <w:p w14:paraId="60EB7216" w14:textId="77777777" w:rsidR="00E06FD9" w:rsidRPr="00E06FD9" w:rsidRDefault="00E06FD9" w:rsidP="00E06FD9">
      <w:pPr>
        <w:numPr>
          <w:ilvl w:val="0"/>
          <w:numId w:val="13"/>
        </w:numPr>
        <w:autoSpaceDE w:val="0"/>
        <w:autoSpaceDN w:val="0"/>
        <w:adjustRightInd w:val="0"/>
        <w:spacing w:after="200" w:line="360" w:lineRule="auto"/>
        <w:contextualSpacing/>
        <w:jc w:val="both"/>
        <w:rPr>
          <w:vertAlign w:val="superscript"/>
          <w:lang w:val="es-MX" w:eastAsia="es-PE"/>
        </w:rPr>
      </w:pPr>
      <w:r w:rsidRPr="00E06FD9">
        <w:rPr>
          <w:lang w:val="es-MX" w:eastAsia="es-PE"/>
        </w:rPr>
        <w:t xml:space="preserve">Prueba de inteligencia no verbal de </w:t>
      </w:r>
      <w:proofErr w:type="gramStart"/>
      <w:r w:rsidRPr="00E06FD9">
        <w:rPr>
          <w:lang w:val="es-MX" w:eastAsia="es-PE"/>
        </w:rPr>
        <w:t>Weil.</w:t>
      </w:r>
      <w:r w:rsidRPr="00E06FD9">
        <w:rPr>
          <w:vertAlign w:val="superscript"/>
          <w:lang w:val="es-MX" w:eastAsia="es-PE"/>
        </w:rPr>
        <w:t>(</w:t>
      </w:r>
      <w:proofErr w:type="gramEnd"/>
      <w:r w:rsidRPr="00E06FD9">
        <w:rPr>
          <w:vertAlign w:val="superscript"/>
          <w:lang w:val="es-MX" w:eastAsia="es-PE"/>
        </w:rPr>
        <w:t>10)</w:t>
      </w:r>
    </w:p>
    <w:p w14:paraId="438493F4" w14:textId="77777777" w:rsidR="00E06FD9" w:rsidRPr="00E06FD9" w:rsidRDefault="00E06FD9" w:rsidP="00E06FD9">
      <w:pPr>
        <w:numPr>
          <w:ilvl w:val="0"/>
          <w:numId w:val="13"/>
        </w:numPr>
        <w:autoSpaceDE w:val="0"/>
        <w:autoSpaceDN w:val="0"/>
        <w:adjustRightInd w:val="0"/>
        <w:spacing w:after="200" w:line="360" w:lineRule="auto"/>
        <w:contextualSpacing/>
        <w:jc w:val="both"/>
        <w:rPr>
          <w:vertAlign w:val="superscript"/>
          <w:lang w:val="es-MX" w:eastAsia="es-PE"/>
        </w:rPr>
      </w:pPr>
      <w:r w:rsidRPr="00E06FD9">
        <w:rPr>
          <w:i/>
          <w:iCs/>
          <w:lang w:val="es-MX" w:eastAsia="es-PE"/>
        </w:rPr>
        <w:t xml:space="preserve">Montreal Cognitive </w:t>
      </w:r>
      <w:proofErr w:type="spellStart"/>
      <w:r w:rsidRPr="00E06FD9">
        <w:rPr>
          <w:i/>
          <w:iCs/>
          <w:lang w:val="es-MX" w:eastAsia="es-PE"/>
        </w:rPr>
        <w:t>Assesment</w:t>
      </w:r>
      <w:proofErr w:type="spellEnd"/>
      <w:r w:rsidRPr="00E06FD9">
        <w:rPr>
          <w:lang w:val="es-MX" w:eastAsia="es-PE"/>
        </w:rPr>
        <w:t xml:space="preserve"> (MOCA</w:t>
      </w:r>
      <w:proofErr w:type="gramStart"/>
      <w:r w:rsidRPr="00E06FD9">
        <w:rPr>
          <w:lang w:val="es-MX" w:eastAsia="es-PE"/>
        </w:rPr>
        <w:t>).</w:t>
      </w:r>
      <w:r w:rsidRPr="00E06FD9">
        <w:rPr>
          <w:vertAlign w:val="superscript"/>
          <w:lang w:val="es-MX" w:eastAsia="es-PE"/>
        </w:rPr>
        <w:t>(</w:t>
      </w:r>
      <w:proofErr w:type="gramEnd"/>
      <w:r w:rsidRPr="00E06FD9">
        <w:rPr>
          <w:vertAlign w:val="superscript"/>
          <w:lang w:val="es-MX" w:eastAsia="es-PE"/>
        </w:rPr>
        <w:t>11)</w:t>
      </w:r>
    </w:p>
    <w:p w14:paraId="502CC8F0" w14:textId="77777777" w:rsidR="00E06FD9" w:rsidRPr="00E06FD9" w:rsidRDefault="00E06FD9" w:rsidP="00E06FD9">
      <w:pPr>
        <w:numPr>
          <w:ilvl w:val="0"/>
          <w:numId w:val="13"/>
        </w:numPr>
        <w:autoSpaceDE w:val="0"/>
        <w:autoSpaceDN w:val="0"/>
        <w:adjustRightInd w:val="0"/>
        <w:spacing w:after="200" w:line="360" w:lineRule="auto"/>
        <w:contextualSpacing/>
        <w:jc w:val="both"/>
        <w:rPr>
          <w:vertAlign w:val="superscript"/>
          <w:lang w:val="es-MX" w:eastAsia="es-PE"/>
        </w:rPr>
      </w:pPr>
      <w:r w:rsidRPr="00E06FD9">
        <w:rPr>
          <w:lang w:val="es-MX" w:eastAsia="es-PE"/>
        </w:rPr>
        <w:t>Inventario de ansiedad rasgo-</w:t>
      </w:r>
      <w:proofErr w:type="gramStart"/>
      <w:r w:rsidRPr="00E06FD9">
        <w:rPr>
          <w:lang w:val="es-MX" w:eastAsia="es-PE"/>
        </w:rPr>
        <w:t>estado.</w:t>
      </w:r>
      <w:r w:rsidRPr="00E06FD9">
        <w:rPr>
          <w:vertAlign w:val="superscript"/>
          <w:lang w:val="es-MX" w:eastAsia="es-PE"/>
        </w:rPr>
        <w:t>(</w:t>
      </w:r>
      <w:proofErr w:type="gramEnd"/>
      <w:r w:rsidRPr="00E06FD9">
        <w:rPr>
          <w:vertAlign w:val="superscript"/>
          <w:lang w:val="es-MX" w:eastAsia="es-PE"/>
        </w:rPr>
        <w:t>12)</w:t>
      </w:r>
    </w:p>
    <w:p w14:paraId="61257C19" w14:textId="77777777" w:rsidR="00E06FD9" w:rsidRPr="00E06FD9" w:rsidRDefault="00E06FD9" w:rsidP="00E06FD9">
      <w:pPr>
        <w:numPr>
          <w:ilvl w:val="0"/>
          <w:numId w:val="13"/>
        </w:numPr>
        <w:autoSpaceDE w:val="0"/>
        <w:autoSpaceDN w:val="0"/>
        <w:adjustRightInd w:val="0"/>
        <w:spacing w:after="200" w:line="360" w:lineRule="auto"/>
        <w:contextualSpacing/>
        <w:jc w:val="both"/>
        <w:rPr>
          <w:vertAlign w:val="superscript"/>
          <w:lang w:val="es-MX" w:eastAsia="es-PE"/>
        </w:rPr>
      </w:pPr>
      <w:r w:rsidRPr="00E06FD9">
        <w:rPr>
          <w:lang w:val="es-MX" w:eastAsia="es-PE"/>
        </w:rPr>
        <w:t>Inventario de depresión rasgo-</w:t>
      </w:r>
      <w:proofErr w:type="gramStart"/>
      <w:r w:rsidRPr="00E06FD9">
        <w:rPr>
          <w:lang w:val="es-MX" w:eastAsia="es-PE"/>
        </w:rPr>
        <w:t>estado.</w:t>
      </w:r>
      <w:r w:rsidRPr="00E06FD9">
        <w:rPr>
          <w:vertAlign w:val="superscript"/>
          <w:lang w:val="es-MX" w:eastAsia="es-PE"/>
        </w:rPr>
        <w:t>(</w:t>
      </w:r>
      <w:proofErr w:type="gramEnd"/>
      <w:r w:rsidRPr="00E06FD9">
        <w:rPr>
          <w:vertAlign w:val="superscript"/>
          <w:lang w:val="es-MX" w:eastAsia="es-PE"/>
        </w:rPr>
        <w:t>13)</w:t>
      </w:r>
    </w:p>
    <w:p w14:paraId="7616ADE9" w14:textId="77777777" w:rsidR="00E06FD9" w:rsidRPr="00E06FD9" w:rsidRDefault="00E06FD9" w:rsidP="00E06FD9">
      <w:pPr>
        <w:autoSpaceDE w:val="0"/>
        <w:autoSpaceDN w:val="0"/>
        <w:adjustRightInd w:val="0"/>
        <w:spacing w:line="360" w:lineRule="auto"/>
        <w:jc w:val="center"/>
        <w:rPr>
          <w:b/>
          <w:bCs/>
          <w:sz w:val="28"/>
          <w:szCs w:val="28"/>
          <w:lang w:val="es-MX" w:eastAsia="es-ES"/>
        </w:rPr>
      </w:pPr>
    </w:p>
    <w:p w14:paraId="5F1AB3E3" w14:textId="77777777" w:rsidR="00E06FD9" w:rsidRPr="00E06FD9" w:rsidRDefault="00E06FD9" w:rsidP="00E06FD9">
      <w:pPr>
        <w:autoSpaceDE w:val="0"/>
        <w:autoSpaceDN w:val="0"/>
        <w:adjustRightInd w:val="0"/>
        <w:spacing w:line="360" w:lineRule="auto"/>
        <w:jc w:val="center"/>
        <w:rPr>
          <w:b/>
          <w:bCs/>
          <w:sz w:val="28"/>
          <w:szCs w:val="28"/>
          <w:lang w:val="es-MX" w:eastAsia="es-ES"/>
        </w:rPr>
      </w:pPr>
      <w:r w:rsidRPr="00E06FD9">
        <w:rPr>
          <w:b/>
          <w:bCs/>
          <w:sz w:val="28"/>
          <w:szCs w:val="28"/>
          <w:lang w:val="es-MX" w:eastAsia="es-ES"/>
        </w:rPr>
        <w:t>Procesamiento</w:t>
      </w:r>
    </w:p>
    <w:p w14:paraId="1E73E934" w14:textId="77777777" w:rsidR="00E06FD9" w:rsidRPr="00E06FD9" w:rsidRDefault="00E06FD9" w:rsidP="00E06FD9">
      <w:pPr>
        <w:autoSpaceDE w:val="0"/>
        <w:autoSpaceDN w:val="0"/>
        <w:adjustRightInd w:val="0"/>
        <w:spacing w:line="360" w:lineRule="auto"/>
        <w:jc w:val="both"/>
        <w:rPr>
          <w:lang w:val="es-MX" w:eastAsia="es-ES"/>
        </w:rPr>
      </w:pPr>
      <w:r w:rsidRPr="00E06FD9">
        <w:rPr>
          <w:lang w:val="es-MX" w:eastAsia="es-ES"/>
        </w:rPr>
        <w:t xml:space="preserve">En el análisis de los datos se utilizaron técnicas de la estadística descriptiva: el porcentaje, la mediana, media aritmética y la desviación estándar como medida de variabilidad. </w:t>
      </w:r>
    </w:p>
    <w:p w14:paraId="5FC62C48" w14:textId="77777777" w:rsidR="00E06FD9" w:rsidRPr="00E06FD9" w:rsidRDefault="00E06FD9" w:rsidP="00E06FD9">
      <w:pPr>
        <w:autoSpaceDE w:val="0"/>
        <w:autoSpaceDN w:val="0"/>
        <w:adjustRightInd w:val="0"/>
        <w:spacing w:line="360" w:lineRule="auto"/>
        <w:jc w:val="both"/>
        <w:rPr>
          <w:lang w:val="es-MX" w:eastAsia="es-ES"/>
        </w:rPr>
      </w:pPr>
      <w:r w:rsidRPr="00E06FD9">
        <w:rPr>
          <w:lang w:val="es-MX" w:eastAsia="es-ES"/>
        </w:rPr>
        <w:t>De la estadística inferencial se utilizaron, la regresión logística (</w:t>
      </w:r>
      <w:r w:rsidRPr="00E06FD9">
        <w:rPr>
          <w:lang w:eastAsia="es-ES"/>
        </w:rPr>
        <w:t xml:space="preserve">para predecir las variables que se comportan como predictoras de la presencia de deterioro cognitivo) y el </w:t>
      </w:r>
      <w:proofErr w:type="spellStart"/>
      <w:r w:rsidRPr="00E06FD9">
        <w:rPr>
          <w:i/>
          <w:iCs/>
          <w:lang w:val="es-MX" w:eastAsia="es-ES"/>
        </w:rPr>
        <w:t>odds</w:t>
      </w:r>
      <w:proofErr w:type="spellEnd"/>
      <w:r w:rsidRPr="00E06FD9">
        <w:rPr>
          <w:i/>
          <w:iCs/>
          <w:lang w:val="es-MX" w:eastAsia="es-ES"/>
        </w:rPr>
        <w:t xml:space="preserve"> ratio</w:t>
      </w:r>
      <w:r w:rsidRPr="00E06FD9">
        <w:rPr>
          <w:lang w:val="es-MX" w:eastAsia="es-ES"/>
        </w:rPr>
        <w:t xml:space="preserve"> (</w:t>
      </w:r>
      <w:proofErr w:type="spellStart"/>
      <w:r w:rsidRPr="00E06FD9">
        <w:rPr>
          <w:lang w:val="es-MX" w:eastAsia="es-ES"/>
        </w:rPr>
        <w:t>OR</w:t>
      </w:r>
      <w:proofErr w:type="spellEnd"/>
      <w:r w:rsidRPr="00E06FD9">
        <w:rPr>
          <w:lang w:val="es-MX" w:eastAsia="es-ES"/>
        </w:rPr>
        <w:t xml:space="preserve">) para </w:t>
      </w:r>
      <w:r w:rsidRPr="00E06FD9">
        <w:rPr>
          <w:lang w:eastAsia="es-ES"/>
        </w:rPr>
        <w:t xml:space="preserve">medir el grado de asociación entre las variables que se analizan. </w:t>
      </w:r>
      <w:r w:rsidRPr="00E06FD9">
        <w:rPr>
          <w:lang w:val="es-MX" w:eastAsia="es-ES"/>
        </w:rPr>
        <w:t>Se trabajó con un nivel de confiabilidad del 95 %.</w:t>
      </w:r>
    </w:p>
    <w:p w14:paraId="509DAF6E" w14:textId="77777777" w:rsidR="00E06FD9" w:rsidRPr="00E06FD9" w:rsidRDefault="00E06FD9" w:rsidP="00E06FD9">
      <w:pPr>
        <w:autoSpaceDE w:val="0"/>
        <w:autoSpaceDN w:val="0"/>
        <w:adjustRightInd w:val="0"/>
        <w:spacing w:line="360" w:lineRule="auto"/>
        <w:jc w:val="center"/>
        <w:rPr>
          <w:b/>
          <w:bCs/>
          <w:sz w:val="28"/>
          <w:szCs w:val="28"/>
          <w:lang w:val="es-MX" w:eastAsia="es-ES"/>
        </w:rPr>
      </w:pPr>
      <w:r w:rsidRPr="00E06FD9">
        <w:rPr>
          <w:b/>
          <w:bCs/>
          <w:sz w:val="28"/>
          <w:szCs w:val="28"/>
          <w:lang w:val="es-MX" w:eastAsia="es-ES"/>
        </w:rPr>
        <w:t>Aspectos bioéticos</w:t>
      </w:r>
    </w:p>
    <w:p w14:paraId="4C5FF0AB" w14:textId="77777777" w:rsidR="00E06FD9" w:rsidRPr="00E06FD9" w:rsidRDefault="00E06FD9" w:rsidP="00E06FD9">
      <w:pPr>
        <w:autoSpaceDE w:val="0"/>
        <w:autoSpaceDN w:val="0"/>
        <w:adjustRightInd w:val="0"/>
        <w:spacing w:line="360" w:lineRule="auto"/>
        <w:jc w:val="both"/>
        <w:rPr>
          <w:lang w:val="es-ES" w:eastAsia="es-ES"/>
        </w:rPr>
      </w:pPr>
      <w:r w:rsidRPr="00E06FD9">
        <w:rPr>
          <w:lang w:val="es-MX" w:eastAsia="es-ES"/>
        </w:rPr>
        <w:t xml:space="preserve">La investigación se realizó bajo los principios establecidos en la Declaración de </w:t>
      </w:r>
      <w:proofErr w:type="gramStart"/>
      <w:r w:rsidRPr="00E06FD9">
        <w:rPr>
          <w:lang w:val="es-MX" w:eastAsia="es-ES"/>
        </w:rPr>
        <w:t>Helsinki.</w:t>
      </w:r>
      <w:r w:rsidRPr="00E06FD9">
        <w:rPr>
          <w:vertAlign w:val="superscript"/>
          <w:lang w:val="es-MX" w:eastAsia="es-ES"/>
        </w:rPr>
        <w:t>(</w:t>
      </w:r>
      <w:proofErr w:type="gramEnd"/>
      <w:r w:rsidRPr="00E06FD9">
        <w:rPr>
          <w:vertAlign w:val="superscript"/>
          <w:lang w:val="es-MX" w:eastAsia="es-ES"/>
        </w:rPr>
        <w:t>14)</w:t>
      </w:r>
      <w:r w:rsidRPr="00E06FD9">
        <w:rPr>
          <w:lang w:val="es-MX" w:eastAsia="es-ES"/>
        </w:rPr>
        <w:t xml:space="preserve"> Se recogió el consentimiento informado por escrito de cada paciente.</w:t>
      </w:r>
      <w:r w:rsidRPr="00E06FD9">
        <w:rPr>
          <w:lang w:val="es-ES" w:eastAsia="es-ES"/>
        </w:rPr>
        <w:t xml:space="preserve"> La participación fue voluntaria. Se les explicó las características del estudio, sus objetivos y beneficios. Los datos solo se emplearon con fines investigativos, sin revelar la identidad de los pacientes.</w:t>
      </w:r>
    </w:p>
    <w:p w14:paraId="17A0A491" w14:textId="77777777" w:rsidR="00E06FD9" w:rsidRPr="00E06FD9" w:rsidRDefault="00E06FD9" w:rsidP="00E06FD9">
      <w:pPr>
        <w:autoSpaceDE w:val="0"/>
        <w:autoSpaceDN w:val="0"/>
        <w:adjustRightInd w:val="0"/>
        <w:spacing w:line="360" w:lineRule="auto"/>
        <w:jc w:val="both"/>
        <w:rPr>
          <w:lang w:val="es-ES" w:eastAsia="es-ES"/>
        </w:rPr>
      </w:pPr>
    </w:p>
    <w:p w14:paraId="08D61D5B" w14:textId="77777777" w:rsidR="00E06FD9" w:rsidRPr="00E06FD9" w:rsidRDefault="00E06FD9" w:rsidP="00E06FD9">
      <w:pPr>
        <w:spacing w:line="360" w:lineRule="auto"/>
        <w:rPr>
          <w:rFonts w:ascii="Calibri" w:hAnsi="Calibri"/>
          <w:sz w:val="22"/>
          <w:szCs w:val="22"/>
          <w:lang w:val="es-ES" w:eastAsia="es-ES"/>
        </w:rPr>
      </w:pPr>
    </w:p>
    <w:p w14:paraId="1930D4E6" w14:textId="77777777" w:rsidR="00E06FD9" w:rsidRPr="00E06FD9" w:rsidRDefault="00E06FD9" w:rsidP="00E06FD9">
      <w:pPr>
        <w:spacing w:line="360" w:lineRule="auto"/>
        <w:jc w:val="center"/>
        <w:rPr>
          <w:b/>
          <w:sz w:val="32"/>
          <w:szCs w:val="32"/>
          <w:lang w:val="es-ES" w:eastAsia="es-ES"/>
        </w:rPr>
      </w:pPr>
      <w:r w:rsidRPr="00E06FD9">
        <w:rPr>
          <w:b/>
          <w:sz w:val="32"/>
          <w:szCs w:val="32"/>
          <w:lang w:val="es-ES" w:eastAsia="es-ES"/>
        </w:rPr>
        <w:lastRenderedPageBreak/>
        <w:t>RESULTADOS</w:t>
      </w:r>
    </w:p>
    <w:p w14:paraId="01642ECF" w14:textId="77777777" w:rsidR="00E06FD9" w:rsidRPr="00E06FD9" w:rsidRDefault="00E06FD9" w:rsidP="00E06FD9">
      <w:pPr>
        <w:spacing w:line="360" w:lineRule="auto"/>
        <w:jc w:val="both"/>
        <w:rPr>
          <w:lang w:val="es-ES" w:eastAsia="es-ES"/>
        </w:rPr>
      </w:pPr>
      <w:r w:rsidRPr="00E06FD9">
        <w:rPr>
          <w:lang w:val="es-ES" w:eastAsia="es-ES"/>
        </w:rPr>
        <w:t xml:space="preserve">El promedio de edad de los pacientes fue de aproximadamente 34 años (intervalo de confianza: 29-39 años), la distribución por sexo fue de 231 hombres (89,8 %) y 26 mujeres (10,1 %), con una escolaridad media de estudios secundarios en 127 casos (49,4 %). La edad de inicio del consumo de sustancias psicoactivas varió de los 5 a los 47 años de edad, con una media de 17 años (adolescencia). </w:t>
      </w:r>
    </w:p>
    <w:p w14:paraId="7B6477F6" w14:textId="77777777" w:rsidR="00E06FD9" w:rsidRPr="00E06FD9" w:rsidRDefault="00E06FD9" w:rsidP="00E06FD9">
      <w:pPr>
        <w:spacing w:line="360" w:lineRule="auto"/>
        <w:jc w:val="both"/>
        <w:rPr>
          <w:lang w:val="es-ES" w:eastAsia="es-ES"/>
        </w:rPr>
      </w:pPr>
      <w:r w:rsidRPr="00E06FD9">
        <w:rPr>
          <w:lang w:val="es-ES" w:eastAsia="es-ES"/>
        </w:rPr>
        <w:t xml:space="preserve">Las sustancias psicoactivas consumidas fueron el alcohol, la marihuana, la cocaína, los medicamentos con fines de abuso y la modalidad conocida como </w:t>
      </w:r>
      <w:proofErr w:type="spellStart"/>
      <w:r w:rsidRPr="00E06FD9">
        <w:rPr>
          <w:lang w:val="es-ES" w:eastAsia="es-ES"/>
        </w:rPr>
        <w:t>policonsumo</w:t>
      </w:r>
      <w:proofErr w:type="spellEnd"/>
      <w:r w:rsidRPr="00E06FD9">
        <w:rPr>
          <w:lang w:val="es-ES" w:eastAsia="es-ES"/>
        </w:rPr>
        <w:t xml:space="preserve">; sin que se encontraran diferencias significativas entre sexos. </w:t>
      </w:r>
    </w:p>
    <w:p w14:paraId="585B247C" w14:textId="77777777" w:rsidR="00E06FD9" w:rsidRPr="00E06FD9" w:rsidRDefault="00E06FD9" w:rsidP="00E06FD9">
      <w:pPr>
        <w:spacing w:line="360" w:lineRule="auto"/>
        <w:jc w:val="both"/>
        <w:rPr>
          <w:lang w:val="es-ES" w:eastAsia="es-ES"/>
        </w:rPr>
      </w:pPr>
      <w:r w:rsidRPr="00E06FD9">
        <w:rPr>
          <w:lang w:val="es-ES" w:eastAsia="es-ES"/>
        </w:rPr>
        <w:t xml:space="preserve">El 46,7 % (120 casos) presentó consumo diario, el 29,6 % (76 casos) al menos 5 veces por semana y el 23,7 % (61 casos) todos los días, más de una vez. </w:t>
      </w:r>
    </w:p>
    <w:p w14:paraId="3B9381B0" w14:textId="77777777" w:rsidR="00E06FD9" w:rsidRPr="00E06FD9" w:rsidRDefault="00E06FD9" w:rsidP="00E06FD9">
      <w:pPr>
        <w:spacing w:line="360" w:lineRule="auto"/>
        <w:jc w:val="both"/>
        <w:rPr>
          <w:lang w:val="es-ES" w:eastAsia="es-ES"/>
        </w:rPr>
      </w:pPr>
      <w:r w:rsidRPr="00E06FD9">
        <w:rPr>
          <w:lang w:val="es-ES" w:eastAsia="es-ES"/>
        </w:rPr>
        <w:t xml:space="preserve">El 33,5 % (86 casos) de los pacientes tenían necesidad subjetiva de consumir. El 54,5 % (140 casos) presentó signos moderados de incapacidad para mantener la abstención del consumo, los restantes no lograron tener un control de la abstención. </w:t>
      </w:r>
    </w:p>
    <w:p w14:paraId="24E31235" w14:textId="77777777" w:rsidR="00E06FD9" w:rsidRPr="00E06FD9" w:rsidRDefault="00E06FD9" w:rsidP="00E06FD9">
      <w:pPr>
        <w:spacing w:line="360" w:lineRule="auto"/>
        <w:jc w:val="both"/>
        <w:rPr>
          <w:lang w:val="es-ES" w:eastAsia="es-ES"/>
        </w:rPr>
      </w:pPr>
      <w:r w:rsidRPr="00E06FD9">
        <w:rPr>
          <w:lang w:val="es-ES" w:eastAsia="es-ES"/>
        </w:rPr>
        <w:t>El 50,6 % (130 casos) mostraron signos marcados de alteraciones en la capacidad de detener el consumo una vez iniciado y el 49,4 % (127 casos) consumía en forma de intoxicaciones. Todos los pacientes refirieron niveles de tolerancia alto (225 casos marcada tolerancia y 32 casos inversión de la tolerancia). El 79,8 % (205 casos) mantenían el consumo de sustancias psicoactivas, a pesar del daño físico y mental.</w:t>
      </w:r>
    </w:p>
    <w:p w14:paraId="363E49DB" w14:textId="281E405D" w:rsidR="00E06FD9" w:rsidRPr="00E06FD9" w:rsidRDefault="00E06FD9" w:rsidP="00E06FD9">
      <w:pPr>
        <w:spacing w:line="360" w:lineRule="auto"/>
        <w:jc w:val="both"/>
        <w:rPr>
          <w:rFonts w:eastAsia="Calibri"/>
          <w:lang w:val="es-ES" w:eastAsia="es-ES"/>
        </w:rPr>
      </w:pPr>
      <w:r w:rsidRPr="00E06FD9">
        <w:rPr>
          <w:rFonts w:eastAsia="Calibri"/>
          <w:lang w:val="es-ES" w:eastAsia="es-ES"/>
        </w:rPr>
        <w:t xml:space="preserve">Con la prueba </w:t>
      </w:r>
      <w:r w:rsidRPr="00E06FD9">
        <w:rPr>
          <w:lang w:val="es-ES" w:eastAsia="es-MX"/>
        </w:rPr>
        <w:t>MOCA</w:t>
      </w:r>
      <w:r w:rsidRPr="00E06FD9">
        <w:rPr>
          <w:rFonts w:eastAsia="Calibri"/>
          <w:lang w:val="es-ES" w:eastAsia="es-ES"/>
        </w:rPr>
        <w:t xml:space="preserve"> se observó que no existía un déficit cognitivo grave, que impidiera la aplicación de las pruebas neuropsicológicas. El 56,8 % de los pacientes mostró deterioro cognitivo: de ellos el 47,5</w:t>
      </w:r>
      <w:r w:rsidR="007B372F">
        <w:rPr>
          <w:rFonts w:eastAsia="Calibri"/>
          <w:lang w:val="es-ES" w:eastAsia="es-ES"/>
        </w:rPr>
        <w:t> </w:t>
      </w:r>
      <w:r w:rsidRPr="00E06FD9">
        <w:rPr>
          <w:rFonts w:eastAsia="Calibri"/>
          <w:lang w:val="es-ES" w:eastAsia="es-ES"/>
        </w:rPr>
        <w:t xml:space="preserve">% leve y el 9,3 % moderado (Fig. 1). </w:t>
      </w:r>
    </w:p>
    <w:p w14:paraId="0EA41ECB" w14:textId="77777777" w:rsidR="00E06FD9" w:rsidRPr="00E06FD9" w:rsidRDefault="00E06FD9" w:rsidP="00E06FD9">
      <w:pPr>
        <w:spacing w:line="360" w:lineRule="auto"/>
        <w:rPr>
          <w:rFonts w:eastAsia="Calibri"/>
          <w:sz w:val="22"/>
          <w:szCs w:val="22"/>
          <w:lang w:val="es-ES" w:eastAsia="en-US"/>
        </w:rPr>
      </w:pPr>
    </w:p>
    <w:p w14:paraId="493E091E" w14:textId="7F33D9B6" w:rsidR="00E06FD9" w:rsidRPr="00E06FD9" w:rsidRDefault="00E06FD9" w:rsidP="00E06FD9">
      <w:pPr>
        <w:spacing w:line="360" w:lineRule="auto"/>
        <w:jc w:val="center"/>
        <w:rPr>
          <w:bCs/>
          <w:lang w:val="es-MX" w:eastAsia="es-ES"/>
        </w:rPr>
      </w:pPr>
      <w:r w:rsidRPr="00E06FD9">
        <w:rPr>
          <w:noProof/>
          <w:lang w:val="es-MX" w:eastAsia="es-ES"/>
        </w:rPr>
        <w:lastRenderedPageBreak/>
        <w:drawing>
          <wp:inline distT="0" distB="0" distL="0" distR="0" wp14:anchorId="64307665" wp14:editId="6C594E00">
            <wp:extent cx="3493912" cy="3078417"/>
            <wp:effectExtent l="0" t="0" r="0" b="8255"/>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4815" cy="3088024"/>
                    </a:xfrm>
                    <a:prstGeom prst="rect">
                      <a:avLst/>
                    </a:prstGeom>
                    <a:noFill/>
                    <a:ln>
                      <a:noFill/>
                    </a:ln>
                  </pic:spPr>
                </pic:pic>
              </a:graphicData>
            </a:graphic>
          </wp:inline>
        </w:drawing>
      </w:r>
    </w:p>
    <w:p w14:paraId="6BF0A6A7" w14:textId="77777777" w:rsidR="00E06FD9" w:rsidRPr="00E06FD9" w:rsidRDefault="00E06FD9" w:rsidP="00E06FD9">
      <w:pPr>
        <w:spacing w:line="360" w:lineRule="auto"/>
        <w:jc w:val="center"/>
        <w:rPr>
          <w:bCs/>
          <w:sz w:val="22"/>
          <w:szCs w:val="22"/>
          <w:lang w:val="es-MX" w:eastAsia="es-ES"/>
        </w:rPr>
      </w:pPr>
      <w:r w:rsidRPr="00E06FD9">
        <w:rPr>
          <w:b/>
          <w:bCs/>
          <w:sz w:val="22"/>
          <w:szCs w:val="22"/>
          <w:lang w:val="es-MX" w:eastAsia="es-ES"/>
        </w:rPr>
        <w:t xml:space="preserve">Fig. 1 </w:t>
      </w:r>
      <w:r w:rsidRPr="00E06FD9">
        <w:rPr>
          <w:bCs/>
          <w:sz w:val="22"/>
          <w:szCs w:val="22"/>
          <w:lang w:val="es-MX" w:eastAsia="es-ES"/>
        </w:rPr>
        <w:t>- Porcentaje de pacientes adictos según funcionamiento cognitivo.</w:t>
      </w:r>
    </w:p>
    <w:p w14:paraId="0A363DF2" w14:textId="77777777" w:rsidR="00E06FD9" w:rsidRPr="00E06FD9" w:rsidRDefault="00E06FD9" w:rsidP="00E06FD9">
      <w:pPr>
        <w:autoSpaceDE w:val="0"/>
        <w:autoSpaceDN w:val="0"/>
        <w:adjustRightInd w:val="0"/>
        <w:spacing w:line="360" w:lineRule="auto"/>
        <w:jc w:val="both"/>
        <w:rPr>
          <w:lang w:val="es-ES" w:eastAsia="es-ES"/>
        </w:rPr>
      </w:pPr>
    </w:p>
    <w:p w14:paraId="5DF32855" w14:textId="77777777" w:rsidR="00E06FD9" w:rsidRPr="00E06FD9" w:rsidRDefault="00E06FD9" w:rsidP="00E06FD9">
      <w:pPr>
        <w:autoSpaceDE w:val="0"/>
        <w:autoSpaceDN w:val="0"/>
        <w:adjustRightInd w:val="0"/>
        <w:spacing w:line="360" w:lineRule="auto"/>
        <w:jc w:val="both"/>
        <w:rPr>
          <w:lang w:val="es-ES" w:eastAsia="es-ES"/>
        </w:rPr>
      </w:pPr>
      <w:r w:rsidRPr="00E06FD9">
        <w:rPr>
          <w:lang w:val="es-ES" w:eastAsia="es-ES"/>
        </w:rPr>
        <w:t>Al relacionar las variables tiempo de consumo y funcionamiento cognitivo (tabla 1), se pudo identificar que, a mayor tiempo de consumo, existió mayor probabilidad de padecer deterioro cognitivo. De los adictos con deterioro cognitivo leve, el 62,3 % lleva 15 años o más de consumo y el 18 % menos de 5 años. Los que presentaron deterioro cognitivo moderado, el 91,7 % lleva 15 de años de consumo. Estas diferencias fueron estadísticamente significativas.</w:t>
      </w:r>
    </w:p>
    <w:p w14:paraId="545F204A" w14:textId="77777777" w:rsidR="00E06FD9" w:rsidRPr="00E06FD9" w:rsidRDefault="00E06FD9" w:rsidP="00E06FD9">
      <w:pPr>
        <w:spacing w:line="360" w:lineRule="auto"/>
        <w:jc w:val="center"/>
        <w:rPr>
          <w:lang w:val="es-MX" w:eastAsia="es-ES"/>
        </w:rPr>
      </w:pPr>
    </w:p>
    <w:p w14:paraId="0F50FCEA" w14:textId="77777777" w:rsidR="00101996" w:rsidRDefault="00101996">
      <w:pPr>
        <w:rPr>
          <w:b/>
          <w:sz w:val="22"/>
          <w:szCs w:val="22"/>
          <w:lang w:val="es-MX" w:eastAsia="es-ES"/>
        </w:rPr>
      </w:pPr>
      <w:r>
        <w:rPr>
          <w:b/>
          <w:sz w:val="22"/>
          <w:szCs w:val="22"/>
          <w:lang w:val="es-MX" w:eastAsia="es-ES"/>
        </w:rPr>
        <w:br w:type="page"/>
      </w:r>
    </w:p>
    <w:p w14:paraId="6066A7CC" w14:textId="391254EE" w:rsidR="00E06FD9" w:rsidRPr="00E06FD9" w:rsidRDefault="00E06FD9" w:rsidP="00E06FD9">
      <w:pPr>
        <w:spacing w:line="360" w:lineRule="auto"/>
        <w:jc w:val="center"/>
        <w:rPr>
          <w:sz w:val="22"/>
          <w:szCs w:val="22"/>
          <w:lang w:val="es-MX" w:eastAsia="es-ES"/>
        </w:rPr>
      </w:pPr>
      <w:r w:rsidRPr="00E06FD9">
        <w:rPr>
          <w:b/>
          <w:sz w:val="22"/>
          <w:szCs w:val="22"/>
          <w:lang w:val="es-MX" w:eastAsia="es-ES"/>
        </w:rPr>
        <w:lastRenderedPageBreak/>
        <w:t xml:space="preserve">Tabla 1 - </w:t>
      </w:r>
      <w:r w:rsidRPr="00E06FD9">
        <w:rPr>
          <w:sz w:val="22"/>
          <w:szCs w:val="22"/>
          <w:lang w:val="es-MX" w:eastAsia="es-ES"/>
        </w:rPr>
        <w:t>Distribución de pacientes adictos según tiempo de consumo y funcionamiento cognitivo</w:t>
      </w:r>
    </w:p>
    <w:p w14:paraId="5829C352" w14:textId="31CD96E3" w:rsidR="00C00962" w:rsidRDefault="00C00962" w:rsidP="00E06FD9">
      <w:pPr>
        <w:autoSpaceDE w:val="0"/>
        <w:autoSpaceDN w:val="0"/>
        <w:adjustRightInd w:val="0"/>
        <w:spacing w:line="360" w:lineRule="auto"/>
        <w:jc w:val="center"/>
        <w:rPr>
          <w:sz w:val="16"/>
          <w:szCs w:val="16"/>
          <w:lang w:val="es-VE" w:eastAsia="es-ES"/>
        </w:rPr>
      </w:pPr>
      <w:r w:rsidRPr="003D5684">
        <w:rPr>
          <w:rFonts w:eastAsia="Calibri"/>
          <w:noProof/>
        </w:rPr>
        <w:drawing>
          <wp:inline distT="0" distB="0" distL="0" distR="0" wp14:anchorId="37224693" wp14:editId="38FA5383">
            <wp:extent cx="4762500" cy="1895475"/>
            <wp:effectExtent l="0" t="0" r="0" b="9525"/>
            <wp:docPr id="1" name="Imagen 1" descr="G:\18.7.23\2846\t01_284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8.7.23\2846\t01_2846.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1895475"/>
                    </a:xfrm>
                    <a:prstGeom prst="rect">
                      <a:avLst/>
                    </a:prstGeom>
                    <a:noFill/>
                    <a:ln>
                      <a:noFill/>
                    </a:ln>
                  </pic:spPr>
                </pic:pic>
              </a:graphicData>
            </a:graphic>
          </wp:inline>
        </w:drawing>
      </w:r>
    </w:p>
    <w:p w14:paraId="6721C93E" w14:textId="651455BB" w:rsidR="00E06FD9" w:rsidRPr="00E06FD9" w:rsidRDefault="00E06FD9" w:rsidP="00E06FD9">
      <w:pPr>
        <w:autoSpaceDE w:val="0"/>
        <w:autoSpaceDN w:val="0"/>
        <w:adjustRightInd w:val="0"/>
        <w:spacing w:line="360" w:lineRule="auto"/>
        <w:jc w:val="center"/>
        <w:rPr>
          <w:b/>
          <w:bCs/>
          <w:sz w:val="16"/>
          <w:szCs w:val="16"/>
          <w:lang w:val="es-ES" w:eastAsia="es-ES"/>
        </w:rPr>
      </w:pPr>
      <w:proofErr w:type="spellStart"/>
      <w:r w:rsidRPr="00E06FD9">
        <w:rPr>
          <w:sz w:val="16"/>
          <w:szCs w:val="16"/>
          <w:lang w:val="es-VE" w:eastAsia="es-ES"/>
        </w:rPr>
        <w:t>X</w:t>
      </w:r>
      <w:r w:rsidRPr="00E06FD9">
        <w:rPr>
          <w:sz w:val="16"/>
          <w:szCs w:val="16"/>
          <w:vertAlign w:val="superscript"/>
          <w:lang w:val="es-VE" w:eastAsia="es-ES"/>
        </w:rPr>
        <w:t>2</w:t>
      </w:r>
      <w:proofErr w:type="spellEnd"/>
      <w:r w:rsidRPr="00E06FD9">
        <w:rPr>
          <w:sz w:val="16"/>
          <w:szCs w:val="16"/>
          <w:lang w:val="es-VE" w:eastAsia="es-ES"/>
        </w:rPr>
        <w:t>= 15,992; p= 0,013</w:t>
      </w:r>
    </w:p>
    <w:p w14:paraId="163234E7" w14:textId="77777777" w:rsidR="00E06FD9" w:rsidRPr="00E06FD9" w:rsidRDefault="00E06FD9" w:rsidP="00E06FD9">
      <w:pPr>
        <w:autoSpaceDE w:val="0"/>
        <w:autoSpaceDN w:val="0"/>
        <w:adjustRightInd w:val="0"/>
        <w:spacing w:line="360" w:lineRule="auto"/>
        <w:jc w:val="both"/>
        <w:rPr>
          <w:rFonts w:eastAsia="Calibri"/>
          <w:lang w:val="es-ES" w:eastAsia="es-ES"/>
        </w:rPr>
      </w:pPr>
    </w:p>
    <w:p w14:paraId="07E6CBB3" w14:textId="77777777" w:rsidR="00E06FD9" w:rsidRPr="00E06FD9" w:rsidRDefault="00E06FD9" w:rsidP="00E06FD9">
      <w:pPr>
        <w:autoSpaceDE w:val="0"/>
        <w:autoSpaceDN w:val="0"/>
        <w:adjustRightInd w:val="0"/>
        <w:spacing w:line="360" w:lineRule="auto"/>
        <w:jc w:val="both"/>
        <w:rPr>
          <w:lang w:val="es-ES" w:eastAsia="es-ES"/>
        </w:rPr>
      </w:pPr>
      <w:r w:rsidRPr="00E06FD9">
        <w:rPr>
          <w:rFonts w:eastAsia="Calibri"/>
          <w:lang w:val="es-ES" w:eastAsia="es-ES"/>
        </w:rPr>
        <w:t xml:space="preserve">Los resultados del coeficiente intelectual de los pacientes, según el test de Weil, mostró que el 68,9 % poseía coeficiente normal promedio o superior y el 31,1 % normal bajo. </w:t>
      </w:r>
    </w:p>
    <w:p w14:paraId="3C213A1D" w14:textId="77777777" w:rsidR="00E06FD9" w:rsidRPr="00E06FD9" w:rsidRDefault="00E06FD9" w:rsidP="00E06FD9">
      <w:pPr>
        <w:spacing w:line="360" w:lineRule="auto"/>
        <w:jc w:val="both"/>
        <w:rPr>
          <w:color w:val="000000"/>
          <w:lang w:val="es-ES" w:eastAsia="es-ES"/>
        </w:rPr>
      </w:pPr>
      <w:r w:rsidRPr="00E06FD9">
        <w:rPr>
          <w:color w:val="000000"/>
          <w:lang w:val="es-ES" w:eastAsia="es-ES"/>
        </w:rPr>
        <w:t>La tabla 2 muestra el análisis bivariado del funcionamiento cognitivo con cada una de las variables listadas. Constituyeron factores de riesgo para presentar una afectación del funcionamiento cognitivo, la inversión de la tolerancia (</w:t>
      </w:r>
      <w:proofErr w:type="spellStart"/>
      <w:r w:rsidRPr="00E06FD9">
        <w:rPr>
          <w:color w:val="000000"/>
          <w:lang w:val="es-ES" w:eastAsia="es-ES"/>
        </w:rPr>
        <w:t>OR</w:t>
      </w:r>
      <w:proofErr w:type="spellEnd"/>
      <w:r w:rsidRPr="00E06FD9">
        <w:rPr>
          <w:color w:val="000000"/>
          <w:lang w:val="es-ES" w:eastAsia="es-ES"/>
        </w:rPr>
        <w:t>= 14,1), el consumo por un tiempo mayor de 20 años (</w:t>
      </w:r>
      <w:proofErr w:type="spellStart"/>
      <w:r w:rsidRPr="00E06FD9">
        <w:rPr>
          <w:color w:val="000000"/>
          <w:lang w:val="es-ES" w:eastAsia="es-ES"/>
        </w:rPr>
        <w:t>OR</w:t>
      </w:r>
      <w:proofErr w:type="spellEnd"/>
      <w:r w:rsidRPr="00E06FD9">
        <w:rPr>
          <w:color w:val="000000"/>
          <w:lang w:val="es-ES" w:eastAsia="es-ES"/>
        </w:rPr>
        <w:t>= 7,4), tener más de 30 años de edad (</w:t>
      </w:r>
      <w:proofErr w:type="spellStart"/>
      <w:r w:rsidRPr="00E06FD9">
        <w:rPr>
          <w:color w:val="000000"/>
          <w:lang w:val="es-ES" w:eastAsia="es-ES"/>
        </w:rPr>
        <w:t>OR</w:t>
      </w:r>
      <w:proofErr w:type="spellEnd"/>
      <w:r w:rsidRPr="00E06FD9">
        <w:rPr>
          <w:color w:val="000000"/>
          <w:lang w:val="es-ES" w:eastAsia="es-ES"/>
        </w:rPr>
        <w:t>= 5,0), tener afectada la función ejecutiva (</w:t>
      </w:r>
      <w:proofErr w:type="spellStart"/>
      <w:r w:rsidRPr="00E06FD9">
        <w:rPr>
          <w:color w:val="000000"/>
          <w:lang w:val="es-ES" w:eastAsia="es-ES"/>
        </w:rPr>
        <w:t>OR</w:t>
      </w:r>
      <w:proofErr w:type="spellEnd"/>
      <w:r w:rsidRPr="00E06FD9">
        <w:rPr>
          <w:color w:val="000000"/>
          <w:lang w:val="es-ES" w:eastAsia="es-ES"/>
        </w:rPr>
        <w:t>= 4,7), presentar depresión como estado (</w:t>
      </w:r>
      <w:proofErr w:type="spellStart"/>
      <w:r w:rsidRPr="00E06FD9">
        <w:rPr>
          <w:color w:val="000000"/>
          <w:lang w:val="es-ES" w:eastAsia="es-ES"/>
        </w:rPr>
        <w:t>OR</w:t>
      </w:r>
      <w:proofErr w:type="spellEnd"/>
      <w:r w:rsidRPr="00E06FD9">
        <w:rPr>
          <w:color w:val="000000"/>
          <w:lang w:val="es-ES" w:eastAsia="es-ES"/>
        </w:rPr>
        <w:t>= 2,4), la ideación suicida (</w:t>
      </w:r>
      <w:proofErr w:type="spellStart"/>
      <w:r w:rsidRPr="00E06FD9">
        <w:rPr>
          <w:color w:val="000000"/>
          <w:lang w:val="es-ES" w:eastAsia="es-ES"/>
        </w:rPr>
        <w:t>OR</w:t>
      </w:r>
      <w:proofErr w:type="spellEnd"/>
      <w:r w:rsidRPr="00E06FD9">
        <w:rPr>
          <w:color w:val="000000"/>
          <w:lang w:val="es-ES" w:eastAsia="es-ES"/>
        </w:rPr>
        <w:t>= 2,1) y necesidad subjetiva de consumo (</w:t>
      </w:r>
      <w:proofErr w:type="spellStart"/>
      <w:r w:rsidRPr="00E06FD9">
        <w:rPr>
          <w:color w:val="000000"/>
          <w:lang w:val="es-ES" w:eastAsia="es-ES"/>
        </w:rPr>
        <w:t>OR</w:t>
      </w:r>
      <w:proofErr w:type="spellEnd"/>
      <w:r w:rsidRPr="00E06FD9">
        <w:rPr>
          <w:color w:val="000000"/>
          <w:lang w:val="es-ES" w:eastAsia="es-ES"/>
        </w:rPr>
        <w:t xml:space="preserve">= 1,8). </w:t>
      </w:r>
    </w:p>
    <w:p w14:paraId="61BF4B31" w14:textId="77777777" w:rsidR="00E06FD9" w:rsidRPr="00E06FD9" w:rsidRDefault="00E06FD9" w:rsidP="00E06FD9">
      <w:pPr>
        <w:spacing w:line="360" w:lineRule="auto"/>
        <w:rPr>
          <w:rFonts w:eastAsia="Calibri"/>
          <w:lang w:val="es-ES" w:eastAsia="en-US"/>
        </w:rPr>
      </w:pPr>
    </w:p>
    <w:p w14:paraId="6F65EE48" w14:textId="77777777" w:rsidR="00101996" w:rsidRDefault="00101996">
      <w:pPr>
        <w:rPr>
          <w:rFonts w:eastAsia="Calibri"/>
          <w:b/>
          <w:sz w:val="22"/>
          <w:szCs w:val="22"/>
          <w:lang w:val="es-MX" w:eastAsia="en-US"/>
        </w:rPr>
      </w:pPr>
      <w:r>
        <w:rPr>
          <w:rFonts w:eastAsia="Calibri"/>
          <w:b/>
          <w:sz w:val="22"/>
          <w:szCs w:val="22"/>
          <w:lang w:val="es-MX" w:eastAsia="en-US"/>
        </w:rPr>
        <w:br w:type="page"/>
      </w:r>
    </w:p>
    <w:p w14:paraId="44208930" w14:textId="68390AF3" w:rsidR="00E06FD9" w:rsidRPr="00E06FD9" w:rsidRDefault="00E06FD9" w:rsidP="00E06FD9">
      <w:pPr>
        <w:spacing w:line="360" w:lineRule="auto"/>
        <w:jc w:val="center"/>
        <w:rPr>
          <w:rFonts w:eastAsia="Calibri"/>
          <w:sz w:val="22"/>
          <w:szCs w:val="22"/>
          <w:lang w:val="es-MX" w:eastAsia="en-US"/>
        </w:rPr>
      </w:pPr>
      <w:r w:rsidRPr="00E06FD9">
        <w:rPr>
          <w:rFonts w:eastAsia="Calibri"/>
          <w:b/>
          <w:sz w:val="22"/>
          <w:szCs w:val="22"/>
          <w:lang w:val="es-MX" w:eastAsia="en-US"/>
        </w:rPr>
        <w:lastRenderedPageBreak/>
        <w:t>Tabla 2 -</w:t>
      </w:r>
      <w:r w:rsidRPr="00E06FD9">
        <w:rPr>
          <w:rFonts w:eastAsia="Calibri"/>
          <w:sz w:val="22"/>
          <w:szCs w:val="22"/>
          <w:lang w:val="es-MX" w:eastAsia="en-US"/>
        </w:rPr>
        <w:t xml:space="preserve"> Distribución de pacientes adictos según funcionamiento cognitivo y variables epidemiológicas</w:t>
      </w:r>
    </w:p>
    <w:p w14:paraId="3BF5F36C" w14:textId="3A68783B" w:rsidR="00C00962" w:rsidRDefault="00C00962" w:rsidP="00E06FD9">
      <w:pPr>
        <w:widowControl w:val="0"/>
        <w:tabs>
          <w:tab w:val="left" w:pos="0"/>
        </w:tabs>
        <w:autoSpaceDE w:val="0"/>
        <w:autoSpaceDN w:val="0"/>
        <w:adjustRightInd w:val="0"/>
        <w:spacing w:line="360" w:lineRule="auto"/>
        <w:ind w:right="49"/>
        <w:jc w:val="center"/>
        <w:rPr>
          <w:sz w:val="16"/>
          <w:szCs w:val="16"/>
          <w:lang w:val="es-VE" w:eastAsia="es-ES"/>
        </w:rPr>
      </w:pPr>
      <w:r w:rsidRPr="003D5684">
        <w:rPr>
          <w:bCs/>
          <w:noProof/>
        </w:rPr>
        <w:drawing>
          <wp:inline distT="0" distB="0" distL="0" distR="0" wp14:anchorId="54D95257" wp14:editId="3038A474">
            <wp:extent cx="5400040" cy="3467120"/>
            <wp:effectExtent l="0" t="0" r="0" b="0"/>
            <wp:docPr id="3" name="Imagen 3" descr="G:\18.7.23\2846\t02_284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18.7.23\2846\t02_2846.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3467120"/>
                    </a:xfrm>
                    <a:prstGeom prst="rect">
                      <a:avLst/>
                    </a:prstGeom>
                    <a:noFill/>
                    <a:ln>
                      <a:noFill/>
                    </a:ln>
                  </pic:spPr>
                </pic:pic>
              </a:graphicData>
            </a:graphic>
          </wp:inline>
        </w:drawing>
      </w:r>
    </w:p>
    <w:p w14:paraId="2E5F462C" w14:textId="057D88CE" w:rsidR="00E06FD9" w:rsidRPr="00E06FD9" w:rsidRDefault="00E06FD9" w:rsidP="00E06FD9">
      <w:pPr>
        <w:widowControl w:val="0"/>
        <w:tabs>
          <w:tab w:val="left" w:pos="0"/>
        </w:tabs>
        <w:autoSpaceDE w:val="0"/>
        <w:autoSpaceDN w:val="0"/>
        <w:adjustRightInd w:val="0"/>
        <w:spacing w:line="360" w:lineRule="auto"/>
        <w:ind w:right="49"/>
        <w:jc w:val="center"/>
        <w:rPr>
          <w:sz w:val="16"/>
          <w:szCs w:val="16"/>
          <w:lang w:val="es-ES" w:eastAsia="es-ES"/>
        </w:rPr>
      </w:pPr>
      <w:r w:rsidRPr="00E06FD9">
        <w:rPr>
          <w:sz w:val="16"/>
          <w:szCs w:val="16"/>
          <w:lang w:val="es-VE" w:eastAsia="es-ES"/>
        </w:rPr>
        <w:t>N</w:t>
      </w:r>
      <w:proofErr w:type="spellStart"/>
      <w:r w:rsidRPr="00E06FD9">
        <w:rPr>
          <w:sz w:val="16"/>
          <w:szCs w:val="16"/>
          <w:lang w:val="es-ES" w:eastAsia="es-ES"/>
        </w:rPr>
        <w:t>ota</w:t>
      </w:r>
      <w:proofErr w:type="spellEnd"/>
      <w:r w:rsidRPr="00E06FD9">
        <w:rPr>
          <w:sz w:val="16"/>
          <w:szCs w:val="16"/>
          <w:lang w:val="es-ES" w:eastAsia="es-ES"/>
        </w:rPr>
        <w:t>: El porcentaje fue calculado en base al total de pacientes por filas según el síntoma clínico.</w:t>
      </w:r>
    </w:p>
    <w:p w14:paraId="5C73A16F" w14:textId="77777777" w:rsidR="00101996" w:rsidRDefault="00101996" w:rsidP="00E06FD9">
      <w:pPr>
        <w:spacing w:line="360" w:lineRule="auto"/>
        <w:jc w:val="both"/>
        <w:rPr>
          <w:bCs/>
          <w:lang w:val="es-ES" w:eastAsia="es-ES"/>
        </w:rPr>
      </w:pPr>
    </w:p>
    <w:p w14:paraId="74D06C97" w14:textId="16B5EDE1" w:rsidR="00E06FD9" w:rsidRPr="00E06FD9" w:rsidRDefault="00E06FD9" w:rsidP="00E06FD9">
      <w:pPr>
        <w:spacing w:line="360" w:lineRule="auto"/>
        <w:jc w:val="both"/>
        <w:rPr>
          <w:lang w:val="es-ES" w:eastAsia="es-ES"/>
        </w:rPr>
      </w:pPr>
      <w:r w:rsidRPr="00E06FD9">
        <w:rPr>
          <w:bCs/>
          <w:lang w:val="es-ES" w:eastAsia="es-ES"/>
        </w:rPr>
        <w:t xml:space="preserve">En el análisis multivariado (tabla 3), </w:t>
      </w:r>
      <w:r w:rsidRPr="00E06FD9">
        <w:rPr>
          <w:lang w:val="es-ES" w:eastAsia="es-ES"/>
        </w:rPr>
        <w:t>se comportan como factores pronósticos de presentar deterioro cognitivo en los pacientes adictos estudiados,</w:t>
      </w:r>
      <w:r w:rsidRPr="00E06FD9">
        <w:rPr>
          <w:bCs/>
          <w:lang w:val="es-ES" w:eastAsia="es-ES"/>
        </w:rPr>
        <w:t xml:space="preserve"> </w:t>
      </w:r>
      <w:r w:rsidRPr="00E06FD9">
        <w:rPr>
          <w:lang w:val="es-ES" w:eastAsia="es-ES"/>
        </w:rPr>
        <w:t>la tolerancia invertida (</w:t>
      </w:r>
      <w:proofErr w:type="spellStart"/>
      <w:r w:rsidRPr="00E06FD9">
        <w:rPr>
          <w:lang w:val="es-ES" w:eastAsia="es-ES"/>
        </w:rPr>
        <w:t>OR</w:t>
      </w:r>
      <w:proofErr w:type="spellEnd"/>
      <w:r w:rsidRPr="00E06FD9">
        <w:rPr>
          <w:lang w:val="es-ES" w:eastAsia="es-ES"/>
        </w:rPr>
        <w:t>= 6,4), las alteraciones de la función ejecutiva (</w:t>
      </w:r>
      <w:proofErr w:type="spellStart"/>
      <w:r w:rsidRPr="00E06FD9">
        <w:rPr>
          <w:lang w:val="es-ES" w:eastAsia="es-ES"/>
        </w:rPr>
        <w:t>OR</w:t>
      </w:r>
      <w:proofErr w:type="spellEnd"/>
      <w:r w:rsidRPr="00E06FD9">
        <w:rPr>
          <w:lang w:val="es-ES" w:eastAsia="es-ES"/>
        </w:rPr>
        <w:t>= 4,2), la depresión estado (</w:t>
      </w:r>
      <w:proofErr w:type="spellStart"/>
      <w:r w:rsidRPr="00E06FD9">
        <w:rPr>
          <w:lang w:val="es-ES" w:eastAsia="es-ES"/>
        </w:rPr>
        <w:t>OR</w:t>
      </w:r>
      <w:proofErr w:type="spellEnd"/>
      <w:r w:rsidRPr="00E06FD9">
        <w:rPr>
          <w:lang w:val="es-ES" w:eastAsia="es-ES"/>
        </w:rPr>
        <w:t>= 4,1), el consumo de otras drogas diferentes al alcohol y sus derivados (</w:t>
      </w:r>
      <w:proofErr w:type="spellStart"/>
      <w:r w:rsidRPr="00E06FD9">
        <w:rPr>
          <w:lang w:val="es-ES" w:eastAsia="es-ES"/>
        </w:rPr>
        <w:t>OR</w:t>
      </w:r>
      <w:proofErr w:type="spellEnd"/>
      <w:r w:rsidRPr="00E06FD9">
        <w:rPr>
          <w:lang w:val="es-ES" w:eastAsia="es-ES"/>
        </w:rPr>
        <w:t>= 2,6), la necesidad subjetiva de consumo (</w:t>
      </w:r>
      <w:proofErr w:type="spellStart"/>
      <w:r w:rsidRPr="00E06FD9">
        <w:rPr>
          <w:lang w:val="es-ES" w:eastAsia="es-ES"/>
        </w:rPr>
        <w:t>OR</w:t>
      </w:r>
      <w:proofErr w:type="spellEnd"/>
      <w:r w:rsidRPr="00E06FD9">
        <w:rPr>
          <w:lang w:val="es-ES" w:eastAsia="es-ES"/>
        </w:rPr>
        <w:t>= 2,5), ansiedad como estado alta (</w:t>
      </w:r>
      <w:proofErr w:type="spellStart"/>
      <w:r w:rsidRPr="00E06FD9">
        <w:rPr>
          <w:lang w:val="es-ES" w:eastAsia="es-ES"/>
        </w:rPr>
        <w:t>OR</w:t>
      </w:r>
      <w:proofErr w:type="spellEnd"/>
      <w:r w:rsidRPr="00E06FD9">
        <w:rPr>
          <w:lang w:val="es-ES" w:eastAsia="es-ES"/>
        </w:rPr>
        <w:t>= 2,4), alteración de la capacidad de abstención (</w:t>
      </w:r>
      <w:proofErr w:type="spellStart"/>
      <w:r w:rsidRPr="00E06FD9">
        <w:rPr>
          <w:lang w:val="es-ES" w:eastAsia="es-ES"/>
        </w:rPr>
        <w:t>OR</w:t>
      </w:r>
      <w:proofErr w:type="spellEnd"/>
      <w:r w:rsidRPr="00E06FD9">
        <w:rPr>
          <w:lang w:val="es-ES" w:eastAsia="es-ES"/>
        </w:rPr>
        <w:t xml:space="preserve">= 2,3) y la </w:t>
      </w:r>
      <w:r w:rsidRPr="00E06FD9">
        <w:rPr>
          <w:bCs/>
          <w:lang w:val="es-ES" w:eastAsia="es-ES"/>
        </w:rPr>
        <w:t>ideación suicida</w:t>
      </w:r>
      <w:r w:rsidRPr="00E06FD9">
        <w:rPr>
          <w:lang w:val="es-ES" w:eastAsia="es-ES"/>
        </w:rPr>
        <w:t xml:space="preserve"> (</w:t>
      </w:r>
      <w:proofErr w:type="spellStart"/>
      <w:r w:rsidRPr="00E06FD9">
        <w:rPr>
          <w:lang w:val="es-ES" w:eastAsia="es-ES"/>
        </w:rPr>
        <w:t>OR</w:t>
      </w:r>
      <w:proofErr w:type="spellEnd"/>
      <w:r w:rsidRPr="00E06FD9">
        <w:rPr>
          <w:lang w:val="es-ES" w:eastAsia="es-ES"/>
        </w:rPr>
        <w:t xml:space="preserve">= 2,0). </w:t>
      </w:r>
    </w:p>
    <w:p w14:paraId="7AE2DC28" w14:textId="77777777" w:rsidR="00E06FD9" w:rsidRPr="00E06FD9" w:rsidRDefault="00E06FD9" w:rsidP="00E06FD9">
      <w:pPr>
        <w:spacing w:line="360" w:lineRule="auto"/>
        <w:jc w:val="center"/>
        <w:rPr>
          <w:rFonts w:eastAsia="Calibri"/>
          <w:b/>
          <w:sz w:val="22"/>
          <w:szCs w:val="22"/>
          <w:lang w:val="es-MX" w:eastAsia="en-US"/>
        </w:rPr>
      </w:pPr>
    </w:p>
    <w:p w14:paraId="6C72486A" w14:textId="77777777" w:rsidR="00101996" w:rsidRDefault="00101996">
      <w:pPr>
        <w:rPr>
          <w:rFonts w:eastAsia="Calibri"/>
          <w:b/>
          <w:sz w:val="22"/>
          <w:szCs w:val="22"/>
          <w:lang w:val="es-MX" w:eastAsia="en-US"/>
        </w:rPr>
      </w:pPr>
      <w:r>
        <w:rPr>
          <w:rFonts w:eastAsia="Calibri"/>
          <w:b/>
          <w:sz w:val="22"/>
          <w:szCs w:val="22"/>
          <w:lang w:val="es-MX" w:eastAsia="en-US"/>
        </w:rPr>
        <w:br w:type="page"/>
      </w:r>
    </w:p>
    <w:p w14:paraId="6C24DBBF" w14:textId="5B051137" w:rsidR="00E06FD9" w:rsidRPr="00E06FD9" w:rsidRDefault="00E06FD9" w:rsidP="00E06FD9">
      <w:pPr>
        <w:spacing w:line="360" w:lineRule="auto"/>
        <w:jc w:val="center"/>
        <w:rPr>
          <w:rFonts w:eastAsia="Calibri"/>
          <w:sz w:val="22"/>
          <w:szCs w:val="22"/>
          <w:lang w:val="es-MX" w:eastAsia="en-US"/>
        </w:rPr>
      </w:pPr>
      <w:r w:rsidRPr="00E06FD9">
        <w:rPr>
          <w:rFonts w:eastAsia="Calibri"/>
          <w:b/>
          <w:sz w:val="22"/>
          <w:szCs w:val="22"/>
          <w:lang w:val="es-MX" w:eastAsia="en-US"/>
        </w:rPr>
        <w:lastRenderedPageBreak/>
        <w:t xml:space="preserve">Tabla 3 - </w:t>
      </w:r>
      <w:r w:rsidRPr="00E06FD9">
        <w:rPr>
          <w:rFonts w:eastAsia="Calibri"/>
          <w:sz w:val="22"/>
          <w:szCs w:val="22"/>
          <w:lang w:val="es-MX" w:eastAsia="en-US"/>
        </w:rPr>
        <w:t>Factores pronósticos de presentar deterioro cognitivo</w:t>
      </w:r>
    </w:p>
    <w:p w14:paraId="7C22CE50" w14:textId="596628CD" w:rsidR="00E06FD9" w:rsidRDefault="00C00962" w:rsidP="00C00962">
      <w:pPr>
        <w:spacing w:line="360" w:lineRule="auto"/>
        <w:jc w:val="center"/>
        <w:rPr>
          <w:rFonts w:eastAsia="Calibri"/>
          <w:color w:val="FF0000"/>
          <w:sz w:val="22"/>
          <w:szCs w:val="22"/>
          <w:lang w:val="es-MX" w:eastAsia="en-US"/>
        </w:rPr>
      </w:pPr>
      <w:r w:rsidRPr="003D5684">
        <w:rPr>
          <w:bCs/>
          <w:noProof/>
        </w:rPr>
        <w:drawing>
          <wp:inline distT="0" distB="0" distL="0" distR="0" wp14:anchorId="3F382DF1" wp14:editId="69475ED9">
            <wp:extent cx="5400040" cy="3780028"/>
            <wp:effectExtent l="0" t="0" r="0" b="0"/>
            <wp:docPr id="4" name="Imagen 4" descr="G:\18.7.23\2846\t03_284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18.7.23\2846\t03_2846.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3780028"/>
                    </a:xfrm>
                    <a:prstGeom prst="rect">
                      <a:avLst/>
                    </a:prstGeom>
                    <a:noFill/>
                    <a:ln>
                      <a:noFill/>
                    </a:ln>
                  </pic:spPr>
                </pic:pic>
              </a:graphicData>
            </a:graphic>
          </wp:inline>
        </w:drawing>
      </w:r>
    </w:p>
    <w:p w14:paraId="62A119C3" w14:textId="77777777" w:rsidR="00C00962" w:rsidRPr="00E06FD9" w:rsidRDefault="00C00962" w:rsidP="00C00962">
      <w:pPr>
        <w:spacing w:line="360" w:lineRule="auto"/>
        <w:jc w:val="center"/>
        <w:rPr>
          <w:rFonts w:eastAsia="Calibri"/>
          <w:color w:val="FF0000"/>
          <w:sz w:val="22"/>
          <w:szCs w:val="22"/>
          <w:lang w:val="es-MX" w:eastAsia="en-US"/>
        </w:rPr>
      </w:pPr>
    </w:p>
    <w:p w14:paraId="3F70A78B" w14:textId="77777777" w:rsidR="00E06FD9" w:rsidRPr="00E06FD9" w:rsidRDefault="00E06FD9" w:rsidP="00E06FD9">
      <w:pPr>
        <w:spacing w:line="360" w:lineRule="auto"/>
        <w:jc w:val="both"/>
        <w:rPr>
          <w:lang w:val="es-ES" w:eastAsia="es-ES"/>
        </w:rPr>
      </w:pPr>
      <w:r w:rsidRPr="00E06FD9">
        <w:rPr>
          <w:bCs/>
          <w:lang w:val="es-ES" w:eastAsia="es-ES"/>
        </w:rPr>
        <w:t xml:space="preserve">Respecto a la posibilidad de presentar deterioro cognitivo moderado, como categoría de mayor gravedad del funcionamiento cognitivo, después del análisis multivariado (tabla 4) se observó que </w:t>
      </w:r>
      <w:r w:rsidRPr="00E06FD9">
        <w:rPr>
          <w:lang w:val="es-ES" w:eastAsia="es-ES"/>
        </w:rPr>
        <w:t>los pacientes que presentaron tolerancia invertida (</w:t>
      </w:r>
      <w:proofErr w:type="spellStart"/>
      <w:r w:rsidRPr="00E06FD9">
        <w:rPr>
          <w:lang w:val="es-ES" w:eastAsia="es-ES"/>
        </w:rPr>
        <w:t>OR</w:t>
      </w:r>
      <w:proofErr w:type="spellEnd"/>
      <w:r w:rsidRPr="00E06FD9">
        <w:rPr>
          <w:lang w:val="es-ES" w:eastAsia="es-ES"/>
        </w:rPr>
        <w:t>= 18,3), afectación de las funciones ejecutivas (</w:t>
      </w:r>
      <w:proofErr w:type="spellStart"/>
      <w:r w:rsidRPr="00E06FD9">
        <w:rPr>
          <w:lang w:val="es-ES" w:eastAsia="es-ES"/>
        </w:rPr>
        <w:t>OR</w:t>
      </w:r>
      <w:proofErr w:type="spellEnd"/>
      <w:r w:rsidRPr="00E06FD9">
        <w:rPr>
          <w:lang w:val="es-ES" w:eastAsia="es-ES"/>
        </w:rPr>
        <w:t xml:space="preserve">= 4,9) y que </w:t>
      </w:r>
      <w:r w:rsidRPr="00E06FD9">
        <w:rPr>
          <w:bCs/>
          <w:lang w:val="es-ES" w:eastAsia="es-ES"/>
        </w:rPr>
        <w:t>consumen en forma de intoxicaciones</w:t>
      </w:r>
      <w:r w:rsidRPr="00E06FD9">
        <w:rPr>
          <w:lang w:val="es-ES" w:eastAsia="es-ES"/>
        </w:rPr>
        <w:t xml:space="preserve"> (</w:t>
      </w:r>
      <w:proofErr w:type="spellStart"/>
      <w:r w:rsidRPr="00E06FD9">
        <w:rPr>
          <w:lang w:val="es-ES" w:eastAsia="es-ES"/>
        </w:rPr>
        <w:t>OR</w:t>
      </w:r>
      <w:proofErr w:type="spellEnd"/>
      <w:r w:rsidRPr="00E06FD9">
        <w:rPr>
          <w:lang w:val="es-ES" w:eastAsia="es-ES"/>
        </w:rPr>
        <w:t xml:space="preserve">= 4,5), tuvieron mayor probabilidad de presentar deterioro cognitivo moderado, que quienes no presentaron estos síntomas y signos. </w:t>
      </w:r>
    </w:p>
    <w:p w14:paraId="43BCA21D" w14:textId="77777777" w:rsidR="00101996" w:rsidRDefault="00101996" w:rsidP="00E06FD9">
      <w:pPr>
        <w:spacing w:line="360" w:lineRule="auto"/>
        <w:jc w:val="center"/>
        <w:rPr>
          <w:rFonts w:eastAsia="Calibri"/>
          <w:b/>
          <w:sz w:val="22"/>
          <w:szCs w:val="22"/>
          <w:lang w:val="es-MX" w:eastAsia="en-US"/>
        </w:rPr>
      </w:pPr>
    </w:p>
    <w:p w14:paraId="4D00219E" w14:textId="77777777" w:rsidR="00101996" w:rsidRDefault="00101996">
      <w:pPr>
        <w:rPr>
          <w:rFonts w:eastAsia="Calibri"/>
          <w:b/>
          <w:sz w:val="22"/>
          <w:szCs w:val="22"/>
          <w:lang w:val="es-MX" w:eastAsia="en-US"/>
        </w:rPr>
      </w:pPr>
      <w:r>
        <w:rPr>
          <w:rFonts w:eastAsia="Calibri"/>
          <w:b/>
          <w:sz w:val="22"/>
          <w:szCs w:val="22"/>
          <w:lang w:val="es-MX" w:eastAsia="en-US"/>
        </w:rPr>
        <w:br w:type="page"/>
      </w:r>
    </w:p>
    <w:p w14:paraId="4DF2F819" w14:textId="36A4027C" w:rsidR="00E06FD9" w:rsidRPr="00E06FD9" w:rsidRDefault="00E06FD9" w:rsidP="00E06FD9">
      <w:pPr>
        <w:spacing w:line="360" w:lineRule="auto"/>
        <w:jc w:val="center"/>
        <w:rPr>
          <w:rFonts w:eastAsia="Calibri"/>
          <w:sz w:val="22"/>
          <w:szCs w:val="22"/>
          <w:lang w:val="es-MX" w:eastAsia="en-US"/>
        </w:rPr>
      </w:pPr>
      <w:r w:rsidRPr="00E06FD9">
        <w:rPr>
          <w:rFonts w:eastAsia="Calibri"/>
          <w:b/>
          <w:sz w:val="22"/>
          <w:szCs w:val="22"/>
          <w:lang w:val="es-MX" w:eastAsia="en-US"/>
        </w:rPr>
        <w:lastRenderedPageBreak/>
        <w:t>Tabla 4 -</w:t>
      </w:r>
      <w:r w:rsidRPr="00E06FD9">
        <w:rPr>
          <w:rFonts w:eastAsia="Calibri"/>
          <w:sz w:val="22"/>
          <w:szCs w:val="22"/>
          <w:lang w:val="es-MX" w:eastAsia="en-US"/>
        </w:rPr>
        <w:t xml:space="preserve"> Factores pronósticos de presentar deterioro cognitivo moderado</w:t>
      </w:r>
    </w:p>
    <w:p w14:paraId="1F3B249D" w14:textId="6957C4CC" w:rsidR="00E06FD9" w:rsidRDefault="007459CD" w:rsidP="00E06FD9">
      <w:pPr>
        <w:spacing w:line="360" w:lineRule="auto"/>
        <w:jc w:val="center"/>
        <w:rPr>
          <w:rFonts w:ascii="Verdana" w:hAnsi="Verdana"/>
          <w:b/>
          <w:sz w:val="20"/>
          <w:szCs w:val="20"/>
          <w:lang w:val="es-ES" w:eastAsia="es-ES"/>
        </w:rPr>
      </w:pPr>
      <w:r w:rsidRPr="003D5684">
        <w:rPr>
          <w:b/>
          <w:noProof/>
          <w:sz w:val="32"/>
          <w:szCs w:val="32"/>
        </w:rPr>
        <w:drawing>
          <wp:inline distT="0" distB="0" distL="0" distR="0" wp14:anchorId="6725BF31" wp14:editId="2E24A906">
            <wp:extent cx="5400040" cy="3577432"/>
            <wp:effectExtent l="0" t="0" r="0" b="4445"/>
            <wp:docPr id="5" name="Imagen 5" descr="G:\18.7.23\2846\t04_284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8.7.23\2846\t04_2846.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3577432"/>
                    </a:xfrm>
                    <a:prstGeom prst="rect">
                      <a:avLst/>
                    </a:prstGeom>
                    <a:noFill/>
                    <a:ln>
                      <a:noFill/>
                    </a:ln>
                  </pic:spPr>
                </pic:pic>
              </a:graphicData>
            </a:graphic>
          </wp:inline>
        </w:drawing>
      </w:r>
    </w:p>
    <w:p w14:paraId="2FAB2DF8" w14:textId="77777777" w:rsidR="007459CD" w:rsidRPr="00E06FD9" w:rsidRDefault="007459CD" w:rsidP="00E06FD9">
      <w:pPr>
        <w:spacing w:line="360" w:lineRule="auto"/>
        <w:jc w:val="center"/>
        <w:rPr>
          <w:rFonts w:ascii="Verdana" w:hAnsi="Verdana"/>
          <w:b/>
          <w:sz w:val="20"/>
          <w:szCs w:val="20"/>
          <w:lang w:val="es-ES" w:eastAsia="es-ES"/>
        </w:rPr>
      </w:pPr>
    </w:p>
    <w:p w14:paraId="3AF8527C" w14:textId="77777777" w:rsidR="00E06FD9" w:rsidRPr="00E06FD9" w:rsidRDefault="00E06FD9" w:rsidP="00E06FD9">
      <w:pPr>
        <w:spacing w:line="360" w:lineRule="auto"/>
        <w:jc w:val="center"/>
        <w:rPr>
          <w:b/>
          <w:sz w:val="32"/>
          <w:szCs w:val="32"/>
          <w:lang w:val="es-ES" w:eastAsia="es-ES"/>
        </w:rPr>
      </w:pPr>
    </w:p>
    <w:p w14:paraId="1E06A0BA" w14:textId="77777777" w:rsidR="00E06FD9" w:rsidRPr="00E06FD9" w:rsidRDefault="00E06FD9" w:rsidP="00E06FD9">
      <w:pPr>
        <w:spacing w:line="360" w:lineRule="auto"/>
        <w:jc w:val="center"/>
        <w:rPr>
          <w:b/>
          <w:sz w:val="32"/>
          <w:szCs w:val="32"/>
          <w:lang w:val="es-ES" w:eastAsia="es-ES"/>
        </w:rPr>
      </w:pPr>
      <w:r w:rsidRPr="00E06FD9">
        <w:rPr>
          <w:b/>
          <w:sz w:val="32"/>
          <w:szCs w:val="32"/>
          <w:lang w:val="es-ES" w:eastAsia="es-ES"/>
        </w:rPr>
        <w:t>DISCUSIÓN</w:t>
      </w:r>
    </w:p>
    <w:p w14:paraId="7F50D3A3" w14:textId="77777777" w:rsidR="00E06FD9" w:rsidRPr="00E06FD9" w:rsidRDefault="00E06FD9" w:rsidP="00E06FD9">
      <w:pPr>
        <w:spacing w:line="360" w:lineRule="auto"/>
        <w:jc w:val="both"/>
        <w:rPr>
          <w:rFonts w:eastAsia="Calibri"/>
          <w:lang w:val="es-ES" w:eastAsia="es-ES"/>
        </w:rPr>
      </w:pPr>
      <w:r w:rsidRPr="00E06FD9">
        <w:rPr>
          <w:rFonts w:eastAsia="Calibri"/>
          <w:lang w:val="es-ES" w:eastAsia="es-ES"/>
        </w:rPr>
        <w:t>Las cantidades de drogas, la combinación entre sustancias y el tiempo en que se ingiera, constituyen factores que determinan el nivel de riesgo o peligro al cual se exponen los consumidores. El consumo excesivo y frecuente de drogas puede provocar graves trastornos físicos, psicológicos y del comportamiento. Los problemas derivados de ello se presentan tanto a corto como a largo plazo, ejemplo de ellos es el deterioro cognitivo.</w:t>
      </w:r>
    </w:p>
    <w:p w14:paraId="5AD40CC6" w14:textId="77777777" w:rsidR="00E06FD9" w:rsidRPr="00E06FD9" w:rsidRDefault="00E06FD9" w:rsidP="00E06FD9">
      <w:pPr>
        <w:autoSpaceDE w:val="0"/>
        <w:autoSpaceDN w:val="0"/>
        <w:adjustRightInd w:val="0"/>
        <w:spacing w:line="360" w:lineRule="auto"/>
        <w:jc w:val="both"/>
        <w:rPr>
          <w:lang w:val="es-ES" w:eastAsia="es-ES"/>
        </w:rPr>
      </w:pPr>
      <w:r w:rsidRPr="00E06FD9">
        <w:rPr>
          <w:lang w:val="es-ES" w:eastAsia="es-ES"/>
        </w:rPr>
        <w:t xml:space="preserve">Los resultados, al relacionar las variables tiempo de consumo y funcionamiento cognitivo, son coherentes con los planteados por otro estudio, en el cual se relacionaron las variables años de dependencia al alcohol y el porcentaje de vida de dependencia al alcohol, con la función cognitiva; se obtuvo que a más tiempo de dependencia al alcohol se observa empeoramiento en la atención, en la memoria anterógrada, en la velocidad de procesamiento y el razonamiento </w:t>
      </w:r>
      <w:proofErr w:type="gramStart"/>
      <w:r w:rsidRPr="00E06FD9">
        <w:rPr>
          <w:lang w:val="es-ES" w:eastAsia="es-ES"/>
        </w:rPr>
        <w:t>abstracto.</w:t>
      </w:r>
      <w:r w:rsidRPr="00E06FD9">
        <w:rPr>
          <w:vertAlign w:val="superscript"/>
          <w:lang w:val="es-ES" w:eastAsia="es-ES"/>
        </w:rPr>
        <w:t>(</w:t>
      </w:r>
      <w:proofErr w:type="gramEnd"/>
      <w:r w:rsidRPr="00E06FD9">
        <w:rPr>
          <w:vertAlign w:val="superscript"/>
          <w:lang w:val="es-ES" w:eastAsia="es-ES"/>
        </w:rPr>
        <w:t>15)</w:t>
      </w:r>
    </w:p>
    <w:p w14:paraId="13FAEBD0" w14:textId="77777777" w:rsidR="00E06FD9" w:rsidRPr="00E06FD9" w:rsidRDefault="00E06FD9" w:rsidP="00E06FD9">
      <w:pPr>
        <w:spacing w:line="360" w:lineRule="auto"/>
        <w:jc w:val="both"/>
        <w:rPr>
          <w:lang w:val="es-ES" w:eastAsia="es-ES"/>
        </w:rPr>
      </w:pPr>
      <w:r w:rsidRPr="00E06FD9">
        <w:rPr>
          <w:lang w:val="es-ES" w:eastAsia="es-ES"/>
        </w:rPr>
        <w:lastRenderedPageBreak/>
        <w:t xml:space="preserve">Los resultados sobre los factores pronósticos del deterioro cognitivo están en correspondencia con otros estudios. </w:t>
      </w:r>
      <w:r w:rsidRPr="00E06FD9">
        <w:rPr>
          <w:i/>
          <w:iCs/>
          <w:lang w:val="es-ES" w:eastAsia="es-ES"/>
        </w:rPr>
        <w:t xml:space="preserve">Alonso </w:t>
      </w:r>
      <w:proofErr w:type="gramStart"/>
      <w:r w:rsidRPr="00E06FD9">
        <w:rPr>
          <w:i/>
          <w:iCs/>
          <w:lang w:val="es-ES" w:eastAsia="es-ES"/>
        </w:rPr>
        <w:t>Fuentes</w:t>
      </w:r>
      <w:r w:rsidRPr="00E06FD9">
        <w:rPr>
          <w:vertAlign w:val="superscript"/>
          <w:lang w:val="es-ES" w:eastAsia="es-ES"/>
        </w:rPr>
        <w:t>(</w:t>
      </w:r>
      <w:proofErr w:type="gramEnd"/>
      <w:r w:rsidRPr="00E06FD9">
        <w:rPr>
          <w:vertAlign w:val="superscript"/>
          <w:lang w:val="es-ES" w:eastAsia="es-ES"/>
        </w:rPr>
        <w:t>16)</w:t>
      </w:r>
      <w:r w:rsidRPr="00E06FD9">
        <w:rPr>
          <w:lang w:val="es-ES" w:eastAsia="es-ES"/>
        </w:rPr>
        <w:t xml:space="preserve"> constata que el tiempo de consumo, a partir de 25 años, tiene peor relación con el desempeño cognitivo. La necesidad subjetiva de la sustancia, la alteración de la capacidad de abstención una vez iniciado el consumo de alcohol, la persistencia a pesar de daños, y la marcada tolerancia, son las características clínicas de mayor gravedad y presencia en los pacientes con dificultades, para el desempeño cognitivo. </w:t>
      </w:r>
    </w:p>
    <w:p w14:paraId="1C3542E9" w14:textId="77777777" w:rsidR="00E06FD9" w:rsidRPr="00E06FD9" w:rsidRDefault="00E06FD9" w:rsidP="00E06FD9">
      <w:pPr>
        <w:autoSpaceDE w:val="0"/>
        <w:autoSpaceDN w:val="0"/>
        <w:adjustRightInd w:val="0"/>
        <w:spacing w:line="360" w:lineRule="auto"/>
        <w:jc w:val="both"/>
        <w:rPr>
          <w:lang w:val="es-ES" w:eastAsia="es-ES"/>
        </w:rPr>
      </w:pPr>
      <w:r w:rsidRPr="00E06FD9">
        <w:rPr>
          <w:lang w:val="es-ES" w:eastAsia="es-ES"/>
        </w:rPr>
        <w:t xml:space="preserve">Sin embargo, otros </w:t>
      </w:r>
      <w:proofErr w:type="gramStart"/>
      <w:r w:rsidRPr="00E06FD9">
        <w:rPr>
          <w:lang w:val="es-ES" w:eastAsia="es-ES"/>
        </w:rPr>
        <w:t>autores</w:t>
      </w:r>
      <w:r w:rsidRPr="00E06FD9">
        <w:rPr>
          <w:vertAlign w:val="superscript"/>
          <w:lang w:val="es-ES" w:eastAsia="es-ES"/>
        </w:rPr>
        <w:t>(</w:t>
      </w:r>
      <w:proofErr w:type="gramEnd"/>
      <w:r w:rsidRPr="00E06FD9">
        <w:rPr>
          <w:vertAlign w:val="superscript"/>
          <w:lang w:val="es-ES" w:eastAsia="es-ES"/>
        </w:rPr>
        <w:t>2,17)</w:t>
      </w:r>
      <w:r w:rsidRPr="00E06FD9">
        <w:rPr>
          <w:lang w:val="es-ES" w:eastAsia="es-ES"/>
        </w:rPr>
        <w:t xml:space="preserve"> descartan que el rendimiento neuropsicológico estuviese consistentemente relacionado con las puntuaciones en depresión,</w:t>
      </w:r>
      <w:r w:rsidRPr="00E06FD9">
        <w:rPr>
          <w:vertAlign w:val="superscript"/>
          <w:lang w:val="es-ES" w:eastAsia="es-ES"/>
        </w:rPr>
        <w:t>(2)</w:t>
      </w:r>
      <w:r w:rsidRPr="00E06FD9">
        <w:rPr>
          <w:lang w:val="es-ES" w:eastAsia="es-ES"/>
        </w:rPr>
        <w:t xml:space="preserve"> lo que no se corresponde con los resultados de la presente investigación, en la cual la depresión se relaciona con el deterioro cognitivo</w:t>
      </w:r>
      <w:r w:rsidRPr="00E06FD9">
        <w:rPr>
          <w:i/>
          <w:iCs/>
          <w:lang w:val="es-ES" w:eastAsia="es-ES"/>
        </w:rPr>
        <w:t xml:space="preserve">. Lage </w:t>
      </w:r>
      <w:proofErr w:type="spellStart"/>
      <w:r w:rsidRPr="00E06FD9">
        <w:rPr>
          <w:i/>
          <w:iCs/>
          <w:lang w:val="es-ES" w:eastAsia="es-ES"/>
        </w:rPr>
        <w:t>Muíño</w:t>
      </w:r>
      <w:proofErr w:type="spellEnd"/>
      <w:r w:rsidRPr="00E06FD9">
        <w:rPr>
          <w:lang w:val="es-ES" w:eastAsia="es-ES"/>
        </w:rPr>
        <w:t xml:space="preserve"> y </w:t>
      </w:r>
      <w:proofErr w:type="gramStart"/>
      <w:r w:rsidRPr="00E06FD9">
        <w:rPr>
          <w:lang w:val="es-ES" w:eastAsia="es-ES"/>
        </w:rPr>
        <w:t>otros,</w:t>
      </w:r>
      <w:r w:rsidRPr="00E06FD9">
        <w:rPr>
          <w:vertAlign w:val="superscript"/>
          <w:lang w:val="es-ES" w:eastAsia="es-ES"/>
        </w:rPr>
        <w:t>(</w:t>
      </w:r>
      <w:proofErr w:type="gramEnd"/>
      <w:r w:rsidRPr="00E06FD9">
        <w:rPr>
          <w:vertAlign w:val="superscript"/>
          <w:lang w:val="es-ES" w:eastAsia="es-ES"/>
        </w:rPr>
        <w:t>17)</w:t>
      </w:r>
      <w:r w:rsidRPr="00E06FD9">
        <w:rPr>
          <w:lang w:val="es-ES" w:eastAsia="es-ES"/>
        </w:rPr>
        <w:t xml:space="preserve"> muestran que las autoevaluaciones de sujetos consumidores, acerca de sus posibles daños cognitivos, están fuertemente relacionadas con la depresión y la vulnerabilidad al estrés.</w:t>
      </w:r>
    </w:p>
    <w:p w14:paraId="4254AEE6" w14:textId="77777777" w:rsidR="00E06FD9" w:rsidRPr="00E06FD9" w:rsidRDefault="00E06FD9" w:rsidP="00E06FD9">
      <w:pPr>
        <w:autoSpaceDE w:val="0"/>
        <w:autoSpaceDN w:val="0"/>
        <w:adjustRightInd w:val="0"/>
        <w:spacing w:line="360" w:lineRule="auto"/>
        <w:jc w:val="both"/>
        <w:rPr>
          <w:lang w:val="es-ES" w:eastAsia="es-ES"/>
        </w:rPr>
      </w:pPr>
      <w:r w:rsidRPr="00E06FD9">
        <w:rPr>
          <w:i/>
          <w:iCs/>
          <w:lang w:val="es-ES" w:eastAsia="es-ES"/>
        </w:rPr>
        <w:t>Vallejo-Reyes</w:t>
      </w:r>
      <w:r w:rsidRPr="00E06FD9">
        <w:rPr>
          <w:vertAlign w:val="superscript"/>
          <w:lang w:val="es-ES" w:eastAsia="es-ES"/>
        </w:rPr>
        <w:t xml:space="preserve"> (18)</w:t>
      </w:r>
      <w:r w:rsidRPr="00E06FD9">
        <w:rPr>
          <w:lang w:val="es-ES" w:eastAsia="es-ES"/>
        </w:rPr>
        <w:t xml:space="preserve"> mediante el análisis de la varianza, controlando el nivel de depresión y de ansiedad, halló que los pacientes con dependencia de drogas, tenían un rendimiento menor en la curva de aprendizaje y mayores puntajes en las subescalas de desinhibición y disfunción ejecutiva de la escala de comportamiento frontal, al compararlos con personas no consumidoras.</w:t>
      </w:r>
    </w:p>
    <w:p w14:paraId="45C6879E" w14:textId="77777777" w:rsidR="00E06FD9" w:rsidRPr="00E06FD9" w:rsidRDefault="00E06FD9" w:rsidP="00E06FD9">
      <w:pPr>
        <w:autoSpaceDE w:val="0"/>
        <w:autoSpaceDN w:val="0"/>
        <w:adjustRightInd w:val="0"/>
        <w:spacing w:line="360" w:lineRule="auto"/>
        <w:jc w:val="both"/>
        <w:rPr>
          <w:lang w:val="es-ES" w:eastAsia="es-ES"/>
        </w:rPr>
      </w:pPr>
      <w:r w:rsidRPr="00E06FD9">
        <w:rPr>
          <w:lang w:val="es-ES" w:eastAsia="es-ES"/>
        </w:rPr>
        <w:t xml:space="preserve">Las variables tiempo de consumo, la edad actual, el tipo de sustancias y su relación con deterioro cognitivo, fluctúa. En un estudio realizado en la Universidad de </w:t>
      </w:r>
      <w:proofErr w:type="gramStart"/>
      <w:r w:rsidRPr="00E06FD9">
        <w:rPr>
          <w:lang w:val="es-ES" w:eastAsia="es-ES"/>
        </w:rPr>
        <w:t>Cuenca,</w:t>
      </w:r>
      <w:r w:rsidRPr="00E06FD9">
        <w:rPr>
          <w:vertAlign w:val="superscript"/>
          <w:lang w:val="es-ES" w:eastAsia="es-ES"/>
        </w:rPr>
        <w:t>(</w:t>
      </w:r>
      <w:proofErr w:type="gramEnd"/>
      <w:r w:rsidRPr="00E06FD9">
        <w:rPr>
          <w:vertAlign w:val="superscript"/>
          <w:lang w:val="es-ES" w:eastAsia="es-ES"/>
        </w:rPr>
        <w:t>19)</w:t>
      </w:r>
      <w:r w:rsidRPr="00E06FD9">
        <w:rPr>
          <w:lang w:val="es-ES" w:eastAsia="es-ES"/>
        </w:rPr>
        <w:t xml:space="preserve"> en el año 2016, se estudiaron 41 pacientes adictos a diversas drogas; revela que más del 90 % tenían déficit cognitivo, aunque se detectó que la edad, el tiempo de consumo y el tipo de sustancia no influyen en el funcionamiento cognitivo.</w:t>
      </w:r>
    </w:p>
    <w:p w14:paraId="6C4D9EF9" w14:textId="77777777" w:rsidR="00E06FD9" w:rsidRPr="00E06FD9" w:rsidRDefault="00E06FD9" w:rsidP="00E06FD9">
      <w:pPr>
        <w:autoSpaceDE w:val="0"/>
        <w:autoSpaceDN w:val="0"/>
        <w:adjustRightInd w:val="0"/>
        <w:spacing w:line="360" w:lineRule="auto"/>
        <w:jc w:val="both"/>
        <w:rPr>
          <w:lang w:val="es-ES" w:eastAsia="es-ES"/>
        </w:rPr>
      </w:pPr>
      <w:r w:rsidRPr="00E06FD9">
        <w:rPr>
          <w:lang w:val="es-ES" w:eastAsia="es-ES"/>
        </w:rPr>
        <w:t>El presente estudio se realizó en personas mayores de 18 años, de ambos sexos, por lo cual los resultados no pueden ser generalizados a consumidores menores de edad, lo que constituye una limitación. Sin embargo, los resultados pueden ser aplicados en contextos similares y generalizados a pacientes adictos a cualquier sustancia psicoactiva diferente al tabaco.</w:t>
      </w:r>
    </w:p>
    <w:p w14:paraId="78D8A9D8" w14:textId="77777777" w:rsidR="00E06FD9" w:rsidRPr="00E06FD9" w:rsidRDefault="00E06FD9" w:rsidP="00E06FD9">
      <w:pPr>
        <w:tabs>
          <w:tab w:val="left" w:pos="284"/>
        </w:tabs>
        <w:autoSpaceDE w:val="0"/>
        <w:autoSpaceDN w:val="0"/>
        <w:adjustRightInd w:val="0"/>
        <w:spacing w:line="360" w:lineRule="auto"/>
        <w:jc w:val="both"/>
        <w:rPr>
          <w:color w:val="000000"/>
          <w:lang w:val="es-ES" w:eastAsia="es-ES"/>
        </w:rPr>
      </w:pPr>
      <w:r w:rsidRPr="00E06FD9">
        <w:rPr>
          <w:lang w:val="es-ES" w:eastAsia="es-ES"/>
        </w:rPr>
        <w:t>N</w:t>
      </w:r>
      <w:r w:rsidRPr="00E06FD9">
        <w:rPr>
          <w:color w:val="000000"/>
          <w:lang w:val="es-ES" w:eastAsia="es-ES"/>
        </w:rPr>
        <w:t xml:space="preserve">o solo el tiempo de evolución de la enfermedad, define la aparición de las alteraciones cognitivas encontradas, sino la asociación de este con otras variables. </w:t>
      </w:r>
    </w:p>
    <w:p w14:paraId="2AF8B92F" w14:textId="77777777" w:rsidR="00E06FD9" w:rsidRPr="00E06FD9" w:rsidRDefault="00E06FD9" w:rsidP="00E06FD9">
      <w:pPr>
        <w:tabs>
          <w:tab w:val="left" w:pos="284"/>
        </w:tabs>
        <w:autoSpaceDE w:val="0"/>
        <w:autoSpaceDN w:val="0"/>
        <w:adjustRightInd w:val="0"/>
        <w:spacing w:line="360" w:lineRule="auto"/>
        <w:jc w:val="both"/>
        <w:rPr>
          <w:lang w:val="es-ES" w:eastAsia="es-ES"/>
        </w:rPr>
      </w:pPr>
      <w:r w:rsidRPr="00E06FD9">
        <w:rPr>
          <w:color w:val="000000"/>
          <w:lang w:val="es-ES" w:eastAsia="es-ES"/>
        </w:rPr>
        <w:t>L</w:t>
      </w:r>
      <w:r w:rsidRPr="00E06FD9">
        <w:rPr>
          <w:lang w:val="es-ES" w:eastAsia="es-ES"/>
        </w:rPr>
        <w:t xml:space="preserve">os principales factores pronósticos que se asocian con la presencia de deterioro cognitivo en los pacientes adictos son: la tolerancia invertida, tener alteraciones de la función ejecutiva, la depresión, la </w:t>
      </w:r>
      <w:r w:rsidRPr="00E06FD9">
        <w:rPr>
          <w:lang w:val="es-ES" w:eastAsia="es-ES"/>
        </w:rPr>
        <w:lastRenderedPageBreak/>
        <w:t xml:space="preserve">ansiedad, consumir otras drogas diferentes al alcohol, tener alterada la capacidad de abstención y presentar ideas suicidas. </w:t>
      </w:r>
    </w:p>
    <w:p w14:paraId="22E50157" w14:textId="77777777" w:rsidR="00E06FD9" w:rsidRPr="00E06FD9" w:rsidRDefault="00E06FD9" w:rsidP="00E06FD9">
      <w:pPr>
        <w:tabs>
          <w:tab w:val="left" w:pos="284"/>
        </w:tabs>
        <w:autoSpaceDE w:val="0"/>
        <w:autoSpaceDN w:val="0"/>
        <w:adjustRightInd w:val="0"/>
        <w:spacing w:line="360" w:lineRule="auto"/>
        <w:jc w:val="both"/>
        <w:rPr>
          <w:lang w:val="es-ES" w:eastAsia="es-ES"/>
        </w:rPr>
      </w:pPr>
    </w:p>
    <w:p w14:paraId="46712219" w14:textId="77777777" w:rsidR="00E06FD9" w:rsidRPr="00E06FD9" w:rsidRDefault="00E06FD9" w:rsidP="00E06FD9">
      <w:pPr>
        <w:tabs>
          <w:tab w:val="left" w:pos="284"/>
        </w:tabs>
        <w:autoSpaceDE w:val="0"/>
        <w:autoSpaceDN w:val="0"/>
        <w:adjustRightInd w:val="0"/>
        <w:spacing w:line="360" w:lineRule="auto"/>
        <w:jc w:val="both"/>
        <w:rPr>
          <w:lang w:val="es-ES" w:eastAsia="es-ES"/>
        </w:rPr>
      </w:pPr>
    </w:p>
    <w:p w14:paraId="7D35FB76" w14:textId="77777777" w:rsidR="00E06FD9" w:rsidRPr="00E06FD9" w:rsidRDefault="00E06FD9" w:rsidP="00E06FD9">
      <w:pPr>
        <w:autoSpaceDE w:val="0"/>
        <w:autoSpaceDN w:val="0"/>
        <w:adjustRightInd w:val="0"/>
        <w:spacing w:line="360" w:lineRule="auto"/>
        <w:jc w:val="center"/>
        <w:rPr>
          <w:b/>
          <w:bCs/>
          <w:sz w:val="32"/>
          <w:szCs w:val="32"/>
          <w:lang w:val="es-ES" w:eastAsia="es-ES"/>
        </w:rPr>
      </w:pPr>
      <w:r w:rsidRPr="00E06FD9">
        <w:rPr>
          <w:b/>
          <w:bCs/>
          <w:sz w:val="32"/>
          <w:szCs w:val="32"/>
          <w:lang w:val="es-ES" w:eastAsia="es-ES"/>
        </w:rPr>
        <w:t>REFERENCIAS BIBLIOGRÁFICAS</w:t>
      </w:r>
    </w:p>
    <w:p w14:paraId="1AFCCAAA" w14:textId="77777777" w:rsidR="00E06FD9" w:rsidRPr="00E06FD9" w:rsidRDefault="00E06FD9" w:rsidP="00E06FD9">
      <w:pPr>
        <w:tabs>
          <w:tab w:val="left" w:pos="0"/>
          <w:tab w:val="left" w:pos="284"/>
          <w:tab w:val="left" w:pos="426"/>
        </w:tabs>
        <w:autoSpaceDE w:val="0"/>
        <w:autoSpaceDN w:val="0"/>
        <w:adjustRightInd w:val="0"/>
        <w:spacing w:line="360" w:lineRule="auto"/>
        <w:ind w:right="49"/>
        <w:contextualSpacing/>
        <w:rPr>
          <w:lang w:val="es-ES" w:eastAsia="es-ES"/>
        </w:rPr>
      </w:pPr>
      <w:r w:rsidRPr="00E06FD9">
        <w:rPr>
          <w:lang w:val="es-CU" w:eastAsia="es-ES"/>
        </w:rPr>
        <w:t>1.</w:t>
      </w:r>
      <w:r w:rsidRPr="00E06FD9">
        <w:rPr>
          <w:lang w:val="es-CU" w:eastAsia="es-ES"/>
        </w:rPr>
        <w:tab/>
        <w:t xml:space="preserve">Wang </w:t>
      </w:r>
      <w:proofErr w:type="spellStart"/>
      <w:r w:rsidRPr="00E06FD9">
        <w:rPr>
          <w:lang w:val="es-CU" w:eastAsia="es-ES"/>
        </w:rPr>
        <w:t>GJ</w:t>
      </w:r>
      <w:proofErr w:type="spellEnd"/>
      <w:r w:rsidRPr="00E06FD9">
        <w:rPr>
          <w:lang w:val="es-CU" w:eastAsia="es-ES"/>
        </w:rPr>
        <w:t xml:space="preserve">, </w:t>
      </w:r>
      <w:proofErr w:type="spellStart"/>
      <w:r w:rsidRPr="00E06FD9">
        <w:rPr>
          <w:lang w:val="es-CU" w:eastAsia="es-ES"/>
        </w:rPr>
        <w:t>Wiers</w:t>
      </w:r>
      <w:proofErr w:type="spellEnd"/>
      <w:r w:rsidRPr="00E06FD9">
        <w:rPr>
          <w:lang w:val="es-CU" w:eastAsia="es-ES"/>
        </w:rPr>
        <w:t xml:space="preserve"> CE, </w:t>
      </w:r>
      <w:proofErr w:type="spellStart"/>
      <w:r w:rsidRPr="00E06FD9">
        <w:rPr>
          <w:lang w:val="es-CU" w:eastAsia="es-ES"/>
        </w:rPr>
        <w:t>Shumay</w:t>
      </w:r>
      <w:proofErr w:type="spellEnd"/>
      <w:r w:rsidRPr="00E06FD9">
        <w:rPr>
          <w:lang w:val="es-CU" w:eastAsia="es-ES"/>
        </w:rPr>
        <w:t xml:space="preserve"> E, Tomasi D, </w:t>
      </w:r>
      <w:proofErr w:type="gramStart"/>
      <w:r w:rsidRPr="00E06FD9">
        <w:rPr>
          <w:lang w:val="es-CU" w:eastAsia="es-ES"/>
        </w:rPr>
        <w:t>Yuan</w:t>
      </w:r>
      <w:proofErr w:type="gramEnd"/>
      <w:r w:rsidRPr="00E06FD9">
        <w:rPr>
          <w:lang w:val="es-CU" w:eastAsia="es-ES"/>
        </w:rPr>
        <w:t xml:space="preserve"> K, Wong </w:t>
      </w:r>
      <w:proofErr w:type="spellStart"/>
      <w:r w:rsidRPr="00E06FD9">
        <w:rPr>
          <w:lang w:val="es-CU" w:eastAsia="es-ES"/>
        </w:rPr>
        <w:t>CT</w:t>
      </w:r>
      <w:proofErr w:type="spellEnd"/>
      <w:r w:rsidRPr="00E06FD9">
        <w:rPr>
          <w:lang w:val="es-CU" w:eastAsia="es-ES"/>
        </w:rPr>
        <w:t xml:space="preserve">, et al. </w:t>
      </w:r>
      <w:r w:rsidRPr="00E06FD9">
        <w:rPr>
          <w:lang w:val="en-US" w:eastAsia="es-ES"/>
        </w:rPr>
        <w:t xml:space="preserve">Expectation effects on brain dopamine responses to methylphenidate in cocaine use disorder. </w:t>
      </w:r>
      <w:proofErr w:type="spellStart"/>
      <w:r w:rsidRPr="00E06FD9">
        <w:rPr>
          <w:lang w:val="es-CU" w:eastAsia="es-ES"/>
        </w:rPr>
        <w:t>Transl</w:t>
      </w:r>
      <w:proofErr w:type="spellEnd"/>
      <w:r w:rsidRPr="00E06FD9">
        <w:rPr>
          <w:lang w:val="es-CU" w:eastAsia="es-ES"/>
        </w:rPr>
        <w:t xml:space="preserve"> </w:t>
      </w:r>
      <w:proofErr w:type="spellStart"/>
      <w:r w:rsidRPr="00E06FD9">
        <w:rPr>
          <w:lang w:val="es-CU" w:eastAsia="es-ES"/>
        </w:rPr>
        <w:t>Psychiatry</w:t>
      </w:r>
      <w:proofErr w:type="spellEnd"/>
      <w:r w:rsidRPr="00E06FD9">
        <w:rPr>
          <w:lang w:val="es-CU" w:eastAsia="es-ES"/>
        </w:rPr>
        <w:t xml:space="preserve">. 2019; 9:93. </w:t>
      </w:r>
      <w:proofErr w:type="spellStart"/>
      <w:r w:rsidRPr="00E06FD9">
        <w:rPr>
          <w:lang w:val="es-ES" w:eastAsia="es-ES"/>
        </w:rPr>
        <w:t>DOI</w:t>
      </w:r>
      <w:proofErr w:type="spellEnd"/>
      <w:r w:rsidRPr="00E06FD9">
        <w:rPr>
          <w:lang w:val="es-ES" w:eastAsia="es-ES"/>
        </w:rPr>
        <w:t>: 10.1038/</w:t>
      </w:r>
      <w:proofErr w:type="spellStart"/>
      <w:r w:rsidRPr="00E06FD9">
        <w:rPr>
          <w:lang w:val="es-ES" w:eastAsia="es-ES"/>
        </w:rPr>
        <w:t>s41398</w:t>
      </w:r>
      <w:proofErr w:type="spellEnd"/>
      <w:r w:rsidRPr="00E06FD9">
        <w:rPr>
          <w:lang w:val="es-ES" w:eastAsia="es-ES"/>
        </w:rPr>
        <w:t>-019-0421-x</w:t>
      </w:r>
    </w:p>
    <w:p w14:paraId="6EF7ABB4" w14:textId="77777777" w:rsidR="00E06FD9" w:rsidRPr="00E06FD9" w:rsidRDefault="00E06FD9" w:rsidP="00E06FD9">
      <w:pPr>
        <w:tabs>
          <w:tab w:val="left" w:pos="0"/>
          <w:tab w:val="left" w:pos="284"/>
          <w:tab w:val="left" w:pos="426"/>
        </w:tabs>
        <w:autoSpaceDE w:val="0"/>
        <w:autoSpaceDN w:val="0"/>
        <w:adjustRightInd w:val="0"/>
        <w:spacing w:line="360" w:lineRule="auto"/>
        <w:ind w:right="49"/>
        <w:contextualSpacing/>
        <w:rPr>
          <w:lang w:val="es-ES" w:eastAsia="es-ES"/>
        </w:rPr>
      </w:pPr>
      <w:r w:rsidRPr="00E06FD9">
        <w:rPr>
          <w:lang w:val="es-ES" w:eastAsia="es-ES"/>
        </w:rPr>
        <w:t>2.</w:t>
      </w:r>
      <w:r w:rsidRPr="00E06FD9">
        <w:rPr>
          <w:lang w:val="es-ES" w:eastAsia="es-ES"/>
        </w:rPr>
        <w:tab/>
      </w:r>
      <w:proofErr w:type="spellStart"/>
      <w:r w:rsidRPr="00E06FD9">
        <w:rPr>
          <w:lang w:val="es-ES" w:eastAsia="es-ES"/>
        </w:rPr>
        <w:t>Piñon</w:t>
      </w:r>
      <w:proofErr w:type="spellEnd"/>
      <w:r w:rsidRPr="00E06FD9">
        <w:rPr>
          <w:lang w:val="es-ES" w:eastAsia="es-ES"/>
        </w:rPr>
        <w:t xml:space="preserve"> Blanco A, Lage López M, Carrera Machado I, Vázquez González M, </w:t>
      </w:r>
      <w:proofErr w:type="spellStart"/>
      <w:r w:rsidRPr="00E06FD9">
        <w:rPr>
          <w:lang w:val="es-ES" w:eastAsia="es-ES"/>
        </w:rPr>
        <w:t>Cerqueiro</w:t>
      </w:r>
      <w:proofErr w:type="spellEnd"/>
      <w:r w:rsidRPr="00E06FD9">
        <w:rPr>
          <w:lang w:val="es-ES" w:eastAsia="es-ES"/>
        </w:rPr>
        <w:t xml:space="preserve"> Costa X, Bobadilla Pérez V, et al. Perfil neuropsicológico y sintomatología psicopatológica de pacientes con trastornos relacionados con sustancias a tratamiento en una unidad de día. </w:t>
      </w:r>
      <w:proofErr w:type="spellStart"/>
      <w:r w:rsidRPr="00E06FD9">
        <w:rPr>
          <w:lang w:val="es-ES" w:eastAsia="es-ES"/>
        </w:rPr>
        <w:t>HAAJ</w:t>
      </w:r>
      <w:proofErr w:type="spellEnd"/>
      <w:r w:rsidRPr="00E06FD9">
        <w:rPr>
          <w:lang w:val="es-ES" w:eastAsia="es-ES"/>
        </w:rPr>
        <w:t xml:space="preserve">. 2019 [acceso: 10/01/2023]; 19(1):70-9. Disponible en: </w:t>
      </w:r>
      <w:hyperlink r:id="rId17" w:history="1">
        <w:r w:rsidRPr="00E06FD9">
          <w:rPr>
            <w:color w:val="0000FF"/>
            <w:lang w:val="es-ES" w:eastAsia="es-ES"/>
          </w:rPr>
          <w:t>https://ojs.haaj.org/?journal=haaj&amp;page=article&amp;op=view&amp;path[]=412</w:t>
        </w:r>
      </w:hyperlink>
      <w:r w:rsidRPr="00E06FD9">
        <w:rPr>
          <w:lang w:val="es-ES" w:eastAsia="es-ES"/>
        </w:rPr>
        <w:t xml:space="preserve"> </w:t>
      </w:r>
    </w:p>
    <w:p w14:paraId="2E831154" w14:textId="77777777" w:rsidR="00E06FD9" w:rsidRPr="00E06FD9" w:rsidRDefault="00E06FD9" w:rsidP="00E06FD9">
      <w:pPr>
        <w:tabs>
          <w:tab w:val="left" w:pos="0"/>
          <w:tab w:val="left" w:pos="284"/>
          <w:tab w:val="left" w:pos="426"/>
        </w:tabs>
        <w:autoSpaceDE w:val="0"/>
        <w:autoSpaceDN w:val="0"/>
        <w:adjustRightInd w:val="0"/>
        <w:spacing w:line="360" w:lineRule="auto"/>
        <w:ind w:right="49"/>
        <w:contextualSpacing/>
        <w:rPr>
          <w:lang w:val="es-ES" w:eastAsia="es-ES"/>
        </w:rPr>
      </w:pPr>
      <w:r w:rsidRPr="00E06FD9">
        <w:rPr>
          <w:lang w:val="es-ES" w:eastAsia="es-ES"/>
        </w:rPr>
        <w:t>3.</w:t>
      </w:r>
      <w:r w:rsidRPr="00E06FD9">
        <w:rPr>
          <w:lang w:val="es-ES" w:eastAsia="es-ES"/>
        </w:rPr>
        <w:tab/>
        <w:t xml:space="preserve">Borda-Riveros NJ. Modelos </w:t>
      </w:r>
      <w:proofErr w:type="spellStart"/>
      <w:r w:rsidRPr="00E06FD9">
        <w:rPr>
          <w:lang w:val="es-ES" w:eastAsia="es-ES"/>
        </w:rPr>
        <w:t>neuropsicologicos</w:t>
      </w:r>
      <w:proofErr w:type="spellEnd"/>
      <w:r w:rsidRPr="00E06FD9">
        <w:rPr>
          <w:lang w:val="es-ES" w:eastAsia="es-ES"/>
        </w:rPr>
        <w:t xml:space="preserve"> y neuroimagen de las alteraciones cerebrales ocasionadas por la cocaína. Revista Digital Internacional de Psicología y Ciencia Social. 2020 [acceso: 10/01/2023]; 6(2):452-78. Disponible en: </w:t>
      </w:r>
      <w:hyperlink r:id="rId18" w:history="1">
        <w:r w:rsidRPr="00E06FD9">
          <w:rPr>
            <w:color w:val="0000FF"/>
            <w:lang w:val="es-ES" w:eastAsia="es-ES"/>
          </w:rPr>
          <w:t>https://cuved.unam.mx/revistas/index.php/rdpcs/article/view/243</w:t>
        </w:r>
      </w:hyperlink>
      <w:r w:rsidRPr="00E06FD9">
        <w:rPr>
          <w:lang w:val="es-ES" w:eastAsia="es-ES"/>
        </w:rPr>
        <w:t xml:space="preserve"> </w:t>
      </w:r>
    </w:p>
    <w:p w14:paraId="753C7D95" w14:textId="77777777" w:rsidR="00E06FD9" w:rsidRPr="00E06FD9" w:rsidRDefault="00E06FD9" w:rsidP="00E06FD9">
      <w:pPr>
        <w:tabs>
          <w:tab w:val="left" w:pos="0"/>
          <w:tab w:val="left" w:pos="284"/>
          <w:tab w:val="left" w:pos="426"/>
        </w:tabs>
        <w:autoSpaceDE w:val="0"/>
        <w:autoSpaceDN w:val="0"/>
        <w:adjustRightInd w:val="0"/>
        <w:spacing w:line="360" w:lineRule="auto"/>
        <w:ind w:right="49"/>
        <w:contextualSpacing/>
        <w:rPr>
          <w:lang w:val="en-US" w:eastAsia="es-ES"/>
        </w:rPr>
      </w:pPr>
      <w:r w:rsidRPr="00E06FD9">
        <w:rPr>
          <w:lang w:val="es-ES" w:eastAsia="es-ES"/>
        </w:rPr>
        <w:t>4.</w:t>
      </w:r>
      <w:r w:rsidRPr="00E06FD9">
        <w:rPr>
          <w:lang w:val="es-ES" w:eastAsia="es-ES"/>
        </w:rPr>
        <w:tab/>
        <w:t xml:space="preserve">Segarra Saavedra J, Villena Alarcón E. Análisis bibliométrico, de redes sociales y citas en Google Académico de las tesis doctorales defendidas en España sobre adicciones (1976-2018). </w:t>
      </w:r>
      <w:r w:rsidRPr="00E06FD9">
        <w:rPr>
          <w:lang w:val="en-US" w:eastAsia="es-ES"/>
        </w:rPr>
        <w:t>Health and Addictions. 2020 [</w:t>
      </w:r>
      <w:proofErr w:type="spellStart"/>
      <w:r w:rsidRPr="00E06FD9">
        <w:rPr>
          <w:lang w:val="en-US" w:eastAsia="es-ES"/>
        </w:rPr>
        <w:t>acceso</w:t>
      </w:r>
      <w:proofErr w:type="spellEnd"/>
      <w:r w:rsidRPr="00E06FD9">
        <w:rPr>
          <w:lang w:val="en-US" w:eastAsia="es-ES"/>
        </w:rPr>
        <w:t xml:space="preserve">: 10/01/2023]; 20(2):170-81. Disponible </w:t>
      </w:r>
      <w:proofErr w:type="spellStart"/>
      <w:r w:rsidRPr="00E06FD9">
        <w:rPr>
          <w:lang w:val="en-US" w:eastAsia="es-ES"/>
        </w:rPr>
        <w:t>en</w:t>
      </w:r>
      <w:proofErr w:type="spellEnd"/>
      <w:r w:rsidRPr="00E06FD9">
        <w:rPr>
          <w:lang w:val="en-US" w:eastAsia="es-ES"/>
        </w:rPr>
        <w:t xml:space="preserve">: </w:t>
      </w:r>
      <w:hyperlink r:id="rId19" w:history="1">
        <w:r w:rsidRPr="00E06FD9">
          <w:rPr>
            <w:color w:val="0000FF"/>
            <w:lang w:val="en-US" w:eastAsia="es-ES"/>
          </w:rPr>
          <w:t>https://rua.ua.es/dspace/bitstream/10045/108552/1/Segarra_Villena_2020_HealthandAddictions.pdf</w:t>
        </w:r>
      </w:hyperlink>
      <w:r w:rsidRPr="00E06FD9">
        <w:rPr>
          <w:lang w:val="en-US" w:eastAsia="es-ES"/>
        </w:rPr>
        <w:t xml:space="preserve">   </w:t>
      </w:r>
    </w:p>
    <w:p w14:paraId="2CAAB491" w14:textId="77777777" w:rsidR="00E06FD9" w:rsidRPr="00E06FD9" w:rsidRDefault="00E06FD9" w:rsidP="00E06FD9">
      <w:pPr>
        <w:tabs>
          <w:tab w:val="left" w:pos="0"/>
          <w:tab w:val="left" w:pos="284"/>
          <w:tab w:val="left" w:pos="426"/>
        </w:tabs>
        <w:autoSpaceDE w:val="0"/>
        <w:autoSpaceDN w:val="0"/>
        <w:adjustRightInd w:val="0"/>
        <w:spacing w:line="360" w:lineRule="auto"/>
        <w:ind w:right="49"/>
        <w:contextualSpacing/>
        <w:rPr>
          <w:lang w:val="es-ES" w:eastAsia="es-ES"/>
        </w:rPr>
      </w:pPr>
      <w:r w:rsidRPr="00E06FD9">
        <w:rPr>
          <w:lang w:val="es-ES" w:eastAsia="es-ES"/>
        </w:rPr>
        <w:t>5.</w:t>
      </w:r>
      <w:r w:rsidRPr="00E06FD9">
        <w:rPr>
          <w:lang w:val="es-ES" w:eastAsia="es-ES"/>
        </w:rPr>
        <w:tab/>
        <w:t xml:space="preserve">Souza MM. Concepto y evolución del trastorno por dependencia del alcohol. </w:t>
      </w:r>
      <w:proofErr w:type="spellStart"/>
      <w:r w:rsidRPr="00E06FD9">
        <w:rPr>
          <w:lang w:val="es-ES" w:eastAsia="es-ES"/>
        </w:rPr>
        <w:t>Rev</w:t>
      </w:r>
      <w:proofErr w:type="spellEnd"/>
      <w:r w:rsidRPr="00E06FD9">
        <w:rPr>
          <w:lang w:val="es-ES" w:eastAsia="es-ES"/>
        </w:rPr>
        <w:t xml:space="preserve"> Neurol </w:t>
      </w:r>
      <w:proofErr w:type="spellStart"/>
      <w:r w:rsidRPr="00E06FD9">
        <w:rPr>
          <w:lang w:val="es-ES" w:eastAsia="es-ES"/>
        </w:rPr>
        <w:t>Neurocir</w:t>
      </w:r>
      <w:proofErr w:type="spellEnd"/>
      <w:r w:rsidRPr="00E06FD9">
        <w:rPr>
          <w:lang w:val="es-ES" w:eastAsia="es-ES"/>
        </w:rPr>
        <w:t xml:space="preserve"> </w:t>
      </w:r>
      <w:proofErr w:type="spellStart"/>
      <w:r w:rsidRPr="00E06FD9">
        <w:rPr>
          <w:lang w:val="es-ES" w:eastAsia="es-ES"/>
        </w:rPr>
        <w:t>Psiquiat</w:t>
      </w:r>
      <w:proofErr w:type="spellEnd"/>
      <w:r w:rsidRPr="00E06FD9">
        <w:rPr>
          <w:lang w:val="es-ES" w:eastAsia="es-ES"/>
        </w:rPr>
        <w:t>. 2018 [acceso: 10/01/2023]; 46(1</w:t>
      </w:r>
      <w:proofErr w:type="gramStart"/>
      <w:r w:rsidRPr="00E06FD9">
        <w:rPr>
          <w:lang w:val="es-ES" w:eastAsia="es-ES"/>
        </w:rPr>
        <w:t>):[</w:t>
      </w:r>
      <w:proofErr w:type="gramEnd"/>
      <w:r w:rsidRPr="00E06FD9">
        <w:rPr>
          <w:lang w:val="es-ES" w:eastAsia="es-ES"/>
        </w:rPr>
        <w:t xml:space="preserve">aprox. 17 p.]. Disponible en: </w:t>
      </w:r>
      <w:hyperlink r:id="rId20" w:history="1">
        <w:r w:rsidRPr="00E06FD9">
          <w:rPr>
            <w:color w:val="0000FF"/>
            <w:lang w:val="es-ES" w:eastAsia="es-ES"/>
          </w:rPr>
          <w:t>https://www.medigraphic.com/pdfs/revneuneupsi/nnp-2018/nnp181c.pdf</w:t>
        </w:r>
      </w:hyperlink>
      <w:r w:rsidRPr="00E06FD9">
        <w:rPr>
          <w:lang w:val="es-ES" w:eastAsia="es-ES"/>
        </w:rPr>
        <w:t xml:space="preserve"> </w:t>
      </w:r>
    </w:p>
    <w:p w14:paraId="2BDDE6D5" w14:textId="77777777" w:rsidR="00E06FD9" w:rsidRPr="00E06FD9" w:rsidRDefault="00E06FD9" w:rsidP="00E06FD9">
      <w:pPr>
        <w:tabs>
          <w:tab w:val="left" w:pos="0"/>
          <w:tab w:val="left" w:pos="284"/>
          <w:tab w:val="left" w:pos="426"/>
        </w:tabs>
        <w:autoSpaceDE w:val="0"/>
        <w:autoSpaceDN w:val="0"/>
        <w:adjustRightInd w:val="0"/>
        <w:spacing w:line="360" w:lineRule="auto"/>
        <w:ind w:right="49"/>
        <w:contextualSpacing/>
        <w:rPr>
          <w:lang w:val="es-ES" w:eastAsia="es-ES"/>
        </w:rPr>
      </w:pPr>
      <w:r w:rsidRPr="00E06FD9">
        <w:rPr>
          <w:lang w:val="es-ES" w:eastAsia="es-ES"/>
        </w:rPr>
        <w:t>6.</w:t>
      </w:r>
      <w:r w:rsidRPr="00E06FD9">
        <w:rPr>
          <w:lang w:val="es-ES" w:eastAsia="es-ES"/>
        </w:rPr>
        <w:tab/>
        <w:t xml:space="preserve">American </w:t>
      </w:r>
      <w:proofErr w:type="spellStart"/>
      <w:r w:rsidRPr="00E06FD9">
        <w:rPr>
          <w:lang w:val="es-ES" w:eastAsia="es-ES"/>
        </w:rPr>
        <w:t>Psychiatric</w:t>
      </w:r>
      <w:proofErr w:type="spellEnd"/>
      <w:r w:rsidRPr="00E06FD9">
        <w:rPr>
          <w:lang w:val="es-ES" w:eastAsia="es-ES"/>
        </w:rPr>
        <w:t xml:space="preserve"> </w:t>
      </w:r>
      <w:proofErr w:type="spellStart"/>
      <w:r w:rsidRPr="00E06FD9">
        <w:rPr>
          <w:lang w:val="es-ES" w:eastAsia="es-ES"/>
        </w:rPr>
        <w:t>Association</w:t>
      </w:r>
      <w:proofErr w:type="spellEnd"/>
      <w:r w:rsidRPr="00E06FD9">
        <w:rPr>
          <w:lang w:val="es-ES" w:eastAsia="es-ES"/>
        </w:rPr>
        <w:t xml:space="preserve">. Suplemento del manual diagnóstico y estadístico de los trastornos mentales. </w:t>
      </w:r>
      <w:proofErr w:type="spellStart"/>
      <w:r w:rsidRPr="00E06FD9">
        <w:rPr>
          <w:lang w:val="es-ES" w:eastAsia="es-ES"/>
        </w:rPr>
        <w:t>5ta</w:t>
      </w:r>
      <w:proofErr w:type="spellEnd"/>
      <w:r w:rsidRPr="00E06FD9">
        <w:rPr>
          <w:lang w:val="es-ES" w:eastAsia="es-ES"/>
        </w:rPr>
        <w:t xml:space="preserve"> edición. Arlington: APA Publishing; 2017. [acceso: 10/01/2023]. Disponible en: </w:t>
      </w:r>
      <w:hyperlink r:id="rId21" w:history="1">
        <w:r w:rsidRPr="00E06FD9">
          <w:rPr>
            <w:color w:val="0000FF"/>
            <w:lang w:val="es-ES" w:eastAsia="es-ES"/>
          </w:rPr>
          <w:t>https://psychiatryonline.org/pb-assets/dsm/update/DSM5Update_octubre2017_es-1510859958213.pdf</w:t>
        </w:r>
      </w:hyperlink>
      <w:r w:rsidRPr="00E06FD9">
        <w:rPr>
          <w:lang w:val="es-ES" w:eastAsia="es-ES"/>
        </w:rPr>
        <w:t xml:space="preserve"> </w:t>
      </w:r>
    </w:p>
    <w:p w14:paraId="7AED5025" w14:textId="77777777" w:rsidR="00E06FD9" w:rsidRPr="00E06FD9" w:rsidRDefault="00E06FD9" w:rsidP="00E06FD9">
      <w:pPr>
        <w:tabs>
          <w:tab w:val="left" w:pos="0"/>
          <w:tab w:val="left" w:pos="284"/>
          <w:tab w:val="left" w:pos="426"/>
        </w:tabs>
        <w:autoSpaceDE w:val="0"/>
        <w:autoSpaceDN w:val="0"/>
        <w:adjustRightInd w:val="0"/>
        <w:spacing w:line="360" w:lineRule="auto"/>
        <w:ind w:right="49"/>
        <w:contextualSpacing/>
        <w:rPr>
          <w:lang w:val="es-ES" w:eastAsia="es-ES"/>
        </w:rPr>
      </w:pPr>
      <w:r w:rsidRPr="00E06FD9">
        <w:rPr>
          <w:lang w:val="es-ES" w:eastAsia="es-ES"/>
        </w:rPr>
        <w:lastRenderedPageBreak/>
        <w:t>7.</w:t>
      </w:r>
      <w:r w:rsidRPr="00E06FD9">
        <w:rPr>
          <w:lang w:val="es-ES" w:eastAsia="es-ES"/>
        </w:rPr>
        <w:tab/>
      </w:r>
      <w:proofErr w:type="spellStart"/>
      <w:r w:rsidRPr="00E06FD9">
        <w:rPr>
          <w:lang w:val="es-ES" w:eastAsia="es-ES"/>
        </w:rPr>
        <w:t>Arevalo-Rodriguez</w:t>
      </w:r>
      <w:proofErr w:type="spellEnd"/>
      <w:r w:rsidRPr="00E06FD9">
        <w:rPr>
          <w:lang w:val="es-ES" w:eastAsia="es-ES"/>
        </w:rPr>
        <w:t xml:space="preserve"> I, </w:t>
      </w:r>
      <w:proofErr w:type="spellStart"/>
      <w:r w:rsidRPr="00E06FD9">
        <w:rPr>
          <w:lang w:val="es-ES" w:eastAsia="es-ES"/>
        </w:rPr>
        <w:t>Smailagic</w:t>
      </w:r>
      <w:proofErr w:type="spellEnd"/>
      <w:r w:rsidRPr="00E06FD9">
        <w:rPr>
          <w:lang w:val="es-ES" w:eastAsia="es-ES"/>
        </w:rPr>
        <w:t xml:space="preserve"> N, </w:t>
      </w:r>
      <w:proofErr w:type="spellStart"/>
      <w:r w:rsidRPr="00E06FD9">
        <w:rPr>
          <w:lang w:val="es-ES" w:eastAsia="es-ES"/>
        </w:rPr>
        <w:t>Roqué-Figuls</w:t>
      </w:r>
      <w:proofErr w:type="spellEnd"/>
      <w:r w:rsidRPr="00E06FD9">
        <w:rPr>
          <w:lang w:val="es-ES" w:eastAsia="es-ES"/>
        </w:rPr>
        <w:t xml:space="preserve"> M, </w:t>
      </w:r>
      <w:proofErr w:type="spellStart"/>
      <w:r w:rsidRPr="00E06FD9">
        <w:rPr>
          <w:lang w:val="es-ES" w:eastAsia="es-ES"/>
        </w:rPr>
        <w:t>Ciapponi</w:t>
      </w:r>
      <w:proofErr w:type="spellEnd"/>
      <w:r w:rsidRPr="00E06FD9">
        <w:rPr>
          <w:lang w:val="es-ES" w:eastAsia="es-ES"/>
        </w:rPr>
        <w:t xml:space="preserve"> A, </w:t>
      </w:r>
      <w:proofErr w:type="spellStart"/>
      <w:r w:rsidRPr="00E06FD9">
        <w:rPr>
          <w:lang w:val="es-ES" w:eastAsia="es-ES"/>
        </w:rPr>
        <w:t>Sanchez-Perez</w:t>
      </w:r>
      <w:proofErr w:type="spellEnd"/>
      <w:r w:rsidRPr="00E06FD9">
        <w:rPr>
          <w:lang w:val="es-ES" w:eastAsia="es-ES"/>
        </w:rPr>
        <w:t xml:space="preserve"> E, </w:t>
      </w:r>
      <w:proofErr w:type="spellStart"/>
      <w:r w:rsidRPr="00E06FD9">
        <w:rPr>
          <w:lang w:val="es-ES" w:eastAsia="es-ES"/>
        </w:rPr>
        <w:t>Giannakou</w:t>
      </w:r>
      <w:proofErr w:type="spellEnd"/>
      <w:r w:rsidRPr="00E06FD9">
        <w:rPr>
          <w:lang w:val="es-ES" w:eastAsia="es-ES"/>
        </w:rPr>
        <w:t xml:space="preserve"> A, et al. </w:t>
      </w:r>
      <w:r w:rsidRPr="00E06FD9">
        <w:rPr>
          <w:lang w:val="en-US" w:eastAsia="es-ES"/>
        </w:rPr>
        <w:t>Mini-Mental State Examination (</w:t>
      </w:r>
      <w:proofErr w:type="spellStart"/>
      <w:r w:rsidRPr="00E06FD9">
        <w:rPr>
          <w:lang w:val="en-US" w:eastAsia="es-ES"/>
        </w:rPr>
        <w:t>MMSE</w:t>
      </w:r>
      <w:proofErr w:type="spellEnd"/>
      <w:r w:rsidRPr="00E06FD9">
        <w:rPr>
          <w:lang w:val="en-US" w:eastAsia="es-ES"/>
        </w:rPr>
        <w:t xml:space="preserve">) for the early detection of dementia in people with mild cognitive impairment (MCI). </w:t>
      </w:r>
      <w:r w:rsidRPr="00E06FD9">
        <w:rPr>
          <w:lang w:val="es-CU" w:eastAsia="es-ES"/>
        </w:rPr>
        <w:t xml:space="preserve">Cochrane </w:t>
      </w:r>
      <w:proofErr w:type="spellStart"/>
      <w:r w:rsidRPr="00E06FD9">
        <w:rPr>
          <w:lang w:val="es-CU" w:eastAsia="es-ES"/>
        </w:rPr>
        <w:t>Database</w:t>
      </w:r>
      <w:proofErr w:type="spellEnd"/>
      <w:r w:rsidRPr="00E06FD9">
        <w:rPr>
          <w:lang w:val="es-CU" w:eastAsia="es-ES"/>
        </w:rPr>
        <w:t xml:space="preserve"> </w:t>
      </w:r>
      <w:proofErr w:type="spellStart"/>
      <w:r w:rsidRPr="00E06FD9">
        <w:rPr>
          <w:lang w:val="es-CU" w:eastAsia="es-ES"/>
        </w:rPr>
        <w:t>Syst</w:t>
      </w:r>
      <w:proofErr w:type="spellEnd"/>
      <w:r w:rsidRPr="00E06FD9">
        <w:rPr>
          <w:lang w:val="es-CU" w:eastAsia="es-ES"/>
        </w:rPr>
        <w:t xml:space="preserve"> Rev. 2021 [acceso: 10/01/2023]; 7(7): [aprox. </w:t>
      </w:r>
      <w:r w:rsidRPr="00E06FD9">
        <w:rPr>
          <w:lang w:val="es-ES" w:eastAsia="es-ES"/>
        </w:rPr>
        <w:t xml:space="preserve">8 p.]. Disponible en: </w:t>
      </w:r>
      <w:hyperlink r:id="rId22" w:history="1">
        <w:r w:rsidRPr="00E06FD9">
          <w:rPr>
            <w:color w:val="0000FF"/>
            <w:lang w:val="es-ES" w:eastAsia="es-ES"/>
          </w:rPr>
          <w:t>https://www.cochranelibrary.com/cdsr/doi/10.1002/14651858.CD010783.pub3/abstract/es</w:t>
        </w:r>
      </w:hyperlink>
      <w:r w:rsidRPr="00E06FD9">
        <w:rPr>
          <w:lang w:val="es-ES" w:eastAsia="es-ES"/>
        </w:rPr>
        <w:t xml:space="preserve">  </w:t>
      </w:r>
    </w:p>
    <w:p w14:paraId="7D288251" w14:textId="77777777" w:rsidR="00E06FD9" w:rsidRPr="00E06FD9" w:rsidRDefault="00E06FD9" w:rsidP="00E06FD9">
      <w:pPr>
        <w:tabs>
          <w:tab w:val="left" w:pos="0"/>
          <w:tab w:val="left" w:pos="284"/>
          <w:tab w:val="left" w:pos="426"/>
        </w:tabs>
        <w:autoSpaceDE w:val="0"/>
        <w:autoSpaceDN w:val="0"/>
        <w:adjustRightInd w:val="0"/>
        <w:spacing w:line="360" w:lineRule="auto"/>
        <w:ind w:right="49"/>
        <w:contextualSpacing/>
        <w:rPr>
          <w:lang w:val="es-ES" w:eastAsia="es-ES"/>
        </w:rPr>
      </w:pPr>
      <w:r w:rsidRPr="00E06FD9">
        <w:rPr>
          <w:lang w:val="es-ES" w:eastAsia="es-ES"/>
        </w:rPr>
        <w:t>8.</w:t>
      </w:r>
      <w:r w:rsidRPr="00E06FD9">
        <w:rPr>
          <w:lang w:val="es-ES" w:eastAsia="es-ES"/>
        </w:rPr>
        <w:tab/>
        <w:t xml:space="preserve">González Méndez G. Patología dual: definición, historia y recursos. </w:t>
      </w:r>
      <w:proofErr w:type="spellStart"/>
      <w:r w:rsidRPr="00E06FD9">
        <w:rPr>
          <w:lang w:val="es-ES" w:eastAsia="es-ES"/>
        </w:rPr>
        <w:t>Educació</w:t>
      </w:r>
      <w:proofErr w:type="spellEnd"/>
      <w:r w:rsidRPr="00E06FD9">
        <w:rPr>
          <w:lang w:val="es-ES" w:eastAsia="es-ES"/>
        </w:rPr>
        <w:t xml:space="preserve"> Social: Revista </w:t>
      </w:r>
      <w:proofErr w:type="spellStart"/>
      <w:r w:rsidRPr="00E06FD9">
        <w:rPr>
          <w:lang w:val="es-ES" w:eastAsia="es-ES"/>
        </w:rPr>
        <w:t>d’Intervenció</w:t>
      </w:r>
      <w:proofErr w:type="spellEnd"/>
      <w:r w:rsidRPr="00E06FD9">
        <w:rPr>
          <w:lang w:val="es-ES" w:eastAsia="es-ES"/>
        </w:rPr>
        <w:t xml:space="preserve"> Socioeducativa. 2020 [acceso: 10/01/2023]; 75: [aprox. 15 p.]. Disponible en: </w:t>
      </w:r>
      <w:hyperlink r:id="rId23" w:history="1">
        <w:r w:rsidRPr="00E06FD9">
          <w:rPr>
            <w:color w:val="0000FF"/>
            <w:lang w:val="es-ES" w:eastAsia="es-ES"/>
          </w:rPr>
          <w:t>https://www.raco.cat/index.php/EducacioSocial/article/download/368875/466458/</w:t>
        </w:r>
      </w:hyperlink>
      <w:r w:rsidRPr="00E06FD9">
        <w:rPr>
          <w:lang w:val="es-ES" w:eastAsia="es-ES"/>
        </w:rPr>
        <w:t xml:space="preserve"> </w:t>
      </w:r>
    </w:p>
    <w:p w14:paraId="161C4667" w14:textId="77777777" w:rsidR="00E06FD9" w:rsidRPr="00E06FD9" w:rsidRDefault="00E06FD9" w:rsidP="00E06FD9">
      <w:pPr>
        <w:tabs>
          <w:tab w:val="left" w:pos="0"/>
          <w:tab w:val="left" w:pos="284"/>
          <w:tab w:val="left" w:pos="426"/>
        </w:tabs>
        <w:autoSpaceDE w:val="0"/>
        <w:autoSpaceDN w:val="0"/>
        <w:adjustRightInd w:val="0"/>
        <w:spacing w:line="360" w:lineRule="auto"/>
        <w:ind w:right="49"/>
        <w:contextualSpacing/>
        <w:rPr>
          <w:lang w:val="es-ES" w:eastAsia="es-ES"/>
        </w:rPr>
      </w:pPr>
      <w:r w:rsidRPr="00E06FD9">
        <w:rPr>
          <w:lang w:val="es-ES" w:eastAsia="es-ES"/>
        </w:rPr>
        <w:t>9.</w:t>
      </w:r>
      <w:r w:rsidRPr="00E06FD9">
        <w:rPr>
          <w:lang w:val="es-ES" w:eastAsia="es-ES"/>
        </w:rPr>
        <w:tab/>
        <w:t xml:space="preserve">Ruiz Fernández B, Luque T, Sánchez </w:t>
      </w:r>
      <w:proofErr w:type="spellStart"/>
      <w:r w:rsidRPr="00E06FD9">
        <w:rPr>
          <w:lang w:val="es-ES" w:eastAsia="es-ES"/>
        </w:rPr>
        <w:t>Sánchez</w:t>
      </w:r>
      <w:proofErr w:type="spellEnd"/>
      <w:r w:rsidRPr="00E06FD9">
        <w:rPr>
          <w:lang w:val="es-ES" w:eastAsia="es-ES"/>
        </w:rPr>
        <w:t xml:space="preserve"> F. Manual </w:t>
      </w:r>
      <w:proofErr w:type="spellStart"/>
      <w:r w:rsidRPr="00E06FD9">
        <w:rPr>
          <w:lang w:val="es-ES" w:eastAsia="es-ES"/>
        </w:rPr>
        <w:t>Stroop</w:t>
      </w:r>
      <w:proofErr w:type="spellEnd"/>
      <w:r w:rsidRPr="00E06FD9">
        <w:rPr>
          <w:lang w:val="es-ES" w:eastAsia="es-ES"/>
        </w:rPr>
        <w:t xml:space="preserve"> Test de colores y palabras. Sexta Edición. Madrid: Editora TEA; 2020. [acceso: 10/01/2023]. Disponible en: </w:t>
      </w:r>
      <w:hyperlink r:id="rId24" w:history="1">
        <w:r w:rsidRPr="00E06FD9">
          <w:rPr>
            <w:color w:val="0000FF"/>
            <w:lang w:val="es-ES" w:eastAsia="es-ES"/>
          </w:rPr>
          <w:t>https://web.teaediciones.com/Ejemplos/STROOP-extracto-Web.pdf</w:t>
        </w:r>
      </w:hyperlink>
      <w:r w:rsidRPr="00E06FD9">
        <w:rPr>
          <w:lang w:val="es-ES" w:eastAsia="es-ES"/>
        </w:rPr>
        <w:t xml:space="preserve"> </w:t>
      </w:r>
    </w:p>
    <w:p w14:paraId="55C5A353" w14:textId="77777777" w:rsidR="00E06FD9" w:rsidRPr="00E06FD9" w:rsidRDefault="00E06FD9" w:rsidP="00E06FD9">
      <w:pPr>
        <w:tabs>
          <w:tab w:val="left" w:pos="0"/>
          <w:tab w:val="left" w:pos="284"/>
          <w:tab w:val="left" w:pos="426"/>
        </w:tabs>
        <w:autoSpaceDE w:val="0"/>
        <w:autoSpaceDN w:val="0"/>
        <w:adjustRightInd w:val="0"/>
        <w:spacing w:line="360" w:lineRule="auto"/>
        <w:ind w:right="49"/>
        <w:contextualSpacing/>
        <w:rPr>
          <w:lang w:val="es-ES" w:eastAsia="es-ES"/>
        </w:rPr>
      </w:pPr>
      <w:r w:rsidRPr="00E06FD9">
        <w:rPr>
          <w:lang w:val="es-ES" w:eastAsia="es-ES"/>
        </w:rPr>
        <w:t>10.</w:t>
      </w:r>
      <w:r w:rsidRPr="00E06FD9">
        <w:rPr>
          <w:lang w:val="es-ES" w:eastAsia="es-ES"/>
        </w:rPr>
        <w:tab/>
        <w:t xml:space="preserve">Solorzano Mendoza Y, </w:t>
      </w:r>
      <w:proofErr w:type="spellStart"/>
      <w:r w:rsidRPr="00E06FD9">
        <w:rPr>
          <w:lang w:val="es-ES" w:eastAsia="es-ES"/>
        </w:rPr>
        <w:t>Alcivar</w:t>
      </w:r>
      <w:proofErr w:type="spellEnd"/>
      <w:r w:rsidRPr="00E06FD9">
        <w:rPr>
          <w:lang w:val="es-ES" w:eastAsia="es-ES"/>
        </w:rPr>
        <w:t xml:space="preserve"> Ruiz B, Muñoz </w:t>
      </w:r>
      <w:proofErr w:type="spellStart"/>
      <w:r w:rsidRPr="00E06FD9">
        <w:rPr>
          <w:lang w:val="es-ES" w:eastAsia="es-ES"/>
        </w:rPr>
        <w:t>Aveiga</w:t>
      </w:r>
      <w:proofErr w:type="spellEnd"/>
      <w:r w:rsidRPr="00E06FD9">
        <w:rPr>
          <w:lang w:val="es-ES" w:eastAsia="es-ES"/>
        </w:rPr>
        <w:t xml:space="preserve"> B, Jaramillo Macías </w:t>
      </w:r>
      <w:proofErr w:type="spellStart"/>
      <w:r w:rsidRPr="00E06FD9">
        <w:rPr>
          <w:lang w:val="es-ES" w:eastAsia="es-ES"/>
        </w:rPr>
        <w:t>MP</w:t>
      </w:r>
      <w:proofErr w:type="spellEnd"/>
      <w:r w:rsidRPr="00E06FD9">
        <w:rPr>
          <w:lang w:val="es-ES" w:eastAsia="es-ES"/>
        </w:rPr>
        <w:t xml:space="preserve">, Fernández </w:t>
      </w:r>
      <w:proofErr w:type="spellStart"/>
      <w:r w:rsidRPr="00E06FD9">
        <w:rPr>
          <w:lang w:val="es-ES" w:eastAsia="es-ES"/>
        </w:rPr>
        <w:t>Fernández</w:t>
      </w:r>
      <w:proofErr w:type="spellEnd"/>
      <w:r w:rsidRPr="00E06FD9">
        <w:rPr>
          <w:lang w:val="es-ES" w:eastAsia="es-ES"/>
        </w:rPr>
        <w:t xml:space="preserve"> I, Salazar Guerra YI. Rendimiento intelectual y memoria de trabajo en niños con trastornos específicos del aprendizaje. Revista </w:t>
      </w:r>
      <w:proofErr w:type="spellStart"/>
      <w:r w:rsidRPr="00E06FD9">
        <w:rPr>
          <w:lang w:val="es-ES" w:eastAsia="es-ES"/>
        </w:rPr>
        <w:t>HPH</w:t>
      </w:r>
      <w:proofErr w:type="spellEnd"/>
      <w:r w:rsidRPr="00E06FD9">
        <w:rPr>
          <w:lang w:val="es-ES" w:eastAsia="es-ES"/>
        </w:rPr>
        <w:t xml:space="preserve">. 2020 [acceso: 10/01/2023]; 17(2): [aprox. 14 p.]. Disponible en: </w:t>
      </w:r>
      <w:hyperlink r:id="rId25" w:history="1">
        <w:r w:rsidRPr="00E06FD9">
          <w:rPr>
            <w:color w:val="0000FF"/>
            <w:lang w:val="es-ES" w:eastAsia="es-ES"/>
          </w:rPr>
          <w:t>https://www.medigraphic.com/pdfs/revhospsihab/hph-2020/hph202a.pdf</w:t>
        </w:r>
      </w:hyperlink>
      <w:r w:rsidRPr="00E06FD9">
        <w:rPr>
          <w:lang w:val="es-ES" w:eastAsia="es-ES"/>
        </w:rPr>
        <w:t xml:space="preserve"> </w:t>
      </w:r>
    </w:p>
    <w:p w14:paraId="1A17930D" w14:textId="77777777" w:rsidR="00E06FD9" w:rsidRPr="00E06FD9" w:rsidRDefault="00E06FD9" w:rsidP="00E06FD9">
      <w:pPr>
        <w:tabs>
          <w:tab w:val="left" w:pos="0"/>
          <w:tab w:val="left" w:pos="284"/>
          <w:tab w:val="left" w:pos="426"/>
        </w:tabs>
        <w:autoSpaceDE w:val="0"/>
        <w:autoSpaceDN w:val="0"/>
        <w:adjustRightInd w:val="0"/>
        <w:spacing w:line="360" w:lineRule="auto"/>
        <w:ind w:right="49"/>
        <w:contextualSpacing/>
        <w:rPr>
          <w:lang w:val="es-ES" w:eastAsia="es-ES"/>
        </w:rPr>
      </w:pPr>
      <w:r w:rsidRPr="00E06FD9">
        <w:rPr>
          <w:lang w:val="es-ES" w:eastAsia="es-ES"/>
        </w:rPr>
        <w:t>11.</w:t>
      </w:r>
      <w:r w:rsidRPr="00E06FD9">
        <w:rPr>
          <w:lang w:val="es-ES" w:eastAsia="es-ES"/>
        </w:rPr>
        <w:tab/>
        <w:t xml:space="preserve">Loureiro C, García C, Adana L, </w:t>
      </w:r>
      <w:proofErr w:type="spellStart"/>
      <w:r w:rsidRPr="00E06FD9">
        <w:rPr>
          <w:lang w:val="es-ES" w:eastAsia="es-ES"/>
        </w:rPr>
        <w:t>Yacelga</w:t>
      </w:r>
      <w:proofErr w:type="spellEnd"/>
      <w:r w:rsidRPr="00E06FD9">
        <w:rPr>
          <w:lang w:val="es-ES" w:eastAsia="es-ES"/>
        </w:rPr>
        <w:t xml:space="preserve"> T, Rodríguez-Lorenzana A, </w:t>
      </w:r>
      <w:proofErr w:type="spellStart"/>
      <w:r w:rsidRPr="00E06FD9">
        <w:rPr>
          <w:lang w:val="es-ES" w:eastAsia="es-ES"/>
        </w:rPr>
        <w:t>Maruta</w:t>
      </w:r>
      <w:proofErr w:type="spellEnd"/>
      <w:r w:rsidRPr="00E06FD9">
        <w:rPr>
          <w:lang w:val="es-ES" w:eastAsia="es-ES"/>
        </w:rPr>
        <w:t xml:space="preserve"> C. Uso del test de evaluación cognitiva de Montreal (</w:t>
      </w:r>
      <w:proofErr w:type="spellStart"/>
      <w:r w:rsidRPr="00E06FD9">
        <w:rPr>
          <w:lang w:val="es-ES" w:eastAsia="es-ES"/>
        </w:rPr>
        <w:t>MoCA</w:t>
      </w:r>
      <w:proofErr w:type="spellEnd"/>
      <w:r w:rsidRPr="00E06FD9">
        <w:rPr>
          <w:lang w:val="es-ES" w:eastAsia="es-ES"/>
        </w:rPr>
        <w:t xml:space="preserve">) en América Latina: revisión sistemática. </w:t>
      </w:r>
      <w:proofErr w:type="spellStart"/>
      <w:r w:rsidRPr="00E06FD9">
        <w:rPr>
          <w:lang w:val="es-ES" w:eastAsia="es-ES"/>
        </w:rPr>
        <w:t>Rev</w:t>
      </w:r>
      <w:proofErr w:type="spellEnd"/>
      <w:r w:rsidRPr="00E06FD9">
        <w:rPr>
          <w:lang w:val="es-ES" w:eastAsia="es-ES"/>
        </w:rPr>
        <w:t xml:space="preserve"> Neurol. 2018 [acceso: 10/01/2023]; 66(12): [aprox. 11 p.]. Disponible en: </w:t>
      </w:r>
      <w:hyperlink r:id="rId26" w:history="1">
        <w:r w:rsidRPr="00E06FD9">
          <w:rPr>
            <w:color w:val="0000FF"/>
            <w:lang w:val="es-ES" w:eastAsia="es-ES"/>
          </w:rPr>
          <w:t>https://neurologia.com/articulo/2017508</w:t>
        </w:r>
      </w:hyperlink>
      <w:r w:rsidRPr="00E06FD9">
        <w:rPr>
          <w:lang w:val="es-ES" w:eastAsia="es-ES"/>
        </w:rPr>
        <w:t xml:space="preserve"> </w:t>
      </w:r>
    </w:p>
    <w:p w14:paraId="157122C8" w14:textId="77777777" w:rsidR="00E06FD9" w:rsidRPr="00E06FD9" w:rsidRDefault="00E06FD9" w:rsidP="00E06FD9">
      <w:pPr>
        <w:tabs>
          <w:tab w:val="left" w:pos="0"/>
          <w:tab w:val="left" w:pos="284"/>
          <w:tab w:val="left" w:pos="426"/>
        </w:tabs>
        <w:autoSpaceDE w:val="0"/>
        <w:autoSpaceDN w:val="0"/>
        <w:adjustRightInd w:val="0"/>
        <w:spacing w:line="360" w:lineRule="auto"/>
        <w:ind w:right="49"/>
        <w:contextualSpacing/>
        <w:rPr>
          <w:lang w:val="es-ES" w:eastAsia="es-ES"/>
        </w:rPr>
      </w:pPr>
      <w:r w:rsidRPr="00E06FD9">
        <w:rPr>
          <w:lang w:val="es-ES" w:eastAsia="es-ES"/>
        </w:rPr>
        <w:t>12.</w:t>
      </w:r>
      <w:r w:rsidRPr="00E06FD9">
        <w:rPr>
          <w:lang w:val="es-ES" w:eastAsia="es-ES"/>
        </w:rPr>
        <w:tab/>
        <w:t xml:space="preserve">Anicama Gómez J, Pizarro Arteaga RD, Pineda López CE, </w:t>
      </w:r>
      <w:proofErr w:type="spellStart"/>
      <w:r w:rsidRPr="00E06FD9">
        <w:rPr>
          <w:lang w:val="es-ES" w:eastAsia="es-ES"/>
        </w:rPr>
        <w:t>Vallenas</w:t>
      </w:r>
      <w:proofErr w:type="spellEnd"/>
      <w:r w:rsidRPr="00E06FD9">
        <w:rPr>
          <w:lang w:val="es-ES" w:eastAsia="es-ES"/>
        </w:rPr>
        <w:t xml:space="preserve"> Pedemonte FA, Aguirre Morales MT, Villanueva Blas </w:t>
      </w:r>
      <w:proofErr w:type="spellStart"/>
      <w:r w:rsidRPr="00E06FD9">
        <w:rPr>
          <w:lang w:val="es-ES" w:eastAsia="es-ES"/>
        </w:rPr>
        <w:t>MF</w:t>
      </w:r>
      <w:proofErr w:type="spellEnd"/>
      <w:r w:rsidRPr="00E06FD9">
        <w:rPr>
          <w:lang w:val="es-ES" w:eastAsia="es-ES"/>
        </w:rPr>
        <w:t xml:space="preserve">. Evidencias psicométricas del inventario ansiedad estado-rasgo: </w:t>
      </w:r>
      <w:proofErr w:type="spellStart"/>
      <w:r w:rsidRPr="00E06FD9">
        <w:rPr>
          <w:lang w:val="es-ES" w:eastAsia="es-ES"/>
        </w:rPr>
        <w:t>IDARE</w:t>
      </w:r>
      <w:proofErr w:type="spellEnd"/>
      <w:r w:rsidRPr="00E06FD9">
        <w:rPr>
          <w:lang w:val="es-ES" w:eastAsia="es-ES"/>
        </w:rPr>
        <w:t xml:space="preserve"> en universitarios de Lima en tiempos de COVID-19. </w:t>
      </w:r>
      <w:proofErr w:type="spellStart"/>
      <w:r w:rsidRPr="00E06FD9">
        <w:rPr>
          <w:lang w:val="es-ES" w:eastAsia="es-ES"/>
        </w:rPr>
        <w:t>Psychol</w:t>
      </w:r>
      <w:proofErr w:type="spellEnd"/>
      <w:r w:rsidRPr="00E06FD9">
        <w:rPr>
          <w:lang w:val="es-ES" w:eastAsia="es-ES"/>
        </w:rPr>
        <w:t xml:space="preserve">. av. </w:t>
      </w:r>
      <w:proofErr w:type="spellStart"/>
      <w:r w:rsidRPr="00E06FD9">
        <w:rPr>
          <w:lang w:val="es-ES" w:eastAsia="es-ES"/>
        </w:rPr>
        <w:t>discip</w:t>
      </w:r>
      <w:proofErr w:type="spellEnd"/>
      <w:r w:rsidRPr="00E06FD9">
        <w:rPr>
          <w:lang w:val="es-ES" w:eastAsia="es-ES"/>
        </w:rPr>
        <w:t xml:space="preserve">. 2021 [acceso: 10/01/2023]; 15(2): [aprox. 13 p.]. Disponible en: </w:t>
      </w:r>
      <w:hyperlink r:id="rId27" w:history="1">
        <w:r w:rsidRPr="00E06FD9">
          <w:rPr>
            <w:color w:val="0000FF"/>
            <w:lang w:val="es-ES" w:eastAsia="es-ES"/>
          </w:rPr>
          <w:t>http://www.scielo.org.co/scielo.php?script=sci_arttext&amp;pid=S1900-23862021000200049&amp;lng=en&amp;nrm=iso</w:t>
        </w:r>
      </w:hyperlink>
      <w:r w:rsidRPr="00E06FD9">
        <w:rPr>
          <w:lang w:val="es-ES" w:eastAsia="es-ES"/>
        </w:rPr>
        <w:t xml:space="preserve"> </w:t>
      </w:r>
    </w:p>
    <w:p w14:paraId="305009F4" w14:textId="77777777" w:rsidR="00E06FD9" w:rsidRPr="00E06FD9" w:rsidRDefault="00E06FD9" w:rsidP="00E06FD9">
      <w:pPr>
        <w:tabs>
          <w:tab w:val="left" w:pos="0"/>
          <w:tab w:val="left" w:pos="284"/>
          <w:tab w:val="left" w:pos="426"/>
        </w:tabs>
        <w:autoSpaceDE w:val="0"/>
        <w:autoSpaceDN w:val="0"/>
        <w:adjustRightInd w:val="0"/>
        <w:spacing w:line="360" w:lineRule="auto"/>
        <w:ind w:right="49"/>
        <w:contextualSpacing/>
        <w:rPr>
          <w:lang w:val="es-ES" w:eastAsia="es-ES"/>
        </w:rPr>
      </w:pPr>
      <w:r w:rsidRPr="00E06FD9">
        <w:rPr>
          <w:lang w:val="es-ES" w:eastAsia="es-ES"/>
        </w:rPr>
        <w:t>13.</w:t>
      </w:r>
      <w:r w:rsidRPr="00E06FD9">
        <w:rPr>
          <w:lang w:val="es-ES" w:eastAsia="es-ES"/>
        </w:rPr>
        <w:tab/>
        <w:t xml:space="preserve">Martín-Carbonell M, Riquelme-Marín A, Ortigosa-Quiles </w:t>
      </w:r>
      <w:proofErr w:type="spellStart"/>
      <w:r w:rsidRPr="00E06FD9">
        <w:rPr>
          <w:lang w:val="es-ES" w:eastAsia="es-ES"/>
        </w:rPr>
        <w:t>JM</w:t>
      </w:r>
      <w:proofErr w:type="spellEnd"/>
      <w:r w:rsidRPr="00E06FD9">
        <w:rPr>
          <w:lang w:val="es-ES" w:eastAsia="es-ES"/>
        </w:rPr>
        <w:t xml:space="preserve">, Meda </w:t>
      </w:r>
      <w:proofErr w:type="spellStart"/>
      <w:r w:rsidRPr="00E06FD9">
        <w:rPr>
          <w:lang w:val="es-ES" w:eastAsia="es-ES"/>
        </w:rPr>
        <w:t>RM</w:t>
      </w:r>
      <w:proofErr w:type="spellEnd"/>
      <w:r w:rsidRPr="00E06FD9">
        <w:rPr>
          <w:lang w:val="es-ES" w:eastAsia="es-ES"/>
        </w:rPr>
        <w:t>, Cerquera-Córdoba AM, Enríquez-Santos JA, Pérez-Díaz R. Utilidad del Inventario de Depresión Rasgo-Estado (</w:t>
      </w:r>
      <w:proofErr w:type="spellStart"/>
      <w:r w:rsidRPr="00E06FD9">
        <w:rPr>
          <w:lang w:val="es-ES" w:eastAsia="es-ES"/>
        </w:rPr>
        <w:t>IDERE</w:t>
      </w:r>
      <w:proofErr w:type="spellEnd"/>
      <w:r w:rsidRPr="00E06FD9">
        <w:rPr>
          <w:lang w:val="es-ES" w:eastAsia="es-ES"/>
        </w:rPr>
        <w:t xml:space="preserve">) para el diagnóstico clínico. Un estudio con muestras de cuatro países iberoamericanos. Anales de </w:t>
      </w:r>
      <w:r w:rsidRPr="00E06FD9">
        <w:rPr>
          <w:lang w:val="es-ES" w:eastAsia="es-ES"/>
        </w:rPr>
        <w:lastRenderedPageBreak/>
        <w:t xml:space="preserve">Psicología. 2012 [acceso: 10/01/2023]; 28(3): [aprox. 8 p.]. Disponible en: </w:t>
      </w:r>
      <w:hyperlink r:id="rId28" w:history="1">
        <w:r w:rsidRPr="00E06FD9">
          <w:rPr>
            <w:color w:val="0000FF"/>
            <w:lang w:val="es-ES" w:eastAsia="es-ES"/>
          </w:rPr>
          <w:t>https://www.redalyc.org/articulo.oa?id=16723774014</w:t>
        </w:r>
      </w:hyperlink>
      <w:r w:rsidRPr="00E06FD9">
        <w:rPr>
          <w:lang w:val="es-ES" w:eastAsia="es-ES"/>
        </w:rPr>
        <w:t xml:space="preserve"> </w:t>
      </w:r>
    </w:p>
    <w:p w14:paraId="099AB16E" w14:textId="77777777" w:rsidR="00E06FD9" w:rsidRPr="00E06FD9" w:rsidRDefault="00E06FD9" w:rsidP="00E06FD9">
      <w:pPr>
        <w:tabs>
          <w:tab w:val="left" w:pos="0"/>
          <w:tab w:val="left" w:pos="284"/>
          <w:tab w:val="left" w:pos="426"/>
        </w:tabs>
        <w:autoSpaceDE w:val="0"/>
        <w:autoSpaceDN w:val="0"/>
        <w:adjustRightInd w:val="0"/>
        <w:spacing w:line="360" w:lineRule="auto"/>
        <w:ind w:right="49"/>
        <w:contextualSpacing/>
        <w:rPr>
          <w:lang w:val="es-ES" w:eastAsia="es-ES"/>
        </w:rPr>
      </w:pPr>
      <w:r w:rsidRPr="00E06FD9">
        <w:rPr>
          <w:lang w:val="es-ES" w:eastAsia="es-ES"/>
        </w:rPr>
        <w:t>14.</w:t>
      </w:r>
      <w:r w:rsidRPr="00E06FD9">
        <w:rPr>
          <w:lang w:val="es-ES" w:eastAsia="es-ES"/>
        </w:rPr>
        <w:tab/>
        <w:t xml:space="preserve">Asociación Médica Mundial. Chicago: Asociación Médica Mundial; </w:t>
      </w:r>
      <w:proofErr w:type="spellStart"/>
      <w:r w:rsidRPr="00E06FD9">
        <w:rPr>
          <w:lang w:val="es-ES" w:eastAsia="es-ES"/>
        </w:rPr>
        <w:t>c2023</w:t>
      </w:r>
      <w:proofErr w:type="spellEnd"/>
      <w:r w:rsidRPr="00E06FD9">
        <w:rPr>
          <w:lang w:val="es-ES" w:eastAsia="es-ES"/>
        </w:rPr>
        <w:t xml:space="preserve">. Declaración de Helsinki de la Asociación Médica Mundial - Principios éticos para las investigaciones médicas en seres humanos. [acceso: 10/01/2023]. Disponible en: </w:t>
      </w:r>
      <w:hyperlink r:id="rId29" w:history="1">
        <w:r w:rsidRPr="00E06FD9">
          <w:rPr>
            <w:color w:val="0000FF"/>
            <w:lang w:val="es-ES" w:eastAsia="es-ES"/>
          </w:rPr>
          <w:t>https://www.wma.net/es/policies-post/declaracion-de-helsinki-de-la-amm-principios-eticos-para-las-investigaciones-medicas-en-seres-humanos/#</w:t>
        </w:r>
      </w:hyperlink>
      <w:r w:rsidRPr="00E06FD9">
        <w:rPr>
          <w:lang w:val="es-ES" w:eastAsia="es-ES"/>
        </w:rPr>
        <w:t xml:space="preserve"> </w:t>
      </w:r>
    </w:p>
    <w:p w14:paraId="0E958FFF" w14:textId="77777777" w:rsidR="00E06FD9" w:rsidRPr="00E06FD9" w:rsidRDefault="00E06FD9" w:rsidP="00E06FD9">
      <w:pPr>
        <w:tabs>
          <w:tab w:val="left" w:pos="0"/>
          <w:tab w:val="left" w:pos="284"/>
          <w:tab w:val="left" w:pos="426"/>
        </w:tabs>
        <w:autoSpaceDE w:val="0"/>
        <w:autoSpaceDN w:val="0"/>
        <w:adjustRightInd w:val="0"/>
        <w:spacing w:line="360" w:lineRule="auto"/>
        <w:ind w:right="49"/>
        <w:contextualSpacing/>
        <w:rPr>
          <w:lang w:val="es-ES" w:eastAsia="es-ES"/>
        </w:rPr>
      </w:pPr>
      <w:r w:rsidRPr="00E06FD9">
        <w:rPr>
          <w:lang w:val="es-ES" w:eastAsia="es-ES"/>
        </w:rPr>
        <w:t>15.</w:t>
      </w:r>
      <w:r w:rsidRPr="00E06FD9">
        <w:rPr>
          <w:lang w:val="es-ES" w:eastAsia="es-ES"/>
        </w:rPr>
        <w:tab/>
        <w:t xml:space="preserve">Villa R, </w:t>
      </w:r>
      <w:proofErr w:type="spellStart"/>
      <w:r w:rsidRPr="00E06FD9">
        <w:rPr>
          <w:lang w:val="es-ES" w:eastAsia="es-ES"/>
        </w:rPr>
        <w:t>Espandian</w:t>
      </w:r>
      <w:proofErr w:type="spellEnd"/>
      <w:r w:rsidRPr="00E06FD9">
        <w:rPr>
          <w:lang w:val="es-ES" w:eastAsia="es-ES"/>
        </w:rPr>
        <w:t xml:space="preserve"> A, </w:t>
      </w:r>
      <w:proofErr w:type="spellStart"/>
      <w:r w:rsidRPr="00E06FD9">
        <w:rPr>
          <w:lang w:val="es-ES" w:eastAsia="es-ES"/>
        </w:rPr>
        <w:t>Sáiz</w:t>
      </w:r>
      <w:proofErr w:type="spellEnd"/>
      <w:r w:rsidRPr="00E06FD9">
        <w:rPr>
          <w:lang w:val="es-ES" w:eastAsia="es-ES"/>
        </w:rPr>
        <w:t xml:space="preserve"> </w:t>
      </w:r>
      <w:proofErr w:type="spellStart"/>
      <w:r w:rsidRPr="00E06FD9">
        <w:rPr>
          <w:lang w:val="es-ES" w:eastAsia="es-ES"/>
        </w:rPr>
        <w:t>PA</w:t>
      </w:r>
      <w:proofErr w:type="spellEnd"/>
      <w:r w:rsidRPr="00E06FD9">
        <w:rPr>
          <w:lang w:val="es-ES" w:eastAsia="es-ES"/>
        </w:rPr>
        <w:t xml:space="preserve">, </w:t>
      </w:r>
      <w:proofErr w:type="spellStart"/>
      <w:r w:rsidRPr="00E06FD9">
        <w:rPr>
          <w:lang w:val="es-ES" w:eastAsia="es-ES"/>
        </w:rPr>
        <w:t>Astals</w:t>
      </w:r>
      <w:proofErr w:type="spellEnd"/>
      <w:r w:rsidRPr="00E06FD9">
        <w:rPr>
          <w:lang w:val="es-ES" w:eastAsia="es-ES"/>
        </w:rPr>
        <w:t xml:space="preserve"> M, Valencia </w:t>
      </w:r>
      <w:proofErr w:type="spellStart"/>
      <w:r w:rsidRPr="00E06FD9">
        <w:rPr>
          <w:lang w:val="es-ES" w:eastAsia="es-ES"/>
        </w:rPr>
        <w:t>JK</w:t>
      </w:r>
      <w:proofErr w:type="spellEnd"/>
      <w:r w:rsidRPr="00E06FD9">
        <w:rPr>
          <w:lang w:val="es-ES" w:eastAsia="es-ES"/>
        </w:rPr>
        <w:t xml:space="preserve">, Martínez-Santamaría E, et al. Funcionamiento cognitivo en pacientes con trastorno por uso de alcohol que inician tratamiento ambulatorio de deshabituación alcohólica. </w:t>
      </w:r>
      <w:proofErr w:type="spellStart"/>
      <w:r w:rsidRPr="00E06FD9">
        <w:rPr>
          <w:lang w:val="es-ES" w:eastAsia="es-ES"/>
        </w:rPr>
        <w:t>Rev</w:t>
      </w:r>
      <w:proofErr w:type="spellEnd"/>
      <w:r w:rsidRPr="00E06FD9">
        <w:rPr>
          <w:lang w:val="es-ES" w:eastAsia="es-ES"/>
        </w:rPr>
        <w:t xml:space="preserve"> Adicciones. 2019 [acceso: 10/01/2023]; 33(2):161-74. Disponible en: </w:t>
      </w:r>
      <w:hyperlink r:id="rId30" w:history="1">
        <w:r w:rsidRPr="00E06FD9">
          <w:rPr>
            <w:color w:val="0000FF"/>
            <w:lang w:val="es-ES" w:eastAsia="es-ES"/>
          </w:rPr>
          <w:t>http://www.adicciones.es/index.php/adicciones/article/view/1326</w:t>
        </w:r>
      </w:hyperlink>
      <w:r w:rsidRPr="00E06FD9">
        <w:rPr>
          <w:lang w:val="es-ES" w:eastAsia="es-ES"/>
        </w:rPr>
        <w:t xml:space="preserve"> </w:t>
      </w:r>
    </w:p>
    <w:p w14:paraId="1AC1E49C" w14:textId="77777777" w:rsidR="00E06FD9" w:rsidRPr="00E06FD9" w:rsidRDefault="00E06FD9" w:rsidP="00E06FD9">
      <w:pPr>
        <w:tabs>
          <w:tab w:val="left" w:pos="0"/>
          <w:tab w:val="left" w:pos="284"/>
          <w:tab w:val="left" w:pos="426"/>
        </w:tabs>
        <w:autoSpaceDE w:val="0"/>
        <w:autoSpaceDN w:val="0"/>
        <w:adjustRightInd w:val="0"/>
        <w:spacing w:line="360" w:lineRule="auto"/>
        <w:ind w:right="49"/>
        <w:contextualSpacing/>
        <w:rPr>
          <w:lang w:val="es-ES" w:eastAsia="es-ES"/>
        </w:rPr>
      </w:pPr>
      <w:r w:rsidRPr="00E06FD9">
        <w:rPr>
          <w:lang w:val="es-ES" w:eastAsia="es-ES"/>
        </w:rPr>
        <w:t>16.</w:t>
      </w:r>
      <w:r w:rsidRPr="00E06FD9">
        <w:rPr>
          <w:lang w:val="es-ES" w:eastAsia="es-ES"/>
        </w:rPr>
        <w:tab/>
        <w:t>Alonso Fuentes Y. Características clínicas y función ejecutiva en pacientes alcohólicos. Revista del Hospital Psiquiátrico de La Habana. 2015 [acceso: 10/01/2023]; 12(</w:t>
      </w:r>
      <w:proofErr w:type="spellStart"/>
      <w:r w:rsidRPr="00E06FD9">
        <w:rPr>
          <w:lang w:val="es-ES" w:eastAsia="es-ES"/>
        </w:rPr>
        <w:t>Supl</w:t>
      </w:r>
      <w:proofErr w:type="spellEnd"/>
      <w:r w:rsidRPr="00E06FD9">
        <w:rPr>
          <w:lang w:val="es-ES" w:eastAsia="es-ES"/>
        </w:rPr>
        <w:t xml:space="preserve"> 1</w:t>
      </w:r>
      <w:proofErr w:type="gramStart"/>
      <w:r w:rsidRPr="00E06FD9">
        <w:rPr>
          <w:lang w:val="es-ES" w:eastAsia="es-ES"/>
        </w:rPr>
        <w:t>):[</w:t>
      </w:r>
      <w:proofErr w:type="gramEnd"/>
      <w:r w:rsidRPr="00E06FD9">
        <w:rPr>
          <w:lang w:val="es-ES" w:eastAsia="es-ES"/>
        </w:rPr>
        <w:t xml:space="preserve">aprox. 24 p.]. Disponible en: </w:t>
      </w:r>
      <w:hyperlink r:id="rId31" w:history="1">
        <w:r w:rsidRPr="00E06FD9">
          <w:rPr>
            <w:color w:val="0000FF"/>
            <w:lang w:val="es-ES" w:eastAsia="es-ES"/>
          </w:rPr>
          <w:t>https://www.medigraphic.com/pdfs/revhospsihab/hph-2015/hphs151a.pdf</w:t>
        </w:r>
      </w:hyperlink>
      <w:r w:rsidRPr="00E06FD9">
        <w:rPr>
          <w:lang w:val="es-ES" w:eastAsia="es-ES"/>
        </w:rPr>
        <w:t xml:space="preserve"> </w:t>
      </w:r>
    </w:p>
    <w:p w14:paraId="1B6BE647" w14:textId="77777777" w:rsidR="00E06FD9" w:rsidRPr="00E06FD9" w:rsidRDefault="00E06FD9" w:rsidP="00E06FD9">
      <w:pPr>
        <w:tabs>
          <w:tab w:val="left" w:pos="0"/>
          <w:tab w:val="left" w:pos="284"/>
          <w:tab w:val="left" w:pos="426"/>
        </w:tabs>
        <w:autoSpaceDE w:val="0"/>
        <w:autoSpaceDN w:val="0"/>
        <w:adjustRightInd w:val="0"/>
        <w:spacing w:line="360" w:lineRule="auto"/>
        <w:ind w:right="49"/>
        <w:contextualSpacing/>
        <w:rPr>
          <w:lang w:val="es-ES" w:eastAsia="es-ES"/>
        </w:rPr>
      </w:pPr>
      <w:r w:rsidRPr="00E06FD9">
        <w:rPr>
          <w:lang w:val="es-ES" w:eastAsia="es-ES"/>
        </w:rPr>
        <w:t>17.</w:t>
      </w:r>
      <w:r w:rsidRPr="00E06FD9">
        <w:rPr>
          <w:lang w:val="es-ES" w:eastAsia="es-ES"/>
        </w:rPr>
        <w:tab/>
        <w:t xml:space="preserve">Lage </w:t>
      </w:r>
      <w:proofErr w:type="spellStart"/>
      <w:r w:rsidRPr="00E06FD9">
        <w:rPr>
          <w:lang w:val="es-ES" w:eastAsia="es-ES"/>
        </w:rPr>
        <w:t>Muíño</w:t>
      </w:r>
      <w:proofErr w:type="spellEnd"/>
      <w:r w:rsidRPr="00E06FD9">
        <w:rPr>
          <w:lang w:val="es-ES" w:eastAsia="es-ES"/>
        </w:rPr>
        <w:t xml:space="preserve"> MA, Risso </w:t>
      </w:r>
      <w:proofErr w:type="spellStart"/>
      <w:r w:rsidRPr="00E06FD9">
        <w:rPr>
          <w:lang w:val="es-ES" w:eastAsia="es-ES"/>
        </w:rPr>
        <w:t>Mignes</w:t>
      </w:r>
      <w:proofErr w:type="spellEnd"/>
      <w:r w:rsidRPr="00E06FD9">
        <w:rPr>
          <w:lang w:val="es-ES" w:eastAsia="es-ES"/>
        </w:rPr>
        <w:t xml:space="preserve"> AG. Deterioro cognitivo y recuperación espontánea en pacientes con diagnóstico de consumo perjudicial o síndrome de dependencia de alcohol. </w:t>
      </w:r>
      <w:proofErr w:type="spellStart"/>
      <w:r w:rsidRPr="00E06FD9">
        <w:rPr>
          <w:lang w:val="es-ES" w:eastAsia="es-ES"/>
        </w:rPr>
        <w:t>Rev</w:t>
      </w:r>
      <w:proofErr w:type="spellEnd"/>
      <w:r w:rsidRPr="00E06FD9">
        <w:rPr>
          <w:lang w:val="es-ES" w:eastAsia="es-ES"/>
        </w:rPr>
        <w:t xml:space="preserve"> Ibero Psico. 2020 [acceso: 10/01/2023];13(3</w:t>
      </w:r>
      <w:proofErr w:type="gramStart"/>
      <w:r w:rsidRPr="00E06FD9">
        <w:rPr>
          <w:lang w:val="es-ES" w:eastAsia="es-ES"/>
        </w:rPr>
        <w:t>):[</w:t>
      </w:r>
      <w:proofErr w:type="gramEnd"/>
      <w:r w:rsidRPr="00E06FD9">
        <w:rPr>
          <w:lang w:val="es-ES" w:eastAsia="es-ES"/>
        </w:rPr>
        <w:t xml:space="preserve">aprox. 28 p.]. Disponible en: </w:t>
      </w:r>
      <w:hyperlink r:id="rId32" w:history="1">
        <w:r w:rsidRPr="00E06FD9">
          <w:rPr>
            <w:color w:val="0000FF"/>
            <w:lang w:val="es-ES" w:eastAsia="es-ES"/>
          </w:rPr>
          <w:t>https://reviberopsicologia.ibero.edu.co/article/view/rip.13315/1657</w:t>
        </w:r>
      </w:hyperlink>
      <w:r w:rsidRPr="00E06FD9">
        <w:rPr>
          <w:lang w:val="es-ES" w:eastAsia="es-ES"/>
        </w:rPr>
        <w:t xml:space="preserve"> </w:t>
      </w:r>
    </w:p>
    <w:p w14:paraId="156DEEB6" w14:textId="77777777" w:rsidR="00E06FD9" w:rsidRPr="00E06FD9" w:rsidRDefault="00E06FD9" w:rsidP="00E06FD9">
      <w:pPr>
        <w:tabs>
          <w:tab w:val="left" w:pos="0"/>
          <w:tab w:val="left" w:pos="284"/>
          <w:tab w:val="left" w:pos="426"/>
        </w:tabs>
        <w:autoSpaceDE w:val="0"/>
        <w:autoSpaceDN w:val="0"/>
        <w:adjustRightInd w:val="0"/>
        <w:spacing w:line="360" w:lineRule="auto"/>
        <w:ind w:right="49"/>
        <w:contextualSpacing/>
        <w:rPr>
          <w:lang w:val="es-ES" w:eastAsia="es-ES"/>
        </w:rPr>
      </w:pPr>
      <w:r w:rsidRPr="00E06FD9">
        <w:rPr>
          <w:lang w:val="es-ES" w:eastAsia="es-ES"/>
        </w:rPr>
        <w:t>18.</w:t>
      </w:r>
      <w:r w:rsidRPr="00E06FD9">
        <w:rPr>
          <w:lang w:val="es-ES" w:eastAsia="es-ES"/>
        </w:rPr>
        <w:tab/>
        <w:t xml:space="preserve">Vallejo Reyes F. Evaluación de la Función Ejecutiva en Usuarios con Dependencia de Pasta Base de Cocaína Mediante una Batería Neuropsicológica. </w:t>
      </w:r>
      <w:proofErr w:type="spellStart"/>
      <w:r w:rsidRPr="00E06FD9">
        <w:rPr>
          <w:lang w:val="es-ES" w:eastAsia="es-ES"/>
        </w:rPr>
        <w:t>Psykhe</w:t>
      </w:r>
      <w:proofErr w:type="spellEnd"/>
      <w:r w:rsidRPr="00E06FD9">
        <w:rPr>
          <w:lang w:val="es-ES" w:eastAsia="es-ES"/>
        </w:rPr>
        <w:t>. 2019 [acceso: 10/01/2023]; 28(1</w:t>
      </w:r>
      <w:proofErr w:type="gramStart"/>
      <w:r w:rsidRPr="00E06FD9">
        <w:rPr>
          <w:lang w:val="es-ES" w:eastAsia="es-ES"/>
        </w:rPr>
        <w:t>):[</w:t>
      </w:r>
      <w:proofErr w:type="gramEnd"/>
      <w:r w:rsidRPr="00E06FD9">
        <w:rPr>
          <w:lang w:val="es-ES" w:eastAsia="es-ES"/>
        </w:rPr>
        <w:t xml:space="preserve">aprox. 17 p.]. Disponible en: </w:t>
      </w:r>
      <w:hyperlink r:id="rId33" w:history="1">
        <w:r w:rsidRPr="00E06FD9">
          <w:rPr>
            <w:color w:val="0000FF"/>
            <w:lang w:val="es-ES" w:eastAsia="es-ES"/>
          </w:rPr>
          <w:t>https://scielo.conicyt.cl/scielo.php?script=sci_abstract&amp;pid=S0718-22282019000100102&amp;lng=es&amp;nrm=iso</w:t>
        </w:r>
      </w:hyperlink>
      <w:r w:rsidRPr="00E06FD9">
        <w:rPr>
          <w:lang w:val="es-ES" w:eastAsia="es-ES"/>
        </w:rPr>
        <w:t xml:space="preserve"> </w:t>
      </w:r>
    </w:p>
    <w:p w14:paraId="356B8972" w14:textId="261A4F54" w:rsidR="00E06FD9" w:rsidRPr="00E06FD9" w:rsidRDefault="008A0DB8" w:rsidP="00467656">
      <w:pPr>
        <w:spacing w:line="360" w:lineRule="auto"/>
        <w:rPr>
          <w:lang w:val="es-ES" w:eastAsia="es-ES"/>
        </w:rPr>
      </w:pPr>
      <w:r>
        <w:rPr>
          <w:lang w:val="es-ES" w:eastAsia="es-ES"/>
        </w:rPr>
        <w:br w:type="page"/>
      </w:r>
      <w:r w:rsidR="00E06FD9" w:rsidRPr="00E06FD9">
        <w:rPr>
          <w:lang w:val="es-ES" w:eastAsia="es-ES"/>
        </w:rPr>
        <w:lastRenderedPageBreak/>
        <w:t xml:space="preserve">19. Vélez Altamirano MA, Zúñiga Calle AV. Evaluación neuropsicológica en consumidores de alcohol, cannabis y cocaína en tratamiento residencial [Tesis de grado carrera Psicología Clínica]. Ecuador: Universidad de Cuenca; 2017 [acceso: 10/01/2023]. Disponible en: </w:t>
      </w:r>
      <w:hyperlink r:id="rId34" w:history="1">
        <w:r w:rsidR="00E06FD9" w:rsidRPr="00E06FD9">
          <w:rPr>
            <w:color w:val="0000FF"/>
            <w:lang w:val="es-ES" w:eastAsia="es-ES"/>
          </w:rPr>
          <w:t>http://dspace.ucuenca.edu.ec/bitstream/123456789/28187/1/Trabajo%20de%20titulaci%c3%b3n.pdf.pdf</w:t>
        </w:r>
      </w:hyperlink>
      <w:r w:rsidR="00E06FD9" w:rsidRPr="00E06FD9">
        <w:rPr>
          <w:lang w:val="es-ES" w:eastAsia="es-ES"/>
        </w:rPr>
        <w:t xml:space="preserve"> </w:t>
      </w:r>
    </w:p>
    <w:p w14:paraId="79849F45" w14:textId="77777777" w:rsidR="00E06FD9" w:rsidRPr="00E06FD9" w:rsidRDefault="00E06FD9" w:rsidP="00467656">
      <w:pPr>
        <w:autoSpaceDE w:val="0"/>
        <w:autoSpaceDN w:val="0"/>
        <w:adjustRightInd w:val="0"/>
        <w:spacing w:line="360" w:lineRule="auto"/>
        <w:jc w:val="center"/>
        <w:rPr>
          <w:b/>
          <w:bCs/>
          <w:color w:val="000000"/>
          <w:lang w:val="es-ES" w:eastAsia="es-ES"/>
        </w:rPr>
      </w:pPr>
    </w:p>
    <w:p w14:paraId="6FDF177E" w14:textId="77777777" w:rsidR="00E06FD9" w:rsidRPr="00E06FD9" w:rsidRDefault="00E06FD9" w:rsidP="00467656">
      <w:pPr>
        <w:autoSpaceDE w:val="0"/>
        <w:autoSpaceDN w:val="0"/>
        <w:adjustRightInd w:val="0"/>
        <w:spacing w:line="360" w:lineRule="auto"/>
        <w:jc w:val="center"/>
        <w:rPr>
          <w:b/>
          <w:bCs/>
          <w:color w:val="000000"/>
          <w:lang w:val="es-ES" w:eastAsia="es-ES"/>
        </w:rPr>
      </w:pPr>
    </w:p>
    <w:p w14:paraId="5C953FAC" w14:textId="77777777" w:rsidR="00E06FD9" w:rsidRPr="00E06FD9" w:rsidRDefault="00E06FD9" w:rsidP="00E06FD9">
      <w:pPr>
        <w:autoSpaceDE w:val="0"/>
        <w:autoSpaceDN w:val="0"/>
        <w:adjustRightInd w:val="0"/>
        <w:spacing w:line="360" w:lineRule="auto"/>
        <w:jc w:val="center"/>
        <w:rPr>
          <w:color w:val="000000"/>
          <w:lang w:val="es-ES" w:eastAsia="es-ES"/>
        </w:rPr>
      </w:pPr>
      <w:r w:rsidRPr="00E06FD9">
        <w:rPr>
          <w:b/>
          <w:bCs/>
          <w:color w:val="000000"/>
          <w:lang w:val="es-ES" w:eastAsia="es-ES"/>
        </w:rPr>
        <w:t>Conflictos de interés</w:t>
      </w:r>
    </w:p>
    <w:p w14:paraId="64B88FE9" w14:textId="77777777" w:rsidR="00E06FD9" w:rsidRPr="00E06FD9" w:rsidRDefault="00E06FD9" w:rsidP="00E06FD9">
      <w:pPr>
        <w:spacing w:line="360" w:lineRule="auto"/>
        <w:jc w:val="both"/>
        <w:rPr>
          <w:color w:val="000000"/>
          <w:lang w:val="es-ES" w:eastAsia="es-ES"/>
        </w:rPr>
      </w:pPr>
      <w:r w:rsidRPr="00E06FD9">
        <w:rPr>
          <w:color w:val="000000"/>
          <w:lang w:val="es-ES" w:eastAsia="es-ES"/>
        </w:rPr>
        <w:t>Los autores declaran no tener conflictos de interés</w:t>
      </w:r>
    </w:p>
    <w:p w14:paraId="1775C31A" w14:textId="77777777" w:rsidR="00E06FD9" w:rsidRPr="00E06FD9" w:rsidRDefault="00E06FD9" w:rsidP="00E06FD9">
      <w:pPr>
        <w:spacing w:line="360" w:lineRule="auto"/>
        <w:jc w:val="both"/>
        <w:rPr>
          <w:b/>
          <w:lang w:val="es-ES" w:eastAsia="es-ES"/>
        </w:rPr>
      </w:pPr>
    </w:p>
    <w:p w14:paraId="1BCA6DAD" w14:textId="77777777" w:rsidR="00E06FD9" w:rsidRPr="00E06FD9" w:rsidRDefault="00E06FD9" w:rsidP="00E06FD9">
      <w:pPr>
        <w:spacing w:line="360" w:lineRule="auto"/>
        <w:jc w:val="center"/>
        <w:rPr>
          <w:lang w:val="es-MX" w:eastAsia="es-ES"/>
        </w:rPr>
      </w:pPr>
      <w:r w:rsidRPr="00E06FD9">
        <w:rPr>
          <w:b/>
          <w:lang w:val="es-MX" w:eastAsia="es-ES"/>
        </w:rPr>
        <w:t>Contribuciones de los autores</w:t>
      </w:r>
    </w:p>
    <w:p w14:paraId="3FDE4649" w14:textId="77777777" w:rsidR="00E06FD9" w:rsidRPr="00E06FD9" w:rsidRDefault="00E06FD9" w:rsidP="00E06FD9">
      <w:pPr>
        <w:spacing w:line="360" w:lineRule="auto"/>
        <w:jc w:val="both"/>
        <w:rPr>
          <w:lang w:val="es-MX" w:eastAsia="es-ES"/>
        </w:rPr>
      </w:pPr>
      <w:r w:rsidRPr="00E06FD9">
        <w:rPr>
          <w:lang w:val="es-MX" w:eastAsia="es-ES"/>
        </w:rPr>
        <w:t xml:space="preserve">Conceptualización: </w:t>
      </w:r>
      <w:proofErr w:type="spellStart"/>
      <w:r w:rsidRPr="00E06FD9">
        <w:rPr>
          <w:i/>
          <w:lang w:val="es-MX" w:eastAsia="es-ES"/>
        </w:rPr>
        <w:t>Yanetsi</w:t>
      </w:r>
      <w:proofErr w:type="spellEnd"/>
      <w:r w:rsidRPr="00E06FD9">
        <w:rPr>
          <w:i/>
          <w:lang w:val="es-MX" w:eastAsia="es-ES"/>
        </w:rPr>
        <w:t xml:space="preserve"> Contreras Olive, Osvaldo Miranda Gómez.</w:t>
      </w:r>
    </w:p>
    <w:p w14:paraId="4D3B4073" w14:textId="77777777" w:rsidR="00E06FD9" w:rsidRPr="00E06FD9" w:rsidRDefault="00E06FD9" w:rsidP="00E06FD9">
      <w:pPr>
        <w:spacing w:line="360" w:lineRule="auto"/>
        <w:jc w:val="both"/>
        <w:rPr>
          <w:lang w:val="es-MX" w:eastAsia="es-ES"/>
        </w:rPr>
      </w:pPr>
      <w:r w:rsidRPr="00E06FD9">
        <w:rPr>
          <w:lang w:val="es-MX" w:eastAsia="es-ES"/>
        </w:rPr>
        <w:t xml:space="preserve">Análisis formal: </w:t>
      </w:r>
      <w:proofErr w:type="spellStart"/>
      <w:r w:rsidRPr="00E06FD9">
        <w:rPr>
          <w:i/>
          <w:lang w:val="es-MX" w:eastAsia="es-ES"/>
        </w:rPr>
        <w:t>Yanetsi</w:t>
      </w:r>
      <w:proofErr w:type="spellEnd"/>
      <w:r w:rsidRPr="00E06FD9">
        <w:rPr>
          <w:i/>
          <w:lang w:val="es-MX" w:eastAsia="es-ES"/>
        </w:rPr>
        <w:t xml:space="preserve"> Contreras Olive, Osvaldo Miranda Gómez.</w:t>
      </w:r>
    </w:p>
    <w:p w14:paraId="75246520" w14:textId="77777777" w:rsidR="00E06FD9" w:rsidRPr="00E06FD9" w:rsidRDefault="00E06FD9" w:rsidP="00E06FD9">
      <w:pPr>
        <w:spacing w:line="360" w:lineRule="auto"/>
        <w:jc w:val="both"/>
        <w:rPr>
          <w:lang w:val="es-MX" w:eastAsia="es-ES"/>
        </w:rPr>
      </w:pPr>
      <w:r w:rsidRPr="00E06FD9">
        <w:rPr>
          <w:lang w:val="es-MX" w:eastAsia="es-ES"/>
        </w:rPr>
        <w:t xml:space="preserve">Investigación: </w:t>
      </w:r>
      <w:proofErr w:type="spellStart"/>
      <w:r w:rsidRPr="00E06FD9">
        <w:rPr>
          <w:i/>
          <w:lang w:val="es-MX" w:eastAsia="es-ES"/>
        </w:rPr>
        <w:t>Yanetsi</w:t>
      </w:r>
      <w:proofErr w:type="spellEnd"/>
      <w:r w:rsidRPr="00E06FD9">
        <w:rPr>
          <w:i/>
          <w:lang w:val="es-MX" w:eastAsia="es-ES"/>
        </w:rPr>
        <w:t xml:space="preserve"> Contreras Olive, Osvaldo Miranda Gómez</w:t>
      </w:r>
      <w:r w:rsidRPr="00E06FD9">
        <w:rPr>
          <w:lang w:val="es-MX" w:eastAsia="es-ES"/>
        </w:rPr>
        <w:t xml:space="preserve">. </w:t>
      </w:r>
    </w:p>
    <w:p w14:paraId="1048654E" w14:textId="77777777" w:rsidR="00E06FD9" w:rsidRPr="00E06FD9" w:rsidRDefault="00E06FD9" w:rsidP="00E06FD9">
      <w:pPr>
        <w:spacing w:line="360" w:lineRule="auto"/>
        <w:jc w:val="both"/>
        <w:rPr>
          <w:i/>
          <w:lang w:val="es-MX" w:eastAsia="es-ES"/>
        </w:rPr>
      </w:pPr>
      <w:r w:rsidRPr="00E06FD9">
        <w:rPr>
          <w:lang w:val="es-MX" w:eastAsia="es-ES"/>
        </w:rPr>
        <w:t xml:space="preserve">Metodología: </w:t>
      </w:r>
      <w:proofErr w:type="spellStart"/>
      <w:r w:rsidRPr="00E06FD9">
        <w:rPr>
          <w:i/>
          <w:lang w:val="es-MX" w:eastAsia="es-ES"/>
        </w:rPr>
        <w:t>Yanetsi</w:t>
      </w:r>
      <w:proofErr w:type="spellEnd"/>
      <w:r w:rsidRPr="00E06FD9">
        <w:rPr>
          <w:i/>
          <w:lang w:val="es-MX" w:eastAsia="es-ES"/>
        </w:rPr>
        <w:t xml:space="preserve"> Contreras Olive, Osvaldo Miranda Gómez. </w:t>
      </w:r>
    </w:p>
    <w:p w14:paraId="44630B5F" w14:textId="77777777" w:rsidR="00E06FD9" w:rsidRPr="00E06FD9" w:rsidRDefault="00E06FD9" w:rsidP="00E06FD9">
      <w:pPr>
        <w:spacing w:line="360" w:lineRule="auto"/>
        <w:jc w:val="both"/>
        <w:rPr>
          <w:i/>
          <w:lang w:val="es-MX" w:eastAsia="es-ES"/>
        </w:rPr>
      </w:pPr>
      <w:r w:rsidRPr="00E06FD9">
        <w:rPr>
          <w:lang w:val="es-MX" w:eastAsia="es-ES"/>
        </w:rPr>
        <w:t xml:space="preserve">Supervisión: </w:t>
      </w:r>
      <w:proofErr w:type="spellStart"/>
      <w:r w:rsidRPr="00E06FD9">
        <w:rPr>
          <w:i/>
          <w:iCs/>
          <w:lang w:val="es-MX" w:eastAsia="es-ES"/>
        </w:rPr>
        <w:t>Yanetsi</w:t>
      </w:r>
      <w:proofErr w:type="spellEnd"/>
      <w:r w:rsidRPr="00E06FD9">
        <w:rPr>
          <w:i/>
          <w:iCs/>
          <w:lang w:val="es-MX" w:eastAsia="es-ES"/>
        </w:rPr>
        <w:t xml:space="preserve"> Contreras Olive, Osvaldo Miranda Gómez, </w:t>
      </w:r>
      <w:proofErr w:type="spellStart"/>
      <w:r w:rsidRPr="00E06FD9">
        <w:rPr>
          <w:i/>
          <w:iCs/>
          <w:kern w:val="2"/>
          <w:lang w:val="es-ES" w:eastAsia="es-ES"/>
        </w:rPr>
        <w:t>Nerkys</w:t>
      </w:r>
      <w:proofErr w:type="spellEnd"/>
      <w:r w:rsidRPr="00E06FD9">
        <w:rPr>
          <w:i/>
          <w:iCs/>
          <w:kern w:val="2"/>
          <w:lang w:val="es-ES" w:eastAsia="es-ES"/>
        </w:rPr>
        <w:t xml:space="preserve"> </w:t>
      </w:r>
      <w:proofErr w:type="spellStart"/>
      <w:r w:rsidRPr="00E06FD9">
        <w:rPr>
          <w:i/>
          <w:iCs/>
          <w:kern w:val="2"/>
          <w:lang w:val="es-ES" w:eastAsia="es-ES"/>
        </w:rPr>
        <w:t>Anay</w:t>
      </w:r>
      <w:proofErr w:type="spellEnd"/>
      <w:r w:rsidRPr="00E06FD9">
        <w:rPr>
          <w:i/>
          <w:iCs/>
          <w:kern w:val="2"/>
          <w:lang w:val="es-ES" w:eastAsia="es-ES"/>
        </w:rPr>
        <w:t xml:space="preserve"> </w:t>
      </w:r>
      <w:proofErr w:type="spellStart"/>
      <w:r w:rsidRPr="00E06FD9">
        <w:rPr>
          <w:i/>
          <w:iCs/>
          <w:kern w:val="2"/>
          <w:lang w:val="es-ES" w:eastAsia="es-ES"/>
        </w:rPr>
        <w:t>Orbeal</w:t>
      </w:r>
      <w:proofErr w:type="spellEnd"/>
      <w:r w:rsidRPr="00E06FD9">
        <w:rPr>
          <w:i/>
          <w:iCs/>
          <w:kern w:val="2"/>
          <w:lang w:val="es-ES" w:eastAsia="es-ES"/>
        </w:rPr>
        <w:t xml:space="preserve"> Gutiérrez.</w:t>
      </w:r>
    </w:p>
    <w:p w14:paraId="26B81188" w14:textId="77777777" w:rsidR="00E06FD9" w:rsidRPr="00E06FD9" w:rsidRDefault="00E06FD9" w:rsidP="00E06FD9">
      <w:pPr>
        <w:spacing w:line="360" w:lineRule="auto"/>
        <w:jc w:val="both"/>
        <w:rPr>
          <w:i/>
          <w:iCs/>
          <w:lang w:val="es-MX" w:eastAsia="es-ES"/>
        </w:rPr>
      </w:pPr>
      <w:r w:rsidRPr="00E06FD9">
        <w:rPr>
          <w:iCs/>
          <w:lang w:val="es-MX" w:eastAsia="es-ES"/>
        </w:rPr>
        <w:t xml:space="preserve">Redacción – borrador original: </w:t>
      </w:r>
      <w:proofErr w:type="spellStart"/>
      <w:r w:rsidRPr="00E06FD9">
        <w:rPr>
          <w:i/>
          <w:iCs/>
          <w:lang w:val="es-MX" w:eastAsia="es-ES"/>
        </w:rPr>
        <w:t>Yanetsi</w:t>
      </w:r>
      <w:proofErr w:type="spellEnd"/>
      <w:r w:rsidRPr="00E06FD9">
        <w:rPr>
          <w:i/>
          <w:iCs/>
          <w:lang w:val="es-MX" w:eastAsia="es-ES"/>
        </w:rPr>
        <w:t xml:space="preserve"> Contreras Olive, Osvaldo Miranda Gómez. </w:t>
      </w:r>
    </w:p>
    <w:p w14:paraId="7E8555F6" w14:textId="77777777" w:rsidR="00E06FD9" w:rsidRPr="00E06FD9" w:rsidRDefault="00E06FD9" w:rsidP="00E06FD9">
      <w:pPr>
        <w:spacing w:line="360" w:lineRule="auto"/>
        <w:jc w:val="both"/>
        <w:rPr>
          <w:b/>
          <w:i/>
          <w:lang w:val="es-ES" w:eastAsia="es-ES"/>
        </w:rPr>
      </w:pPr>
      <w:r w:rsidRPr="00E06FD9">
        <w:rPr>
          <w:lang w:val="es-MX" w:eastAsia="es-ES"/>
        </w:rPr>
        <w:t xml:space="preserve">Redacción – revisión y edición: </w:t>
      </w:r>
      <w:proofErr w:type="spellStart"/>
      <w:r w:rsidRPr="00E06FD9">
        <w:rPr>
          <w:i/>
          <w:lang w:val="es-MX" w:eastAsia="es-ES"/>
        </w:rPr>
        <w:t>Yanetsi</w:t>
      </w:r>
      <w:proofErr w:type="spellEnd"/>
      <w:r w:rsidRPr="00E06FD9">
        <w:rPr>
          <w:i/>
          <w:lang w:val="es-MX" w:eastAsia="es-ES"/>
        </w:rPr>
        <w:t xml:space="preserve"> Contreras Olive, Osvaldo Miranda Gómez, </w:t>
      </w:r>
      <w:proofErr w:type="spellStart"/>
      <w:r w:rsidRPr="00E06FD9">
        <w:rPr>
          <w:i/>
          <w:kern w:val="2"/>
          <w:lang w:val="es-ES" w:eastAsia="es-ES"/>
        </w:rPr>
        <w:t>Nerkys</w:t>
      </w:r>
      <w:proofErr w:type="spellEnd"/>
      <w:r w:rsidRPr="00E06FD9">
        <w:rPr>
          <w:i/>
          <w:kern w:val="2"/>
          <w:lang w:val="es-ES" w:eastAsia="es-ES"/>
        </w:rPr>
        <w:t xml:space="preserve"> </w:t>
      </w:r>
      <w:proofErr w:type="spellStart"/>
      <w:r w:rsidRPr="00E06FD9">
        <w:rPr>
          <w:i/>
          <w:kern w:val="2"/>
          <w:lang w:val="es-ES" w:eastAsia="es-ES"/>
        </w:rPr>
        <w:t>Anay</w:t>
      </w:r>
      <w:proofErr w:type="spellEnd"/>
      <w:r w:rsidRPr="00E06FD9">
        <w:rPr>
          <w:i/>
          <w:kern w:val="2"/>
          <w:lang w:val="es-ES" w:eastAsia="es-ES"/>
        </w:rPr>
        <w:t xml:space="preserve"> </w:t>
      </w:r>
      <w:proofErr w:type="spellStart"/>
      <w:r w:rsidRPr="00E06FD9">
        <w:rPr>
          <w:i/>
          <w:kern w:val="2"/>
          <w:lang w:val="es-ES" w:eastAsia="es-ES"/>
        </w:rPr>
        <w:t>Orbeal</w:t>
      </w:r>
      <w:proofErr w:type="spellEnd"/>
      <w:r w:rsidRPr="00E06FD9">
        <w:rPr>
          <w:i/>
          <w:kern w:val="2"/>
          <w:lang w:val="es-ES" w:eastAsia="es-ES"/>
        </w:rPr>
        <w:t xml:space="preserve"> Gutiérrez.</w:t>
      </w:r>
    </w:p>
    <w:p w14:paraId="59D62FB9" w14:textId="77777777" w:rsidR="00675476" w:rsidRPr="00E06FD9" w:rsidRDefault="00675476" w:rsidP="00EA1FEF">
      <w:pPr>
        <w:pStyle w:val="PDFRevista"/>
        <w:rPr>
          <w:lang w:val="es-ES"/>
        </w:rPr>
      </w:pPr>
    </w:p>
    <w:sectPr w:rsidR="00675476" w:rsidRPr="00E06FD9" w:rsidSect="00FD3DF8">
      <w:headerReference w:type="default" r:id="rId35"/>
      <w:footerReference w:type="even" r:id="rId36"/>
      <w:footerReference w:type="default" r:id="rId3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796A5" w14:textId="77777777" w:rsidR="00B310FE" w:rsidRDefault="00B310FE">
      <w:r>
        <w:separator/>
      </w:r>
    </w:p>
  </w:endnote>
  <w:endnote w:type="continuationSeparator" w:id="0">
    <w:p w14:paraId="61B336BD" w14:textId="77777777" w:rsidR="00B310FE" w:rsidRDefault="00B3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593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5F05A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D8B6" w14:textId="5923EB12" w:rsidR="000F3690" w:rsidRPr="00AE044C" w:rsidRDefault="00E06FD9"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D89675F" wp14:editId="068FE3D4">
              <wp:simplePos x="0" y="0"/>
              <wp:positionH relativeFrom="column">
                <wp:posOffset>3810</wp:posOffset>
              </wp:positionH>
              <wp:positionV relativeFrom="paragraph">
                <wp:posOffset>50165</wp:posOffset>
              </wp:positionV>
              <wp:extent cx="6286500" cy="19050"/>
              <wp:effectExtent l="19050" t="19050" r="0" b="0"/>
              <wp:wrapNone/>
              <wp:docPr id="143617630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EF8EBD"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73E8958"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527DCE4"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4552148F" w14:textId="34485B39"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E06FD9" w:rsidRPr="00E06FD9">
      <w:rPr>
        <w:rFonts w:ascii="Verdana" w:hAnsi="Verdana"/>
        <w:noProof/>
        <w:sz w:val="18"/>
        <w:szCs w:val="18"/>
        <w:lang w:val="en-US" w:eastAsia="en-US"/>
      </w:rPr>
      <w:drawing>
        <wp:inline distT="0" distB="0" distL="0" distR="0" wp14:anchorId="0B4F6CD3" wp14:editId="781AB96C">
          <wp:extent cx="641350" cy="149860"/>
          <wp:effectExtent l="0" t="0" r="0" b="0"/>
          <wp:docPr id="1348336624"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98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8F85B" w14:textId="77777777" w:rsidR="00B310FE" w:rsidRDefault="00B310FE">
      <w:r>
        <w:separator/>
      </w:r>
    </w:p>
  </w:footnote>
  <w:footnote w:type="continuationSeparator" w:id="0">
    <w:p w14:paraId="72E2BC4D" w14:textId="77777777" w:rsidR="00B310FE" w:rsidRDefault="00B31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72C2D" w14:textId="5DDDEBD9" w:rsidR="00CC376A" w:rsidRPr="00AE044C" w:rsidRDefault="001D509F" w:rsidP="00180CE9">
    <w:pPr>
      <w:pStyle w:val="Encabezado"/>
      <w:tabs>
        <w:tab w:val="left" w:pos="420"/>
      </w:tabs>
      <w:jc w:val="center"/>
      <w:rPr>
        <w:sz w:val="22"/>
        <w:szCs w:val="22"/>
      </w:rPr>
    </w:pPr>
    <w:r>
      <w:rPr>
        <w:sz w:val="22"/>
        <w:szCs w:val="22"/>
      </w:rPr>
      <w:t>2023;52</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02302846</w:t>
    </w:r>
    <w:proofErr w:type="spellEnd"/>
    <w:r w:rsidR="007D2D0C" w:rsidRPr="007D2D0C">
      <w:rPr>
        <w:b/>
        <w:noProof/>
        <w:color w:val="00FFFF"/>
        <w:sz w:val="22"/>
        <w:szCs w:val="22"/>
        <w:lang w:val="es-CU" w:eastAsia="en-US"/>
      </w:rPr>
      <w:t xml:space="preserve"> </w:t>
    </w:r>
    <w:r w:rsidR="00E06FD9">
      <w:rPr>
        <w:noProof/>
      </w:rPr>
      <w:drawing>
        <wp:anchor distT="0" distB="0" distL="114300" distR="114300" simplePos="0" relativeHeight="251663360" behindDoc="1" locked="0" layoutInCell="1" allowOverlap="1" wp14:anchorId="41879811" wp14:editId="3E1EF527">
          <wp:simplePos x="0" y="0"/>
          <wp:positionH relativeFrom="column">
            <wp:posOffset>2540</wp:posOffset>
          </wp:positionH>
          <wp:positionV relativeFrom="paragraph">
            <wp:posOffset>-598805</wp:posOffset>
          </wp:positionV>
          <wp:extent cx="6333490" cy="593725"/>
          <wp:effectExtent l="0" t="0" r="0" b="0"/>
          <wp:wrapNone/>
          <wp:docPr id="165865125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16B5E8" w14:textId="5D93C92C" w:rsidR="00A477DE" w:rsidRDefault="00E06FD9">
    <w:r>
      <w:rPr>
        <w:noProof/>
      </w:rPr>
      <mc:AlternateContent>
        <mc:Choice Requires="wps">
          <w:drawing>
            <wp:anchor distT="0" distB="0" distL="114300" distR="114300" simplePos="0" relativeHeight="251654144" behindDoc="0" locked="0" layoutInCell="1" allowOverlap="1" wp14:anchorId="09E19121" wp14:editId="53B4E3CB">
              <wp:simplePos x="0" y="0"/>
              <wp:positionH relativeFrom="column">
                <wp:posOffset>635</wp:posOffset>
              </wp:positionH>
              <wp:positionV relativeFrom="paragraph">
                <wp:posOffset>42545</wp:posOffset>
              </wp:positionV>
              <wp:extent cx="6307455" cy="28575"/>
              <wp:effectExtent l="19050" t="19050" r="17145" b="9525"/>
              <wp:wrapNone/>
              <wp:docPr id="1806631480"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F2D732"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112B5"/>
    <w:multiLevelType w:val="hybridMultilevel"/>
    <w:tmpl w:val="B3A8D7A2"/>
    <w:lvl w:ilvl="0" w:tplc="51C08906">
      <w:start w:val="2"/>
      <w:numFmt w:val="bullet"/>
      <w:lvlText w:val="-"/>
      <w:lvlJc w:val="left"/>
      <w:pPr>
        <w:ind w:left="783" w:hanging="360"/>
      </w:pPr>
      <w:rPr>
        <w:rFonts w:ascii="Times New Roman" w:eastAsiaTheme="minorEastAsia" w:hAnsi="Times New Roman" w:cs="Times New Roman" w:hint="default"/>
      </w:rPr>
    </w:lvl>
    <w:lvl w:ilvl="1" w:tplc="5C0A0003" w:tentative="1">
      <w:start w:val="1"/>
      <w:numFmt w:val="bullet"/>
      <w:lvlText w:val="o"/>
      <w:lvlJc w:val="left"/>
      <w:pPr>
        <w:ind w:left="1503" w:hanging="360"/>
      </w:pPr>
      <w:rPr>
        <w:rFonts w:ascii="Courier New" w:hAnsi="Courier New" w:cs="Courier New" w:hint="default"/>
      </w:rPr>
    </w:lvl>
    <w:lvl w:ilvl="2" w:tplc="5C0A0005" w:tentative="1">
      <w:start w:val="1"/>
      <w:numFmt w:val="bullet"/>
      <w:lvlText w:val=""/>
      <w:lvlJc w:val="left"/>
      <w:pPr>
        <w:ind w:left="2223" w:hanging="360"/>
      </w:pPr>
      <w:rPr>
        <w:rFonts w:ascii="Wingdings" w:hAnsi="Wingdings" w:hint="default"/>
      </w:rPr>
    </w:lvl>
    <w:lvl w:ilvl="3" w:tplc="5C0A0001" w:tentative="1">
      <w:start w:val="1"/>
      <w:numFmt w:val="bullet"/>
      <w:lvlText w:val=""/>
      <w:lvlJc w:val="left"/>
      <w:pPr>
        <w:ind w:left="2943" w:hanging="360"/>
      </w:pPr>
      <w:rPr>
        <w:rFonts w:ascii="Symbol" w:hAnsi="Symbol" w:hint="default"/>
      </w:rPr>
    </w:lvl>
    <w:lvl w:ilvl="4" w:tplc="5C0A0003" w:tentative="1">
      <w:start w:val="1"/>
      <w:numFmt w:val="bullet"/>
      <w:lvlText w:val="o"/>
      <w:lvlJc w:val="left"/>
      <w:pPr>
        <w:ind w:left="3663" w:hanging="360"/>
      </w:pPr>
      <w:rPr>
        <w:rFonts w:ascii="Courier New" w:hAnsi="Courier New" w:cs="Courier New" w:hint="default"/>
      </w:rPr>
    </w:lvl>
    <w:lvl w:ilvl="5" w:tplc="5C0A0005" w:tentative="1">
      <w:start w:val="1"/>
      <w:numFmt w:val="bullet"/>
      <w:lvlText w:val=""/>
      <w:lvlJc w:val="left"/>
      <w:pPr>
        <w:ind w:left="4383" w:hanging="360"/>
      </w:pPr>
      <w:rPr>
        <w:rFonts w:ascii="Wingdings" w:hAnsi="Wingdings" w:hint="default"/>
      </w:rPr>
    </w:lvl>
    <w:lvl w:ilvl="6" w:tplc="5C0A0001" w:tentative="1">
      <w:start w:val="1"/>
      <w:numFmt w:val="bullet"/>
      <w:lvlText w:val=""/>
      <w:lvlJc w:val="left"/>
      <w:pPr>
        <w:ind w:left="5103" w:hanging="360"/>
      </w:pPr>
      <w:rPr>
        <w:rFonts w:ascii="Symbol" w:hAnsi="Symbol" w:hint="default"/>
      </w:rPr>
    </w:lvl>
    <w:lvl w:ilvl="7" w:tplc="5C0A0003" w:tentative="1">
      <w:start w:val="1"/>
      <w:numFmt w:val="bullet"/>
      <w:lvlText w:val="o"/>
      <w:lvlJc w:val="left"/>
      <w:pPr>
        <w:ind w:left="5823" w:hanging="360"/>
      </w:pPr>
      <w:rPr>
        <w:rFonts w:ascii="Courier New" w:hAnsi="Courier New" w:cs="Courier New" w:hint="default"/>
      </w:rPr>
    </w:lvl>
    <w:lvl w:ilvl="8" w:tplc="5C0A0005" w:tentative="1">
      <w:start w:val="1"/>
      <w:numFmt w:val="bullet"/>
      <w:lvlText w:val=""/>
      <w:lvlJc w:val="left"/>
      <w:pPr>
        <w:ind w:left="6543" w:hanging="360"/>
      </w:pPr>
      <w:rPr>
        <w:rFonts w:ascii="Wingdings" w:hAnsi="Wingdings" w:hint="default"/>
      </w:rPr>
    </w:lvl>
  </w:abstractNum>
  <w:abstractNum w:abstractNumId="1" w15:restartNumberingAfterBreak="0">
    <w:nsid w:val="1C940EBF"/>
    <w:multiLevelType w:val="hybridMultilevel"/>
    <w:tmpl w:val="B86464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4A87C6C"/>
    <w:multiLevelType w:val="hybridMultilevel"/>
    <w:tmpl w:val="8E76C846"/>
    <w:lvl w:ilvl="0" w:tplc="A8FC3CDC">
      <w:numFmt w:val="bullet"/>
      <w:lvlText w:val="-"/>
      <w:lvlJc w:val="left"/>
      <w:pPr>
        <w:ind w:left="360" w:hanging="360"/>
      </w:pPr>
      <w:rPr>
        <w:rFonts w:ascii="Times New Roman" w:eastAsiaTheme="minorEastAsia" w:hAnsi="Times New Roman" w:cs="Times New Roman"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432137F"/>
    <w:multiLevelType w:val="hybridMultilevel"/>
    <w:tmpl w:val="548AB996"/>
    <w:lvl w:ilvl="0" w:tplc="5C0A0001">
      <w:start w:val="1"/>
      <w:numFmt w:val="bullet"/>
      <w:lvlText w:val=""/>
      <w:lvlJc w:val="left"/>
      <w:pPr>
        <w:ind w:left="783" w:hanging="360"/>
      </w:pPr>
      <w:rPr>
        <w:rFonts w:ascii="Symbol" w:hAnsi="Symbol" w:hint="default"/>
      </w:rPr>
    </w:lvl>
    <w:lvl w:ilvl="1" w:tplc="FFFFFFFF" w:tentative="1">
      <w:start w:val="1"/>
      <w:numFmt w:val="bullet"/>
      <w:lvlText w:val="o"/>
      <w:lvlJc w:val="left"/>
      <w:pPr>
        <w:ind w:left="1503" w:hanging="360"/>
      </w:pPr>
      <w:rPr>
        <w:rFonts w:ascii="Courier New" w:hAnsi="Courier New" w:cs="Courier New" w:hint="default"/>
      </w:rPr>
    </w:lvl>
    <w:lvl w:ilvl="2" w:tplc="FFFFFFFF" w:tentative="1">
      <w:start w:val="1"/>
      <w:numFmt w:val="bullet"/>
      <w:lvlText w:val=""/>
      <w:lvlJc w:val="left"/>
      <w:pPr>
        <w:ind w:left="2223" w:hanging="360"/>
      </w:pPr>
      <w:rPr>
        <w:rFonts w:ascii="Wingdings" w:hAnsi="Wingdings" w:hint="default"/>
      </w:rPr>
    </w:lvl>
    <w:lvl w:ilvl="3" w:tplc="FFFFFFFF" w:tentative="1">
      <w:start w:val="1"/>
      <w:numFmt w:val="bullet"/>
      <w:lvlText w:val=""/>
      <w:lvlJc w:val="left"/>
      <w:pPr>
        <w:ind w:left="2943" w:hanging="360"/>
      </w:pPr>
      <w:rPr>
        <w:rFonts w:ascii="Symbol" w:hAnsi="Symbol" w:hint="default"/>
      </w:rPr>
    </w:lvl>
    <w:lvl w:ilvl="4" w:tplc="FFFFFFFF" w:tentative="1">
      <w:start w:val="1"/>
      <w:numFmt w:val="bullet"/>
      <w:lvlText w:val="o"/>
      <w:lvlJc w:val="left"/>
      <w:pPr>
        <w:ind w:left="3663" w:hanging="360"/>
      </w:pPr>
      <w:rPr>
        <w:rFonts w:ascii="Courier New" w:hAnsi="Courier New" w:cs="Courier New" w:hint="default"/>
      </w:rPr>
    </w:lvl>
    <w:lvl w:ilvl="5" w:tplc="FFFFFFFF" w:tentative="1">
      <w:start w:val="1"/>
      <w:numFmt w:val="bullet"/>
      <w:lvlText w:val=""/>
      <w:lvlJc w:val="left"/>
      <w:pPr>
        <w:ind w:left="4383" w:hanging="360"/>
      </w:pPr>
      <w:rPr>
        <w:rFonts w:ascii="Wingdings" w:hAnsi="Wingdings" w:hint="default"/>
      </w:rPr>
    </w:lvl>
    <w:lvl w:ilvl="6" w:tplc="FFFFFFFF" w:tentative="1">
      <w:start w:val="1"/>
      <w:numFmt w:val="bullet"/>
      <w:lvlText w:val=""/>
      <w:lvlJc w:val="left"/>
      <w:pPr>
        <w:ind w:left="5103" w:hanging="360"/>
      </w:pPr>
      <w:rPr>
        <w:rFonts w:ascii="Symbol" w:hAnsi="Symbol" w:hint="default"/>
      </w:rPr>
    </w:lvl>
    <w:lvl w:ilvl="7" w:tplc="FFFFFFFF" w:tentative="1">
      <w:start w:val="1"/>
      <w:numFmt w:val="bullet"/>
      <w:lvlText w:val="o"/>
      <w:lvlJc w:val="left"/>
      <w:pPr>
        <w:ind w:left="5823" w:hanging="360"/>
      </w:pPr>
      <w:rPr>
        <w:rFonts w:ascii="Courier New" w:hAnsi="Courier New" w:cs="Courier New" w:hint="default"/>
      </w:rPr>
    </w:lvl>
    <w:lvl w:ilvl="8" w:tplc="FFFFFFFF" w:tentative="1">
      <w:start w:val="1"/>
      <w:numFmt w:val="bullet"/>
      <w:lvlText w:val=""/>
      <w:lvlJc w:val="left"/>
      <w:pPr>
        <w:ind w:left="6543" w:hanging="360"/>
      </w:pPr>
      <w:rPr>
        <w:rFonts w:ascii="Wingdings" w:hAnsi="Wingdings" w:hint="default"/>
      </w:rPr>
    </w:lvl>
  </w:abstractNum>
  <w:abstractNum w:abstractNumId="4" w15:restartNumberingAfterBreak="0">
    <w:nsid w:val="458B1B5A"/>
    <w:multiLevelType w:val="hybridMultilevel"/>
    <w:tmpl w:val="1BB696D6"/>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4816430A"/>
    <w:multiLevelType w:val="hybridMultilevel"/>
    <w:tmpl w:val="89A27904"/>
    <w:lvl w:ilvl="0" w:tplc="1BA855F8">
      <w:numFmt w:val="bullet"/>
      <w:lvlText w:val="-"/>
      <w:lvlJc w:val="left"/>
      <w:pPr>
        <w:ind w:left="360" w:hanging="360"/>
      </w:pPr>
      <w:rPr>
        <w:rFonts w:ascii="Times New Roman" w:eastAsiaTheme="minorEastAsia"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5CC709E8"/>
    <w:multiLevelType w:val="hybridMultilevel"/>
    <w:tmpl w:val="9816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96326"/>
    <w:multiLevelType w:val="hybridMultilevel"/>
    <w:tmpl w:val="25FC812C"/>
    <w:lvl w:ilvl="0" w:tplc="51C08906">
      <w:start w:val="2"/>
      <w:numFmt w:val="bullet"/>
      <w:lvlText w:val="-"/>
      <w:lvlJc w:val="left"/>
      <w:pPr>
        <w:ind w:left="720" w:hanging="360"/>
      </w:pPr>
      <w:rPr>
        <w:rFonts w:ascii="Times New Roman" w:eastAsiaTheme="minorEastAsia" w:hAnsi="Times New Roman" w:cs="Times New Roman"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6984431B"/>
    <w:multiLevelType w:val="hybridMultilevel"/>
    <w:tmpl w:val="E2186626"/>
    <w:lvl w:ilvl="0" w:tplc="432A1D4A">
      <w:start w:val="29"/>
      <w:numFmt w:val="bullet"/>
      <w:lvlText w:val="-"/>
      <w:lvlJc w:val="left"/>
      <w:pPr>
        <w:ind w:left="720" w:hanging="360"/>
      </w:pPr>
      <w:rPr>
        <w:rFonts w:ascii="Arial" w:eastAsiaTheme="minorHAnsi" w:hAnsi="Arial" w:cs="Arial" w:hint="default"/>
        <w:i/>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6A981A9E"/>
    <w:multiLevelType w:val="hybridMultilevel"/>
    <w:tmpl w:val="79228AFE"/>
    <w:lvl w:ilvl="0" w:tplc="9566F934">
      <w:start w:val="1"/>
      <w:numFmt w:val="decimal"/>
      <w:lvlText w:val="%1."/>
      <w:lvlJc w:val="left"/>
      <w:pPr>
        <w:ind w:left="360" w:hanging="360"/>
      </w:pPr>
      <w:rPr>
        <w:rFonts w:ascii="Arial" w:hAnsi="Arial" w:cs="Arial" w:hint="default"/>
        <w:i w:val="0"/>
        <w:color w:val="auto"/>
        <w:sz w:val="24"/>
        <w:szCs w:val="24"/>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1" w15:restartNumberingAfterBreak="0">
    <w:nsid w:val="6FCE049F"/>
    <w:multiLevelType w:val="hybridMultilevel"/>
    <w:tmpl w:val="83002DDC"/>
    <w:lvl w:ilvl="0" w:tplc="5C0A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D6145CA"/>
    <w:multiLevelType w:val="hybridMultilevel"/>
    <w:tmpl w:val="10A86F7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90291865">
    <w:abstractNumId w:val="6"/>
  </w:num>
  <w:num w:numId="2" w16cid:durableId="1636444161">
    <w:abstractNumId w:val="9"/>
  </w:num>
  <w:num w:numId="3" w16cid:durableId="7601828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9828564">
    <w:abstractNumId w:val="8"/>
  </w:num>
  <w:num w:numId="5" w16cid:durableId="367028418">
    <w:abstractNumId w:val="0"/>
  </w:num>
  <w:num w:numId="6" w16cid:durableId="721171826">
    <w:abstractNumId w:val="3"/>
  </w:num>
  <w:num w:numId="7" w16cid:durableId="193081171">
    <w:abstractNumId w:val="12"/>
  </w:num>
  <w:num w:numId="8" w16cid:durableId="1298339637">
    <w:abstractNumId w:val="5"/>
  </w:num>
  <w:num w:numId="9" w16cid:durableId="249966335">
    <w:abstractNumId w:val="2"/>
  </w:num>
  <w:num w:numId="10" w16cid:durableId="860512543">
    <w:abstractNumId w:val="1"/>
  </w:num>
  <w:num w:numId="11" w16cid:durableId="916981601">
    <w:abstractNumId w:val="4"/>
  </w:num>
  <w:num w:numId="12" w16cid:durableId="1117408965">
    <w:abstractNumId w:val="7"/>
  </w:num>
  <w:num w:numId="13" w16cid:durableId="7064947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D9"/>
    <w:rsid w:val="00057F45"/>
    <w:rsid w:val="000D3958"/>
    <w:rsid w:val="000F3690"/>
    <w:rsid w:val="00101996"/>
    <w:rsid w:val="001221D1"/>
    <w:rsid w:val="00165CB5"/>
    <w:rsid w:val="00180CE9"/>
    <w:rsid w:val="001D509F"/>
    <w:rsid w:val="00230DD5"/>
    <w:rsid w:val="00250AE9"/>
    <w:rsid w:val="00380D64"/>
    <w:rsid w:val="00391509"/>
    <w:rsid w:val="003E03D5"/>
    <w:rsid w:val="00467656"/>
    <w:rsid w:val="00486BFA"/>
    <w:rsid w:val="00493701"/>
    <w:rsid w:val="004E2065"/>
    <w:rsid w:val="005508A2"/>
    <w:rsid w:val="0055115D"/>
    <w:rsid w:val="00566F71"/>
    <w:rsid w:val="005860DC"/>
    <w:rsid w:val="005918BD"/>
    <w:rsid w:val="006173A6"/>
    <w:rsid w:val="00675476"/>
    <w:rsid w:val="007459CD"/>
    <w:rsid w:val="007B372F"/>
    <w:rsid w:val="007C430F"/>
    <w:rsid w:val="007D2D0C"/>
    <w:rsid w:val="007D614D"/>
    <w:rsid w:val="008A0DB8"/>
    <w:rsid w:val="00915D3C"/>
    <w:rsid w:val="00960D6A"/>
    <w:rsid w:val="009A0560"/>
    <w:rsid w:val="009B0917"/>
    <w:rsid w:val="009F0F96"/>
    <w:rsid w:val="00A23C0C"/>
    <w:rsid w:val="00A477DE"/>
    <w:rsid w:val="00A66186"/>
    <w:rsid w:val="00A71E65"/>
    <w:rsid w:val="00AE044C"/>
    <w:rsid w:val="00B310FE"/>
    <w:rsid w:val="00B31971"/>
    <w:rsid w:val="00B4380A"/>
    <w:rsid w:val="00B66ECB"/>
    <w:rsid w:val="00C00962"/>
    <w:rsid w:val="00C7523A"/>
    <w:rsid w:val="00CC1B6E"/>
    <w:rsid w:val="00CC376A"/>
    <w:rsid w:val="00CC48A1"/>
    <w:rsid w:val="00CF50E0"/>
    <w:rsid w:val="00D85951"/>
    <w:rsid w:val="00E06FD9"/>
    <w:rsid w:val="00E62606"/>
    <w:rsid w:val="00EA1FEF"/>
    <w:rsid w:val="00EC5A6B"/>
    <w:rsid w:val="00EE301D"/>
    <w:rsid w:val="00F50E58"/>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93880"/>
  <w15:docId w15:val="{5B22C5D0-6184-4026-A5A9-255E944A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E06FD9"/>
    <w:pPr>
      <w:keepNext/>
      <w:spacing w:before="240" w:after="60" w:line="276" w:lineRule="auto"/>
      <w:outlineLvl w:val="0"/>
    </w:pPr>
    <w:rPr>
      <w:rFonts w:ascii="Cambria" w:hAnsi="Cambria"/>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character" w:customStyle="1" w:styleId="Ttulo1Car">
    <w:name w:val="Título 1 Car"/>
    <w:basedOn w:val="Fuentedeprrafopredeter"/>
    <w:link w:val="Ttulo1"/>
    <w:uiPriority w:val="9"/>
    <w:rsid w:val="00E06FD9"/>
    <w:rPr>
      <w:rFonts w:ascii="Cambria" w:hAnsi="Cambria"/>
      <w:b/>
      <w:bCs/>
      <w:kern w:val="32"/>
      <w:sz w:val="32"/>
      <w:szCs w:val="32"/>
      <w:lang w:val="es-ES" w:eastAsia="es-ES"/>
    </w:rPr>
  </w:style>
  <w:style w:type="numbering" w:customStyle="1" w:styleId="Sinlista1">
    <w:name w:val="Sin lista1"/>
    <w:next w:val="Sinlista"/>
    <w:uiPriority w:val="99"/>
    <w:semiHidden/>
    <w:unhideWhenUsed/>
    <w:rsid w:val="00E06FD9"/>
  </w:style>
  <w:style w:type="paragraph" w:customStyle="1" w:styleId="Default">
    <w:name w:val="Default"/>
    <w:rsid w:val="00E06FD9"/>
    <w:pPr>
      <w:autoSpaceDE w:val="0"/>
      <w:autoSpaceDN w:val="0"/>
      <w:adjustRightInd w:val="0"/>
    </w:pPr>
    <w:rPr>
      <w:rFonts w:eastAsia="Calibri"/>
      <w:color w:val="000000"/>
      <w:sz w:val="24"/>
      <w:szCs w:val="24"/>
      <w:lang w:val="es-ES"/>
    </w:rPr>
  </w:style>
  <w:style w:type="paragraph" w:styleId="Textoindependiente">
    <w:name w:val="Body Text"/>
    <w:basedOn w:val="Normal"/>
    <w:link w:val="TextoindependienteCar"/>
    <w:uiPriority w:val="99"/>
    <w:rsid w:val="00E06FD9"/>
    <w:pPr>
      <w:spacing w:line="360" w:lineRule="auto"/>
      <w:jc w:val="both"/>
    </w:pPr>
    <w:rPr>
      <w:szCs w:val="20"/>
      <w:lang w:val="es-ES" w:eastAsia="es-ES"/>
    </w:rPr>
  </w:style>
  <w:style w:type="character" w:customStyle="1" w:styleId="TextoindependienteCar">
    <w:name w:val="Texto independiente Car"/>
    <w:basedOn w:val="Fuentedeprrafopredeter"/>
    <w:link w:val="Textoindependiente"/>
    <w:uiPriority w:val="99"/>
    <w:rsid w:val="00E06FD9"/>
    <w:rPr>
      <w:sz w:val="24"/>
      <w:lang w:val="es-ES" w:eastAsia="es-ES"/>
    </w:rPr>
  </w:style>
  <w:style w:type="paragraph" w:customStyle="1" w:styleId="Sinespaciado1">
    <w:name w:val="Sin espaciado1"/>
    <w:next w:val="Sinespaciado"/>
    <w:uiPriority w:val="1"/>
    <w:qFormat/>
    <w:rsid w:val="00E06FD9"/>
    <w:rPr>
      <w:rFonts w:ascii="Calibri" w:eastAsia="Calibri" w:hAnsi="Calibri"/>
      <w:sz w:val="22"/>
      <w:szCs w:val="22"/>
      <w:lang w:val="es-MX"/>
    </w:rPr>
  </w:style>
  <w:style w:type="table" w:customStyle="1" w:styleId="Tablaconcuadrcula1">
    <w:name w:val="Tabla con cuadrícula1"/>
    <w:basedOn w:val="Tablanormal"/>
    <w:next w:val="Tablaconcuadrcula"/>
    <w:uiPriority w:val="59"/>
    <w:rsid w:val="00E06FD9"/>
    <w:rPr>
      <w:rFonts w:ascii="Calibri" w:hAnsi="Calibri"/>
      <w:sz w:val="22"/>
      <w:szCs w:val="22"/>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E06FD9"/>
    <w:pPr>
      <w:spacing w:after="200" w:line="276" w:lineRule="auto"/>
      <w:ind w:left="720"/>
      <w:contextualSpacing/>
    </w:pPr>
    <w:rPr>
      <w:rFonts w:ascii="Calibri" w:hAnsi="Calibri"/>
      <w:sz w:val="22"/>
      <w:szCs w:val="22"/>
      <w:lang w:val="es-PE" w:eastAsia="es-PE"/>
    </w:rPr>
  </w:style>
  <w:style w:type="character" w:customStyle="1" w:styleId="Mencinsinresolver1">
    <w:name w:val="Mención sin resolver1"/>
    <w:uiPriority w:val="99"/>
    <w:semiHidden/>
    <w:unhideWhenUsed/>
    <w:rsid w:val="00E06FD9"/>
    <w:rPr>
      <w:color w:val="605E5C"/>
      <w:shd w:val="clear" w:color="auto" w:fill="E1DFDD"/>
    </w:rPr>
  </w:style>
  <w:style w:type="character" w:styleId="Refdecomentario">
    <w:name w:val="annotation reference"/>
    <w:uiPriority w:val="99"/>
    <w:semiHidden/>
    <w:unhideWhenUsed/>
    <w:rsid w:val="00E06FD9"/>
    <w:rPr>
      <w:sz w:val="16"/>
      <w:szCs w:val="16"/>
    </w:rPr>
  </w:style>
  <w:style w:type="paragraph" w:styleId="Textocomentario">
    <w:name w:val="annotation text"/>
    <w:basedOn w:val="Normal"/>
    <w:link w:val="TextocomentarioCar"/>
    <w:uiPriority w:val="99"/>
    <w:unhideWhenUsed/>
    <w:qFormat/>
    <w:rsid w:val="00E06FD9"/>
    <w:pPr>
      <w:spacing w:after="200"/>
    </w:pPr>
    <w:rPr>
      <w:rFonts w:ascii="Calibri" w:hAnsi="Calibri"/>
      <w:sz w:val="20"/>
      <w:szCs w:val="20"/>
      <w:lang w:val="es-ES" w:eastAsia="es-ES"/>
    </w:rPr>
  </w:style>
  <w:style w:type="character" w:customStyle="1" w:styleId="TextocomentarioCar">
    <w:name w:val="Texto comentario Car"/>
    <w:basedOn w:val="Fuentedeprrafopredeter"/>
    <w:link w:val="Textocomentario"/>
    <w:uiPriority w:val="99"/>
    <w:qFormat/>
    <w:rsid w:val="00E06FD9"/>
    <w:rPr>
      <w:rFonts w:ascii="Calibri" w:hAnsi="Calibri"/>
      <w:lang w:val="es-ES" w:eastAsia="es-ES"/>
    </w:rPr>
  </w:style>
  <w:style w:type="paragraph" w:styleId="Asuntodelcomentario">
    <w:name w:val="annotation subject"/>
    <w:basedOn w:val="Textocomentario"/>
    <w:next w:val="Textocomentario"/>
    <w:link w:val="AsuntodelcomentarioCar"/>
    <w:uiPriority w:val="99"/>
    <w:semiHidden/>
    <w:unhideWhenUsed/>
    <w:rsid w:val="00E06FD9"/>
    <w:rPr>
      <w:b/>
      <w:bCs/>
    </w:rPr>
  </w:style>
  <w:style w:type="character" w:customStyle="1" w:styleId="AsuntodelcomentarioCar">
    <w:name w:val="Asunto del comentario Car"/>
    <w:basedOn w:val="TextocomentarioCar"/>
    <w:link w:val="Asuntodelcomentario"/>
    <w:uiPriority w:val="99"/>
    <w:semiHidden/>
    <w:rsid w:val="00E06FD9"/>
    <w:rPr>
      <w:rFonts w:ascii="Calibri" w:hAnsi="Calibri"/>
      <w:b/>
      <w:bCs/>
      <w:lang w:val="es-ES" w:eastAsia="es-ES"/>
    </w:rPr>
  </w:style>
  <w:style w:type="character" w:styleId="Textoennegrita">
    <w:name w:val="Strong"/>
    <w:uiPriority w:val="22"/>
    <w:qFormat/>
    <w:rsid w:val="00E06FD9"/>
    <w:rPr>
      <w:b/>
      <w:bCs/>
    </w:rPr>
  </w:style>
  <w:style w:type="character" w:styleId="nfasis">
    <w:name w:val="Emphasis"/>
    <w:uiPriority w:val="20"/>
    <w:qFormat/>
    <w:rsid w:val="00E06FD9"/>
    <w:rPr>
      <w:i/>
      <w:iCs/>
    </w:rPr>
  </w:style>
  <w:style w:type="paragraph" w:styleId="Revisin">
    <w:name w:val="Revision"/>
    <w:hidden/>
    <w:uiPriority w:val="99"/>
    <w:semiHidden/>
    <w:rsid w:val="00E06FD9"/>
    <w:rPr>
      <w:rFonts w:ascii="Calibri" w:hAnsi="Calibri"/>
      <w:sz w:val="22"/>
      <w:szCs w:val="22"/>
      <w:lang w:val="es-ES" w:eastAsia="es-ES"/>
    </w:rPr>
  </w:style>
  <w:style w:type="character" w:customStyle="1" w:styleId="UnresolvedMention1">
    <w:name w:val="Unresolved Mention1"/>
    <w:uiPriority w:val="99"/>
    <w:semiHidden/>
    <w:unhideWhenUsed/>
    <w:rsid w:val="00E06FD9"/>
    <w:rPr>
      <w:color w:val="605E5C"/>
      <w:shd w:val="clear" w:color="auto" w:fill="E1DFDD"/>
    </w:rPr>
  </w:style>
  <w:style w:type="character" w:customStyle="1" w:styleId="article-title">
    <w:name w:val="article-title"/>
    <w:basedOn w:val="Fuentedeprrafopredeter"/>
    <w:rsid w:val="00E06FD9"/>
  </w:style>
  <w:style w:type="character" w:customStyle="1" w:styleId="Mencinsinresolver2">
    <w:name w:val="Mención sin resolver2"/>
    <w:uiPriority w:val="99"/>
    <w:semiHidden/>
    <w:unhideWhenUsed/>
    <w:rsid w:val="00E06FD9"/>
    <w:rPr>
      <w:color w:val="605E5C"/>
      <w:shd w:val="clear" w:color="auto" w:fill="E1DFDD"/>
    </w:rPr>
  </w:style>
  <w:style w:type="character" w:customStyle="1" w:styleId="markedcontent">
    <w:name w:val="markedcontent"/>
    <w:basedOn w:val="Fuentedeprrafopredeter"/>
    <w:rsid w:val="00E06FD9"/>
  </w:style>
  <w:style w:type="character" w:customStyle="1" w:styleId="Mencinsinresolver3">
    <w:name w:val="Mención sin resolver3"/>
    <w:uiPriority w:val="99"/>
    <w:semiHidden/>
    <w:unhideWhenUsed/>
    <w:rsid w:val="00E06FD9"/>
    <w:rPr>
      <w:color w:val="605E5C"/>
      <w:shd w:val="clear" w:color="auto" w:fill="E1DFDD"/>
    </w:rPr>
  </w:style>
  <w:style w:type="character" w:customStyle="1" w:styleId="Mencinsinresolver4">
    <w:name w:val="Mención sin resolver4"/>
    <w:uiPriority w:val="99"/>
    <w:semiHidden/>
    <w:unhideWhenUsed/>
    <w:rsid w:val="00E06FD9"/>
    <w:rPr>
      <w:color w:val="605E5C"/>
      <w:shd w:val="clear" w:color="auto" w:fill="E1DFDD"/>
    </w:rPr>
  </w:style>
  <w:style w:type="paragraph" w:styleId="Sinespaciado">
    <w:name w:val="No Spacing"/>
    <w:uiPriority w:val="1"/>
    <w:qFormat/>
    <w:rsid w:val="00E06FD9"/>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017-6808" TargetMode="External"/><Relationship Id="rId13" Type="http://schemas.openxmlformats.org/officeDocument/2006/relationships/image" Target="media/image2.png"/><Relationship Id="rId18" Type="http://schemas.openxmlformats.org/officeDocument/2006/relationships/hyperlink" Target="https://cuved.unam.mx/revistas/index.php/rdpcs/article/view/243" TargetMode="External"/><Relationship Id="rId26" Type="http://schemas.openxmlformats.org/officeDocument/2006/relationships/hyperlink" Target="https://neurologia.com/articulo/2017508"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sychiatryonline.org/pb-assets/dsm/update/DSM5Update_octubre2017_es-1510859958213.pdf" TargetMode="External"/><Relationship Id="rId34" Type="http://schemas.openxmlformats.org/officeDocument/2006/relationships/hyperlink" Target="http://dspace.ucuenca.edu.ec/bitstream/123456789/28187/1/Trabajo%20de%20titulaci%c3%b3n.pdf.pdf" TargetMode="External"/><Relationship Id="rId7" Type="http://schemas.openxmlformats.org/officeDocument/2006/relationships/hyperlink" Target="https://orcid.org/0000-0002-7112-1411" TargetMode="External"/><Relationship Id="rId12" Type="http://schemas.openxmlformats.org/officeDocument/2006/relationships/image" Target="media/image1.jpeg"/><Relationship Id="rId17" Type="http://schemas.openxmlformats.org/officeDocument/2006/relationships/hyperlink" Target="https://ojs.haaj.org/?journal=haaj&amp;page=article&amp;op=view&amp;path%5b%5d=412" TargetMode="External"/><Relationship Id="rId25" Type="http://schemas.openxmlformats.org/officeDocument/2006/relationships/hyperlink" Target="https://www.medigraphic.com/pdfs/revhospsihab/hph-2020/hph202a.pdf" TargetMode="External"/><Relationship Id="rId33" Type="http://schemas.openxmlformats.org/officeDocument/2006/relationships/hyperlink" Target="https://scielo.conicyt.cl/scielo.php?script=sci_abstract&amp;pid=S0718-22282019000100102&amp;lng=es&amp;nrm=iso"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medigraphic.com/pdfs/revneuneupsi/nnp-2018/nnp181c.pdf" TargetMode="External"/><Relationship Id="rId29" Type="http://schemas.openxmlformats.org/officeDocument/2006/relationships/hyperlink" Target="https://www.wma.net/es/policies-post/declaracion-de-helsinki-de-la-amm-principios-eticos-para-las-investigaciones-medicas-en-seres-human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miranda@infomed.sld.cu" TargetMode="External"/><Relationship Id="rId24" Type="http://schemas.openxmlformats.org/officeDocument/2006/relationships/hyperlink" Target="https://web.teaediciones.com/Ejemplos/STROOP-extracto-Web.pdf" TargetMode="External"/><Relationship Id="rId32" Type="http://schemas.openxmlformats.org/officeDocument/2006/relationships/hyperlink" Target="https://reviberopsicologia.ibero.edu.co/article/view/rip.13315/1657"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raco.cat/index.php/EducacioSocial/article/download/368875/466458/" TargetMode="External"/><Relationship Id="rId28" Type="http://schemas.openxmlformats.org/officeDocument/2006/relationships/hyperlink" Target="https://www.redalyc.org/articulo.oa?id=16723774014" TargetMode="External"/><Relationship Id="rId36" Type="http://schemas.openxmlformats.org/officeDocument/2006/relationships/footer" Target="footer1.xml"/><Relationship Id="rId10" Type="http://schemas.openxmlformats.org/officeDocument/2006/relationships/hyperlink" Target="mailto:hfinlay29@infomed.sld.cu" TargetMode="External"/><Relationship Id="rId19" Type="http://schemas.openxmlformats.org/officeDocument/2006/relationships/hyperlink" Target="https://rua.ua.es/dspace/bitstream/10045/108552/1/Segarra_Villena_2020_HealthandAddictions.pdf" TargetMode="External"/><Relationship Id="rId31" Type="http://schemas.openxmlformats.org/officeDocument/2006/relationships/hyperlink" Target="https://www.medigraphic.com/pdfs/revhospsihab/hph-2015/hphs151a.pdf" TargetMode="External"/><Relationship Id="rId4" Type="http://schemas.openxmlformats.org/officeDocument/2006/relationships/webSettings" Target="webSettings.xml"/><Relationship Id="rId9" Type="http://schemas.openxmlformats.org/officeDocument/2006/relationships/hyperlink" Target="https://orcid.org/0000-0001-7718-3915" TargetMode="External"/><Relationship Id="rId14" Type="http://schemas.openxmlformats.org/officeDocument/2006/relationships/image" Target="media/image3.png"/><Relationship Id="rId22" Type="http://schemas.openxmlformats.org/officeDocument/2006/relationships/hyperlink" Target="https://www.cochranelibrary.com/cdsr/doi/10.1002/14651858.CD010783.pub3/abstract/es" TargetMode="External"/><Relationship Id="rId27" Type="http://schemas.openxmlformats.org/officeDocument/2006/relationships/hyperlink" Target="http://www.scielo.org.co/scielo.php?script=sci_arttext&amp;pid=S1900-23862021000200049&amp;lng=en&amp;nrm=iso" TargetMode="External"/><Relationship Id="rId30" Type="http://schemas.openxmlformats.org/officeDocument/2006/relationships/hyperlink" Target="http://www.adicciones.es/index.php/adicciones/article/view/1326"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8</TotalTime>
  <Pages>17</Pages>
  <Words>4038</Words>
  <Characters>23019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27003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11</cp:revision>
  <cp:lastPrinted>2023-08-10T00:49:00Z</cp:lastPrinted>
  <dcterms:created xsi:type="dcterms:W3CDTF">2023-08-10T00:44:00Z</dcterms:created>
  <dcterms:modified xsi:type="dcterms:W3CDTF">2023-08-10T00:52:00Z</dcterms:modified>
</cp:coreProperties>
</file>