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4AEA" w14:textId="77777777" w:rsidR="00216AFF" w:rsidRPr="00216AFF" w:rsidRDefault="00216AFF" w:rsidP="00216AFF">
      <w:pPr>
        <w:spacing w:line="360" w:lineRule="auto"/>
        <w:jc w:val="right"/>
        <w:rPr>
          <w:rFonts w:eastAsia="Calibri"/>
          <w:bCs/>
          <w:sz w:val="20"/>
          <w:szCs w:val="20"/>
          <w:lang w:val="es-ES" w:eastAsia="en-US"/>
        </w:rPr>
      </w:pPr>
      <w:r w:rsidRPr="00216AFF">
        <w:rPr>
          <w:rFonts w:eastAsia="Calibri"/>
          <w:bCs/>
          <w:sz w:val="20"/>
          <w:szCs w:val="20"/>
          <w:lang w:val="es-ES" w:eastAsia="en-US"/>
        </w:rPr>
        <w:t>Reseña de evento</w:t>
      </w:r>
    </w:p>
    <w:p w14:paraId="25D4AA4F" w14:textId="77777777" w:rsidR="00216AFF" w:rsidRPr="00216AFF" w:rsidRDefault="00216AFF" w:rsidP="00216AFF">
      <w:pPr>
        <w:spacing w:line="360" w:lineRule="auto"/>
        <w:jc w:val="center"/>
        <w:rPr>
          <w:rFonts w:eastAsia="Calibri"/>
          <w:lang w:val="es-ES" w:eastAsia="en-US"/>
        </w:rPr>
      </w:pPr>
    </w:p>
    <w:p w14:paraId="6A964E1F" w14:textId="77777777" w:rsidR="00216AFF" w:rsidRPr="00216AFF" w:rsidRDefault="00216AFF" w:rsidP="00216AFF">
      <w:pPr>
        <w:spacing w:line="360" w:lineRule="auto"/>
        <w:jc w:val="center"/>
        <w:rPr>
          <w:rFonts w:eastAsia="Calibri"/>
          <w:b/>
          <w:bCs/>
          <w:sz w:val="28"/>
          <w:szCs w:val="28"/>
          <w:lang w:val="es-ES" w:eastAsia="en-US"/>
        </w:rPr>
      </w:pPr>
      <w:r w:rsidRPr="00216AFF">
        <w:rPr>
          <w:rFonts w:eastAsia="Calibri"/>
          <w:b/>
          <w:bCs/>
          <w:sz w:val="28"/>
          <w:szCs w:val="28"/>
          <w:lang w:val="es-ES" w:eastAsia="en-US"/>
        </w:rPr>
        <w:t>LI Jornada Científica Institucional del Hospital Militar Central “Dr. Luis Díaz Soto”</w:t>
      </w:r>
    </w:p>
    <w:p w14:paraId="233FE8A9" w14:textId="77777777" w:rsidR="00216AFF" w:rsidRPr="00216AFF" w:rsidRDefault="00216AFF" w:rsidP="00216AFF">
      <w:pPr>
        <w:spacing w:line="360" w:lineRule="auto"/>
        <w:jc w:val="center"/>
        <w:rPr>
          <w:rFonts w:eastAsia="Calibri"/>
          <w:sz w:val="28"/>
          <w:szCs w:val="28"/>
          <w:lang w:val="en-US" w:eastAsia="en-US"/>
        </w:rPr>
      </w:pPr>
      <w:r w:rsidRPr="00216AFF">
        <w:rPr>
          <w:rFonts w:eastAsia="Calibri"/>
          <w:sz w:val="28"/>
          <w:szCs w:val="28"/>
          <w:lang w:val="en-US" w:eastAsia="en-US"/>
        </w:rPr>
        <w:t>LI Institutional Scientific Conference of the Central Military Hospital "Dr. Luis Diaz Soto"</w:t>
      </w:r>
    </w:p>
    <w:p w14:paraId="65CD565C" w14:textId="77777777" w:rsidR="00216AFF" w:rsidRPr="00216AFF" w:rsidRDefault="00216AFF" w:rsidP="00216AFF">
      <w:pPr>
        <w:spacing w:line="360" w:lineRule="auto"/>
        <w:jc w:val="center"/>
        <w:rPr>
          <w:rFonts w:eastAsia="Calibri"/>
          <w:lang w:val="en-US" w:eastAsia="en-US"/>
        </w:rPr>
      </w:pPr>
    </w:p>
    <w:p w14:paraId="117705C1" w14:textId="77777777" w:rsidR="00216AFF" w:rsidRPr="00216AFF" w:rsidRDefault="00216AFF" w:rsidP="00216AFF">
      <w:pPr>
        <w:spacing w:line="360" w:lineRule="auto"/>
        <w:jc w:val="both"/>
        <w:rPr>
          <w:rFonts w:eastAsia="Calibri"/>
          <w:lang w:val="es-CU" w:eastAsia="en-US"/>
        </w:rPr>
      </w:pPr>
      <w:r w:rsidRPr="00216AFF">
        <w:rPr>
          <w:rFonts w:eastAsia="Calibri"/>
          <w:lang w:val="es-CU" w:eastAsia="en-US"/>
        </w:rPr>
        <w:t>Jenrry Alvarez Cruz</w:t>
      </w:r>
      <w:r w:rsidRPr="00216AFF">
        <w:rPr>
          <w:rFonts w:eastAsia="Calibri"/>
          <w:vertAlign w:val="superscript"/>
          <w:lang w:val="es-CU" w:eastAsia="en-US"/>
        </w:rPr>
        <w:t>1</w:t>
      </w:r>
      <w:r w:rsidRPr="00216AFF">
        <w:rPr>
          <w:rFonts w:eastAsia="Calibri"/>
          <w:lang w:val="es-CU" w:eastAsia="en-US"/>
        </w:rPr>
        <w:t xml:space="preserve">* </w:t>
      </w:r>
      <w:r w:rsidRPr="00216AFF">
        <w:t xml:space="preserve"> </w:t>
      </w:r>
      <w:hyperlink r:id="rId7" w:history="1">
        <w:r w:rsidRPr="00216AFF">
          <w:rPr>
            <w:color w:val="0000FF"/>
          </w:rPr>
          <w:t>https://orcid.org/0000-0003-4482-0126</w:t>
        </w:r>
      </w:hyperlink>
      <w:r w:rsidRPr="00216AFF">
        <w:rPr>
          <w:rFonts w:eastAsia="Calibri"/>
          <w:lang w:val="es-CU" w:eastAsia="en-US"/>
        </w:rPr>
        <w:tab/>
      </w:r>
    </w:p>
    <w:p w14:paraId="1E247A08" w14:textId="77777777" w:rsidR="00216AFF" w:rsidRPr="00216AFF" w:rsidRDefault="00216AFF" w:rsidP="00216AFF">
      <w:pPr>
        <w:spacing w:line="360" w:lineRule="auto"/>
        <w:jc w:val="both"/>
        <w:rPr>
          <w:rFonts w:eastAsia="Calibri"/>
          <w:lang w:val="es-CU" w:eastAsia="en-US"/>
        </w:rPr>
      </w:pPr>
    </w:p>
    <w:p w14:paraId="786A523B" w14:textId="77777777" w:rsidR="00216AFF" w:rsidRPr="00216AFF" w:rsidRDefault="00216AFF" w:rsidP="00216AFF">
      <w:pPr>
        <w:spacing w:line="360" w:lineRule="auto"/>
        <w:jc w:val="both"/>
        <w:rPr>
          <w:rFonts w:eastAsia="Calibri"/>
          <w:lang w:val="es-CU" w:eastAsia="en-US"/>
        </w:rPr>
      </w:pPr>
      <w:r w:rsidRPr="00216AFF">
        <w:rPr>
          <w:rFonts w:eastAsia="Calibri"/>
          <w:vertAlign w:val="superscript"/>
          <w:lang w:val="es-CU" w:eastAsia="en-US"/>
        </w:rPr>
        <w:t>1</w:t>
      </w:r>
      <w:r w:rsidRPr="00216AFF">
        <w:rPr>
          <w:rFonts w:eastAsia="Calibri"/>
          <w:lang w:val="es-CU" w:eastAsia="en-US"/>
        </w:rPr>
        <w:t>Universidad de Ciencias Médicas de las FAR. Hospital Militar Central “Dr. Luis Díaz Soto”. La Habana, Cuba.</w:t>
      </w:r>
    </w:p>
    <w:p w14:paraId="21E18CA8" w14:textId="77777777" w:rsidR="00216AFF" w:rsidRPr="00216AFF" w:rsidRDefault="00216AFF" w:rsidP="00216AFF">
      <w:pPr>
        <w:spacing w:line="360" w:lineRule="auto"/>
        <w:jc w:val="both"/>
        <w:rPr>
          <w:rFonts w:eastAsia="Calibri"/>
          <w:lang w:val="es-CU" w:eastAsia="en-US"/>
        </w:rPr>
      </w:pPr>
    </w:p>
    <w:p w14:paraId="64DDE02C" w14:textId="77777777" w:rsidR="00216AFF" w:rsidRPr="00216AFF" w:rsidRDefault="00216AFF" w:rsidP="00216AFF">
      <w:pPr>
        <w:spacing w:line="360" w:lineRule="auto"/>
        <w:jc w:val="both"/>
        <w:rPr>
          <w:rFonts w:eastAsia="Calibri"/>
          <w:lang w:val="es-CU" w:eastAsia="en-US"/>
        </w:rPr>
      </w:pPr>
      <w:r w:rsidRPr="00216AFF">
        <w:rPr>
          <w:rFonts w:eastAsia="Calibri"/>
          <w:lang w:val="es-CU" w:eastAsia="en-US"/>
        </w:rPr>
        <w:t xml:space="preserve">*Correspondencia. Correo electrónico: </w:t>
      </w:r>
      <w:r w:rsidRPr="00216AFF">
        <w:rPr>
          <w:rFonts w:eastAsia="Calibri"/>
          <w:color w:val="0000FF"/>
          <w:lang w:val="es-CU" w:eastAsia="en-US"/>
        </w:rPr>
        <w:t>jenrryalvarez47@gmail.com</w:t>
      </w:r>
    </w:p>
    <w:p w14:paraId="2EEDDB57" w14:textId="77777777" w:rsidR="00216AFF" w:rsidRPr="00216AFF" w:rsidRDefault="00216AFF" w:rsidP="00216AFF"/>
    <w:p w14:paraId="76046CE6" w14:textId="77777777" w:rsidR="00216AFF" w:rsidRPr="00216AFF" w:rsidRDefault="00216AFF" w:rsidP="00216AFF">
      <w:pPr>
        <w:spacing w:line="360" w:lineRule="auto"/>
        <w:jc w:val="both"/>
        <w:rPr>
          <w:rFonts w:eastAsia="Calibri"/>
          <w:lang w:val="es-ES" w:eastAsia="en-US"/>
        </w:rPr>
      </w:pPr>
    </w:p>
    <w:p w14:paraId="22D29AA8" w14:textId="29DC2378" w:rsidR="00216AFF" w:rsidRPr="00216AFF" w:rsidRDefault="00216AFF" w:rsidP="00216AFF">
      <w:pPr>
        <w:spacing w:line="360" w:lineRule="auto"/>
        <w:jc w:val="both"/>
        <w:rPr>
          <w:rFonts w:eastAsia="Calibri"/>
          <w:bCs/>
          <w:lang w:val="es-ES" w:eastAsia="en-US"/>
        </w:rPr>
      </w:pPr>
      <w:r w:rsidRPr="00216AFF">
        <w:rPr>
          <w:rFonts w:eastAsia="Calibri"/>
          <w:lang w:val="es-ES" w:eastAsia="en-US"/>
        </w:rPr>
        <w:t xml:space="preserve">El 1 de diciembre de 2023, culminó un largo proceso científico en el que médicos de todas las especialidades, pertenecientes al Hospital Militar Central “Dr. Luis Díaz Soto”, celebraron la LI jornada científica institucional, correspondiente al año 2023; en saludo al </w:t>
      </w:r>
      <w:r w:rsidRPr="00216AFF">
        <w:rPr>
          <w:rFonts w:eastAsia="Calibri"/>
          <w:bCs/>
          <w:lang w:val="es-ES" w:eastAsia="en-US"/>
        </w:rPr>
        <w:t xml:space="preserve">aniversario de la creación de las Fuerzas Armadas Revolucionaria (FAR) y Día de la Medicina Latinoamericana. </w:t>
      </w:r>
    </w:p>
    <w:p w14:paraId="0483F67A" w14:textId="77777777" w:rsidR="00216AFF" w:rsidRPr="00216AFF" w:rsidRDefault="00216AFF" w:rsidP="00216AFF">
      <w:pPr>
        <w:spacing w:line="360" w:lineRule="auto"/>
        <w:jc w:val="both"/>
      </w:pPr>
      <w:r w:rsidRPr="00216AFF">
        <w:t>Se daba clausura, a solo unos días de cumplirse el séptimo aniversario de la desaparición física de Fidel Castro Ruz, quien fue el mayor impulsor del desarrollo científico de Cuba. En su discurso, pronunciado en la clausura del XI Congreso Médico y VII Estomatológico Nacional, en el año 1966, al referirse a la necesidad de investigar y mantener una alta preparación científica, acorde a los más altos estándares de desarrollo, planteó:</w:t>
      </w:r>
      <w:r w:rsidRPr="00216AFF">
        <w:rPr>
          <w:vertAlign w:val="superscript"/>
        </w:rPr>
        <w:t>(1)</w:t>
      </w:r>
      <w:r w:rsidRPr="00216AFF">
        <w:t xml:space="preserve"> </w:t>
      </w:r>
    </w:p>
    <w:p w14:paraId="559358D2" w14:textId="77777777" w:rsidR="00216AFF" w:rsidRPr="00216AFF" w:rsidRDefault="00216AFF" w:rsidP="00216AFF">
      <w:pPr>
        <w:spacing w:line="360" w:lineRule="auto"/>
        <w:jc w:val="both"/>
      </w:pPr>
    </w:p>
    <w:p w14:paraId="10C35A77" w14:textId="77777777" w:rsidR="00216AFF" w:rsidRPr="00216AFF" w:rsidRDefault="00216AFF" w:rsidP="00216AFF">
      <w:pPr>
        <w:spacing w:line="360" w:lineRule="auto"/>
        <w:ind w:left="708"/>
        <w:jc w:val="both"/>
      </w:pPr>
      <w:r w:rsidRPr="00216AFF">
        <w:t>“La medicina es una ciencia que se revoluciona incesantemente, de las que más requiere tal vez estar al tanto de todo lo que ocurre, de las que más requiere la capacidad de análisis y de observación del hombre, de la que menos puede soportar la rutina”.</w:t>
      </w:r>
    </w:p>
    <w:p w14:paraId="31724978" w14:textId="77777777" w:rsidR="00216AFF" w:rsidRPr="00216AFF" w:rsidRDefault="00216AFF" w:rsidP="00216AFF">
      <w:pPr>
        <w:spacing w:line="360" w:lineRule="auto"/>
        <w:jc w:val="both"/>
        <w:rPr>
          <w:rFonts w:eastAsia="Calibri"/>
          <w:lang w:val="es-ES" w:eastAsia="en-US"/>
        </w:rPr>
      </w:pPr>
    </w:p>
    <w:p w14:paraId="087949F4" w14:textId="77777777" w:rsidR="00216AFF" w:rsidRPr="00216AFF" w:rsidRDefault="00216AFF" w:rsidP="00216AFF">
      <w:pPr>
        <w:spacing w:line="360" w:lineRule="auto"/>
        <w:jc w:val="both"/>
        <w:rPr>
          <w:rFonts w:eastAsia="Calibri"/>
          <w:lang w:val="es-ES" w:eastAsia="en-US"/>
        </w:rPr>
      </w:pPr>
      <w:r w:rsidRPr="00216AFF">
        <w:rPr>
          <w:rFonts w:eastAsia="Calibri"/>
          <w:lang w:val="es-ES" w:eastAsia="en-US"/>
        </w:rPr>
        <w:t xml:space="preserve">Esta jornada científica, de celebración anual, tiene como objetivos estimular el desarrollo científico y profesional del personal de la salud, así como fortalecer el conocimiento de su historia y la formación de valores patrióticos y humanistas. </w:t>
      </w:r>
    </w:p>
    <w:p w14:paraId="3016C273" w14:textId="77777777" w:rsidR="00216AFF" w:rsidRPr="00216AFF" w:rsidRDefault="00216AFF" w:rsidP="00216AFF">
      <w:pPr>
        <w:spacing w:line="360" w:lineRule="auto"/>
        <w:jc w:val="both"/>
        <w:rPr>
          <w:rFonts w:eastAsia="Calibri"/>
          <w:lang w:val="es-ES" w:eastAsia="en-US"/>
        </w:rPr>
      </w:pPr>
      <w:r w:rsidRPr="00216AFF">
        <w:rPr>
          <w:rFonts w:eastAsia="Calibri"/>
          <w:lang w:val="es-ES" w:eastAsia="en-US"/>
        </w:rPr>
        <w:t>Participaron 228 médicos y enfermeros. Se presentaron 4 conferencias magistrales, 2 mesas redondas y 57 trabajos científicos en la modalidad de temas libres. Se distribuyeron en 5 salones, con los siguientes títulos:</w:t>
      </w:r>
    </w:p>
    <w:p w14:paraId="742E8114" w14:textId="77777777" w:rsidR="00216AFF" w:rsidRPr="00216AFF" w:rsidRDefault="00216AFF" w:rsidP="00216AFF">
      <w:pPr>
        <w:spacing w:line="360" w:lineRule="auto"/>
        <w:jc w:val="both"/>
        <w:rPr>
          <w:rFonts w:eastAsia="Calibri"/>
          <w:lang w:val="es-ES" w:eastAsia="en-US"/>
        </w:rPr>
      </w:pPr>
      <w:r w:rsidRPr="00216AFF">
        <w:rPr>
          <w:rFonts w:eastAsia="Calibri"/>
          <w:lang w:val="es-ES" w:eastAsia="en-US"/>
        </w:rPr>
        <w:t>Conferencias Magistrales:</w:t>
      </w:r>
    </w:p>
    <w:p w14:paraId="371ACB29" w14:textId="77777777" w:rsidR="00216AFF" w:rsidRPr="00216AFF" w:rsidRDefault="00216AFF" w:rsidP="00202FE3">
      <w:pPr>
        <w:spacing w:line="360" w:lineRule="auto"/>
        <w:jc w:val="both"/>
        <w:rPr>
          <w:rFonts w:eastAsia="Calibri"/>
          <w:lang w:val="es-ES" w:eastAsia="en-US"/>
        </w:rPr>
      </w:pPr>
    </w:p>
    <w:p w14:paraId="19F0B724" w14:textId="77777777" w:rsidR="00216AFF" w:rsidRPr="00216AFF" w:rsidRDefault="00216AFF" w:rsidP="00202FE3">
      <w:pPr>
        <w:numPr>
          <w:ilvl w:val="0"/>
          <w:numId w:val="2"/>
        </w:numPr>
        <w:spacing w:line="360" w:lineRule="auto"/>
        <w:contextualSpacing/>
        <w:rPr>
          <w:bCs/>
          <w:u w:val="single"/>
          <w:lang w:val="es-ES" w:eastAsia="en-US"/>
        </w:rPr>
      </w:pPr>
      <w:r w:rsidRPr="00216AFF">
        <w:t>Actualidad en papiloma virus humano.</w:t>
      </w:r>
    </w:p>
    <w:p w14:paraId="42AEB259" w14:textId="77777777" w:rsidR="00216AFF" w:rsidRPr="00216AFF" w:rsidRDefault="00216AFF" w:rsidP="00202FE3">
      <w:pPr>
        <w:numPr>
          <w:ilvl w:val="0"/>
          <w:numId w:val="2"/>
        </w:numPr>
        <w:spacing w:line="360" w:lineRule="auto"/>
        <w:contextualSpacing/>
        <w:rPr>
          <w:bCs/>
        </w:rPr>
      </w:pPr>
      <w:r w:rsidRPr="00216AFF">
        <w:rPr>
          <w:bCs/>
        </w:rPr>
        <w:t>Manejo actual de la hemorragia digestiva en urgencias.</w:t>
      </w:r>
    </w:p>
    <w:p w14:paraId="42FCEB1B" w14:textId="77777777" w:rsidR="00216AFF" w:rsidRPr="00216AFF" w:rsidRDefault="00216AFF" w:rsidP="00202FE3">
      <w:pPr>
        <w:numPr>
          <w:ilvl w:val="0"/>
          <w:numId w:val="2"/>
        </w:numPr>
        <w:spacing w:line="360" w:lineRule="auto"/>
        <w:contextualSpacing/>
        <w:rPr>
          <w:bCs/>
        </w:rPr>
      </w:pPr>
      <w:r w:rsidRPr="00216AFF">
        <w:rPr>
          <w:bCs/>
        </w:rPr>
        <w:t>Epigenética, presente y futuro de las enfermedades crónicas.</w:t>
      </w:r>
    </w:p>
    <w:p w14:paraId="7BD43E6D" w14:textId="77777777" w:rsidR="00216AFF" w:rsidRPr="00216AFF" w:rsidRDefault="00216AFF" w:rsidP="00202FE3">
      <w:pPr>
        <w:numPr>
          <w:ilvl w:val="0"/>
          <w:numId w:val="2"/>
        </w:numPr>
        <w:spacing w:line="360" w:lineRule="auto"/>
        <w:contextualSpacing/>
        <w:jc w:val="both"/>
        <w:rPr>
          <w:rFonts w:eastAsia="Calibri"/>
          <w:lang w:val="es-ES" w:eastAsia="en-US"/>
        </w:rPr>
      </w:pPr>
      <w:r w:rsidRPr="00216AFF">
        <w:rPr>
          <w:bCs/>
        </w:rPr>
        <w:t>Aproximación a las herramientas para acreditación de las especialidades de posgrado.</w:t>
      </w:r>
    </w:p>
    <w:p w14:paraId="186BD0B7" w14:textId="77777777" w:rsidR="00216AFF" w:rsidRPr="00216AFF" w:rsidRDefault="00216AFF" w:rsidP="00202FE3">
      <w:pPr>
        <w:spacing w:line="360" w:lineRule="auto"/>
        <w:jc w:val="both"/>
        <w:rPr>
          <w:rFonts w:eastAsia="Calibri"/>
          <w:lang w:val="es-ES" w:eastAsia="en-US"/>
        </w:rPr>
      </w:pPr>
    </w:p>
    <w:p w14:paraId="7B32AC5B" w14:textId="77777777" w:rsidR="00216AFF" w:rsidRPr="00216AFF" w:rsidRDefault="00216AFF" w:rsidP="00216AFF">
      <w:pPr>
        <w:spacing w:line="360" w:lineRule="auto"/>
        <w:jc w:val="both"/>
        <w:rPr>
          <w:rFonts w:eastAsia="Calibri"/>
          <w:lang w:val="es-ES" w:eastAsia="en-US"/>
        </w:rPr>
      </w:pPr>
      <w:r w:rsidRPr="00216AFF">
        <w:rPr>
          <w:rFonts w:eastAsia="Calibri"/>
          <w:lang w:val="es-ES" w:eastAsia="en-US"/>
        </w:rPr>
        <w:t>Mesas Redondas:</w:t>
      </w:r>
    </w:p>
    <w:p w14:paraId="620B21E2" w14:textId="77777777" w:rsidR="00216AFF" w:rsidRPr="00216AFF" w:rsidRDefault="00216AFF" w:rsidP="00202FE3">
      <w:pPr>
        <w:spacing w:line="360" w:lineRule="auto"/>
        <w:jc w:val="both"/>
        <w:rPr>
          <w:rFonts w:eastAsia="Calibri"/>
          <w:lang w:val="es-ES" w:eastAsia="en-US"/>
        </w:rPr>
      </w:pPr>
    </w:p>
    <w:p w14:paraId="601FBAA2" w14:textId="77777777" w:rsidR="00216AFF" w:rsidRPr="00216AFF" w:rsidRDefault="00216AFF" w:rsidP="00202FE3">
      <w:pPr>
        <w:numPr>
          <w:ilvl w:val="0"/>
          <w:numId w:val="3"/>
        </w:numPr>
        <w:spacing w:line="360" w:lineRule="auto"/>
        <w:contextualSpacing/>
        <w:jc w:val="both"/>
        <w:rPr>
          <w:rFonts w:eastAsia="Calibri"/>
          <w:lang w:val="es-ES" w:eastAsia="en-US"/>
        </w:rPr>
      </w:pPr>
      <w:r w:rsidRPr="00216AFF">
        <w:rPr>
          <w:rFonts w:eastAsia="Calibri"/>
          <w:lang w:val="es-ES" w:eastAsia="en-US"/>
        </w:rPr>
        <w:t xml:space="preserve">Enfermedad renal crónica, actualización. </w:t>
      </w:r>
    </w:p>
    <w:p w14:paraId="3C47C965" w14:textId="77777777" w:rsidR="00216AFF" w:rsidRPr="00216AFF" w:rsidRDefault="00216AFF" w:rsidP="00202FE3">
      <w:pPr>
        <w:numPr>
          <w:ilvl w:val="0"/>
          <w:numId w:val="3"/>
        </w:numPr>
        <w:spacing w:line="360" w:lineRule="auto"/>
        <w:contextualSpacing/>
        <w:rPr>
          <w:bCs/>
          <w:lang w:val="en-US"/>
        </w:rPr>
      </w:pPr>
      <w:r w:rsidRPr="00216AFF">
        <w:rPr>
          <w:bCs/>
        </w:rPr>
        <w:t xml:space="preserve">Guía informativa de cuidados para la cirugía abdominal. </w:t>
      </w:r>
      <w:r w:rsidRPr="00216AFF">
        <w:rPr>
          <w:bCs/>
          <w:lang w:val="en-US"/>
        </w:rPr>
        <w:t xml:space="preserve">Protocolo </w:t>
      </w:r>
      <w:r w:rsidRPr="00216AFF">
        <w:rPr>
          <w:iCs/>
          <w:color w:val="000000"/>
          <w:shd w:val="clear" w:color="auto" w:fill="FFFFFF"/>
          <w:lang w:val="en-US"/>
        </w:rPr>
        <w:t>Enhanced Recovery After Surgery</w:t>
      </w:r>
      <w:r w:rsidRPr="00216AFF">
        <w:rPr>
          <w:i/>
          <w:color w:val="000000"/>
          <w:shd w:val="clear" w:color="auto" w:fill="FFFFFF"/>
          <w:lang w:val="en-US"/>
        </w:rPr>
        <w:t> </w:t>
      </w:r>
      <w:r w:rsidRPr="00216AFF">
        <w:rPr>
          <w:color w:val="000000"/>
          <w:shd w:val="clear" w:color="auto" w:fill="FFFFFF"/>
          <w:lang w:val="en-US"/>
        </w:rPr>
        <w:t>(</w:t>
      </w:r>
      <w:r w:rsidRPr="00216AFF">
        <w:rPr>
          <w:bCs/>
          <w:lang w:val="en-US"/>
        </w:rPr>
        <w:t>ERAS).</w:t>
      </w:r>
    </w:p>
    <w:p w14:paraId="2905FACA" w14:textId="77777777" w:rsidR="00216AFF" w:rsidRPr="00216AFF" w:rsidRDefault="00216AFF" w:rsidP="00202FE3">
      <w:pPr>
        <w:spacing w:line="360" w:lineRule="auto"/>
        <w:jc w:val="both"/>
        <w:rPr>
          <w:rFonts w:eastAsia="Calibri"/>
          <w:lang w:val="en-US" w:eastAsia="en-US"/>
        </w:rPr>
      </w:pPr>
    </w:p>
    <w:p w14:paraId="6572DBB7" w14:textId="77777777" w:rsidR="00216AFF" w:rsidRPr="00216AFF" w:rsidRDefault="00216AFF" w:rsidP="00216AFF">
      <w:pPr>
        <w:spacing w:line="360" w:lineRule="auto"/>
        <w:jc w:val="both"/>
        <w:rPr>
          <w:rFonts w:eastAsia="Calibri"/>
          <w:lang w:val="es-ES" w:eastAsia="en-US"/>
        </w:rPr>
      </w:pPr>
      <w:r w:rsidRPr="00216AFF">
        <w:rPr>
          <w:rFonts w:eastAsia="Calibri"/>
          <w:lang w:val="es-ES" w:eastAsia="en-US"/>
        </w:rPr>
        <w:t>Trabajos Científicos:</w:t>
      </w:r>
    </w:p>
    <w:p w14:paraId="0263EE80" w14:textId="77777777" w:rsidR="00216AFF" w:rsidRPr="00216AFF" w:rsidRDefault="00216AFF" w:rsidP="00202FE3">
      <w:pPr>
        <w:spacing w:line="360" w:lineRule="auto"/>
        <w:jc w:val="both"/>
      </w:pPr>
    </w:p>
    <w:p w14:paraId="4EC15102" w14:textId="77777777" w:rsidR="00216AFF" w:rsidRPr="00216AFF" w:rsidRDefault="00216AFF" w:rsidP="00202FE3">
      <w:pPr>
        <w:numPr>
          <w:ilvl w:val="0"/>
          <w:numId w:val="4"/>
        </w:numPr>
        <w:spacing w:line="360" w:lineRule="auto"/>
        <w:contextualSpacing/>
        <w:jc w:val="both"/>
      </w:pPr>
      <w:r w:rsidRPr="00216AFF">
        <w:t>Fracaso renal agudo y la enfermedad por coronavirus 2019 (COVID-19), su recuperación.</w:t>
      </w:r>
    </w:p>
    <w:p w14:paraId="694D8F85" w14:textId="77777777" w:rsidR="00216AFF" w:rsidRPr="00216AFF" w:rsidRDefault="00216AFF" w:rsidP="00202FE3">
      <w:pPr>
        <w:numPr>
          <w:ilvl w:val="0"/>
          <w:numId w:val="4"/>
        </w:numPr>
        <w:spacing w:line="360" w:lineRule="auto"/>
        <w:contextualSpacing/>
        <w:jc w:val="both"/>
      </w:pPr>
      <w:r w:rsidRPr="00216AFF">
        <w:t>Arte y dermatología.</w:t>
      </w:r>
    </w:p>
    <w:p w14:paraId="5F87D155"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Sensibilización micótica y microbiota nasal en trabajadores de archivo.</w:t>
      </w:r>
    </w:p>
    <w:p w14:paraId="787698EB" w14:textId="77777777" w:rsidR="00216AFF" w:rsidRPr="00216AFF" w:rsidRDefault="00216AFF" w:rsidP="00202FE3">
      <w:pPr>
        <w:numPr>
          <w:ilvl w:val="0"/>
          <w:numId w:val="4"/>
        </w:numPr>
        <w:spacing w:line="360" w:lineRule="auto"/>
        <w:contextualSpacing/>
        <w:jc w:val="both"/>
      </w:pPr>
      <w:r w:rsidRPr="00216AFF">
        <w:t>Evaluación del efecto antinflamatorio y antiviral de la gammaglobulina hiperinmune anticoronavirus tipo 2, del síndrome respiratorio agudo grave (SARS-CoV-2) en pacientes graves.</w:t>
      </w:r>
    </w:p>
    <w:p w14:paraId="78D576EA" w14:textId="77777777" w:rsidR="00216AFF" w:rsidRPr="00216AFF" w:rsidRDefault="00216AFF" w:rsidP="00202FE3">
      <w:pPr>
        <w:numPr>
          <w:ilvl w:val="0"/>
          <w:numId w:val="4"/>
        </w:numPr>
        <w:spacing w:line="360" w:lineRule="auto"/>
        <w:contextualSpacing/>
        <w:jc w:val="both"/>
        <w:rPr>
          <w:u w:val="single"/>
        </w:rPr>
      </w:pPr>
      <w:r w:rsidRPr="00216AFF">
        <w:lastRenderedPageBreak/>
        <w:t xml:space="preserve">Frecuencia y caracterización de las </w:t>
      </w:r>
      <w:r w:rsidRPr="00216AFF">
        <w:rPr>
          <w:bCs/>
          <w:iCs/>
        </w:rPr>
        <w:t xml:space="preserve">dislipoproteinemias </w:t>
      </w:r>
      <w:r w:rsidRPr="00216AFF">
        <w:t>primarias en pacientes con síndrome coronario agudo, por aterosclerosis prematura.</w:t>
      </w:r>
    </w:p>
    <w:p w14:paraId="303FDF7A" w14:textId="77777777" w:rsidR="00216AFF" w:rsidRPr="00216AFF" w:rsidRDefault="00216AFF" w:rsidP="00202FE3">
      <w:pPr>
        <w:numPr>
          <w:ilvl w:val="0"/>
          <w:numId w:val="4"/>
        </w:numPr>
        <w:spacing w:line="360" w:lineRule="auto"/>
        <w:contextualSpacing/>
        <w:jc w:val="both"/>
        <w:rPr>
          <w:color w:val="000000"/>
          <w:u w:val="single"/>
        </w:rPr>
      </w:pPr>
      <w:r w:rsidRPr="00216AFF">
        <w:rPr>
          <w:color w:val="000000"/>
        </w:rPr>
        <w:t xml:space="preserve">Técnica de </w:t>
      </w:r>
      <w:r w:rsidRPr="00216AFF">
        <w:rPr>
          <w:i/>
          <w:iCs/>
          <w:color w:val="000000"/>
        </w:rPr>
        <w:t>wide awake</w:t>
      </w:r>
      <w:r w:rsidRPr="00216AFF">
        <w:rPr>
          <w:color w:val="000000"/>
        </w:rPr>
        <w:t xml:space="preserve"> </w:t>
      </w:r>
      <w:r w:rsidRPr="00216AFF">
        <w:rPr>
          <w:i/>
          <w:iCs/>
          <w:color w:val="000000"/>
        </w:rPr>
        <w:t>local anesthesia no tourniquet</w:t>
      </w:r>
      <w:r w:rsidRPr="00216AFF">
        <w:rPr>
          <w:color w:val="000000"/>
        </w:rPr>
        <w:t xml:space="preserve"> (WALANT) en fracturas de tobillo.</w:t>
      </w:r>
    </w:p>
    <w:p w14:paraId="1D6D1786"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Utilidad del injerto de mucosa oral en la estrechez de uretra anterior.</w:t>
      </w:r>
    </w:p>
    <w:p w14:paraId="7D2C3F1A"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Evaluación preclínica del ungüento de quitosana al 1 % en la cicatrización de las quemaduras dérmicas AB.</w:t>
      </w:r>
    </w:p>
    <w:p w14:paraId="257DB6F7"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Infección por virus del papiloma humano y cáncer anal.</w:t>
      </w:r>
    </w:p>
    <w:p w14:paraId="62E0F892"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Desafíos del entorno quirúrgico pospandemia.</w:t>
      </w:r>
    </w:p>
    <w:p w14:paraId="6BACE6E2" w14:textId="77777777" w:rsidR="00216AFF" w:rsidRPr="00216AFF" w:rsidRDefault="00216AFF" w:rsidP="00202FE3">
      <w:pPr>
        <w:numPr>
          <w:ilvl w:val="0"/>
          <w:numId w:val="4"/>
        </w:numPr>
        <w:spacing w:line="360" w:lineRule="auto"/>
        <w:contextualSpacing/>
        <w:jc w:val="both"/>
      </w:pPr>
      <w:r w:rsidRPr="00216AFF">
        <w:t>Morbilidad en adolescentes pertenecientes a las FAR.</w:t>
      </w:r>
    </w:p>
    <w:p w14:paraId="632250E1"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Caracterización clínica e epidemiológica de los recién nacidos con crecimiento intrauterino retardado.</w:t>
      </w:r>
    </w:p>
    <w:p w14:paraId="3685AD6B"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Caracterización de las neumonías graves.</w:t>
      </w:r>
    </w:p>
    <w:p w14:paraId="415AA801"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Tumores renales, a propósito de un caso.</w:t>
      </w:r>
    </w:p>
    <w:p w14:paraId="4DEC08CD" w14:textId="77777777" w:rsidR="00216AFF" w:rsidRPr="00216AFF" w:rsidRDefault="00216AFF" w:rsidP="00202FE3">
      <w:pPr>
        <w:numPr>
          <w:ilvl w:val="0"/>
          <w:numId w:val="4"/>
        </w:numPr>
        <w:spacing w:line="360" w:lineRule="auto"/>
        <w:contextualSpacing/>
        <w:jc w:val="both"/>
      </w:pPr>
      <w:r w:rsidRPr="00216AFF">
        <w:t>Herpes simple recurrente. Presentación de un caso.</w:t>
      </w:r>
    </w:p>
    <w:p w14:paraId="731A8386" w14:textId="77777777" w:rsidR="00216AFF" w:rsidRPr="00216AFF" w:rsidRDefault="00216AFF" w:rsidP="00202FE3">
      <w:pPr>
        <w:numPr>
          <w:ilvl w:val="0"/>
          <w:numId w:val="4"/>
        </w:numPr>
        <w:spacing w:line="360" w:lineRule="auto"/>
        <w:contextualSpacing/>
        <w:jc w:val="both"/>
      </w:pPr>
      <w:r w:rsidRPr="00216AFF">
        <w:t xml:space="preserve">Simulación en cirugía ginecológica y obstetricia. </w:t>
      </w:r>
    </w:p>
    <w:p w14:paraId="5B34B0D3" w14:textId="77777777" w:rsidR="00216AFF" w:rsidRPr="00216AFF" w:rsidRDefault="00216AFF" w:rsidP="00202FE3">
      <w:pPr>
        <w:numPr>
          <w:ilvl w:val="0"/>
          <w:numId w:val="4"/>
        </w:numPr>
        <w:spacing w:line="360" w:lineRule="auto"/>
        <w:contextualSpacing/>
        <w:jc w:val="both"/>
      </w:pPr>
      <w:r w:rsidRPr="00216AFF">
        <w:t xml:space="preserve">Enfermedad inflamatoria pélvica en el Servicio de Ginecología. </w:t>
      </w:r>
    </w:p>
    <w:p w14:paraId="0F708651" w14:textId="77777777" w:rsidR="00216AFF" w:rsidRPr="00216AFF" w:rsidRDefault="00216AFF" w:rsidP="00202FE3">
      <w:pPr>
        <w:numPr>
          <w:ilvl w:val="0"/>
          <w:numId w:val="4"/>
        </w:numPr>
        <w:spacing w:line="360" w:lineRule="auto"/>
        <w:contextualSpacing/>
        <w:jc w:val="both"/>
      </w:pPr>
      <w:r w:rsidRPr="00216AFF">
        <w:t xml:space="preserve">Caracterización clínico epidemiológica de las neoplasias intraepiteliales cervicales en adolescentes. </w:t>
      </w:r>
    </w:p>
    <w:p w14:paraId="6ADD87F9" w14:textId="77777777" w:rsidR="00216AFF" w:rsidRPr="00216AFF" w:rsidRDefault="00216AFF" w:rsidP="00202FE3">
      <w:pPr>
        <w:numPr>
          <w:ilvl w:val="0"/>
          <w:numId w:val="4"/>
        </w:numPr>
        <w:spacing w:line="360" w:lineRule="auto"/>
        <w:contextualSpacing/>
        <w:jc w:val="both"/>
      </w:pPr>
      <w:r w:rsidRPr="00216AFF">
        <w:t xml:space="preserve">Tumor de ovario y embarazo, presentación de caso. </w:t>
      </w:r>
    </w:p>
    <w:p w14:paraId="4FB63E49"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rPr>
          <w:bCs/>
          <w:lang w:eastAsia="en-US"/>
        </w:rPr>
        <w:t>Aportes del estudio de 800 autopsias de pacientes con la COVID-19 en Cuba.</w:t>
      </w:r>
    </w:p>
    <w:p w14:paraId="1D8066D7" w14:textId="77777777" w:rsidR="00216AFF" w:rsidRPr="00216AFF" w:rsidRDefault="00216AFF" w:rsidP="00202FE3">
      <w:pPr>
        <w:numPr>
          <w:ilvl w:val="0"/>
          <w:numId w:val="4"/>
        </w:numPr>
        <w:spacing w:line="360" w:lineRule="auto"/>
        <w:contextualSpacing/>
        <w:jc w:val="both"/>
      </w:pPr>
      <w:r w:rsidRPr="00216AFF">
        <w:t>Daño múltiple de órganos por la COVID-19.</w:t>
      </w:r>
    </w:p>
    <w:p w14:paraId="61F6044B" w14:textId="77777777" w:rsidR="00216AFF" w:rsidRPr="00216AFF" w:rsidRDefault="00216AFF" w:rsidP="00202FE3">
      <w:pPr>
        <w:numPr>
          <w:ilvl w:val="0"/>
          <w:numId w:val="4"/>
        </w:numPr>
        <w:spacing w:line="360" w:lineRule="auto"/>
        <w:contextualSpacing/>
        <w:jc w:val="both"/>
      </w:pPr>
      <w:r w:rsidRPr="00216AFF">
        <w:t>Un laboratorio en emergencia.</w:t>
      </w:r>
    </w:p>
    <w:p w14:paraId="360FA84F"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Preparación de diluyentes para complejos hematológicos: Mindray 3200 y 5800.</w:t>
      </w:r>
    </w:p>
    <w:p w14:paraId="11B8AA3B" w14:textId="77777777" w:rsidR="00216AFF" w:rsidRPr="00216AFF" w:rsidRDefault="00216AFF" w:rsidP="00202FE3">
      <w:pPr>
        <w:numPr>
          <w:ilvl w:val="0"/>
          <w:numId w:val="4"/>
        </w:numPr>
        <w:tabs>
          <w:tab w:val="left" w:pos="1058"/>
        </w:tabs>
        <w:spacing w:line="360" w:lineRule="auto"/>
        <w:contextualSpacing/>
        <w:jc w:val="both"/>
      </w:pPr>
      <w:r w:rsidRPr="00216AFF">
        <w:t>Prevención y promoción de salud en pacientes menores de 25 años en las escuelas militares.</w:t>
      </w:r>
    </w:p>
    <w:p w14:paraId="74675081" w14:textId="77777777" w:rsidR="00216AFF" w:rsidRPr="00216AFF" w:rsidRDefault="00216AFF" w:rsidP="00202FE3">
      <w:pPr>
        <w:numPr>
          <w:ilvl w:val="0"/>
          <w:numId w:val="4"/>
        </w:numPr>
        <w:tabs>
          <w:tab w:val="left" w:pos="1058"/>
        </w:tabs>
        <w:spacing w:line="360" w:lineRule="auto"/>
        <w:contextualSpacing/>
        <w:jc w:val="both"/>
      </w:pPr>
      <w:r w:rsidRPr="00216AFF">
        <w:t>Absceso celar, presentación de un caso y revisión del tema.</w:t>
      </w:r>
    </w:p>
    <w:p w14:paraId="3A88521C" w14:textId="77777777" w:rsidR="00216AFF" w:rsidRPr="00216AFF" w:rsidRDefault="00216AFF" w:rsidP="00202FE3">
      <w:pPr>
        <w:numPr>
          <w:ilvl w:val="0"/>
          <w:numId w:val="4"/>
        </w:numPr>
        <w:spacing w:line="360" w:lineRule="auto"/>
        <w:contextualSpacing/>
        <w:jc w:val="both"/>
      </w:pPr>
      <w:r w:rsidRPr="00216AFF">
        <w:t>Rehabilitación del pie diabético. Presentación de caso.</w:t>
      </w:r>
    </w:p>
    <w:p w14:paraId="1AC2CFB8"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Empleo del curmeric en pacientes con la COVID-19 persistente.</w:t>
      </w:r>
    </w:p>
    <w:p w14:paraId="3EA78DA0"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Gestión del cuidado de enfermería a pacientes con patologías de cuello.</w:t>
      </w:r>
    </w:p>
    <w:p w14:paraId="3CF10D6A"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lastRenderedPageBreak/>
        <w:t>Comportamiento del consumo de sustancias psicoactivas en militares en el período 2018-2023.</w:t>
      </w:r>
    </w:p>
    <w:p w14:paraId="069C70A1"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Estomatitis subprótesis en pacientes mayores de 60 años.</w:t>
      </w:r>
    </w:p>
    <w:p w14:paraId="3A999127"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Comparación de los estados emocionales en oficiales y cuadros evaluados en el examen médico de control de salud en el año 2023.</w:t>
      </w:r>
    </w:p>
    <w:p w14:paraId="306255A4" w14:textId="77777777" w:rsidR="00216AFF" w:rsidRPr="00216AFF" w:rsidRDefault="00216AFF" w:rsidP="00202FE3">
      <w:pPr>
        <w:numPr>
          <w:ilvl w:val="0"/>
          <w:numId w:val="4"/>
        </w:numPr>
        <w:spacing w:line="360" w:lineRule="auto"/>
        <w:contextualSpacing/>
        <w:jc w:val="both"/>
        <w:rPr>
          <w:bCs/>
          <w:iCs/>
        </w:rPr>
      </w:pPr>
      <w:r w:rsidRPr="00216AFF">
        <w:rPr>
          <w:bCs/>
          <w:iCs/>
        </w:rPr>
        <w:t>Evaluación del conocimiento del protocolo de actuación de enfermería en el infarto agudo de miocardio.</w:t>
      </w:r>
    </w:p>
    <w:p w14:paraId="477C5190" w14:textId="77777777" w:rsidR="00216AFF" w:rsidRPr="00216AFF" w:rsidRDefault="00216AFF" w:rsidP="00202FE3">
      <w:pPr>
        <w:numPr>
          <w:ilvl w:val="0"/>
          <w:numId w:val="4"/>
        </w:numPr>
        <w:spacing w:line="360" w:lineRule="auto"/>
        <w:contextualSpacing/>
        <w:jc w:val="both"/>
      </w:pPr>
      <w:r w:rsidRPr="00216AFF">
        <w:t>Atención al paciente con síndrome Guillain Barré en la COVID-19.</w:t>
      </w:r>
    </w:p>
    <w:p w14:paraId="0751EB1D" w14:textId="77777777" w:rsidR="00216AFF" w:rsidRPr="00216AFF" w:rsidRDefault="00216AFF" w:rsidP="00202FE3">
      <w:pPr>
        <w:numPr>
          <w:ilvl w:val="0"/>
          <w:numId w:val="4"/>
        </w:numPr>
        <w:spacing w:line="360" w:lineRule="auto"/>
        <w:contextualSpacing/>
        <w:jc w:val="both"/>
      </w:pPr>
      <w:r w:rsidRPr="00216AFF">
        <w:t>Intervención de enfermería en la inmunización con la COVID-19.</w:t>
      </w:r>
    </w:p>
    <w:p w14:paraId="6CB57D4A"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Proceso de atención de enfermería. Actualidad para la práctica asistencial.</w:t>
      </w:r>
    </w:p>
    <w:p w14:paraId="09948436" w14:textId="77777777" w:rsidR="00216AFF" w:rsidRPr="00216AFF" w:rsidRDefault="00216AFF" w:rsidP="00202FE3">
      <w:pPr>
        <w:numPr>
          <w:ilvl w:val="0"/>
          <w:numId w:val="4"/>
        </w:numPr>
        <w:spacing w:line="360" w:lineRule="auto"/>
        <w:contextualSpacing/>
        <w:jc w:val="both"/>
      </w:pPr>
      <w:r w:rsidRPr="00216AFF">
        <w:t>Comportamiento de la calidad de vida en oficiales que asisten al examen médico de control de salud.</w:t>
      </w:r>
    </w:p>
    <w:p w14:paraId="21A0B6B4" w14:textId="77777777" w:rsidR="00216AFF" w:rsidRPr="00216AFF" w:rsidRDefault="00216AFF" w:rsidP="00202FE3">
      <w:pPr>
        <w:numPr>
          <w:ilvl w:val="0"/>
          <w:numId w:val="4"/>
        </w:numPr>
        <w:spacing w:line="360" w:lineRule="auto"/>
        <w:contextualSpacing/>
        <w:jc w:val="both"/>
      </w:pPr>
      <w:r w:rsidRPr="00216AFF">
        <w:t>Comportamiento de la peroxidación lipídica en oficiales que asisten en el examen médico de control de salud.</w:t>
      </w:r>
    </w:p>
    <w:p w14:paraId="2D8DDBE0" w14:textId="77777777" w:rsidR="00216AFF" w:rsidRPr="00216AFF" w:rsidRDefault="00216AFF" w:rsidP="00202FE3">
      <w:pPr>
        <w:numPr>
          <w:ilvl w:val="0"/>
          <w:numId w:val="4"/>
        </w:numPr>
        <w:spacing w:line="360" w:lineRule="auto"/>
        <w:contextualSpacing/>
        <w:jc w:val="both"/>
      </w:pPr>
      <w:r w:rsidRPr="00216AFF">
        <w:t xml:space="preserve">Equipo de respuesta rápida, una necesidad oportuna. Propuesta de su estructura. </w:t>
      </w:r>
    </w:p>
    <w:p w14:paraId="3638FAF7" w14:textId="77777777" w:rsidR="00216AFF" w:rsidRPr="00216AFF" w:rsidRDefault="00216AFF" w:rsidP="00202FE3">
      <w:pPr>
        <w:numPr>
          <w:ilvl w:val="0"/>
          <w:numId w:val="4"/>
        </w:numPr>
        <w:spacing w:line="360" w:lineRule="auto"/>
        <w:contextualSpacing/>
        <w:jc w:val="both"/>
      </w:pPr>
      <w:r w:rsidRPr="00216AFF">
        <w:t xml:space="preserve">Cirugía restauradora en pacientes con lesión abrasiva de ambas manos. Presentación de un caso. </w:t>
      </w:r>
    </w:p>
    <w:p w14:paraId="4300A05C" w14:textId="77777777" w:rsidR="00216AFF" w:rsidRPr="00216AFF" w:rsidRDefault="00216AFF" w:rsidP="00202FE3">
      <w:pPr>
        <w:numPr>
          <w:ilvl w:val="0"/>
          <w:numId w:val="4"/>
        </w:numPr>
        <w:spacing w:line="360" w:lineRule="auto"/>
        <w:contextualSpacing/>
        <w:jc w:val="both"/>
      </w:pPr>
      <w:r w:rsidRPr="00216AFF">
        <w:t>Trauma vascular en urgencias.</w:t>
      </w:r>
    </w:p>
    <w:p w14:paraId="0A14BFF8" w14:textId="77777777" w:rsidR="00216AFF" w:rsidRPr="00216AFF" w:rsidRDefault="00216AFF" w:rsidP="00202FE3">
      <w:pPr>
        <w:numPr>
          <w:ilvl w:val="0"/>
          <w:numId w:val="4"/>
        </w:numPr>
        <w:spacing w:line="360" w:lineRule="auto"/>
        <w:contextualSpacing/>
        <w:jc w:val="both"/>
      </w:pPr>
      <w:r w:rsidRPr="00216AFF">
        <w:t>Estrategia de actuación en la insuficiencia respiratoria aguda.</w:t>
      </w:r>
    </w:p>
    <w:p w14:paraId="591538B3" w14:textId="77777777" w:rsidR="00216AFF" w:rsidRPr="00216AFF" w:rsidRDefault="00216AFF" w:rsidP="00202FE3">
      <w:pPr>
        <w:numPr>
          <w:ilvl w:val="0"/>
          <w:numId w:val="4"/>
        </w:numPr>
        <w:spacing w:line="360" w:lineRule="auto"/>
        <w:contextualSpacing/>
        <w:jc w:val="both"/>
      </w:pPr>
      <w:r w:rsidRPr="00216AFF">
        <w:t>Enfermedades de trasmisión sexual, estudio de casos.</w:t>
      </w:r>
    </w:p>
    <w:p w14:paraId="1E2D204B" w14:textId="77777777" w:rsidR="00216AFF" w:rsidRPr="00216AFF" w:rsidRDefault="00216AFF" w:rsidP="00202FE3">
      <w:pPr>
        <w:numPr>
          <w:ilvl w:val="0"/>
          <w:numId w:val="4"/>
        </w:numPr>
        <w:spacing w:line="360" w:lineRule="auto"/>
        <w:contextualSpacing/>
        <w:jc w:val="both"/>
      </w:pPr>
      <w:r w:rsidRPr="00216AFF">
        <w:t>Ruptura del cuádriceps del fémur. Presentación de un caso.</w:t>
      </w:r>
    </w:p>
    <w:p w14:paraId="443C9AFD" w14:textId="77777777" w:rsidR="00216AFF" w:rsidRPr="00216AFF" w:rsidRDefault="00216AFF" w:rsidP="00202FE3">
      <w:pPr>
        <w:numPr>
          <w:ilvl w:val="0"/>
          <w:numId w:val="4"/>
        </w:numPr>
        <w:spacing w:line="360" w:lineRule="auto"/>
        <w:contextualSpacing/>
        <w:jc w:val="both"/>
      </w:pPr>
      <w:r w:rsidRPr="00216AFF">
        <w:t>El profesor universitario. Una visión de cambio en su actuación educativa.</w:t>
      </w:r>
    </w:p>
    <w:p w14:paraId="6412A929" w14:textId="77777777" w:rsidR="00216AFF" w:rsidRPr="00216AFF" w:rsidRDefault="00216AFF" w:rsidP="00202FE3">
      <w:pPr>
        <w:numPr>
          <w:ilvl w:val="0"/>
          <w:numId w:val="4"/>
        </w:numPr>
        <w:spacing w:line="360" w:lineRule="auto"/>
        <w:contextualSpacing/>
        <w:jc w:val="both"/>
      </w:pPr>
      <w:r w:rsidRPr="00216AFF">
        <w:t>La robótica educativa implementada en la medicina.</w:t>
      </w:r>
    </w:p>
    <w:p w14:paraId="3AF06E26"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Caracterización del daño renal agudo en pacientes graves en el Hospital Pediátrico de Centro Habana, 2019.</w:t>
      </w:r>
    </w:p>
    <w:p w14:paraId="34BE82FE"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Factores de riesgo epigenéticos para el sobrepeso y la obesidad en los primeros 1000 días de la vida.</w:t>
      </w:r>
    </w:p>
    <w:p w14:paraId="0BB4264A" w14:textId="77777777" w:rsidR="00216AFF" w:rsidRPr="00216AFF" w:rsidRDefault="00216AFF" w:rsidP="00202FE3">
      <w:pPr>
        <w:numPr>
          <w:ilvl w:val="0"/>
          <w:numId w:val="4"/>
        </w:numPr>
        <w:spacing w:line="360" w:lineRule="auto"/>
        <w:contextualSpacing/>
        <w:jc w:val="both"/>
      </w:pPr>
      <w:r w:rsidRPr="00216AFF">
        <w:t>Anestesia y tratamiento del trauma raquimedular.</w:t>
      </w:r>
    </w:p>
    <w:p w14:paraId="192D9A76"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Caracterización de los lesionados con trauma abdominal en los hospitales militares de La Habana.</w:t>
      </w:r>
    </w:p>
    <w:p w14:paraId="058B4F7A" w14:textId="77777777" w:rsidR="00216AFF" w:rsidRPr="00216AFF" w:rsidRDefault="00216AFF" w:rsidP="00202FE3">
      <w:pPr>
        <w:numPr>
          <w:ilvl w:val="0"/>
          <w:numId w:val="4"/>
        </w:numPr>
        <w:spacing w:line="360" w:lineRule="auto"/>
        <w:contextualSpacing/>
        <w:jc w:val="both"/>
      </w:pPr>
      <w:r w:rsidRPr="00216AFF">
        <w:t>Escalas clínicas para diagnóstico y valoración neurológica del ictus.</w:t>
      </w:r>
    </w:p>
    <w:p w14:paraId="4C74AE0C"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lastRenderedPageBreak/>
        <w:t>Página web de ginecobstetricia.</w:t>
      </w:r>
    </w:p>
    <w:p w14:paraId="3345DB13"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Antecedentes históricos del surgimiento de la enfermería.</w:t>
      </w:r>
    </w:p>
    <w:p w14:paraId="19F24424"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Comportamiento de la ventilación mecánica en el recién nacido pretérmino en el Servicio de Neonatología del Hospital “Eusebio Hernández”.</w:t>
      </w:r>
    </w:p>
    <w:p w14:paraId="7E2CE38E"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Factores de riesgo, asociados a la aparición de enfermedad inflamatoria pélvica en las edades comprendidas entre 13 a 17 años.</w:t>
      </w:r>
    </w:p>
    <w:p w14:paraId="1B22AD8F"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Lesiones neoplásicas óseas no malignas.</w:t>
      </w:r>
    </w:p>
    <w:p w14:paraId="1C68FAE1" w14:textId="77777777" w:rsidR="00216AFF" w:rsidRPr="00216AFF" w:rsidRDefault="00216AFF" w:rsidP="00202FE3">
      <w:pPr>
        <w:numPr>
          <w:ilvl w:val="0"/>
          <w:numId w:val="4"/>
        </w:numPr>
        <w:spacing w:line="360" w:lineRule="auto"/>
        <w:contextualSpacing/>
        <w:jc w:val="both"/>
        <w:rPr>
          <w:color w:val="000000"/>
          <w:sz w:val="20"/>
          <w:szCs w:val="20"/>
          <w:shd w:val="clear" w:color="auto" w:fill="FFFFFF"/>
        </w:rPr>
      </w:pPr>
      <w:r w:rsidRPr="00216AFF">
        <w:t>Síndrome de West, a propósito de un caso.</w:t>
      </w:r>
    </w:p>
    <w:p w14:paraId="026D387F" w14:textId="77777777" w:rsidR="00216AFF" w:rsidRPr="00216AFF" w:rsidRDefault="00216AFF" w:rsidP="00202FE3">
      <w:pPr>
        <w:numPr>
          <w:ilvl w:val="0"/>
          <w:numId w:val="4"/>
        </w:numPr>
        <w:tabs>
          <w:tab w:val="left" w:pos="-284"/>
        </w:tabs>
        <w:spacing w:line="360" w:lineRule="auto"/>
        <w:contextualSpacing/>
        <w:jc w:val="both"/>
      </w:pPr>
      <w:r w:rsidRPr="00216AFF">
        <w:t>Identificación de necesidades de capacitación para el diagnóstico de bacteriemia en el Hospital Militar Central “Dr. Luis Díaz Soto”.</w:t>
      </w:r>
    </w:p>
    <w:p w14:paraId="331D20CD" w14:textId="77777777" w:rsidR="00216AFF" w:rsidRPr="00216AFF" w:rsidRDefault="00216AFF" w:rsidP="00202FE3">
      <w:pPr>
        <w:spacing w:line="360" w:lineRule="auto"/>
        <w:jc w:val="both"/>
        <w:rPr>
          <w:color w:val="000000"/>
          <w:shd w:val="clear" w:color="auto" w:fill="FFFFFF"/>
        </w:rPr>
      </w:pPr>
    </w:p>
    <w:p w14:paraId="7F8028F2" w14:textId="77777777" w:rsidR="00216AFF" w:rsidRPr="00216AFF" w:rsidRDefault="00216AFF" w:rsidP="00216AFF">
      <w:pPr>
        <w:spacing w:line="360" w:lineRule="auto"/>
        <w:ind w:left="360"/>
        <w:jc w:val="both"/>
        <w:rPr>
          <w:color w:val="000000"/>
          <w:shd w:val="clear" w:color="auto" w:fill="FFFFFF"/>
        </w:rPr>
      </w:pPr>
      <w:r w:rsidRPr="00216AFF">
        <w:rPr>
          <w:color w:val="000000"/>
          <w:shd w:val="clear" w:color="auto" w:fill="FFFFFF"/>
        </w:rPr>
        <w:t>“Hoy, en la Patria nueva, en la Patria verdaderamente libre, los científicos, los investigadores, tienen todas las oportunidades, sobre todo, la gran oportunidad de que cada una de las cosas que realicen, cada uno de los esfuerzos que hagan, van a beneficiar directamente a su pueblo y a su patria. Hoy tienen la satisfacción de saber que hay un gobierno revolucionario que busca la verdad, que necesita de los científicos, que necesita de los investigadores; porque es el minuto en que todas las inteligencias tienen que ponerse a trabajar, en que todos los conocimientos no son suficientes para la obra que se realiza y son necesarios más conocimientos: y así, el científico, como el artista, tiene hoy el escenario ideal donde su inteligencia y su talento pueden encontrar desarrollo pleno en busca de la verdad y del bien, porque ha entrado la patria por el sendero de la verdad, porque ha entrado la patria por el sendero de la justicia, por el camino donde no se persigue la inteligencia sino que se le estimula y se le premia: ha entrado la patria por el camino en que es necesario que todos nos pongamos a estudiar y nos pongamos a investigar.”</w:t>
      </w:r>
      <w:r w:rsidRPr="00216AFF">
        <w:rPr>
          <w:color w:val="000000"/>
          <w:shd w:val="clear" w:color="auto" w:fill="FFFFFF"/>
          <w:vertAlign w:val="superscript"/>
        </w:rPr>
        <w:t>(2)</w:t>
      </w:r>
      <w:r w:rsidRPr="00216AFF">
        <w:rPr>
          <w:color w:val="000000"/>
          <w:shd w:val="clear" w:color="auto" w:fill="FFFFFF"/>
        </w:rPr>
        <w:t xml:space="preserve"> </w:t>
      </w:r>
    </w:p>
    <w:p w14:paraId="72AFBFE6" w14:textId="77777777" w:rsidR="00216AFF" w:rsidRPr="00216AFF" w:rsidRDefault="00216AFF" w:rsidP="00216AFF">
      <w:pPr>
        <w:spacing w:line="360" w:lineRule="auto"/>
        <w:ind w:left="360"/>
        <w:jc w:val="both"/>
        <w:rPr>
          <w:color w:val="000000"/>
          <w:shd w:val="clear" w:color="auto" w:fill="FFFFFF"/>
        </w:rPr>
      </w:pPr>
    </w:p>
    <w:p w14:paraId="5B61E1A6" w14:textId="77777777" w:rsidR="00216AFF" w:rsidRPr="00216AFF" w:rsidRDefault="00216AFF" w:rsidP="00216AFF">
      <w:pPr>
        <w:spacing w:line="360" w:lineRule="auto"/>
        <w:jc w:val="both"/>
        <w:rPr>
          <w:color w:val="000000"/>
          <w:shd w:val="clear" w:color="auto" w:fill="FFFFFF"/>
        </w:rPr>
      </w:pPr>
      <w:r w:rsidRPr="00216AFF">
        <w:rPr>
          <w:color w:val="000000"/>
          <w:shd w:val="clear" w:color="auto" w:fill="FFFFFF"/>
        </w:rPr>
        <w:t xml:space="preserve">Esta cita de Fidel Castro Ruz, define la necesidad de investigar, de poner al servicio del pueblo los avances de la ciencia y la técnica, porque solo bajo esos principios se logra mejor calidad de la asistencia médica. </w:t>
      </w:r>
    </w:p>
    <w:p w14:paraId="551A8A53" w14:textId="77777777" w:rsidR="00216AFF" w:rsidRPr="00216AFF" w:rsidRDefault="00216AFF" w:rsidP="00216AFF">
      <w:pPr>
        <w:spacing w:line="360" w:lineRule="auto"/>
        <w:jc w:val="both"/>
        <w:rPr>
          <w:color w:val="000000"/>
          <w:shd w:val="clear" w:color="auto" w:fill="FFFFFF"/>
        </w:rPr>
      </w:pPr>
      <w:r w:rsidRPr="00216AFF">
        <w:rPr>
          <w:color w:val="000000"/>
          <w:shd w:val="clear" w:color="auto" w:fill="FFFFFF"/>
        </w:rPr>
        <w:lastRenderedPageBreak/>
        <w:t>El Hospital Militar Central “Dr. Luis Díaz Soto”, el 3 de diciembre cumple 61 aniversario y dirige todos sus esfuerzos a salvar vidas, lo cual está directamente relacionado con la investigación científica.</w:t>
      </w:r>
    </w:p>
    <w:p w14:paraId="76397701" w14:textId="77777777" w:rsidR="00216AFF" w:rsidRPr="00216AFF" w:rsidRDefault="00216AFF" w:rsidP="00216AFF">
      <w:pPr>
        <w:spacing w:line="360" w:lineRule="auto"/>
        <w:jc w:val="both"/>
        <w:rPr>
          <w:color w:val="000000"/>
          <w:sz w:val="20"/>
          <w:szCs w:val="20"/>
          <w:shd w:val="clear" w:color="auto" w:fill="FFFFFF"/>
        </w:rPr>
      </w:pPr>
      <w:r w:rsidRPr="00216AFF">
        <w:rPr>
          <w:rFonts w:eastAsia="Calibri"/>
          <w:lang w:val="es-ES" w:eastAsia="en-US"/>
        </w:rPr>
        <w:t xml:space="preserve">Con la premisa de que </w:t>
      </w:r>
      <w:r w:rsidRPr="00216AFF">
        <w:rPr>
          <w:color w:val="000000"/>
          <w:shd w:val="clear" w:color="auto" w:fill="FFFFFF"/>
        </w:rPr>
        <w:t>“…el futuro de nuestra Patria tiene que ser necesariamente un futuro de hombres de ciencia, tiene que ser un futuro de hombres de pensamiento”,</w:t>
      </w:r>
      <w:r w:rsidRPr="00216AFF">
        <w:rPr>
          <w:color w:val="000000"/>
          <w:shd w:val="clear" w:color="auto" w:fill="FFFFFF"/>
          <w:vertAlign w:val="superscript"/>
        </w:rPr>
        <w:t>(2)</w:t>
      </w:r>
      <w:r w:rsidRPr="00216AFF">
        <w:rPr>
          <w:rFonts w:eastAsia="Calibri"/>
          <w:lang w:val="es-ES" w:eastAsia="en-US"/>
        </w:rPr>
        <w:t xml:space="preserve"> se hace extensiva la convocamos para la LII Jornada Científica Institucional en 2024.</w:t>
      </w:r>
    </w:p>
    <w:p w14:paraId="15974DF0" w14:textId="77777777" w:rsidR="00216AFF" w:rsidRPr="00216AFF" w:rsidRDefault="00216AFF" w:rsidP="00216AFF">
      <w:pPr>
        <w:spacing w:line="360" w:lineRule="auto"/>
        <w:jc w:val="both"/>
        <w:rPr>
          <w:color w:val="000000"/>
          <w:shd w:val="clear" w:color="auto" w:fill="FFFFFF"/>
        </w:rPr>
      </w:pPr>
    </w:p>
    <w:p w14:paraId="6895AB4E" w14:textId="77777777" w:rsidR="00216AFF" w:rsidRPr="00216AFF" w:rsidRDefault="00216AFF" w:rsidP="00216AFF">
      <w:pPr>
        <w:spacing w:line="360" w:lineRule="auto"/>
        <w:jc w:val="center"/>
        <w:rPr>
          <w:rFonts w:eastAsia="Calibri"/>
          <w:b/>
          <w:bCs/>
          <w:sz w:val="32"/>
          <w:szCs w:val="32"/>
          <w:lang w:val="es-ES" w:eastAsia="en-US"/>
        </w:rPr>
      </w:pPr>
    </w:p>
    <w:p w14:paraId="50D9B53D" w14:textId="77777777" w:rsidR="00216AFF" w:rsidRPr="00216AFF" w:rsidRDefault="00216AFF" w:rsidP="00216AFF">
      <w:pPr>
        <w:spacing w:line="360" w:lineRule="auto"/>
        <w:jc w:val="center"/>
        <w:rPr>
          <w:rFonts w:eastAsia="Calibri"/>
          <w:b/>
          <w:bCs/>
          <w:sz w:val="32"/>
          <w:szCs w:val="32"/>
          <w:lang w:val="es-ES" w:eastAsia="en-US"/>
        </w:rPr>
      </w:pPr>
      <w:r w:rsidRPr="00216AFF">
        <w:rPr>
          <w:rFonts w:eastAsia="Calibri"/>
          <w:b/>
          <w:bCs/>
          <w:sz w:val="32"/>
          <w:szCs w:val="32"/>
          <w:lang w:val="es-ES" w:eastAsia="en-US"/>
        </w:rPr>
        <w:t>REFERENCIAS BIBLIOGRÁFICAS</w:t>
      </w:r>
    </w:p>
    <w:p w14:paraId="4B0AC033" w14:textId="77777777" w:rsidR="00216AFF" w:rsidRPr="00216AFF" w:rsidRDefault="00216AFF" w:rsidP="00216AFF">
      <w:pPr>
        <w:spacing w:line="360" w:lineRule="auto"/>
      </w:pPr>
      <w:r w:rsidRPr="00216AFF">
        <w:t xml:space="preserve">1. Castro Ruz F. Discurso pronunciado por el Comandante Fidel Castro Ruz, en el acto clausura del XI Congreso Médico y VII Estomatológico Nacional, celebrado en el Teatro Chaplin, el 26 de febrero de 1966. La Habana: Consejo de Estado; 1966. [acceso: 25/11/2023]. Disponible en: </w:t>
      </w:r>
      <w:hyperlink r:id="rId8" w:history="1">
        <w:r w:rsidRPr="00216AFF">
          <w:rPr>
            <w:color w:val="0000FF"/>
          </w:rPr>
          <w:t>http://www.cuba.cu/gobierno/discursos/1966/esp/f260266e.html</w:t>
        </w:r>
      </w:hyperlink>
      <w:r w:rsidRPr="00216AFF">
        <w:t xml:space="preserve">   </w:t>
      </w:r>
    </w:p>
    <w:p w14:paraId="767C329A" w14:textId="77777777" w:rsidR="00216AFF" w:rsidRPr="00216AFF" w:rsidRDefault="00216AFF" w:rsidP="00216AFF">
      <w:pPr>
        <w:spacing w:line="360" w:lineRule="auto"/>
      </w:pPr>
      <w:r w:rsidRPr="00216AFF">
        <w:t xml:space="preserve">2. Castro Ruz F. Discurso pronunciado en el Acto celebrado por la Sociedad Espeleológica de Cuba, en la Academia de Ciencias, el 15 de enero de 1960. La Habana: Consejo de Estado; 1960. [acceso: 25/11/2023]. Disponible en: </w:t>
      </w:r>
      <w:hyperlink r:id="rId9" w:history="1">
        <w:r w:rsidRPr="00216AFF">
          <w:rPr>
            <w:color w:val="0000FF"/>
          </w:rPr>
          <w:t>http://www.cuba.cu/gobierno/discursos/1960/esp/f150160e.html</w:t>
        </w:r>
      </w:hyperlink>
      <w:r w:rsidRPr="00216AFF">
        <w:t xml:space="preserve">  </w:t>
      </w:r>
    </w:p>
    <w:p w14:paraId="15AE2221" w14:textId="77777777" w:rsidR="00216AFF" w:rsidRPr="00216AFF" w:rsidRDefault="00216AFF" w:rsidP="00216AFF">
      <w:pPr>
        <w:spacing w:line="360" w:lineRule="auto"/>
      </w:pPr>
    </w:p>
    <w:p w14:paraId="545FF9EB" w14:textId="77777777" w:rsidR="00216AFF" w:rsidRPr="00216AFF" w:rsidRDefault="00216AFF" w:rsidP="00216AFF">
      <w:pPr>
        <w:spacing w:line="360" w:lineRule="auto"/>
      </w:pPr>
    </w:p>
    <w:p w14:paraId="0103937A" w14:textId="77777777" w:rsidR="00216AFF" w:rsidRPr="00216AFF" w:rsidRDefault="00216AFF" w:rsidP="00216AFF">
      <w:pPr>
        <w:spacing w:line="360" w:lineRule="auto"/>
        <w:jc w:val="center"/>
        <w:rPr>
          <w:b/>
          <w:bCs/>
        </w:rPr>
      </w:pPr>
      <w:r w:rsidRPr="00216AFF">
        <w:rPr>
          <w:b/>
          <w:bCs/>
        </w:rPr>
        <w:t>Conflictos de interés</w:t>
      </w:r>
    </w:p>
    <w:p w14:paraId="013D6067" w14:textId="3A803606" w:rsidR="00216AFF" w:rsidRPr="00216AFF" w:rsidRDefault="00216AFF" w:rsidP="00216AFF">
      <w:pPr>
        <w:spacing w:line="360" w:lineRule="auto"/>
        <w:jc w:val="both"/>
      </w:pPr>
      <w:r w:rsidRPr="00216AFF">
        <w:t>El autor declara que no existen conflictos de interés, más allá de su condición de trabajador del Hospital Militar Central “Dr. Luis Díaz Soto”</w:t>
      </w:r>
      <w:r w:rsidR="00202FE3">
        <w:t>.</w:t>
      </w:r>
    </w:p>
    <w:p w14:paraId="7BB3719E" w14:textId="77777777" w:rsidR="00675476" w:rsidRPr="00216AFF" w:rsidRDefault="00675476" w:rsidP="00EA1FEF">
      <w:pPr>
        <w:pStyle w:val="PDFRevista"/>
        <w:rPr>
          <w:lang w:val="es-ES_tradnl"/>
        </w:rPr>
      </w:pPr>
    </w:p>
    <w:sectPr w:rsidR="00675476" w:rsidRPr="00216AFF" w:rsidSect="00FD3DF8">
      <w:headerReference w:type="default" r:id="rId10"/>
      <w:footerReference w:type="even" r:id="rId11"/>
      <w:footerReference w:type="default" r:id="rId1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6893" w14:textId="77777777" w:rsidR="00011AAB" w:rsidRDefault="00011AAB">
      <w:r>
        <w:separator/>
      </w:r>
    </w:p>
  </w:endnote>
  <w:endnote w:type="continuationSeparator" w:id="0">
    <w:p w14:paraId="5E039607" w14:textId="77777777" w:rsidR="00011AAB" w:rsidRDefault="0001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B08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B5A40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67B1"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15153A4F" wp14:editId="6A6A9A26">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132FF"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F60CDD6" w14:textId="77777777" w:rsidR="00675476" w:rsidRPr="00AE044C" w:rsidRDefault="00011AAB" w:rsidP="00391509">
    <w:pPr>
      <w:pStyle w:val="Piedepgina"/>
      <w:ind w:right="360"/>
      <w:rPr>
        <w:sz w:val="22"/>
        <w:szCs w:val="22"/>
      </w:rPr>
    </w:pPr>
    <w:hyperlink r:id="rId1" w:history="1">
      <w:r w:rsidR="00391509" w:rsidRPr="00AE044C">
        <w:rPr>
          <w:rStyle w:val="Hipervnculo"/>
          <w:sz w:val="22"/>
          <w:szCs w:val="22"/>
        </w:rPr>
        <w:t>http://scielo.sld.cu</w:t>
      </w:r>
    </w:hyperlink>
  </w:p>
  <w:p w14:paraId="7FC57117" w14:textId="77777777" w:rsidR="00391509" w:rsidRPr="00AE044C" w:rsidRDefault="00011AAB"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54908434"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16A89F84" wp14:editId="5DFC3A28">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28F6" w14:textId="77777777" w:rsidR="00011AAB" w:rsidRDefault="00011AAB">
      <w:r>
        <w:separator/>
      </w:r>
    </w:p>
  </w:footnote>
  <w:footnote w:type="continuationSeparator" w:id="0">
    <w:p w14:paraId="56A13605" w14:textId="77777777" w:rsidR="00011AAB" w:rsidRDefault="00011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248D" w14:textId="47525D95" w:rsidR="00CC376A" w:rsidRPr="00AE044C" w:rsidRDefault="00216AFF"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Pr>
        <w:sz w:val="22"/>
        <w:szCs w:val="22"/>
      </w:rPr>
      <w:t>e024028647</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724647DA" wp14:editId="0D3F7487">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0E96F657"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56661C1C" wp14:editId="26513970">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E6120"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E7B6A"/>
    <w:multiLevelType w:val="hybridMultilevel"/>
    <w:tmpl w:val="CBFE56F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A057587"/>
    <w:multiLevelType w:val="hybridMultilevel"/>
    <w:tmpl w:val="18607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CEA2CA6"/>
    <w:multiLevelType w:val="hybridMultilevel"/>
    <w:tmpl w:val="32F44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FF"/>
    <w:rsid w:val="00011AAB"/>
    <w:rsid w:val="00057F45"/>
    <w:rsid w:val="000D3958"/>
    <w:rsid w:val="000F3690"/>
    <w:rsid w:val="001221D1"/>
    <w:rsid w:val="00165CB5"/>
    <w:rsid w:val="00180CE9"/>
    <w:rsid w:val="00202FE3"/>
    <w:rsid w:val="00216AFF"/>
    <w:rsid w:val="00230DD5"/>
    <w:rsid w:val="00250AE9"/>
    <w:rsid w:val="00380D64"/>
    <w:rsid w:val="00391509"/>
    <w:rsid w:val="003E03D5"/>
    <w:rsid w:val="00486BFA"/>
    <w:rsid w:val="00493701"/>
    <w:rsid w:val="004E2065"/>
    <w:rsid w:val="005508A2"/>
    <w:rsid w:val="0055115D"/>
    <w:rsid w:val="00566F71"/>
    <w:rsid w:val="005918BD"/>
    <w:rsid w:val="00596929"/>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914F3"/>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D337A"/>
  <w15:docId w15:val="{E438CDAE-7BA6-4352-973A-4282A484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cu/gobierno/discursos/1966/esp/f260266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3-4482-012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uba.cu/gobierno/discursos/1960/esp/f150160e.htm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22</TotalTime>
  <Pages>6</Pages>
  <Words>1475</Words>
  <Characters>8116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9572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4</cp:revision>
  <cp:lastPrinted>2024-02-07T23:42:00Z</cp:lastPrinted>
  <dcterms:created xsi:type="dcterms:W3CDTF">2024-02-07T23:39:00Z</dcterms:created>
  <dcterms:modified xsi:type="dcterms:W3CDTF">2024-02-08T00:01:00Z</dcterms:modified>
</cp:coreProperties>
</file>