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8209" w14:textId="77777777" w:rsidR="003930BD" w:rsidRPr="003930BD" w:rsidRDefault="003930BD" w:rsidP="003930BD">
      <w:pPr>
        <w:autoSpaceDE w:val="0"/>
        <w:autoSpaceDN w:val="0"/>
        <w:adjustRightInd w:val="0"/>
        <w:spacing w:line="360" w:lineRule="auto"/>
        <w:ind w:right="-1"/>
        <w:jc w:val="right"/>
        <w:rPr>
          <w:rFonts w:eastAsia="Calibri"/>
          <w:bCs/>
          <w:sz w:val="20"/>
          <w:szCs w:val="20"/>
          <w:lang w:eastAsia="en-US"/>
        </w:rPr>
      </w:pPr>
      <w:r w:rsidRPr="003930BD">
        <w:rPr>
          <w:rFonts w:eastAsia="Calibri"/>
          <w:bCs/>
          <w:sz w:val="20"/>
          <w:szCs w:val="20"/>
          <w:lang w:eastAsia="en-US"/>
        </w:rPr>
        <w:t>Comunicación breve</w:t>
      </w:r>
    </w:p>
    <w:p w14:paraId="314C8F5A" w14:textId="77777777" w:rsidR="003930BD" w:rsidRPr="003930BD" w:rsidRDefault="003930BD" w:rsidP="003930BD">
      <w:pPr>
        <w:autoSpaceDE w:val="0"/>
        <w:autoSpaceDN w:val="0"/>
        <w:adjustRightInd w:val="0"/>
        <w:spacing w:line="360" w:lineRule="auto"/>
        <w:ind w:right="-1"/>
        <w:rPr>
          <w:rFonts w:eastAsia="Calibri"/>
          <w:bCs/>
          <w:sz w:val="22"/>
          <w:szCs w:val="22"/>
          <w:lang w:eastAsia="en-US"/>
        </w:rPr>
      </w:pPr>
    </w:p>
    <w:p w14:paraId="612441BD" w14:textId="77777777" w:rsidR="003930BD" w:rsidRPr="003930BD" w:rsidRDefault="003930BD" w:rsidP="003930BD">
      <w:pPr>
        <w:autoSpaceDE w:val="0"/>
        <w:autoSpaceDN w:val="0"/>
        <w:adjustRightInd w:val="0"/>
        <w:spacing w:line="360" w:lineRule="auto"/>
        <w:jc w:val="center"/>
        <w:rPr>
          <w:rFonts w:eastAsia="Calibri"/>
          <w:b/>
          <w:bCs/>
          <w:sz w:val="28"/>
          <w:szCs w:val="28"/>
          <w:lang w:eastAsia="en-US"/>
        </w:rPr>
      </w:pPr>
      <w:r w:rsidRPr="003930BD">
        <w:rPr>
          <w:rFonts w:eastAsia="Calibri"/>
          <w:b/>
          <w:bCs/>
          <w:sz w:val="28"/>
          <w:szCs w:val="28"/>
          <w:lang w:eastAsia="en-US"/>
        </w:rPr>
        <w:t>Estrategia de superación profesional para el desarrollo de habilidades específicas en peritonitis posoperatoria</w:t>
      </w:r>
    </w:p>
    <w:p w14:paraId="46FAEBE4" w14:textId="77777777" w:rsidR="003930BD" w:rsidRPr="003930BD" w:rsidRDefault="003930BD" w:rsidP="003930BD">
      <w:pPr>
        <w:autoSpaceDE w:val="0"/>
        <w:autoSpaceDN w:val="0"/>
        <w:adjustRightInd w:val="0"/>
        <w:spacing w:line="360" w:lineRule="auto"/>
        <w:jc w:val="center"/>
        <w:rPr>
          <w:rFonts w:eastAsia="Calibri"/>
          <w:bCs/>
          <w:sz w:val="28"/>
          <w:szCs w:val="28"/>
          <w:lang w:val="en-US" w:eastAsia="en-US"/>
        </w:rPr>
      </w:pPr>
      <w:r w:rsidRPr="003930BD">
        <w:rPr>
          <w:rFonts w:eastAsia="Calibri"/>
          <w:bCs/>
          <w:sz w:val="28"/>
          <w:szCs w:val="28"/>
          <w:lang w:val="en-US" w:eastAsia="en-US"/>
        </w:rPr>
        <w:t>Professional growth strategy for the development of specific skills in postoperative peritonitis</w:t>
      </w:r>
    </w:p>
    <w:p w14:paraId="233869D0" w14:textId="77777777" w:rsidR="003930BD" w:rsidRPr="003930BD" w:rsidRDefault="003930BD" w:rsidP="003930BD">
      <w:pPr>
        <w:autoSpaceDE w:val="0"/>
        <w:autoSpaceDN w:val="0"/>
        <w:adjustRightInd w:val="0"/>
        <w:spacing w:line="360" w:lineRule="auto"/>
        <w:rPr>
          <w:rFonts w:eastAsia="Calibri"/>
          <w:bCs/>
          <w:lang w:val="en-US" w:eastAsia="en-US"/>
        </w:rPr>
      </w:pPr>
    </w:p>
    <w:p w14:paraId="46401E30" w14:textId="77777777" w:rsidR="003930BD" w:rsidRPr="003930BD" w:rsidRDefault="003930BD" w:rsidP="003930BD">
      <w:pPr>
        <w:autoSpaceDE w:val="0"/>
        <w:autoSpaceDN w:val="0"/>
        <w:adjustRightInd w:val="0"/>
        <w:spacing w:line="360" w:lineRule="auto"/>
        <w:rPr>
          <w:rFonts w:eastAsia="Calibri"/>
          <w:lang w:eastAsia="en-US"/>
        </w:rPr>
      </w:pPr>
      <w:r w:rsidRPr="003930BD">
        <w:rPr>
          <w:rFonts w:eastAsia="Calibri"/>
          <w:bCs/>
          <w:lang w:eastAsia="en-US"/>
        </w:rPr>
        <w:t>Iliana Guerra Macías</w:t>
      </w:r>
      <w:r w:rsidRPr="003930BD">
        <w:rPr>
          <w:rFonts w:eastAsia="Calibri"/>
          <w:bCs/>
          <w:vertAlign w:val="superscript"/>
          <w:lang w:eastAsia="en-US"/>
        </w:rPr>
        <w:t>1</w:t>
      </w:r>
      <w:r w:rsidRPr="003930BD">
        <w:rPr>
          <w:rFonts w:eastAsia="Calibri"/>
          <w:bCs/>
          <w:lang w:eastAsia="en-US"/>
        </w:rPr>
        <w:t>*</w:t>
      </w:r>
      <w:r w:rsidRPr="003930BD">
        <w:rPr>
          <w:rFonts w:eastAsia="Calibri"/>
          <w:b/>
          <w:bCs/>
          <w:vertAlign w:val="superscript"/>
          <w:lang w:eastAsia="en-US"/>
        </w:rPr>
        <w:t xml:space="preserve"> </w:t>
      </w:r>
      <w:r w:rsidRPr="003930BD">
        <w:rPr>
          <w:rFonts w:eastAsia="Calibri"/>
          <w:bCs/>
          <w:color w:val="0070C0"/>
          <w:lang w:eastAsia="en-US"/>
        </w:rPr>
        <w:t>https://</w:t>
      </w:r>
      <w:hyperlink r:id="rId7" w:history="1">
        <w:r w:rsidRPr="003930BD">
          <w:rPr>
            <w:rFonts w:eastAsia="Calibri"/>
            <w:color w:val="0563C1"/>
            <w:lang w:eastAsia="en-US"/>
          </w:rPr>
          <w:t>orcid.org/0000-0002-9223-0609</w:t>
        </w:r>
      </w:hyperlink>
      <w:r w:rsidRPr="003930BD">
        <w:rPr>
          <w:rFonts w:eastAsia="Calibri"/>
          <w:lang w:eastAsia="en-US"/>
        </w:rPr>
        <w:t xml:space="preserve"> </w:t>
      </w:r>
    </w:p>
    <w:p w14:paraId="24D2F82C" w14:textId="77777777" w:rsidR="003930BD" w:rsidRPr="003930BD" w:rsidRDefault="003930BD" w:rsidP="003930BD">
      <w:pPr>
        <w:spacing w:line="360" w:lineRule="auto"/>
        <w:rPr>
          <w:rFonts w:eastAsia="Calibri"/>
          <w:lang w:eastAsia="en-US"/>
        </w:rPr>
      </w:pPr>
    </w:p>
    <w:p w14:paraId="4C877691" w14:textId="77777777" w:rsidR="003930BD" w:rsidRPr="003930BD" w:rsidRDefault="003930BD" w:rsidP="003930BD">
      <w:pPr>
        <w:spacing w:line="360" w:lineRule="auto"/>
        <w:rPr>
          <w:rFonts w:eastAsia="Calibri"/>
          <w:lang w:eastAsia="en-US"/>
        </w:rPr>
      </w:pPr>
      <w:r w:rsidRPr="003930BD">
        <w:rPr>
          <w:rFonts w:eastAsia="Calibri"/>
          <w:vertAlign w:val="superscript"/>
          <w:lang w:eastAsia="en-US"/>
        </w:rPr>
        <w:t>1</w:t>
      </w:r>
      <w:r w:rsidRPr="003930BD">
        <w:rPr>
          <w:rFonts w:eastAsia="Calibri"/>
          <w:lang w:eastAsia="en-US"/>
        </w:rPr>
        <w:t xml:space="preserve">Universidad de Ciencias Médicas de Santiago de Cuba. Hospital Oncológico Provincial Docente "Conrado Benítez García". Santiago de Cuba, Cuba. </w:t>
      </w:r>
    </w:p>
    <w:p w14:paraId="03DC7691" w14:textId="77777777" w:rsidR="003930BD" w:rsidRPr="003930BD" w:rsidRDefault="003930BD" w:rsidP="003930BD">
      <w:pPr>
        <w:autoSpaceDE w:val="0"/>
        <w:autoSpaceDN w:val="0"/>
        <w:adjustRightInd w:val="0"/>
        <w:spacing w:line="360" w:lineRule="auto"/>
        <w:jc w:val="both"/>
        <w:rPr>
          <w:rFonts w:eastAsia="Calibri"/>
          <w:bCs/>
          <w:color w:val="000000"/>
          <w:lang w:eastAsia="en-US"/>
        </w:rPr>
      </w:pPr>
    </w:p>
    <w:p w14:paraId="3BBD3CA4" w14:textId="77777777" w:rsidR="003930BD" w:rsidRPr="003930BD" w:rsidRDefault="003930BD" w:rsidP="003930BD">
      <w:pPr>
        <w:autoSpaceDE w:val="0"/>
        <w:autoSpaceDN w:val="0"/>
        <w:adjustRightInd w:val="0"/>
        <w:spacing w:line="360" w:lineRule="auto"/>
        <w:jc w:val="both"/>
        <w:rPr>
          <w:rFonts w:eastAsia="Calibri"/>
          <w:b/>
          <w:color w:val="0563C1"/>
          <w:lang w:eastAsia="en-US"/>
        </w:rPr>
      </w:pPr>
      <w:r w:rsidRPr="003930BD">
        <w:rPr>
          <w:rFonts w:eastAsia="Calibri"/>
          <w:bCs/>
          <w:color w:val="000000"/>
          <w:lang w:eastAsia="en-US"/>
        </w:rPr>
        <w:t xml:space="preserve">*Autor para la correspondencia. Correo electrónico: </w:t>
      </w:r>
      <w:hyperlink r:id="rId8" w:history="1">
        <w:r w:rsidRPr="003930BD">
          <w:rPr>
            <w:rFonts w:eastAsia="Calibri"/>
            <w:bCs/>
            <w:color w:val="0563C1"/>
            <w:lang w:eastAsia="en-US"/>
          </w:rPr>
          <w:t>ileanagm@infomed.sld.cu</w:t>
        </w:r>
      </w:hyperlink>
    </w:p>
    <w:p w14:paraId="65CC409C" w14:textId="77777777" w:rsidR="003930BD" w:rsidRPr="003930BD" w:rsidRDefault="003930BD" w:rsidP="003930BD">
      <w:pPr>
        <w:autoSpaceDE w:val="0"/>
        <w:autoSpaceDN w:val="0"/>
        <w:adjustRightInd w:val="0"/>
        <w:spacing w:line="360" w:lineRule="auto"/>
        <w:jc w:val="center"/>
        <w:rPr>
          <w:rFonts w:eastAsia="Calibri"/>
          <w:bCs/>
          <w:sz w:val="28"/>
          <w:szCs w:val="28"/>
          <w:lang w:eastAsia="en-US"/>
        </w:rPr>
      </w:pPr>
    </w:p>
    <w:p w14:paraId="67D78320" w14:textId="77777777" w:rsidR="003930BD" w:rsidRPr="003930BD" w:rsidRDefault="003930BD" w:rsidP="003930BD">
      <w:pPr>
        <w:spacing w:line="360" w:lineRule="auto"/>
        <w:rPr>
          <w:rFonts w:eastAsia="Calibri"/>
          <w:b/>
          <w:lang w:eastAsia="en-US"/>
        </w:rPr>
      </w:pPr>
      <w:r w:rsidRPr="003930BD">
        <w:rPr>
          <w:rFonts w:eastAsia="Calibri"/>
          <w:b/>
          <w:lang w:eastAsia="en-US"/>
        </w:rPr>
        <w:t>RESUMEN</w:t>
      </w:r>
    </w:p>
    <w:p w14:paraId="51CE5663"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b/>
          <w:lang w:eastAsia="en-US"/>
        </w:rPr>
        <w:t>Introducción:</w:t>
      </w:r>
      <w:r w:rsidRPr="003930BD">
        <w:rPr>
          <w:rFonts w:eastAsia="Calibri"/>
          <w:lang w:eastAsia="en-US"/>
        </w:rPr>
        <w:t xml:space="preserve"> La superación permanente de los cirujanos en peritonitis posoperatoria, desarrolla habilidades específicas para la atención diagnóstica y terapéutica de los enfermos con esta afección y es la vía conducente a un óptimo desempeño profesional.</w:t>
      </w:r>
    </w:p>
    <w:p w14:paraId="73D50627"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b/>
          <w:lang w:eastAsia="en-US"/>
        </w:rPr>
        <w:t>Objetivo:</w:t>
      </w:r>
      <w:r w:rsidRPr="003930BD">
        <w:rPr>
          <w:rFonts w:eastAsia="Calibri"/>
          <w:lang w:eastAsia="en-US"/>
        </w:rPr>
        <w:t xml:space="preserve"> Diseñar una estrategia de superación profesional </w:t>
      </w:r>
      <w:r w:rsidRPr="003930BD">
        <w:rPr>
          <w:rFonts w:eastAsia="Calibri"/>
          <w:bCs/>
          <w:lang w:eastAsia="en-US"/>
        </w:rPr>
        <w:t xml:space="preserve">para el desarrollo de habilidades específicas en peritonitis posoperatoria, que contribuya a </w:t>
      </w:r>
      <w:r w:rsidRPr="003930BD">
        <w:rPr>
          <w:rFonts w:eastAsia="Calibri"/>
          <w:lang w:eastAsia="en-US"/>
        </w:rPr>
        <w:t>mejorar el desempeño de los cirujanos.</w:t>
      </w:r>
      <w:r w:rsidRPr="003930BD">
        <w:rPr>
          <w:rFonts w:eastAsia="Calibri"/>
          <w:b/>
          <w:lang w:eastAsia="en-US"/>
        </w:rPr>
        <w:t xml:space="preserve"> </w:t>
      </w:r>
    </w:p>
    <w:p w14:paraId="4E59FF7A" w14:textId="77777777" w:rsidR="003930BD" w:rsidRPr="003930BD" w:rsidRDefault="003930BD" w:rsidP="003930BD">
      <w:pPr>
        <w:spacing w:line="360" w:lineRule="auto"/>
        <w:jc w:val="both"/>
        <w:rPr>
          <w:rFonts w:eastAsia="Calibri"/>
          <w:lang w:eastAsia="en-US"/>
        </w:rPr>
      </w:pPr>
      <w:r w:rsidRPr="003930BD">
        <w:rPr>
          <w:rFonts w:eastAsia="Calibri"/>
          <w:b/>
          <w:lang w:eastAsia="en-US"/>
        </w:rPr>
        <w:t>Métodos:</w:t>
      </w:r>
      <w:r w:rsidRPr="003930BD">
        <w:rPr>
          <w:rFonts w:eastAsia="Calibri"/>
          <w:lang w:eastAsia="en-US"/>
        </w:rPr>
        <w:t xml:space="preserve"> Investigación mixta realizada entre octubre de 2019 y octubre de 2020 con 15 cirujanos del servicio de cirugía general. Se utilizaron los métodos, </w:t>
      </w:r>
      <w:r w:rsidRPr="003930BD">
        <w:rPr>
          <w:rFonts w:eastAsia="SimSun"/>
          <w:lang w:eastAsia="en-US"/>
        </w:rPr>
        <w:t>sistematización</w:t>
      </w:r>
      <w:r w:rsidRPr="003930BD">
        <w:rPr>
          <w:rFonts w:eastAsia="Calibri"/>
          <w:lang w:eastAsia="en-US"/>
        </w:rPr>
        <w:t xml:space="preserve">, modelación y sistémico-estructural-funcional; revisión documental, estudio de casos múltiples con una prueba de conocimientos teórico-práctica al final de un curso y entrenamiento. Se realizó una encuesta a cirujanos y directivos. Se calculó la estadística descriptiva para la distribución de frecuencias. </w:t>
      </w:r>
    </w:p>
    <w:p w14:paraId="6DAAC827" w14:textId="77777777" w:rsidR="003930BD" w:rsidRPr="003930BD" w:rsidRDefault="003930BD" w:rsidP="003930BD">
      <w:pPr>
        <w:spacing w:line="360" w:lineRule="auto"/>
        <w:jc w:val="both"/>
        <w:rPr>
          <w:rFonts w:eastAsia="Calibri"/>
          <w:lang w:eastAsia="en-US"/>
        </w:rPr>
      </w:pPr>
      <w:r w:rsidRPr="003930BD">
        <w:rPr>
          <w:rFonts w:eastAsia="Calibri"/>
          <w:b/>
          <w:lang w:eastAsia="en-US"/>
        </w:rPr>
        <w:t>Resultados:</w:t>
      </w:r>
      <w:r w:rsidRPr="003930BD">
        <w:rPr>
          <w:rFonts w:eastAsia="Calibri"/>
          <w:lang w:eastAsia="en-US"/>
        </w:rPr>
        <w:t xml:space="preserve"> La estrategia de superación se estructuró en 3</w:t>
      </w:r>
      <w:r w:rsidRPr="003930BD">
        <w:rPr>
          <w:sz w:val="16"/>
          <w:szCs w:val="16"/>
          <w:lang w:eastAsia="es-ES"/>
        </w:rPr>
        <w:t xml:space="preserve"> </w:t>
      </w:r>
      <w:r w:rsidRPr="003930BD">
        <w:rPr>
          <w:lang w:eastAsia="es-ES"/>
        </w:rPr>
        <w:t>p</w:t>
      </w:r>
      <w:r w:rsidRPr="003930BD">
        <w:rPr>
          <w:rFonts w:eastAsia="Calibri"/>
          <w:lang w:eastAsia="en-US"/>
        </w:rPr>
        <w:t xml:space="preserve">lanos y 4 etapas interrelacionadas (diagnóstico y sensibilización, planificación, ejecución y evaluación). El alto nivel de desempeño </w:t>
      </w:r>
      <w:r w:rsidRPr="003930BD">
        <w:rPr>
          <w:rFonts w:eastAsia="Calibri"/>
          <w:lang w:eastAsia="en-US"/>
        </w:rPr>
        <w:lastRenderedPageBreak/>
        <w:t xml:space="preserve">alcanzado, el criterio de cirujanos y directivos, evidenciaron la pertinencia de la estrategia y corrobora el valor científico-metodológico. </w:t>
      </w:r>
    </w:p>
    <w:p w14:paraId="4BCD8265"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b/>
          <w:lang w:eastAsia="en-US"/>
        </w:rPr>
        <w:t>Conclusiones:</w:t>
      </w:r>
      <w:r w:rsidRPr="003930BD">
        <w:rPr>
          <w:rFonts w:eastAsia="Calibri"/>
          <w:lang w:eastAsia="en-US"/>
        </w:rPr>
        <w:t xml:space="preserve"> La estrategia de superación diseñada cuenta con la estructura y coherencia científica-metodológica necesarias para ser implementada en la práctica quirúrgica. Los criterios valorativos emitidos por cirujanos y directivos, apuntan al reconocimiento del valor científico para mejoras del desempeño profesional de los cirujanos, en la peritonitis posoperatoria.  </w:t>
      </w:r>
    </w:p>
    <w:p w14:paraId="26102AD8" w14:textId="77777777" w:rsidR="003930BD" w:rsidRPr="003930BD" w:rsidRDefault="003930BD" w:rsidP="003930BD">
      <w:pPr>
        <w:spacing w:line="360" w:lineRule="auto"/>
        <w:jc w:val="both"/>
        <w:rPr>
          <w:rFonts w:eastAsia="Calibri"/>
          <w:lang w:eastAsia="en-US"/>
        </w:rPr>
      </w:pPr>
      <w:r w:rsidRPr="003930BD">
        <w:rPr>
          <w:rFonts w:eastAsia="Calibri"/>
          <w:b/>
          <w:lang w:eastAsia="en-US"/>
        </w:rPr>
        <w:t>Palabras clave:</w:t>
      </w:r>
      <w:r w:rsidRPr="003930BD">
        <w:rPr>
          <w:rFonts w:eastAsia="Calibri"/>
          <w:lang w:eastAsia="en-US"/>
        </w:rPr>
        <w:t xml:space="preserve"> educación médica continua; estrategias de salud; competencia profesional; competencia clínica; peritonitis; cirujanos.</w:t>
      </w:r>
    </w:p>
    <w:p w14:paraId="55486540" w14:textId="77777777" w:rsidR="003930BD" w:rsidRPr="003930BD" w:rsidRDefault="003930BD" w:rsidP="003930BD">
      <w:pPr>
        <w:spacing w:line="360" w:lineRule="auto"/>
        <w:jc w:val="both"/>
        <w:rPr>
          <w:rFonts w:eastAsia="Calibri"/>
          <w:lang w:eastAsia="en-US"/>
        </w:rPr>
      </w:pPr>
    </w:p>
    <w:p w14:paraId="55613EB6" w14:textId="77777777" w:rsidR="003930BD" w:rsidRPr="003930BD" w:rsidRDefault="003930BD" w:rsidP="003930BD">
      <w:pPr>
        <w:spacing w:line="360" w:lineRule="auto"/>
        <w:rPr>
          <w:rFonts w:eastAsia="Calibri"/>
          <w:b/>
          <w:lang w:val="en-US" w:eastAsia="en-US"/>
        </w:rPr>
      </w:pPr>
      <w:r w:rsidRPr="003930BD">
        <w:rPr>
          <w:rFonts w:eastAsia="Calibri"/>
          <w:b/>
          <w:lang w:val="en-US" w:eastAsia="en-US"/>
        </w:rPr>
        <w:t>ABSTRACT</w:t>
      </w:r>
    </w:p>
    <w:p w14:paraId="0EAFACA1" w14:textId="77777777" w:rsidR="003930BD" w:rsidRPr="003930BD" w:rsidRDefault="003930BD" w:rsidP="003930BD">
      <w:pPr>
        <w:spacing w:line="360" w:lineRule="auto"/>
        <w:jc w:val="both"/>
        <w:rPr>
          <w:rFonts w:eastAsia="Calibri"/>
          <w:bCs/>
          <w:lang w:val="en-US" w:eastAsia="en-US"/>
        </w:rPr>
      </w:pPr>
      <w:r w:rsidRPr="003930BD">
        <w:rPr>
          <w:rFonts w:eastAsia="Calibri"/>
          <w:b/>
          <w:lang w:val="en-US" w:eastAsia="en-US"/>
        </w:rPr>
        <w:t>Introduction:</w:t>
      </w:r>
      <w:r w:rsidRPr="003930BD">
        <w:rPr>
          <w:rFonts w:eastAsia="Calibri"/>
          <w:bCs/>
          <w:lang w:val="en-US" w:eastAsia="en-US"/>
        </w:rPr>
        <w:t xml:space="preserve"> The permanent improvement of surgeons in post-surgical peritonitis, develops specific skills for the diagnostic and therapeutic care of patients with this condition, and is the way leading to an optimal professional performance.</w:t>
      </w:r>
    </w:p>
    <w:p w14:paraId="047E4E2B" w14:textId="77777777" w:rsidR="003930BD" w:rsidRPr="003930BD" w:rsidRDefault="003930BD" w:rsidP="003930BD">
      <w:pPr>
        <w:spacing w:line="360" w:lineRule="auto"/>
        <w:jc w:val="both"/>
        <w:rPr>
          <w:rFonts w:eastAsia="Calibri"/>
          <w:bCs/>
          <w:lang w:val="en-US" w:eastAsia="en-US"/>
        </w:rPr>
      </w:pPr>
      <w:r w:rsidRPr="003930BD">
        <w:rPr>
          <w:rFonts w:eastAsia="Calibri"/>
          <w:b/>
          <w:lang w:val="en-US" w:eastAsia="en-US"/>
        </w:rPr>
        <w:t>Objective:</w:t>
      </w:r>
      <w:r w:rsidRPr="003930BD">
        <w:rPr>
          <w:rFonts w:eastAsia="Calibri"/>
          <w:bCs/>
          <w:lang w:val="en-US" w:eastAsia="en-US"/>
        </w:rPr>
        <w:t xml:space="preserve"> To design a professional improvement strategy for the development of specific skills in postoperative peritonitis, which contributes to the improvement of surgeons' performance. </w:t>
      </w:r>
    </w:p>
    <w:p w14:paraId="7C898B81" w14:textId="77777777" w:rsidR="003930BD" w:rsidRPr="003930BD" w:rsidRDefault="003930BD" w:rsidP="003930BD">
      <w:pPr>
        <w:spacing w:line="360" w:lineRule="auto"/>
        <w:jc w:val="both"/>
        <w:rPr>
          <w:rFonts w:eastAsia="Calibri"/>
          <w:bCs/>
          <w:lang w:val="en-US" w:eastAsia="en-US"/>
        </w:rPr>
      </w:pPr>
      <w:r w:rsidRPr="003930BD">
        <w:rPr>
          <w:rFonts w:eastAsia="Calibri"/>
          <w:b/>
          <w:lang w:val="en-US" w:eastAsia="en-US"/>
        </w:rPr>
        <w:t>Methods:</w:t>
      </w:r>
      <w:r w:rsidRPr="003930BD">
        <w:rPr>
          <w:rFonts w:eastAsia="Calibri"/>
          <w:bCs/>
          <w:lang w:val="en-US" w:eastAsia="en-US"/>
        </w:rPr>
        <w:t xml:space="preserve"> Descriptive quantitative and qualitative research carried out between October 2019 and October 2020 with 15 surgeons of the general surgery service. The research methods were: systematization, modeling and systemic-structural-functional; documentary review, multiple case study with a theoretical-practical knowledge test at the end of a course and a training, and survey to surgeons and managers. Descriptive statistics were calculated for frequency distribution. </w:t>
      </w:r>
    </w:p>
    <w:p w14:paraId="43B9C36E" w14:textId="77777777" w:rsidR="003930BD" w:rsidRPr="003930BD" w:rsidRDefault="003930BD" w:rsidP="003930BD">
      <w:pPr>
        <w:spacing w:line="360" w:lineRule="auto"/>
        <w:jc w:val="both"/>
        <w:rPr>
          <w:rFonts w:eastAsia="Calibri"/>
          <w:bCs/>
          <w:lang w:val="en-US" w:eastAsia="en-US"/>
        </w:rPr>
      </w:pPr>
      <w:r w:rsidRPr="003930BD">
        <w:rPr>
          <w:rFonts w:eastAsia="Calibri"/>
          <w:b/>
          <w:lang w:val="en-US" w:eastAsia="en-US"/>
        </w:rPr>
        <w:t>Results:</w:t>
      </w:r>
      <w:r w:rsidRPr="003930BD">
        <w:rPr>
          <w:rFonts w:eastAsia="Calibri"/>
          <w:bCs/>
          <w:lang w:val="en-US" w:eastAsia="en-US"/>
        </w:rPr>
        <w:t xml:space="preserve"> The improvement strategy was structured in 3 levels and 4 interrelated stages (diagnosis and awareness, planning, execution and evaluation). The high level of performance achieved and the criterion of surgeons and managers, evidenced the relevance of the strategy and corroborates the scientific-methodological value.   </w:t>
      </w:r>
    </w:p>
    <w:p w14:paraId="488B3EA2" w14:textId="77777777" w:rsidR="003930BD" w:rsidRPr="003930BD" w:rsidRDefault="003930BD" w:rsidP="003930BD">
      <w:pPr>
        <w:spacing w:line="360" w:lineRule="auto"/>
        <w:jc w:val="both"/>
        <w:rPr>
          <w:rFonts w:eastAsia="Calibri"/>
          <w:lang w:val="en-US" w:eastAsia="en-US"/>
        </w:rPr>
      </w:pPr>
      <w:r w:rsidRPr="003930BD">
        <w:rPr>
          <w:rFonts w:eastAsia="Calibri"/>
          <w:b/>
          <w:lang w:val="en-US" w:eastAsia="en-US"/>
        </w:rPr>
        <w:t xml:space="preserve">Conclusions: </w:t>
      </w:r>
      <w:r w:rsidRPr="003930BD">
        <w:rPr>
          <w:rFonts w:eastAsia="Calibri"/>
          <w:bCs/>
          <w:lang w:val="en-US" w:eastAsia="en-US"/>
        </w:rPr>
        <w:t>The designed improvement strategy has the necessary structure and scientific-methodological coherence to be implemented in surgical practice. The evaluation criteria issued by surgeons and managers point to the recognition of the scientific value for the improvement of the professional performance of surgeons in postoperative peritonitis.</w:t>
      </w:r>
      <w:r w:rsidRPr="003930BD">
        <w:rPr>
          <w:rFonts w:eastAsia="Calibri"/>
          <w:lang w:val="en-US" w:eastAsia="en-US"/>
        </w:rPr>
        <w:t xml:space="preserve">  </w:t>
      </w:r>
    </w:p>
    <w:p w14:paraId="20EEA75E" w14:textId="77777777" w:rsidR="003930BD" w:rsidRPr="003930BD" w:rsidRDefault="003930BD" w:rsidP="003930BD">
      <w:pPr>
        <w:spacing w:line="360" w:lineRule="auto"/>
        <w:jc w:val="both"/>
        <w:rPr>
          <w:rFonts w:eastAsia="Calibri"/>
          <w:lang w:val="en-US" w:eastAsia="en-US"/>
        </w:rPr>
      </w:pPr>
      <w:r w:rsidRPr="003930BD">
        <w:rPr>
          <w:rFonts w:eastAsia="Calibri"/>
          <w:b/>
          <w:lang w:val="en-US" w:eastAsia="en-US"/>
        </w:rPr>
        <w:lastRenderedPageBreak/>
        <w:t xml:space="preserve">Keywords: </w:t>
      </w:r>
      <w:r w:rsidRPr="003930BD">
        <w:rPr>
          <w:rFonts w:eastAsia="Calibri"/>
          <w:bCs/>
          <w:lang w:val="en-US" w:eastAsia="en-US"/>
        </w:rPr>
        <w:t>educ</w:t>
      </w:r>
      <w:r w:rsidRPr="003930BD">
        <w:rPr>
          <w:rFonts w:eastAsia="Calibri"/>
          <w:lang w:val="en-US" w:eastAsia="en-US"/>
        </w:rPr>
        <w:t>ation, medical, continuing; health strategies; professional competence; clinical competence; peritonitis; surgeons.</w:t>
      </w:r>
    </w:p>
    <w:p w14:paraId="7E9784CE" w14:textId="77777777" w:rsidR="003930BD" w:rsidRPr="003930BD" w:rsidRDefault="003930BD" w:rsidP="003930BD">
      <w:pPr>
        <w:spacing w:line="360" w:lineRule="auto"/>
        <w:jc w:val="both"/>
        <w:rPr>
          <w:rFonts w:eastAsia="Calibri"/>
          <w:lang w:val="en-US" w:eastAsia="en-US"/>
        </w:rPr>
      </w:pPr>
    </w:p>
    <w:p w14:paraId="15CED3DE" w14:textId="77777777" w:rsidR="003930BD" w:rsidRPr="003930BD" w:rsidRDefault="003930BD" w:rsidP="003930BD">
      <w:pPr>
        <w:spacing w:line="360" w:lineRule="auto"/>
        <w:jc w:val="both"/>
        <w:rPr>
          <w:rFonts w:eastAsia="Calibri"/>
          <w:lang w:val="en-US" w:eastAsia="en-US"/>
        </w:rPr>
      </w:pPr>
    </w:p>
    <w:p w14:paraId="3AA29708" w14:textId="77777777" w:rsidR="003930BD" w:rsidRPr="003930BD" w:rsidRDefault="003930BD" w:rsidP="003930BD">
      <w:pPr>
        <w:spacing w:line="360" w:lineRule="auto"/>
        <w:jc w:val="both"/>
        <w:rPr>
          <w:rFonts w:eastAsia="Calibri"/>
          <w:lang w:val="es-ES" w:eastAsia="en-US"/>
        </w:rPr>
      </w:pPr>
      <w:r w:rsidRPr="003930BD">
        <w:rPr>
          <w:rFonts w:eastAsia="Calibri"/>
          <w:lang w:val="es-ES" w:eastAsia="en-US"/>
        </w:rPr>
        <w:t>Recibido: 27/02/2023</w:t>
      </w:r>
    </w:p>
    <w:p w14:paraId="0A88EE45" w14:textId="77777777" w:rsidR="003930BD" w:rsidRPr="003930BD" w:rsidRDefault="003930BD" w:rsidP="003930BD">
      <w:pPr>
        <w:spacing w:line="360" w:lineRule="auto"/>
        <w:jc w:val="both"/>
        <w:rPr>
          <w:rFonts w:eastAsia="Calibri"/>
          <w:lang w:val="es-ES" w:eastAsia="en-US"/>
        </w:rPr>
      </w:pPr>
      <w:r w:rsidRPr="003930BD">
        <w:rPr>
          <w:rFonts w:eastAsia="Calibri"/>
          <w:lang w:val="es-ES" w:eastAsia="en-US"/>
        </w:rPr>
        <w:t>Aprobado: 30/06/2023</w:t>
      </w:r>
    </w:p>
    <w:p w14:paraId="422970CF" w14:textId="77777777" w:rsidR="003930BD" w:rsidRPr="003930BD" w:rsidRDefault="003930BD" w:rsidP="003930BD">
      <w:pPr>
        <w:spacing w:line="360" w:lineRule="auto"/>
        <w:rPr>
          <w:rFonts w:eastAsia="Calibri"/>
          <w:b/>
          <w:lang w:eastAsia="en-US"/>
        </w:rPr>
      </w:pPr>
    </w:p>
    <w:p w14:paraId="4AD98153" w14:textId="77777777" w:rsidR="003930BD" w:rsidRPr="003930BD" w:rsidRDefault="003930BD" w:rsidP="003930BD">
      <w:pPr>
        <w:spacing w:line="360" w:lineRule="auto"/>
        <w:jc w:val="center"/>
        <w:rPr>
          <w:rFonts w:eastAsia="Calibri"/>
          <w:b/>
          <w:lang w:eastAsia="en-US"/>
        </w:rPr>
      </w:pPr>
    </w:p>
    <w:p w14:paraId="15433BF9" w14:textId="77777777" w:rsidR="003930BD" w:rsidRPr="003930BD" w:rsidRDefault="003930BD" w:rsidP="003930BD">
      <w:pPr>
        <w:spacing w:line="360" w:lineRule="auto"/>
        <w:jc w:val="center"/>
        <w:rPr>
          <w:rFonts w:eastAsia="Calibri"/>
          <w:b/>
          <w:sz w:val="32"/>
          <w:szCs w:val="32"/>
          <w:lang w:eastAsia="en-US"/>
        </w:rPr>
      </w:pPr>
      <w:r w:rsidRPr="003930BD">
        <w:rPr>
          <w:rFonts w:eastAsia="Calibri"/>
          <w:b/>
          <w:sz w:val="32"/>
          <w:szCs w:val="32"/>
          <w:lang w:eastAsia="en-US"/>
        </w:rPr>
        <w:t>INTRODUCCIÓN</w:t>
      </w:r>
    </w:p>
    <w:p w14:paraId="4F608BBC" w14:textId="77777777" w:rsidR="003930BD" w:rsidRPr="003930BD" w:rsidRDefault="003930BD" w:rsidP="003930BD">
      <w:pPr>
        <w:tabs>
          <w:tab w:val="left" w:pos="426"/>
          <w:tab w:val="left" w:pos="8647"/>
          <w:tab w:val="left" w:pos="8931"/>
        </w:tabs>
        <w:spacing w:line="360" w:lineRule="auto"/>
        <w:ind w:right="-141"/>
        <w:jc w:val="both"/>
        <w:rPr>
          <w:rFonts w:eastAsia="Calibri"/>
          <w:lang w:eastAsia="en-US"/>
        </w:rPr>
      </w:pPr>
      <w:r w:rsidRPr="003930BD">
        <w:rPr>
          <w:rFonts w:eastAsia="Calibri"/>
          <w:lang w:eastAsia="en-US"/>
        </w:rPr>
        <w:t>La superación permanente de los cirujanos es la vía conducente al mejoramiento del desempeño profesional en complicaciones quirúrgicas de alta prevalencia y mortalidad. La peritonitis posoperatoria (PP) es una infección intraabdominal grave, considerada un problema social de salud cuya complejidad estriba en el diagnóstico temprano y la relaparotomía urgente para solucionarla.</w:t>
      </w:r>
      <w:r w:rsidRPr="003930BD">
        <w:rPr>
          <w:rFonts w:eastAsia="Calibri"/>
          <w:vertAlign w:val="superscript"/>
          <w:lang w:eastAsia="en-US"/>
        </w:rPr>
        <w:t>(1,2,3)</w:t>
      </w:r>
      <w:r w:rsidRPr="003930BD">
        <w:rPr>
          <w:rFonts w:eastAsia="Calibri"/>
          <w:lang w:eastAsia="en-US"/>
        </w:rPr>
        <w:t xml:space="preserve">  </w:t>
      </w:r>
    </w:p>
    <w:p w14:paraId="45DD81B0" w14:textId="77777777" w:rsidR="003930BD" w:rsidRPr="003930BD" w:rsidRDefault="003930BD" w:rsidP="003930BD">
      <w:pPr>
        <w:tabs>
          <w:tab w:val="left" w:pos="8505"/>
        </w:tabs>
        <w:spacing w:line="360" w:lineRule="auto"/>
        <w:jc w:val="both"/>
        <w:rPr>
          <w:rFonts w:eastAsia="Calibri"/>
          <w:lang w:eastAsia="en-US"/>
        </w:rPr>
      </w:pPr>
      <w:r w:rsidRPr="003930BD">
        <w:rPr>
          <w:rFonts w:eastAsia="Calibri"/>
          <w:lang w:eastAsia="en-US"/>
        </w:rPr>
        <w:t>En Cuba, el Reglamento de la Educación de Posgrado</w:t>
      </w:r>
      <w:r w:rsidRPr="003930BD">
        <w:rPr>
          <w:rFonts w:eastAsia="Calibri"/>
          <w:vertAlign w:val="superscript"/>
          <w:lang w:eastAsia="en-US"/>
        </w:rPr>
        <w:t>(4)</w:t>
      </w:r>
      <w:r w:rsidRPr="003930BD">
        <w:rPr>
          <w:rFonts w:eastAsia="Calibri"/>
          <w:lang w:eastAsia="en-US"/>
        </w:rPr>
        <w:t xml:space="preserve"> en el Artículo 4 y Artículo 6 incisos d) y e) plantea que:</w:t>
      </w:r>
    </w:p>
    <w:p w14:paraId="5DC52756" w14:textId="77777777" w:rsidR="003930BD" w:rsidRPr="003930BD" w:rsidRDefault="003930BD" w:rsidP="003930BD">
      <w:pPr>
        <w:tabs>
          <w:tab w:val="left" w:pos="8505"/>
        </w:tabs>
        <w:spacing w:line="360" w:lineRule="auto"/>
        <w:jc w:val="both"/>
        <w:rPr>
          <w:rFonts w:eastAsia="Calibri"/>
          <w:lang w:eastAsia="en-US"/>
        </w:rPr>
      </w:pPr>
    </w:p>
    <w:p w14:paraId="6F82E562" w14:textId="77777777" w:rsidR="003930BD" w:rsidRPr="003930BD" w:rsidRDefault="003930BD" w:rsidP="003930BD">
      <w:pPr>
        <w:tabs>
          <w:tab w:val="left" w:pos="8505"/>
        </w:tabs>
        <w:spacing w:line="360" w:lineRule="auto"/>
        <w:ind w:left="709"/>
        <w:jc w:val="both"/>
        <w:rPr>
          <w:rFonts w:eastAsia="Calibri"/>
          <w:lang w:eastAsia="en-US"/>
        </w:rPr>
      </w:pPr>
      <w:r w:rsidRPr="003930BD">
        <w:rPr>
          <w:rFonts w:eastAsia="Calibri"/>
          <w:lang w:eastAsia="en-US"/>
        </w:rPr>
        <w:t xml:space="preserve"> (…) "La superación profesional es la formación permanente y actualización sistemática de los graduados universitarios, el perfeccionamiento del desempeño de sus actividades profesionales y académicas, así como el enriquecimiento de su acervo cultural".</w:t>
      </w:r>
    </w:p>
    <w:p w14:paraId="0BA6C3F6" w14:textId="77777777" w:rsidR="003930BD" w:rsidRPr="003930BD" w:rsidRDefault="003930BD" w:rsidP="003930BD">
      <w:pPr>
        <w:spacing w:line="360" w:lineRule="auto"/>
        <w:jc w:val="both"/>
        <w:rPr>
          <w:lang w:eastAsia="es-ES"/>
        </w:rPr>
      </w:pPr>
    </w:p>
    <w:p w14:paraId="17B86273" w14:textId="77777777" w:rsidR="003930BD" w:rsidRPr="003930BD" w:rsidRDefault="003930BD" w:rsidP="003930BD">
      <w:pPr>
        <w:spacing w:line="360" w:lineRule="auto"/>
        <w:jc w:val="both"/>
        <w:rPr>
          <w:color w:val="70AD47"/>
          <w:vertAlign w:val="superscript"/>
          <w:lang w:eastAsia="es-ES"/>
        </w:rPr>
      </w:pPr>
      <w:r w:rsidRPr="003930BD">
        <w:rPr>
          <w:lang w:eastAsia="es-ES"/>
        </w:rPr>
        <w:t>En su experiencia profesional, la autora ha constatado dificultades para el diagnóstico temprano de la PP</w:t>
      </w:r>
      <w:r w:rsidRPr="003930BD">
        <w:rPr>
          <w:kern w:val="24"/>
          <w:lang w:eastAsia="es-ES"/>
        </w:rPr>
        <w:t xml:space="preserve"> que requiere relaparotomía urgente</w:t>
      </w:r>
      <w:r w:rsidRPr="003930BD">
        <w:rPr>
          <w:lang w:eastAsia="es-ES"/>
        </w:rPr>
        <w:t>; se acompañan de i</w:t>
      </w:r>
      <w:r w:rsidRPr="003930BD">
        <w:rPr>
          <w:kern w:val="24"/>
          <w:lang w:eastAsia="es-ES"/>
        </w:rPr>
        <w:t xml:space="preserve">nsuficiencias en el desempeño profesional, debido al poco desarrollo de habilidades del método clínico-epidemiológico, con enfoque social, así como escasas propuestas de superación sobre PP. </w:t>
      </w:r>
      <w:r w:rsidRPr="003930BD">
        <w:rPr>
          <w:lang w:eastAsia="es-ES"/>
        </w:rPr>
        <w:t>Por otra parte, en la educación médica, las estrategias incluyen un sistema de acciones planificadas, en un momento histórico concreto, para el logro de un objetivo a corto, mediano y largo plazo.</w:t>
      </w:r>
      <w:r w:rsidRPr="003930BD">
        <w:rPr>
          <w:vertAlign w:val="superscript"/>
          <w:lang w:eastAsia="es-ES"/>
        </w:rPr>
        <w:t xml:space="preserve">(5) </w:t>
      </w:r>
      <w:r w:rsidRPr="003930BD">
        <w:rPr>
          <w:lang w:eastAsia="es-ES"/>
        </w:rPr>
        <w:t>Existen varias tipologías de estrategias: didáctica, pedagógica, educativa, de profesionalización y de superación. Estas últimas han sido ampliamente utilizadas en diferentes contextos, pues constituyen la vía para el mejoramiento del desempeño profesional.</w:t>
      </w:r>
      <w:r w:rsidRPr="003930BD">
        <w:rPr>
          <w:vertAlign w:val="superscript"/>
          <w:lang w:eastAsia="es-ES"/>
        </w:rPr>
        <w:t>(6,7,8</w:t>
      </w:r>
      <w:r w:rsidRPr="003930BD">
        <w:rPr>
          <w:color w:val="70AD47"/>
          <w:vertAlign w:val="superscript"/>
          <w:lang w:eastAsia="es-ES"/>
        </w:rPr>
        <w:t>)</w:t>
      </w:r>
    </w:p>
    <w:p w14:paraId="17A5A474"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lastRenderedPageBreak/>
        <w:t>Las obras de autores cubanos de las ciencias de la educación médica, que diseñaron estrategias de superación desde diferentes áreas del saber,</w:t>
      </w:r>
      <w:r w:rsidRPr="003930BD">
        <w:rPr>
          <w:rFonts w:eastAsia="Calibri"/>
          <w:vertAlign w:val="superscript"/>
          <w:lang w:eastAsia="en-US"/>
        </w:rPr>
        <w:t>(9,10,11)</w:t>
      </w:r>
      <w:r w:rsidRPr="003930BD">
        <w:rPr>
          <w:rFonts w:eastAsia="Calibri"/>
          <w:lang w:eastAsia="en-US"/>
        </w:rPr>
        <w:t xml:space="preserve"> revela que, permiten la transformación de un estado real con insuficiencias en el desempeño laboral, a uno deseado, con óptimo desempeño en cuanto a conocimientos, habilidades, competencias</w:t>
      </w:r>
      <w:r w:rsidRPr="003930BD">
        <w:rPr>
          <w:rFonts w:eastAsia="Calibri"/>
          <w:vertAlign w:val="superscript"/>
          <w:lang w:eastAsia="en-US"/>
        </w:rPr>
        <w:t xml:space="preserve"> </w:t>
      </w:r>
      <w:r w:rsidRPr="003930BD">
        <w:rPr>
          <w:rFonts w:eastAsia="Calibri"/>
          <w:lang w:eastAsia="en-US"/>
        </w:rPr>
        <w:t>y valores humanos.</w:t>
      </w:r>
      <w:r w:rsidRPr="003930BD">
        <w:rPr>
          <w:rFonts w:eastAsia="Calibri"/>
          <w:vertAlign w:val="superscript"/>
          <w:lang w:eastAsia="en-US"/>
        </w:rPr>
        <w:t>(12)</w:t>
      </w:r>
      <w:r w:rsidRPr="003930BD">
        <w:rPr>
          <w:rFonts w:eastAsia="Calibri"/>
          <w:lang w:eastAsia="en-US"/>
        </w:rPr>
        <w:t xml:space="preserve"> </w:t>
      </w:r>
    </w:p>
    <w:p w14:paraId="48A2C557" w14:textId="77777777" w:rsidR="003930BD" w:rsidRPr="003930BD" w:rsidRDefault="003930BD" w:rsidP="003930BD">
      <w:pPr>
        <w:autoSpaceDE w:val="0"/>
        <w:autoSpaceDN w:val="0"/>
        <w:adjustRightInd w:val="0"/>
        <w:spacing w:line="360" w:lineRule="auto"/>
        <w:jc w:val="both"/>
        <w:rPr>
          <w:rFonts w:eastAsia="Calibri"/>
          <w:b/>
          <w:lang w:eastAsia="en-US"/>
        </w:rPr>
      </w:pPr>
      <w:r w:rsidRPr="003930BD">
        <w:rPr>
          <w:rFonts w:eastAsia="Calibri"/>
          <w:lang w:eastAsia="en-US"/>
        </w:rPr>
        <w:t xml:space="preserve">El objetivo de la investigación es diseñar una estrategia de superación profesional, </w:t>
      </w:r>
      <w:r w:rsidRPr="003930BD">
        <w:rPr>
          <w:rFonts w:eastAsia="Calibri"/>
          <w:bCs/>
          <w:lang w:eastAsia="en-US"/>
        </w:rPr>
        <w:t xml:space="preserve">para el desarrollo de habilidades específicas en PP, que contribuya al </w:t>
      </w:r>
      <w:r w:rsidRPr="003930BD">
        <w:rPr>
          <w:rFonts w:eastAsia="Calibri"/>
          <w:lang w:eastAsia="en-US"/>
        </w:rPr>
        <w:t>mejoramiento del desempeño de los cirujanos.</w:t>
      </w:r>
      <w:r w:rsidRPr="003930BD">
        <w:rPr>
          <w:rFonts w:eastAsia="Calibri"/>
          <w:b/>
          <w:lang w:eastAsia="en-US"/>
        </w:rPr>
        <w:t xml:space="preserve"> </w:t>
      </w:r>
    </w:p>
    <w:p w14:paraId="27797439" w14:textId="77777777" w:rsidR="003930BD" w:rsidRPr="003930BD" w:rsidRDefault="003930BD" w:rsidP="003930BD">
      <w:pPr>
        <w:autoSpaceDE w:val="0"/>
        <w:autoSpaceDN w:val="0"/>
        <w:adjustRightInd w:val="0"/>
        <w:spacing w:line="360" w:lineRule="auto"/>
        <w:jc w:val="both"/>
        <w:rPr>
          <w:rFonts w:eastAsia="Calibri"/>
          <w:lang w:eastAsia="en-US"/>
        </w:rPr>
      </w:pPr>
    </w:p>
    <w:p w14:paraId="796C6B78" w14:textId="77777777" w:rsidR="003930BD" w:rsidRPr="003930BD" w:rsidRDefault="003930BD" w:rsidP="003930BD">
      <w:pPr>
        <w:spacing w:line="360" w:lineRule="auto"/>
        <w:jc w:val="center"/>
        <w:rPr>
          <w:rFonts w:eastAsia="Calibri"/>
          <w:b/>
          <w:sz w:val="32"/>
          <w:szCs w:val="32"/>
          <w:lang w:eastAsia="en-US"/>
        </w:rPr>
      </w:pPr>
    </w:p>
    <w:p w14:paraId="4F63E6B6" w14:textId="77777777" w:rsidR="003930BD" w:rsidRPr="003930BD" w:rsidRDefault="003930BD" w:rsidP="003930BD">
      <w:pPr>
        <w:spacing w:line="360" w:lineRule="auto"/>
        <w:jc w:val="center"/>
        <w:rPr>
          <w:rFonts w:eastAsia="Calibri"/>
          <w:b/>
          <w:sz w:val="32"/>
          <w:szCs w:val="32"/>
          <w:lang w:eastAsia="en-US"/>
        </w:rPr>
      </w:pPr>
      <w:r w:rsidRPr="003930BD">
        <w:rPr>
          <w:rFonts w:eastAsia="Calibri"/>
          <w:b/>
          <w:sz w:val="32"/>
          <w:szCs w:val="32"/>
          <w:lang w:eastAsia="en-US"/>
        </w:rPr>
        <w:t>MÉTODOS</w:t>
      </w:r>
    </w:p>
    <w:p w14:paraId="4696A15E" w14:textId="77777777" w:rsidR="003930BD" w:rsidRPr="003930BD" w:rsidRDefault="003930BD" w:rsidP="003930BD">
      <w:pPr>
        <w:autoSpaceDE w:val="0"/>
        <w:autoSpaceDN w:val="0"/>
        <w:adjustRightInd w:val="0"/>
        <w:spacing w:line="360" w:lineRule="auto"/>
        <w:jc w:val="center"/>
        <w:rPr>
          <w:rFonts w:eastAsia="Calibri"/>
          <w:b/>
          <w:bCs/>
          <w:sz w:val="28"/>
          <w:szCs w:val="28"/>
          <w:lang w:eastAsia="en-US"/>
        </w:rPr>
      </w:pPr>
      <w:r w:rsidRPr="003930BD">
        <w:rPr>
          <w:rFonts w:eastAsia="Calibri"/>
          <w:b/>
          <w:bCs/>
          <w:sz w:val="28"/>
          <w:szCs w:val="28"/>
          <w:lang w:eastAsia="en-US"/>
        </w:rPr>
        <w:t>Diseño</w:t>
      </w:r>
    </w:p>
    <w:p w14:paraId="1BB97768"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Se realizó una investigación cualitativa descriptiva, con elementos cuantitativos, en el Hospital "Dr. Ambrosio Grillo" de Santiago de Cuba, Cuba, entre octubre de 2019 y octubre de 2020.</w:t>
      </w:r>
    </w:p>
    <w:p w14:paraId="3526859B" w14:textId="77777777" w:rsidR="003930BD" w:rsidRPr="003930BD" w:rsidRDefault="003930BD" w:rsidP="003930BD">
      <w:pPr>
        <w:autoSpaceDE w:val="0"/>
        <w:autoSpaceDN w:val="0"/>
        <w:adjustRightInd w:val="0"/>
        <w:spacing w:line="360" w:lineRule="auto"/>
        <w:jc w:val="center"/>
        <w:rPr>
          <w:rFonts w:eastAsia="Calibri"/>
          <w:b/>
          <w:bCs/>
          <w:sz w:val="28"/>
          <w:szCs w:val="28"/>
          <w:lang w:eastAsia="en-US"/>
        </w:rPr>
      </w:pPr>
      <w:r w:rsidRPr="003930BD">
        <w:rPr>
          <w:rFonts w:eastAsia="Calibri"/>
          <w:b/>
          <w:bCs/>
          <w:sz w:val="28"/>
          <w:szCs w:val="28"/>
          <w:lang w:eastAsia="en-US"/>
        </w:rPr>
        <w:t>Sujetos</w:t>
      </w:r>
    </w:p>
    <w:p w14:paraId="21E06753"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Se incluyeron los 15 cirujanos del servicio de cirugía general del hospital. Además, participaron 7 sujetos con funciones de dirección en la institución (directivos); 3 del propio servicio de cirugía, 1 de ginecobstetricia, 1 de proctología, 1 de terapia intensiva y 1 de enfermería.</w:t>
      </w:r>
    </w:p>
    <w:p w14:paraId="38E890BA" w14:textId="77777777" w:rsidR="003930BD" w:rsidRPr="003930BD" w:rsidRDefault="003930BD" w:rsidP="003930BD">
      <w:pPr>
        <w:autoSpaceDE w:val="0"/>
        <w:autoSpaceDN w:val="0"/>
        <w:adjustRightInd w:val="0"/>
        <w:spacing w:line="360" w:lineRule="auto"/>
        <w:jc w:val="center"/>
        <w:rPr>
          <w:rFonts w:eastAsia="Calibri"/>
          <w:b/>
          <w:bCs/>
          <w:sz w:val="28"/>
          <w:szCs w:val="28"/>
          <w:lang w:eastAsia="en-US"/>
        </w:rPr>
      </w:pPr>
      <w:r w:rsidRPr="003930BD">
        <w:rPr>
          <w:rFonts w:eastAsia="Calibri"/>
          <w:b/>
          <w:bCs/>
          <w:sz w:val="28"/>
          <w:szCs w:val="28"/>
          <w:lang w:eastAsia="en-US"/>
        </w:rPr>
        <w:t>Variables</w:t>
      </w:r>
    </w:p>
    <w:p w14:paraId="4D05048A"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La variable de estudio fue el desempeño profesional de los cirujanos en PP. Para determinar el nivel de desempeño, se realizó la parametrización de la variable desempeño profesional, en 5 dimensiones y 25 indicadores (ver archivo complementario al artículo).</w:t>
      </w:r>
    </w:p>
    <w:p w14:paraId="548BFB39" w14:textId="77777777" w:rsidR="003930BD" w:rsidRPr="003930BD" w:rsidRDefault="003930BD" w:rsidP="003930BD">
      <w:pPr>
        <w:autoSpaceDE w:val="0"/>
        <w:autoSpaceDN w:val="0"/>
        <w:adjustRightInd w:val="0"/>
        <w:spacing w:line="360" w:lineRule="auto"/>
        <w:jc w:val="center"/>
        <w:rPr>
          <w:rFonts w:eastAsia="Calibri"/>
          <w:b/>
          <w:bCs/>
          <w:color w:val="000000"/>
          <w:sz w:val="28"/>
          <w:szCs w:val="28"/>
          <w:lang w:eastAsia="en-US"/>
        </w:rPr>
      </w:pPr>
      <w:r w:rsidRPr="003930BD">
        <w:rPr>
          <w:rFonts w:eastAsia="Calibri"/>
          <w:b/>
          <w:bCs/>
          <w:color w:val="000000"/>
          <w:sz w:val="28"/>
          <w:szCs w:val="28"/>
          <w:lang w:eastAsia="en-US"/>
        </w:rPr>
        <w:t>Procedimientos</w:t>
      </w:r>
    </w:p>
    <w:p w14:paraId="1931926D"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Se realizó un curso y un entrenamiento</w:t>
      </w:r>
      <w:r w:rsidRPr="003930BD">
        <w:rPr>
          <w:rFonts w:eastAsia="Calibri"/>
          <w:vertAlign w:val="superscript"/>
          <w:lang w:eastAsia="en-US"/>
        </w:rPr>
        <w:t>(4)</w:t>
      </w:r>
      <w:r w:rsidRPr="003930BD">
        <w:rPr>
          <w:rFonts w:eastAsia="Calibri"/>
          <w:lang w:eastAsia="en-US"/>
        </w:rPr>
        <w:t xml:space="preserve"> a los cirujanos incluidos y se replicó con los directivos, ginecoobstetras y proctólogos.</w:t>
      </w:r>
    </w:p>
    <w:p w14:paraId="1DCB1579" w14:textId="77777777" w:rsidR="003930BD" w:rsidRPr="003930BD" w:rsidRDefault="003930BD" w:rsidP="003930BD">
      <w:pPr>
        <w:spacing w:line="360" w:lineRule="auto"/>
        <w:jc w:val="both"/>
        <w:rPr>
          <w:rFonts w:eastAsia="Calibri"/>
          <w:lang w:eastAsia="en-US"/>
        </w:rPr>
      </w:pPr>
      <w:r w:rsidRPr="003930BD">
        <w:rPr>
          <w:rFonts w:eastAsia="Calibri"/>
          <w:lang w:eastAsia="en-US"/>
        </w:rPr>
        <w:t xml:space="preserve">Para elaborar la estrategia de superación, se consideraron las insuficiencias en el desempeño de los cirujanos en PP. </w:t>
      </w:r>
    </w:p>
    <w:p w14:paraId="13038D70" w14:textId="77777777" w:rsidR="003930BD" w:rsidRPr="003930BD" w:rsidRDefault="003930BD" w:rsidP="003930BD">
      <w:pPr>
        <w:autoSpaceDE w:val="0"/>
        <w:autoSpaceDN w:val="0"/>
        <w:adjustRightInd w:val="0"/>
        <w:spacing w:line="360" w:lineRule="auto"/>
        <w:jc w:val="both"/>
        <w:rPr>
          <w:rFonts w:eastAsia="Calibri"/>
          <w:color w:val="000000"/>
          <w:lang w:eastAsia="en-US"/>
        </w:rPr>
      </w:pPr>
      <w:r w:rsidRPr="003930BD">
        <w:rPr>
          <w:rFonts w:eastAsia="Calibri"/>
          <w:color w:val="000000"/>
          <w:lang w:eastAsia="en-US"/>
        </w:rPr>
        <w:t>Los instrumentos para evaluar la variable de estudio fueron los siguientes (ver archivo complementario):</w:t>
      </w:r>
      <w:r w:rsidRPr="003930BD">
        <w:rPr>
          <w:rFonts w:ascii="Calibri" w:eastAsia="Calibri" w:hAnsi="Calibri"/>
          <w:color w:val="000000"/>
          <w:sz w:val="22"/>
          <w:szCs w:val="22"/>
          <w:lang w:eastAsia="en-US"/>
        </w:rPr>
        <w:t xml:space="preserve"> </w:t>
      </w:r>
    </w:p>
    <w:p w14:paraId="0A55CA4C" w14:textId="77777777" w:rsidR="003930BD" w:rsidRPr="003930BD" w:rsidRDefault="003930BD" w:rsidP="003930BD">
      <w:pPr>
        <w:autoSpaceDE w:val="0"/>
        <w:autoSpaceDN w:val="0"/>
        <w:adjustRightInd w:val="0"/>
        <w:spacing w:line="360" w:lineRule="auto"/>
        <w:jc w:val="both"/>
        <w:rPr>
          <w:rFonts w:eastAsia="Calibri"/>
          <w:color w:val="000000"/>
          <w:lang w:eastAsia="en-US"/>
        </w:rPr>
      </w:pPr>
    </w:p>
    <w:p w14:paraId="183E7976" w14:textId="77777777" w:rsidR="003930BD" w:rsidRPr="003930BD" w:rsidRDefault="003930BD" w:rsidP="003930BD">
      <w:pPr>
        <w:numPr>
          <w:ilvl w:val="0"/>
          <w:numId w:val="10"/>
        </w:numPr>
        <w:autoSpaceDE w:val="0"/>
        <w:autoSpaceDN w:val="0"/>
        <w:adjustRightInd w:val="0"/>
        <w:spacing w:after="160" w:line="360" w:lineRule="auto"/>
        <w:contextualSpacing/>
        <w:jc w:val="both"/>
        <w:rPr>
          <w:color w:val="000000"/>
          <w:lang w:eastAsia="es-ES"/>
        </w:rPr>
      </w:pPr>
      <w:r w:rsidRPr="003930BD">
        <w:rPr>
          <w:color w:val="000000"/>
          <w:lang w:eastAsia="es-ES"/>
        </w:rPr>
        <w:lastRenderedPageBreak/>
        <w:t>Guía de observación.</w:t>
      </w:r>
    </w:p>
    <w:p w14:paraId="2FC67205" w14:textId="77777777" w:rsidR="003930BD" w:rsidRPr="003930BD" w:rsidRDefault="003930BD" w:rsidP="003930BD">
      <w:pPr>
        <w:numPr>
          <w:ilvl w:val="0"/>
          <w:numId w:val="10"/>
        </w:numPr>
        <w:autoSpaceDE w:val="0"/>
        <w:autoSpaceDN w:val="0"/>
        <w:adjustRightInd w:val="0"/>
        <w:spacing w:after="160" w:line="360" w:lineRule="auto"/>
        <w:contextualSpacing/>
        <w:jc w:val="both"/>
        <w:rPr>
          <w:color w:val="000000"/>
          <w:lang w:eastAsia="es-ES"/>
        </w:rPr>
      </w:pPr>
      <w:r w:rsidRPr="003930BD">
        <w:rPr>
          <w:color w:val="000000"/>
          <w:lang w:eastAsia="es-ES"/>
        </w:rPr>
        <w:t>Cuestionario a cirujanos.</w:t>
      </w:r>
    </w:p>
    <w:p w14:paraId="6B10EE99" w14:textId="77777777" w:rsidR="003930BD" w:rsidRPr="003930BD" w:rsidRDefault="003930BD" w:rsidP="003930BD">
      <w:pPr>
        <w:numPr>
          <w:ilvl w:val="0"/>
          <w:numId w:val="10"/>
        </w:numPr>
        <w:autoSpaceDE w:val="0"/>
        <w:autoSpaceDN w:val="0"/>
        <w:adjustRightInd w:val="0"/>
        <w:spacing w:after="160" w:line="360" w:lineRule="auto"/>
        <w:contextualSpacing/>
        <w:jc w:val="both"/>
        <w:rPr>
          <w:color w:val="000000"/>
          <w:lang w:eastAsia="es-ES"/>
        </w:rPr>
      </w:pPr>
      <w:r w:rsidRPr="003930BD">
        <w:rPr>
          <w:color w:val="000000"/>
          <w:lang w:eastAsia="es-ES"/>
        </w:rPr>
        <w:t>Prueba de desempeño.</w:t>
      </w:r>
    </w:p>
    <w:p w14:paraId="039E5A0C" w14:textId="77777777" w:rsidR="003930BD" w:rsidRPr="003930BD" w:rsidRDefault="003930BD" w:rsidP="003930BD">
      <w:pPr>
        <w:autoSpaceDE w:val="0"/>
        <w:autoSpaceDN w:val="0"/>
        <w:adjustRightInd w:val="0"/>
        <w:spacing w:line="360" w:lineRule="auto"/>
        <w:jc w:val="both"/>
        <w:rPr>
          <w:rFonts w:eastAsia="Calibri"/>
          <w:lang w:eastAsia="en-US"/>
        </w:rPr>
      </w:pPr>
    </w:p>
    <w:p w14:paraId="6CF13894"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 xml:space="preserve">Mediante la triangulación metodológica se realizó un inventario de potencialidades y debilidades en el desempeño de los cirujanos </w:t>
      </w:r>
      <w:r w:rsidRPr="003930BD">
        <w:rPr>
          <w:rFonts w:eastAsia="Calibri"/>
          <w:color w:val="000000"/>
          <w:lang w:eastAsia="en-US"/>
        </w:rPr>
        <w:t>(archivo complementario)</w:t>
      </w:r>
      <w:r w:rsidRPr="003930BD">
        <w:rPr>
          <w:rFonts w:eastAsia="Calibri"/>
          <w:lang w:eastAsia="en-US"/>
        </w:rPr>
        <w:t>. A partir de la teoría general de sistema</w:t>
      </w:r>
      <w:r w:rsidRPr="003930BD">
        <w:rPr>
          <w:rFonts w:eastAsia="Calibri"/>
          <w:vertAlign w:val="superscript"/>
          <w:lang w:eastAsia="en-US"/>
        </w:rPr>
        <w:t>(13)</w:t>
      </w:r>
      <w:r w:rsidRPr="003930BD">
        <w:rPr>
          <w:rFonts w:eastAsia="Calibri"/>
          <w:lang w:eastAsia="en-US"/>
        </w:rPr>
        <w:t xml:space="preserve"> se emplearon los métodos siguientes en la elaboración de la estrategia: </w:t>
      </w:r>
    </w:p>
    <w:p w14:paraId="7D1464C5"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Teóricos:</w:t>
      </w:r>
    </w:p>
    <w:p w14:paraId="126AE60F" w14:textId="77777777" w:rsidR="003930BD" w:rsidRPr="003930BD" w:rsidRDefault="003930BD" w:rsidP="003930BD">
      <w:pPr>
        <w:spacing w:line="360" w:lineRule="auto"/>
        <w:jc w:val="both"/>
        <w:rPr>
          <w:rFonts w:eastAsia="Calibri"/>
          <w:lang w:eastAsia="en-US"/>
        </w:rPr>
      </w:pPr>
    </w:p>
    <w:p w14:paraId="2A08971B" w14:textId="77777777" w:rsidR="003930BD" w:rsidRPr="003930BD" w:rsidRDefault="003930BD" w:rsidP="00877DED">
      <w:pPr>
        <w:numPr>
          <w:ilvl w:val="0"/>
          <w:numId w:val="11"/>
        </w:numPr>
        <w:spacing w:line="360" w:lineRule="auto"/>
        <w:ind w:left="709" w:hanging="425"/>
        <w:contextualSpacing/>
        <w:jc w:val="both"/>
        <w:rPr>
          <w:lang w:eastAsia="es-ES"/>
        </w:rPr>
      </w:pPr>
      <w:r w:rsidRPr="003930BD">
        <w:rPr>
          <w:lang w:eastAsia="es-ES"/>
        </w:rPr>
        <w:t>Sistematización: para estudiar los antecedentes de estrategias de superación de autores cubanos de las ciencias de la educación médica.</w:t>
      </w:r>
    </w:p>
    <w:p w14:paraId="2699AF7E" w14:textId="77777777" w:rsidR="003930BD" w:rsidRPr="003930BD" w:rsidRDefault="003930BD" w:rsidP="00877DED">
      <w:pPr>
        <w:numPr>
          <w:ilvl w:val="0"/>
          <w:numId w:val="11"/>
        </w:numPr>
        <w:spacing w:line="360" w:lineRule="auto"/>
        <w:ind w:left="709" w:hanging="425"/>
        <w:contextualSpacing/>
        <w:jc w:val="both"/>
        <w:rPr>
          <w:lang w:eastAsia="es-ES"/>
        </w:rPr>
      </w:pPr>
      <w:r w:rsidRPr="003930BD">
        <w:rPr>
          <w:rFonts w:eastAsia="SimSun"/>
          <w:lang w:eastAsia="es-ES"/>
        </w:rPr>
        <w:t>Sistémico estructural funcional:</w:t>
      </w:r>
      <w:r w:rsidRPr="003930BD">
        <w:rPr>
          <w:rFonts w:eastAsia="SimSun"/>
          <w:b/>
          <w:lang w:eastAsia="es-ES"/>
        </w:rPr>
        <w:t xml:space="preserve"> </w:t>
      </w:r>
      <w:r w:rsidRPr="003930BD">
        <w:rPr>
          <w:rFonts w:eastAsia="SimSun"/>
          <w:lang w:eastAsia="es-ES"/>
        </w:rPr>
        <w:t xml:space="preserve">para estructurar la estrategia y establecer relaciones entre sus componentes. </w:t>
      </w:r>
    </w:p>
    <w:p w14:paraId="70EE2F97" w14:textId="77777777" w:rsidR="003930BD" w:rsidRPr="003930BD" w:rsidRDefault="003930BD" w:rsidP="00877DED">
      <w:pPr>
        <w:numPr>
          <w:ilvl w:val="0"/>
          <w:numId w:val="11"/>
        </w:numPr>
        <w:spacing w:line="360" w:lineRule="auto"/>
        <w:ind w:left="709" w:hanging="425"/>
        <w:contextualSpacing/>
        <w:jc w:val="both"/>
        <w:rPr>
          <w:rFonts w:eastAsia="SimSun"/>
          <w:lang w:eastAsia="es-ES"/>
        </w:rPr>
      </w:pPr>
      <w:r w:rsidRPr="003930BD">
        <w:rPr>
          <w:lang w:eastAsia="es-ES"/>
        </w:rPr>
        <w:t>Modelación:</w:t>
      </w:r>
      <w:r w:rsidRPr="003930BD">
        <w:rPr>
          <w:bCs/>
          <w:lang w:eastAsia="es-ES"/>
        </w:rPr>
        <w:t xml:space="preserve"> para la abstracción y representación gráfica de la estrategia. </w:t>
      </w:r>
    </w:p>
    <w:p w14:paraId="7CA4A43F" w14:textId="77777777" w:rsidR="003930BD" w:rsidRPr="003930BD" w:rsidRDefault="003930BD" w:rsidP="003930BD">
      <w:pPr>
        <w:autoSpaceDE w:val="0"/>
        <w:autoSpaceDN w:val="0"/>
        <w:adjustRightInd w:val="0"/>
        <w:spacing w:line="360" w:lineRule="auto"/>
        <w:jc w:val="both"/>
        <w:rPr>
          <w:rFonts w:eastAsia="Calibri"/>
          <w:lang w:eastAsia="en-US"/>
        </w:rPr>
      </w:pPr>
    </w:p>
    <w:p w14:paraId="533DF068"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Empíricos:</w:t>
      </w:r>
    </w:p>
    <w:p w14:paraId="0A3CB8CD" w14:textId="77777777" w:rsidR="003930BD" w:rsidRPr="003930BD" w:rsidRDefault="003930BD" w:rsidP="003930BD">
      <w:pPr>
        <w:autoSpaceDE w:val="0"/>
        <w:autoSpaceDN w:val="0"/>
        <w:adjustRightInd w:val="0"/>
        <w:spacing w:line="360" w:lineRule="auto"/>
        <w:jc w:val="both"/>
        <w:rPr>
          <w:rFonts w:eastAsia="Calibri"/>
          <w:lang w:eastAsia="en-US"/>
        </w:rPr>
      </w:pPr>
    </w:p>
    <w:p w14:paraId="568A3CFB" w14:textId="77777777" w:rsidR="003930BD" w:rsidRPr="003930BD" w:rsidRDefault="003930BD" w:rsidP="003930BD">
      <w:pPr>
        <w:numPr>
          <w:ilvl w:val="0"/>
          <w:numId w:val="11"/>
        </w:numPr>
        <w:autoSpaceDE w:val="0"/>
        <w:autoSpaceDN w:val="0"/>
        <w:adjustRightInd w:val="0"/>
        <w:spacing w:after="160" w:line="360" w:lineRule="auto"/>
        <w:ind w:left="567" w:hanging="425"/>
        <w:contextualSpacing/>
        <w:jc w:val="both"/>
        <w:rPr>
          <w:lang w:eastAsia="es-ES"/>
        </w:rPr>
      </w:pPr>
      <w:r w:rsidRPr="003930BD">
        <w:rPr>
          <w:lang w:eastAsia="es-ES"/>
        </w:rPr>
        <w:t>Revisión documental:</w:t>
      </w:r>
      <w:r w:rsidRPr="003930BD">
        <w:rPr>
          <w:b/>
          <w:lang w:eastAsia="es-ES"/>
        </w:rPr>
        <w:t xml:space="preserve"> </w:t>
      </w:r>
      <w:r w:rsidRPr="003930BD">
        <w:rPr>
          <w:lang w:eastAsia="es-ES"/>
        </w:rPr>
        <w:t xml:space="preserve">para la bibliografía, resoluciones, normativas y estrategias de superación. </w:t>
      </w:r>
    </w:p>
    <w:p w14:paraId="10523EFB" w14:textId="77777777" w:rsidR="003930BD" w:rsidRPr="003930BD" w:rsidRDefault="003930BD" w:rsidP="003930BD">
      <w:pPr>
        <w:numPr>
          <w:ilvl w:val="0"/>
          <w:numId w:val="11"/>
        </w:numPr>
        <w:autoSpaceDE w:val="0"/>
        <w:autoSpaceDN w:val="0"/>
        <w:adjustRightInd w:val="0"/>
        <w:spacing w:after="160" w:line="360" w:lineRule="auto"/>
        <w:ind w:left="567" w:hanging="425"/>
        <w:contextualSpacing/>
        <w:jc w:val="both"/>
        <w:rPr>
          <w:lang w:eastAsia="es-ES"/>
        </w:rPr>
      </w:pPr>
      <w:r w:rsidRPr="003930BD">
        <w:rPr>
          <w:lang w:eastAsia="es-ES"/>
        </w:rPr>
        <w:t xml:space="preserve">Estudio de casos múltiples: se aplicó una prueba de conocimientos teóricos, inicial y teórico-práctica final en el curso y entrenamiento a los cirujanos. </w:t>
      </w:r>
    </w:p>
    <w:p w14:paraId="3E46D5D6" w14:textId="77777777" w:rsidR="003930BD" w:rsidRPr="003930BD" w:rsidRDefault="003930BD" w:rsidP="003930BD">
      <w:pPr>
        <w:numPr>
          <w:ilvl w:val="0"/>
          <w:numId w:val="11"/>
        </w:numPr>
        <w:autoSpaceDE w:val="0"/>
        <w:autoSpaceDN w:val="0"/>
        <w:adjustRightInd w:val="0"/>
        <w:spacing w:after="160" w:line="360" w:lineRule="auto"/>
        <w:ind w:left="567" w:hanging="425"/>
        <w:contextualSpacing/>
        <w:jc w:val="both"/>
        <w:rPr>
          <w:color w:val="000000"/>
          <w:lang w:eastAsia="es-ES"/>
        </w:rPr>
      </w:pPr>
      <w:r w:rsidRPr="003930BD">
        <w:rPr>
          <w:lang w:eastAsia="es-ES"/>
        </w:rPr>
        <w:t xml:space="preserve">Encuesta de satisfacción: mediante un cuestionario </w:t>
      </w:r>
      <w:r w:rsidRPr="003930BD">
        <w:rPr>
          <w:color w:val="000000"/>
          <w:lang w:eastAsia="es-ES"/>
        </w:rPr>
        <w:t>de 6 preguntas (ver archivo complementario)</w:t>
      </w:r>
      <w:r w:rsidRPr="003930BD">
        <w:rPr>
          <w:lang w:eastAsia="es-ES"/>
        </w:rPr>
        <w:t xml:space="preserve">, se determinó el nivel de satisfacción en cuanto a </w:t>
      </w:r>
      <w:r w:rsidRPr="003930BD">
        <w:rPr>
          <w:color w:val="000000"/>
          <w:lang w:eastAsia="es-ES"/>
        </w:rPr>
        <w:t>formas organizativas de superación (FOS), contenido impartido, nivel de actualización y pertinencia del tema PP, grado de preparación teórico-práctica de los profesores y medios de enseñanza utilizados. Las posibilidades de respuestas fueron: muy satisfecho, satisfecho, poco satisfecho e insatisfecho.</w:t>
      </w:r>
    </w:p>
    <w:p w14:paraId="3E86447D" w14:textId="77777777" w:rsidR="003930BD" w:rsidRPr="003930BD" w:rsidRDefault="003930BD" w:rsidP="003930BD">
      <w:pPr>
        <w:numPr>
          <w:ilvl w:val="0"/>
          <w:numId w:val="11"/>
        </w:numPr>
        <w:autoSpaceDE w:val="0"/>
        <w:autoSpaceDN w:val="0"/>
        <w:adjustRightInd w:val="0"/>
        <w:spacing w:after="160" w:line="360" w:lineRule="auto"/>
        <w:ind w:left="567" w:hanging="425"/>
        <w:contextualSpacing/>
        <w:jc w:val="both"/>
        <w:rPr>
          <w:lang w:eastAsia="es-ES"/>
        </w:rPr>
      </w:pPr>
      <w:r w:rsidRPr="003930BD">
        <w:rPr>
          <w:lang w:eastAsia="es-ES"/>
        </w:rPr>
        <w:t>Encuesta a directivos:</w:t>
      </w:r>
      <w:r w:rsidRPr="003930BD">
        <w:rPr>
          <w:rFonts w:eastAsia="SimSun"/>
          <w:lang w:eastAsia="es-ES"/>
        </w:rPr>
        <w:t xml:space="preserve"> </w:t>
      </w:r>
      <w:r w:rsidRPr="003930BD">
        <w:rPr>
          <w:color w:val="000000"/>
          <w:lang w:eastAsia="es-ES"/>
        </w:rPr>
        <w:t xml:space="preserve">mediante </w:t>
      </w:r>
      <w:r w:rsidRPr="003930BD">
        <w:rPr>
          <w:lang w:eastAsia="es-ES"/>
        </w:rPr>
        <w:t>un cuestionario de 4 preguntas (ver archivo complementario) s</w:t>
      </w:r>
      <w:r w:rsidRPr="003930BD">
        <w:rPr>
          <w:color w:val="000000"/>
          <w:lang w:eastAsia="es-ES"/>
        </w:rPr>
        <w:t>e</w:t>
      </w:r>
      <w:r w:rsidRPr="003930BD">
        <w:rPr>
          <w:lang w:eastAsia="es-ES"/>
        </w:rPr>
        <w:t xml:space="preserve"> constató el grado de satisfacción con el curso y el entrenamiento impartidos a los cirujanos, </w:t>
      </w:r>
      <w:r w:rsidRPr="003930BD">
        <w:rPr>
          <w:color w:val="000000"/>
          <w:lang w:eastAsia="es-ES"/>
        </w:rPr>
        <w:t>Las posibilidades de respuestas fueron: muy satisfecho, satisfecho, poco satisfecho e insatisfecho.</w:t>
      </w:r>
      <w:r w:rsidRPr="003930BD">
        <w:rPr>
          <w:lang w:eastAsia="es-ES"/>
        </w:rPr>
        <w:t xml:space="preserve"> </w:t>
      </w:r>
    </w:p>
    <w:p w14:paraId="3FFE4FC5" w14:textId="77777777" w:rsidR="003930BD" w:rsidRPr="003930BD" w:rsidRDefault="003930BD" w:rsidP="003930BD">
      <w:pPr>
        <w:spacing w:line="360" w:lineRule="auto"/>
        <w:jc w:val="both"/>
        <w:rPr>
          <w:rFonts w:eastAsia="Calibri"/>
          <w:lang w:eastAsia="en-US"/>
        </w:rPr>
      </w:pPr>
    </w:p>
    <w:p w14:paraId="1A4702AC" w14:textId="77777777" w:rsidR="003930BD" w:rsidRPr="003930BD" w:rsidRDefault="003930BD" w:rsidP="003930BD">
      <w:pPr>
        <w:autoSpaceDE w:val="0"/>
        <w:autoSpaceDN w:val="0"/>
        <w:adjustRightInd w:val="0"/>
        <w:spacing w:line="360" w:lineRule="auto"/>
        <w:jc w:val="center"/>
        <w:rPr>
          <w:rFonts w:eastAsia="Calibri"/>
          <w:b/>
          <w:bCs/>
          <w:sz w:val="28"/>
          <w:szCs w:val="28"/>
          <w:lang w:eastAsia="en-US"/>
        </w:rPr>
      </w:pPr>
      <w:r w:rsidRPr="003930BD">
        <w:rPr>
          <w:rFonts w:eastAsia="Calibri"/>
          <w:b/>
          <w:bCs/>
          <w:sz w:val="28"/>
          <w:szCs w:val="28"/>
          <w:lang w:eastAsia="en-US"/>
        </w:rPr>
        <w:t>Procesamiento</w:t>
      </w:r>
    </w:p>
    <w:p w14:paraId="313E4C9D" w14:textId="77777777" w:rsidR="003930BD" w:rsidRPr="003930BD" w:rsidRDefault="003930BD" w:rsidP="003930BD">
      <w:pPr>
        <w:spacing w:line="360" w:lineRule="auto"/>
        <w:jc w:val="both"/>
        <w:rPr>
          <w:rFonts w:eastAsia="Calibri"/>
          <w:lang w:eastAsia="en-US"/>
        </w:rPr>
      </w:pPr>
      <w:r w:rsidRPr="003930BD">
        <w:rPr>
          <w:rFonts w:eastAsia="Calibri"/>
          <w:lang w:eastAsia="en-US"/>
        </w:rPr>
        <w:t xml:space="preserve">El análisis cualitativo se realizó mediante los métodos antes descritos, en interacción con los sujetos incluidos en la investigación. </w:t>
      </w:r>
    </w:p>
    <w:p w14:paraId="3E0DEB7E" w14:textId="77777777" w:rsidR="003930BD" w:rsidRPr="003930BD" w:rsidRDefault="003930BD" w:rsidP="003930BD">
      <w:pPr>
        <w:spacing w:line="360" w:lineRule="auto"/>
        <w:jc w:val="both"/>
        <w:rPr>
          <w:rFonts w:eastAsia="Calibri"/>
          <w:lang w:eastAsia="en-US"/>
        </w:rPr>
      </w:pPr>
      <w:r w:rsidRPr="003930BD">
        <w:rPr>
          <w:rFonts w:eastAsia="Calibri"/>
          <w:lang w:eastAsia="en-US"/>
        </w:rPr>
        <w:t>El análisis cuantitativo se realizó a los resultados de la prueba de desempeño final y al cuestionario para cirujanos, mediante un análisis de frecuencias.</w:t>
      </w:r>
    </w:p>
    <w:p w14:paraId="37100D0D" w14:textId="77777777" w:rsidR="003930BD" w:rsidRPr="003930BD" w:rsidRDefault="003930BD" w:rsidP="003930BD">
      <w:pPr>
        <w:spacing w:line="360" w:lineRule="auto"/>
        <w:jc w:val="both"/>
        <w:rPr>
          <w:rFonts w:eastAsia="Calibri"/>
          <w:lang w:eastAsia="en-US"/>
        </w:rPr>
      </w:pPr>
      <w:r w:rsidRPr="003930BD">
        <w:rPr>
          <w:rFonts w:eastAsia="Calibri"/>
          <w:lang w:eastAsia="en-US"/>
        </w:rPr>
        <w:t>Esta investigación forma parte de un tema doctoral. Fue aprobada por el consejo científico y el comité de ética del Hospital "Dr. Ambrosio Grillo" de Santiago de Cuba. Se obtuvo el consentimiento y la colaboración activa voluntaria de los participantes.</w:t>
      </w:r>
    </w:p>
    <w:p w14:paraId="7DD1821D" w14:textId="77777777" w:rsidR="003930BD" w:rsidRPr="003930BD" w:rsidRDefault="003930BD" w:rsidP="003930BD">
      <w:pPr>
        <w:spacing w:line="360" w:lineRule="auto"/>
        <w:jc w:val="both"/>
        <w:rPr>
          <w:rFonts w:eastAsia="Calibri"/>
          <w:lang w:eastAsia="en-US"/>
        </w:rPr>
      </w:pPr>
    </w:p>
    <w:p w14:paraId="69797CEE" w14:textId="77777777" w:rsidR="003930BD" w:rsidRPr="003930BD" w:rsidRDefault="003930BD" w:rsidP="003930BD">
      <w:pPr>
        <w:spacing w:line="360" w:lineRule="auto"/>
        <w:jc w:val="both"/>
        <w:rPr>
          <w:rFonts w:eastAsia="Calibri"/>
          <w:lang w:eastAsia="en-US"/>
        </w:rPr>
      </w:pPr>
    </w:p>
    <w:p w14:paraId="74BAB3F7" w14:textId="77777777" w:rsidR="003930BD" w:rsidRPr="003930BD" w:rsidRDefault="003930BD" w:rsidP="003930BD">
      <w:pPr>
        <w:spacing w:line="360" w:lineRule="auto"/>
        <w:jc w:val="center"/>
        <w:rPr>
          <w:rFonts w:eastAsia="Calibri"/>
          <w:b/>
          <w:sz w:val="32"/>
          <w:szCs w:val="32"/>
          <w:lang w:eastAsia="en-US"/>
        </w:rPr>
      </w:pPr>
      <w:r w:rsidRPr="003930BD">
        <w:rPr>
          <w:rFonts w:eastAsia="Calibri"/>
          <w:b/>
          <w:sz w:val="32"/>
          <w:szCs w:val="32"/>
          <w:lang w:eastAsia="en-US"/>
        </w:rPr>
        <w:t>RESULTADOS</w:t>
      </w:r>
    </w:p>
    <w:p w14:paraId="3996EE16"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El desempeño en PP mostró insuficiencias en 6 cirujanos (40 %).  En la guía de observación hubo predominio del rango “se observa poco”. En el cuestionario hubo un predominio del rango “domina poco” y “a veces”. En la prueba de desempeño inicial, hubo predominio del rango 4.</w:t>
      </w:r>
    </w:p>
    <w:p w14:paraId="6E38966F" w14:textId="77777777" w:rsidR="003930BD" w:rsidRPr="003930BD" w:rsidRDefault="003930BD" w:rsidP="003930BD">
      <w:pPr>
        <w:spacing w:line="360" w:lineRule="auto"/>
        <w:jc w:val="both"/>
        <w:rPr>
          <w:rFonts w:eastAsia="Calibri"/>
          <w:lang w:eastAsia="en-US"/>
        </w:rPr>
      </w:pPr>
      <w:r w:rsidRPr="003930BD">
        <w:rPr>
          <w:rFonts w:eastAsia="Calibri"/>
          <w:lang w:eastAsia="en-US"/>
        </w:rPr>
        <w:t>Las insuficiencias en el desempeño fueron: poco desarrollo de habilidades específicas en PP, como habilidades científicas e investigativas, habilidades procedimentales diagnósticas, terapéuticas y escaso enfoque interdisciplinario.</w:t>
      </w:r>
    </w:p>
    <w:p w14:paraId="0BF0155E" w14:textId="77777777" w:rsidR="003930BD" w:rsidRPr="003930BD" w:rsidRDefault="003930BD" w:rsidP="003930BD">
      <w:pPr>
        <w:autoSpaceDE w:val="0"/>
        <w:autoSpaceDN w:val="0"/>
        <w:adjustRightInd w:val="0"/>
        <w:spacing w:line="360" w:lineRule="auto"/>
        <w:jc w:val="both"/>
        <w:rPr>
          <w:rFonts w:eastAsia="Calibri"/>
          <w:bCs/>
          <w:lang w:eastAsia="en-US"/>
        </w:rPr>
      </w:pPr>
      <w:r w:rsidRPr="003930BD">
        <w:rPr>
          <w:rFonts w:eastAsia="Calibri"/>
          <w:lang w:eastAsia="en-US"/>
        </w:rPr>
        <w:t>La estrategia de superación fue concebida como un sistema e integrada por 3 planos:</w:t>
      </w:r>
      <w:r w:rsidRPr="003930BD">
        <w:rPr>
          <w:rFonts w:eastAsia="Calibri"/>
          <w:bCs/>
          <w:lang w:eastAsia="en-US"/>
        </w:rPr>
        <w:t xml:space="preserve"> interno, externo y contextual. </w:t>
      </w:r>
    </w:p>
    <w:p w14:paraId="14706023"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bCs/>
          <w:lang w:eastAsia="en-US"/>
        </w:rPr>
        <w:t>El plano interno es conceptual e incluye o</w:t>
      </w:r>
      <w:r w:rsidRPr="003930BD">
        <w:rPr>
          <w:rFonts w:eastAsia="Calibri"/>
          <w:lang w:eastAsia="en-US"/>
        </w:rPr>
        <w:t>bjetivo, dimensiones, fundamentos y principios de la educación médica:</w:t>
      </w:r>
    </w:p>
    <w:p w14:paraId="3624DFE7" w14:textId="77777777" w:rsidR="003930BD" w:rsidRPr="003930BD" w:rsidRDefault="003930BD" w:rsidP="003930BD">
      <w:pPr>
        <w:spacing w:line="360" w:lineRule="auto"/>
        <w:ind w:right="22"/>
        <w:jc w:val="both"/>
        <w:rPr>
          <w:rFonts w:eastAsia="Calibri"/>
          <w:bCs/>
          <w:lang w:eastAsia="en-US"/>
        </w:rPr>
      </w:pPr>
      <w:r w:rsidRPr="003930BD">
        <w:rPr>
          <w:rFonts w:eastAsia="Calibri"/>
          <w:lang w:eastAsia="en-US"/>
        </w:rPr>
        <w:t>Objetivo:</w:t>
      </w:r>
      <w:r w:rsidRPr="003930BD">
        <w:rPr>
          <w:rFonts w:eastAsia="Calibri"/>
          <w:b/>
          <w:lang w:eastAsia="en-US"/>
        </w:rPr>
        <w:t xml:space="preserve"> </w:t>
      </w:r>
      <w:r w:rsidRPr="003930BD">
        <w:rPr>
          <w:rFonts w:eastAsia="Calibri"/>
          <w:lang w:eastAsia="en-US"/>
        </w:rPr>
        <w:t xml:space="preserve">proponer alternativas de superación que contribuyan al mejoramiento del desempeño profesional de los cirujanos en PP, con el desarrollo de habilidades específicas para la atención diagnóstica y terapéutica, a corto, mediano y largo plazo. </w:t>
      </w:r>
      <w:r w:rsidRPr="003930BD">
        <w:rPr>
          <w:rFonts w:eastAsia="Calibri"/>
          <w:bCs/>
          <w:lang w:eastAsia="en-US"/>
        </w:rPr>
        <w:t xml:space="preserve"> </w:t>
      </w:r>
    </w:p>
    <w:p w14:paraId="3FAE7BCE" w14:textId="77777777" w:rsidR="003930BD" w:rsidRPr="003930BD" w:rsidRDefault="003930BD" w:rsidP="003930BD">
      <w:pPr>
        <w:spacing w:line="360" w:lineRule="auto"/>
        <w:ind w:right="22"/>
        <w:jc w:val="both"/>
        <w:rPr>
          <w:rFonts w:eastAsia="Calibri"/>
          <w:bCs/>
          <w:lang w:eastAsia="en-US"/>
        </w:rPr>
      </w:pPr>
      <w:r w:rsidRPr="003930BD">
        <w:rPr>
          <w:rFonts w:eastAsia="Calibri"/>
          <w:bCs/>
          <w:lang w:eastAsia="en-US"/>
        </w:rPr>
        <w:t>Dimensiones: clínica quirúrgica, científica investigativa, educativa, gerencial y actitudinal.</w:t>
      </w:r>
    </w:p>
    <w:p w14:paraId="23D07457" w14:textId="77777777" w:rsidR="003930BD" w:rsidRPr="003930BD" w:rsidRDefault="003930BD" w:rsidP="003930BD">
      <w:pPr>
        <w:widowControl w:val="0"/>
        <w:tabs>
          <w:tab w:val="left" w:pos="426"/>
        </w:tabs>
        <w:autoSpaceDE w:val="0"/>
        <w:autoSpaceDN w:val="0"/>
        <w:adjustRightInd w:val="0"/>
        <w:spacing w:line="360" w:lineRule="auto"/>
        <w:jc w:val="both"/>
        <w:rPr>
          <w:rFonts w:eastAsia="Calibri"/>
          <w:lang w:eastAsia="en-US"/>
        </w:rPr>
      </w:pPr>
      <w:r w:rsidRPr="003930BD">
        <w:rPr>
          <w:rFonts w:eastAsia="Calibri"/>
          <w:bCs/>
          <w:lang w:eastAsia="en-US"/>
        </w:rPr>
        <w:t>Fundamentos:</w:t>
      </w:r>
      <w:r w:rsidRPr="003930BD">
        <w:rPr>
          <w:rFonts w:eastAsia="Calibri"/>
          <w:lang w:eastAsia="en-US"/>
        </w:rPr>
        <w:t xml:space="preserve"> </w:t>
      </w:r>
    </w:p>
    <w:p w14:paraId="0F0BF3AB" w14:textId="77777777" w:rsidR="003930BD" w:rsidRPr="003930BD" w:rsidRDefault="003930BD" w:rsidP="003930BD">
      <w:pPr>
        <w:widowControl w:val="0"/>
        <w:tabs>
          <w:tab w:val="left" w:pos="426"/>
        </w:tabs>
        <w:autoSpaceDE w:val="0"/>
        <w:autoSpaceDN w:val="0"/>
        <w:adjustRightInd w:val="0"/>
        <w:spacing w:line="360" w:lineRule="auto"/>
        <w:jc w:val="both"/>
        <w:rPr>
          <w:rFonts w:eastAsia="Calibri"/>
          <w:lang w:eastAsia="en-US"/>
        </w:rPr>
      </w:pPr>
    </w:p>
    <w:p w14:paraId="588F943A" w14:textId="77777777" w:rsidR="003930BD" w:rsidRPr="003930BD" w:rsidRDefault="003930BD" w:rsidP="003930BD">
      <w:pPr>
        <w:widowControl w:val="0"/>
        <w:numPr>
          <w:ilvl w:val="0"/>
          <w:numId w:val="13"/>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lastRenderedPageBreak/>
        <w:t>Filosófico: el materialismo dialéctico e histórico.</w:t>
      </w:r>
      <w:r w:rsidRPr="003930BD">
        <w:rPr>
          <w:vertAlign w:val="superscript"/>
          <w:lang w:eastAsia="es-ES"/>
        </w:rPr>
        <w:t>(14)</w:t>
      </w:r>
    </w:p>
    <w:p w14:paraId="17365C40" w14:textId="77777777" w:rsidR="003930BD" w:rsidRPr="003930BD" w:rsidRDefault="003930BD" w:rsidP="003930BD">
      <w:pPr>
        <w:widowControl w:val="0"/>
        <w:numPr>
          <w:ilvl w:val="0"/>
          <w:numId w:val="13"/>
        </w:numPr>
        <w:autoSpaceDE w:val="0"/>
        <w:autoSpaceDN w:val="0"/>
        <w:adjustRightInd w:val="0"/>
        <w:spacing w:after="160" w:line="360" w:lineRule="auto"/>
        <w:ind w:left="426" w:hanging="284"/>
        <w:contextualSpacing/>
        <w:jc w:val="both"/>
        <w:rPr>
          <w:lang w:eastAsia="es-ES"/>
        </w:rPr>
      </w:pPr>
      <w:r w:rsidRPr="003930BD">
        <w:rPr>
          <w:lang w:eastAsia="es-ES"/>
        </w:rPr>
        <w:t xml:space="preserve">Psicológico: parte del enfoque histórico cultural del desarrollo humano de </w:t>
      </w:r>
      <w:r w:rsidRPr="003930BD">
        <w:rPr>
          <w:iCs/>
          <w:lang w:eastAsia="es-ES"/>
        </w:rPr>
        <w:t>Vygotsky.</w:t>
      </w:r>
      <w:r w:rsidRPr="003930BD">
        <w:rPr>
          <w:i/>
          <w:vertAlign w:val="superscript"/>
          <w:lang w:eastAsia="es-ES"/>
        </w:rPr>
        <w:t>(</w:t>
      </w:r>
      <w:r w:rsidRPr="003930BD">
        <w:rPr>
          <w:vertAlign w:val="superscript"/>
          <w:lang w:eastAsia="es-ES"/>
        </w:rPr>
        <w:t>15)</w:t>
      </w:r>
      <w:r w:rsidRPr="003930BD">
        <w:rPr>
          <w:lang w:eastAsia="es-ES"/>
        </w:rPr>
        <w:t xml:space="preserve"> Considera la zona de desarrollo actual (conocimiento previo) y la zona de desarrollo próximo (actualización). </w:t>
      </w:r>
    </w:p>
    <w:p w14:paraId="1B7DBB4D" w14:textId="77777777" w:rsidR="003930BD" w:rsidRPr="003930BD" w:rsidRDefault="003930BD" w:rsidP="003930BD">
      <w:pPr>
        <w:numPr>
          <w:ilvl w:val="0"/>
          <w:numId w:val="13"/>
        </w:numPr>
        <w:spacing w:after="160" w:line="360" w:lineRule="auto"/>
        <w:ind w:left="426" w:hanging="284"/>
        <w:contextualSpacing/>
        <w:jc w:val="both"/>
        <w:rPr>
          <w:rFonts w:eastAsia="Calibri"/>
          <w:lang w:eastAsia="es-ES"/>
        </w:rPr>
      </w:pPr>
      <w:r w:rsidRPr="003930BD">
        <w:rPr>
          <w:lang w:eastAsia="es-ES"/>
        </w:rPr>
        <w:t xml:space="preserve">Salubrista: </w:t>
      </w:r>
      <w:r w:rsidRPr="003930BD">
        <w:rPr>
          <w:rFonts w:eastAsia="Calibri"/>
          <w:lang w:eastAsia="es-ES"/>
        </w:rPr>
        <w:t>el mejoramiento del desempeño como determinante social</w:t>
      </w:r>
      <w:r w:rsidRPr="003930BD">
        <w:rPr>
          <w:rFonts w:eastAsia="Calibri"/>
          <w:vertAlign w:val="superscript"/>
          <w:lang w:eastAsia="es-ES"/>
        </w:rPr>
        <w:t>(16)</w:t>
      </w:r>
      <w:r w:rsidRPr="003930BD">
        <w:rPr>
          <w:rFonts w:eastAsia="Calibri"/>
          <w:lang w:eastAsia="es-ES"/>
        </w:rPr>
        <w:t xml:space="preserve"> y la articulación de lo cognitivo, procedimental y comportamental. Se manifiesta en la prevención de complicaciones de la PP y en el diagnóstico temprano que permite el tratamiento urgente y la rápida reincorporación laboral y social del afectado. </w:t>
      </w:r>
    </w:p>
    <w:p w14:paraId="4187275A" w14:textId="77777777" w:rsidR="003930BD" w:rsidRPr="003930BD" w:rsidRDefault="003930BD" w:rsidP="003930BD">
      <w:pPr>
        <w:numPr>
          <w:ilvl w:val="0"/>
          <w:numId w:val="13"/>
        </w:numPr>
        <w:autoSpaceDE w:val="0"/>
        <w:autoSpaceDN w:val="0"/>
        <w:adjustRightInd w:val="0"/>
        <w:spacing w:after="160" w:line="360" w:lineRule="auto"/>
        <w:ind w:left="426" w:hanging="284"/>
        <w:contextualSpacing/>
        <w:jc w:val="both"/>
        <w:rPr>
          <w:rFonts w:eastAsia="Calibri"/>
          <w:lang w:eastAsia="es-ES"/>
        </w:rPr>
      </w:pPr>
      <w:r w:rsidRPr="003930BD">
        <w:rPr>
          <w:lang w:eastAsia="es-ES"/>
        </w:rPr>
        <w:t>C</w:t>
      </w:r>
      <w:r w:rsidRPr="003930BD">
        <w:rPr>
          <w:rFonts w:eastAsia="Calibri"/>
          <w:lang w:eastAsia="es-ES"/>
        </w:rPr>
        <w:t>línico quirúrgico: prevención de la PP con el desarrollo de las habilidades procedimentales terapéuticas en la laparotomía inicial y el desarrollo de las habilidades procedimentales diagnósticas y terapéuticas una vez establecida esta complicación.</w:t>
      </w:r>
      <w:r w:rsidRPr="003930BD">
        <w:rPr>
          <w:rFonts w:eastAsia="Calibri"/>
          <w:vertAlign w:val="superscript"/>
          <w:lang w:eastAsia="es-ES"/>
        </w:rPr>
        <w:t xml:space="preserve">(2) </w:t>
      </w:r>
    </w:p>
    <w:p w14:paraId="78FD923D" w14:textId="77777777" w:rsidR="003930BD" w:rsidRPr="003930BD" w:rsidRDefault="003930BD" w:rsidP="003930BD">
      <w:pPr>
        <w:numPr>
          <w:ilvl w:val="0"/>
          <w:numId w:val="13"/>
        </w:numPr>
        <w:spacing w:after="160" w:line="360" w:lineRule="auto"/>
        <w:ind w:left="426" w:right="22" w:hanging="284"/>
        <w:contextualSpacing/>
        <w:jc w:val="both"/>
        <w:rPr>
          <w:bCs/>
          <w:lang w:eastAsia="es-ES"/>
        </w:rPr>
      </w:pPr>
      <w:r w:rsidRPr="003930BD">
        <w:rPr>
          <w:lang w:eastAsia="es-ES"/>
        </w:rPr>
        <w:t xml:space="preserve">De las ciencias de la educación médica: </w:t>
      </w:r>
      <w:r w:rsidRPr="003930BD">
        <w:rPr>
          <w:iCs/>
          <w:lang w:eastAsia="es-ES"/>
        </w:rPr>
        <w:t>las FOS se basan en</w:t>
      </w:r>
      <w:r w:rsidRPr="003930BD">
        <w:rPr>
          <w:lang w:eastAsia="es-ES"/>
        </w:rPr>
        <w:t xml:space="preserve"> los principios de la educación médica:</w:t>
      </w:r>
      <w:r w:rsidRPr="003930BD">
        <w:rPr>
          <w:vertAlign w:val="superscript"/>
          <w:lang w:eastAsia="es-ES"/>
        </w:rPr>
        <w:t xml:space="preserve">(17) </w:t>
      </w:r>
      <w:r w:rsidRPr="003930BD">
        <w:rPr>
          <w:bCs/>
          <w:lang w:eastAsia="es-ES"/>
        </w:rPr>
        <w:t xml:space="preserve">educación en el trabajo, formación permanente y continuada, integración asistencial-administrativa-docente-investigativa, vinculación estudio-trabajo y teoría-práctica, formación de pregrado y posgrado como un </w:t>
      </w:r>
      <w:r w:rsidRPr="003930BD">
        <w:rPr>
          <w:bCs/>
          <w:i/>
          <w:iCs/>
          <w:lang w:eastAsia="es-ES"/>
        </w:rPr>
        <w:t>continuum</w:t>
      </w:r>
      <w:r w:rsidRPr="003930BD">
        <w:rPr>
          <w:bCs/>
          <w:lang w:eastAsia="es-ES"/>
        </w:rPr>
        <w:t xml:space="preserve">, enseñanza tutorial y la ética-humanismo.  </w:t>
      </w:r>
    </w:p>
    <w:p w14:paraId="32E0399A" w14:textId="77777777" w:rsidR="003930BD" w:rsidRPr="003930BD" w:rsidRDefault="003930BD" w:rsidP="003930BD">
      <w:pPr>
        <w:spacing w:line="360" w:lineRule="auto"/>
        <w:ind w:right="22"/>
        <w:jc w:val="both"/>
        <w:rPr>
          <w:rFonts w:eastAsia="Calibri"/>
          <w:lang w:eastAsia="en-US"/>
        </w:rPr>
      </w:pPr>
    </w:p>
    <w:p w14:paraId="5F0EA422" w14:textId="77777777" w:rsidR="003930BD" w:rsidRPr="003930BD" w:rsidRDefault="003930BD" w:rsidP="003930BD">
      <w:pPr>
        <w:spacing w:line="360" w:lineRule="auto"/>
        <w:ind w:right="22"/>
        <w:jc w:val="both"/>
        <w:rPr>
          <w:rFonts w:eastAsia="Calibri"/>
          <w:lang w:eastAsia="en-US"/>
        </w:rPr>
      </w:pPr>
      <w:r w:rsidRPr="003930BD">
        <w:rPr>
          <w:rFonts w:eastAsia="Calibri"/>
          <w:lang w:eastAsia="en-US"/>
        </w:rPr>
        <w:t>El plano externo es metodológico e incluye 4 etapas:</w:t>
      </w:r>
    </w:p>
    <w:p w14:paraId="4FBB885D" w14:textId="77777777" w:rsidR="003930BD" w:rsidRPr="003930BD" w:rsidRDefault="003930BD" w:rsidP="003930BD">
      <w:pPr>
        <w:spacing w:line="360" w:lineRule="auto"/>
        <w:ind w:right="22"/>
        <w:jc w:val="both"/>
        <w:rPr>
          <w:b/>
          <w:lang w:eastAsia="es-ES"/>
        </w:rPr>
      </w:pPr>
      <w:r w:rsidRPr="003930BD">
        <w:rPr>
          <w:lang w:eastAsia="es-ES"/>
        </w:rPr>
        <w:t>Etapa</w:t>
      </w:r>
      <w:r w:rsidRPr="003930BD">
        <w:rPr>
          <w:b/>
          <w:lang w:eastAsia="es-ES"/>
        </w:rPr>
        <w:t xml:space="preserve"> </w:t>
      </w:r>
      <w:r w:rsidRPr="003930BD">
        <w:rPr>
          <w:lang w:eastAsia="es-ES"/>
        </w:rPr>
        <w:t xml:space="preserve">I. Diagnóstico y sensibilización. </w:t>
      </w:r>
      <w:r w:rsidRPr="003930BD">
        <w:rPr>
          <w:rFonts w:eastAsia="Calibri"/>
          <w:lang w:eastAsia="en-US"/>
        </w:rPr>
        <w:t xml:space="preserve">Objetivo: </w:t>
      </w:r>
      <w:r w:rsidRPr="003930BD">
        <w:rPr>
          <w:rFonts w:eastAsia="Calibri"/>
          <w:color w:val="000000"/>
          <w:lang w:eastAsia="en-US"/>
        </w:rPr>
        <w:t>Caracterizar el desempeño de los cirujanos y mejorarlo mediante las FOS.</w:t>
      </w:r>
    </w:p>
    <w:p w14:paraId="686B33B8"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lang w:eastAsia="es-ES"/>
        </w:rPr>
        <w:t>Acciones:</w:t>
      </w:r>
      <w:r w:rsidRPr="003930BD">
        <w:rPr>
          <w:rFonts w:eastAsia="Calibri"/>
          <w:lang w:eastAsia="en-US"/>
        </w:rPr>
        <w:t xml:space="preserve"> </w:t>
      </w:r>
    </w:p>
    <w:p w14:paraId="73AC152C" w14:textId="77777777" w:rsidR="003930BD" w:rsidRPr="003930BD" w:rsidRDefault="003930BD" w:rsidP="003930BD">
      <w:pPr>
        <w:autoSpaceDE w:val="0"/>
        <w:autoSpaceDN w:val="0"/>
        <w:adjustRightInd w:val="0"/>
        <w:spacing w:line="360" w:lineRule="auto"/>
        <w:jc w:val="both"/>
        <w:rPr>
          <w:rFonts w:eastAsia="Calibri"/>
          <w:lang w:eastAsia="en-US"/>
        </w:rPr>
      </w:pPr>
    </w:p>
    <w:p w14:paraId="2BB53870" w14:textId="77777777" w:rsidR="003930BD" w:rsidRPr="003930BD" w:rsidRDefault="003930BD" w:rsidP="003930BD">
      <w:pPr>
        <w:numPr>
          <w:ilvl w:val="0"/>
          <w:numId w:val="14"/>
        </w:numPr>
        <w:autoSpaceDE w:val="0"/>
        <w:autoSpaceDN w:val="0"/>
        <w:adjustRightInd w:val="0"/>
        <w:spacing w:after="160" w:line="360" w:lineRule="auto"/>
        <w:ind w:left="426" w:hanging="284"/>
        <w:jc w:val="both"/>
        <w:rPr>
          <w:rFonts w:eastAsia="Calibri"/>
          <w:lang w:eastAsia="en-US"/>
        </w:rPr>
      </w:pPr>
      <w:r w:rsidRPr="003930BD">
        <w:rPr>
          <w:rFonts w:eastAsia="Calibri"/>
          <w:lang w:eastAsia="en-US"/>
        </w:rPr>
        <w:t xml:space="preserve">Elaboración de una conferencia especializada para motivar y explicitar la necesidad de superación. </w:t>
      </w:r>
    </w:p>
    <w:p w14:paraId="6242F97A" w14:textId="77777777" w:rsidR="003930BD" w:rsidRPr="003930BD" w:rsidRDefault="003930BD" w:rsidP="003930BD">
      <w:pPr>
        <w:numPr>
          <w:ilvl w:val="0"/>
          <w:numId w:val="14"/>
        </w:numPr>
        <w:autoSpaceDE w:val="0"/>
        <w:autoSpaceDN w:val="0"/>
        <w:adjustRightInd w:val="0"/>
        <w:spacing w:after="160" w:line="360" w:lineRule="auto"/>
        <w:ind w:left="426" w:hanging="284"/>
        <w:jc w:val="both"/>
        <w:rPr>
          <w:rFonts w:eastAsia="Calibri"/>
          <w:lang w:eastAsia="en-US"/>
        </w:rPr>
      </w:pPr>
      <w:r w:rsidRPr="003930BD">
        <w:rPr>
          <w:lang w:eastAsia="es-ES"/>
        </w:rPr>
        <w:t>Análisis de los resultados de la caracterización del desempeño de los cirujanos.</w:t>
      </w:r>
      <w:r w:rsidRPr="003930BD">
        <w:rPr>
          <w:rFonts w:eastAsia="Calibri"/>
          <w:lang w:eastAsia="en-US"/>
        </w:rPr>
        <w:t xml:space="preserve"> </w:t>
      </w:r>
    </w:p>
    <w:p w14:paraId="3E69A087" w14:textId="77777777" w:rsidR="003930BD" w:rsidRPr="003930BD" w:rsidRDefault="003930BD" w:rsidP="003930BD">
      <w:pPr>
        <w:numPr>
          <w:ilvl w:val="0"/>
          <w:numId w:val="14"/>
        </w:numPr>
        <w:autoSpaceDE w:val="0"/>
        <w:autoSpaceDN w:val="0"/>
        <w:adjustRightInd w:val="0"/>
        <w:spacing w:after="160" w:line="360" w:lineRule="auto"/>
        <w:ind w:left="426" w:hanging="284"/>
        <w:jc w:val="both"/>
        <w:rPr>
          <w:lang w:eastAsia="es-ES"/>
        </w:rPr>
      </w:pPr>
      <w:r w:rsidRPr="003930BD">
        <w:rPr>
          <w:lang w:eastAsia="es-ES"/>
        </w:rPr>
        <w:t xml:space="preserve">Sensibilizar y tomar decisiones a partir de las necesidades de aprendizaje identificadas.  </w:t>
      </w:r>
    </w:p>
    <w:p w14:paraId="75402166" w14:textId="77777777" w:rsidR="003930BD" w:rsidRPr="003930BD" w:rsidRDefault="003930BD" w:rsidP="003930BD">
      <w:pPr>
        <w:spacing w:line="360" w:lineRule="auto"/>
        <w:ind w:right="-208"/>
        <w:jc w:val="both"/>
        <w:rPr>
          <w:rFonts w:eastAsia="Calibri"/>
          <w:lang w:eastAsia="en-US"/>
        </w:rPr>
      </w:pPr>
    </w:p>
    <w:p w14:paraId="384E3566" w14:textId="77777777" w:rsidR="003930BD" w:rsidRPr="003930BD" w:rsidRDefault="003930BD" w:rsidP="003930BD">
      <w:pPr>
        <w:spacing w:line="360" w:lineRule="auto"/>
        <w:ind w:right="-208"/>
        <w:jc w:val="both"/>
        <w:rPr>
          <w:rFonts w:eastAsia="Calibri"/>
          <w:lang w:eastAsia="en-US"/>
        </w:rPr>
      </w:pPr>
      <w:r w:rsidRPr="003930BD">
        <w:rPr>
          <w:rFonts w:eastAsia="Calibri"/>
          <w:lang w:eastAsia="en-US"/>
        </w:rPr>
        <w:t xml:space="preserve">Etapa </w:t>
      </w:r>
      <w:r w:rsidRPr="003930BD">
        <w:rPr>
          <w:lang w:eastAsia="es-ES"/>
        </w:rPr>
        <w:t xml:space="preserve">II. </w:t>
      </w:r>
      <w:r w:rsidRPr="003930BD">
        <w:rPr>
          <w:rFonts w:eastAsia="Calibri"/>
          <w:lang w:eastAsia="en-US"/>
        </w:rPr>
        <w:t xml:space="preserve">Planificación. Objetivo: seleccionar las FOS de la estrategia de evaluación e instrumentos evaluativos luego de la implementación.   </w:t>
      </w:r>
    </w:p>
    <w:p w14:paraId="2B6360E6" w14:textId="77777777" w:rsidR="003930BD" w:rsidRPr="003930BD" w:rsidRDefault="003930BD" w:rsidP="003930BD">
      <w:pPr>
        <w:tabs>
          <w:tab w:val="left" w:pos="426"/>
        </w:tabs>
        <w:autoSpaceDE w:val="0"/>
        <w:autoSpaceDN w:val="0"/>
        <w:adjustRightInd w:val="0"/>
        <w:spacing w:line="360" w:lineRule="auto"/>
        <w:contextualSpacing/>
        <w:jc w:val="both"/>
        <w:rPr>
          <w:rFonts w:eastAsia="Calibri"/>
          <w:lang w:eastAsia="en-US"/>
        </w:rPr>
      </w:pPr>
      <w:r w:rsidRPr="003930BD">
        <w:rPr>
          <w:rFonts w:eastAsia="Calibri"/>
          <w:lang w:eastAsia="en-US"/>
        </w:rPr>
        <w:t xml:space="preserve">Acciones: </w:t>
      </w:r>
    </w:p>
    <w:p w14:paraId="1E891F0A" w14:textId="77777777" w:rsidR="003930BD" w:rsidRPr="003930BD" w:rsidRDefault="003930BD" w:rsidP="003930BD">
      <w:pPr>
        <w:tabs>
          <w:tab w:val="left" w:pos="426"/>
        </w:tabs>
        <w:autoSpaceDE w:val="0"/>
        <w:autoSpaceDN w:val="0"/>
        <w:adjustRightInd w:val="0"/>
        <w:spacing w:line="360" w:lineRule="auto"/>
        <w:contextualSpacing/>
        <w:jc w:val="both"/>
        <w:rPr>
          <w:rFonts w:eastAsia="Calibri"/>
          <w:lang w:eastAsia="en-US"/>
        </w:rPr>
      </w:pPr>
    </w:p>
    <w:p w14:paraId="0D78810D"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Estudio del Manual para la gestión del posgrado, Capítulo III; Superación profesional de posgrado.</w:t>
      </w:r>
      <w:r w:rsidRPr="003930BD">
        <w:rPr>
          <w:vertAlign w:val="superscript"/>
          <w:lang w:eastAsia="es-ES"/>
        </w:rPr>
        <w:t>(18)</w:t>
      </w:r>
      <w:r w:rsidRPr="003930BD">
        <w:rPr>
          <w:lang w:eastAsia="es-ES"/>
        </w:rPr>
        <w:t xml:space="preserve"> </w:t>
      </w:r>
    </w:p>
    <w:p w14:paraId="62FB8EF6"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Selección de las FOS principales y secundarias.</w:t>
      </w:r>
      <w:r w:rsidRPr="003930BD">
        <w:rPr>
          <w:vertAlign w:val="superscript"/>
          <w:lang w:eastAsia="es-ES"/>
        </w:rPr>
        <w:t>(4,18)</w:t>
      </w:r>
      <w:r w:rsidRPr="003930BD">
        <w:rPr>
          <w:lang w:eastAsia="es-ES"/>
        </w:rPr>
        <w:t xml:space="preserve"> </w:t>
      </w:r>
    </w:p>
    <w:p w14:paraId="67A858E5"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Selección de profesores y la base material de estudio para la ejecución de la estrategia.</w:t>
      </w:r>
    </w:p>
    <w:p w14:paraId="406727C0"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Diseño de la FOS principales: curso y entrenamiento.</w:t>
      </w:r>
    </w:p>
    <w:p w14:paraId="506CD36E"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Aprobación de las FOS seleccionadas, por el consejo científico del hospital. </w:t>
      </w:r>
    </w:p>
    <w:p w14:paraId="79F80543"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Negociación con los jefes de servicios de cirugía para impartir el curso. </w:t>
      </w:r>
    </w:p>
    <w:p w14:paraId="3AEEE788"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Diseño de las FOS secundarias: conferencia especializada y la autopreparación con el uso del </w:t>
      </w:r>
      <w:r w:rsidRPr="003930BD">
        <w:rPr>
          <w:bCs/>
          <w:iCs/>
          <w:lang w:eastAsia="es-ES"/>
        </w:rPr>
        <w:t>software educativo</w:t>
      </w:r>
      <w:r w:rsidRPr="003930BD">
        <w:rPr>
          <w:b/>
          <w:bCs/>
          <w:iCs/>
          <w:lang w:eastAsia="es-ES"/>
        </w:rPr>
        <w:t xml:space="preserve"> </w:t>
      </w:r>
      <w:r w:rsidRPr="003930BD">
        <w:rPr>
          <w:bCs/>
          <w:lang w:eastAsia="es-ES"/>
        </w:rPr>
        <w:t>PeritonitiSoft</w:t>
      </w:r>
      <w:r w:rsidRPr="003930BD">
        <w:rPr>
          <w:bCs/>
          <w:vertAlign w:val="superscript"/>
          <w:lang w:eastAsia="es-ES"/>
        </w:rPr>
        <w:t>(19)</w:t>
      </w:r>
      <w:r w:rsidRPr="003930BD">
        <w:rPr>
          <w:b/>
          <w:bCs/>
          <w:iCs/>
          <w:lang w:eastAsia="es-ES"/>
        </w:rPr>
        <w:t xml:space="preserve"> </w:t>
      </w:r>
      <w:r w:rsidRPr="003930BD">
        <w:rPr>
          <w:bCs/>
          <w:iCs/>
          <w:lang w:eastAsia="es-ES"/>
        </w:rPr>
        <w:t>y un folleto didáctico.</w:t>
      </w:r>
      <w:r w:rsidRPr="003930BD">
        <w:rPr>
          <w:vertAlign w:val="superscript"/>
          <w:lang w:eastAsia="es-ES"/>
        </w:rPr>
        <w:t>(20)</w:t>
      </w:r>
      <w:r w:rsidRPr="003930BD">
        <w:rPr>
          <w:lang w:eastAsia="es-ES"/>
        </w:rPr>
        <w:t xml:space="preserve"> </w:t>
      </w:r>
    </w:p>
    <w:p w14:paraId="7A35208C"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Negociación con los informáticos de la Universidad Virtual de Salud de Santiago de Cuba, para subir al sitio, el entrenamiento, la conferencia especializada y el software educativo. </w:t>
      </w:r>
    </w:p>
    <w:p w14:paraId="632E9A63"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Colocación de los recursos anteriores en la página web del hospital sede. </w:t>
      </w:r>
    </w:p>
    <w:p w14:paraId="0DE5A7CD"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Elaboración del cronograma de trabajo para la ejecución de las FOS.  </w:t>
      </w:r>
    </w:p>
    <w:p w14:paraId="3E63232A" w14:textId="77777777" w:rsidR="003930BD" w:rsidRPr="003930BD" w:rsidRDefault="003930BD" w:rsidP="003930BD">
      <w:pPr>
        <w:numPr>
          <w:ilvl w:val="0"/>
          <w:numId w:val="15"/>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Selección de los instrumentos evaluativos para medir el cambio en el desempeño. </w:t>
      </w:r>
    </w:p>
    <w:p w14:paraId="7C48C4DE" w14:textId="77777777" w:rsidR="003930BD" w:rsidRPr="003930BD" w:rsidRDefault="003930BD" w:rsidP="003930BD">
      <w:pPr>
        <w:tabs>
          <w:tab w:val="left" w:pos="426"/>
        </w:tabs>
        <w:autoSpaceDE w:val="0"/>
        <w:autoSpaceDN w:val="0"/>
        <w:adjustRightInd w:val="0"/>
        <w:spacing w:line="360" w:lineRule="auto"/>
        <w:contextualSpacing/>
        <w:jc w:val="both"/>
        <w:rPr>
          <w:rFonts w:eastAsia="Calibri"/>
          <w:lang w:eastAsia="en-US"/>
        </w:rPr>
      </w:pPr>
    </w:p>
    <w:p w14:paraId="0EB564D9" w14:textId="77777777" w:rsidR="003930BD" w:rsidRPr="003930BD" w:rsidRDefault="003930BD" w:rsidP="003930BD">
      <w:pPr>
        <w:tabs>
          <w:tab w:val="left" w:pos="426"/>
        </w:tabs>
        <w:autoSpaceDE w:val="0"/>
        <w:autoSpaceDN w:val="0"/>
        <w:adjustRightInd w:val="0"/>
        <w:spacing w:line="360" w:lineRule="auto"/>
        <w:contextualSpacing/>
        <w:jc w:val="both"/>
        <w:rPr>
          <w:rFonts w:eastAsia="Calibri"/>
          <w:lang w:eastAsia="en-US"/>
        </w:rPr>
      </w:pPr>
      <w:r w:rsidRPr="003930BD">
        <w:rPr>
          <w:rFonts w:eastAsia="Calibri"/>
          <w:lang w:eastAsia="en-US"/>
        </w:rPr>
        <w:t xml:space="preserve">Etapa </w:t>
      </w:r>
      <w:r w:rsidRPr="003930BD">
        <w:rPr>
          <w:lang w:eastAsia="es-ES"/>
        </w:rPr>
        <w:t xml:space="preserve">III. Ejecución. </w:t>
      </w:r>
      <w:r w:rsidRPr="003930BD">
        <w:rPr>
          <w:rFonts w:eastAsia="Calibri"/>
          <w:lang w:eastAsia="en-US"/>
        </w:rPr>
        <w:t>Objetivo: ejecutar las FOS planificadas en los escenarios presencial y virtual.</w:t>
      </w:r>
    </w:p>
    <w:p w14:paraId="5FEA9765" w14:textId="77777777" w:rsidR="003930BD" w:rsidRPr="003930BD" w:rsidRDefault="003930BD" w:rsidP="003930BD">
      <w:pPr>
        <w:tabs>
          <w:tab w:val="left" w:pos="426"/>
        </w:tabs>
        <w:autoSpaceDE w:val="0"/>
        <w:autoSpaceDN w:val="0"/>
        <w:adjustRightInd w:val="0"/>
        <w:spacing w:line="360" w:lineRule="auto"/>
        <w:contextualSpacing/>
        <w:jc w:val="both"/>
        <w:rPr>
          <w:rFonts w:eastAsia="Calibri"/>
          <w:lang w:eastAsia="en-US"/>
        </w:rPr>
      </w:pPr>
      <w:r w:rsidRPr="003930BD">
        <w:rPr>
          <w:rFonts w:eastAsia="Calibri"/>
          <w:lang w:eastAsia="en-US"/>
        </w:rPr>
        <w:t xml:space="preserve">Acciones: </w:t>
      </w:r>
    </w:p>
    <w:p w14:paraId="45BEF13B" w14:textId="77777777" w:rsidR="003930BD" w:rsidRPr="003930BD" w:rsidRDefault="003930BD" w:rsidP="003930BD">
      <w:pPr>
        <w:tabs>
          <w:tab w:val="left" w:pos="426"/>
        </w:tabs>
        <w:autoSpaceDE w:val="0"/>
        <w:autoSpaceDN w:val="0"/>
        <w:adjustRightInd w:val="0"/>
        <w:spacing w:line="360" w:lineRule="auto"/>
        <w:contextualSpacing/>
        <w:jc w:val="both"/>
        <w:rPr>
          <w:rFonts w:eastAsia="Calibri"/>
          <w:lang w:eastAsia="en-US"/>
        </w:rPr>
      </w:pPr>
    </w:p>
    <w:p w14:paraId="493941B8" w14:textId="77777777" w:rsidR="003930BD" w:rsidRPr="003930BD" w:rsidRDefault="003930BD" w:rsidP="003930BD">
      <w:pPr>
        <w:numPr>
          <w:ilvl w:val="0"/>
          <w:numId w:val="16"/>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Desarrollo del curso de actualización, en escenarios presencial y virtual. </w:t>
      </w:r>
    </w:p>
    <w:p w14:paraId="349B0F27" w14:textId="77777777" w:rsidR="003930BD" w:rsidRPr="003930BD" w:rsidRDefault="003930BD" w:rsidP="003930BD">
      <w:pPr>
        <w:numPr>
          <w:ilvl w:val="0"/>
          <w:numId w:val="16"/>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Desarrollo del entrenamiento en las salas de cirugía, terapia intensiva y unidad quirúrgica. </w:t>
      </w:r>
    </w:p>
    <w:p w14:paraId="3BA126CE" w14:textId="77777777" w:rsidR="003930BD" w:rsidRPr="003930BD" w:rsidRDefault="003930BD" w:rsidP="003930BD">
      <w:pPr>
        <w:numPr>
          <w:ilvl w:val="0"/>
          <w:numId w:val="16"/>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 xml:space="preserve">Elaboración de 20 problemas clínicos a resolver (6 en idioma inglés). </w:t>
      </w:r>
    </w:p>
    <w:p w14:paraId="305A8C4C" w14:textId="77777777" w:rsidR="003930BD" w:rsidRPr="003930BD" w:rsidRDefault="003930BD" w:rsidP="003930BD">
      <w:pPr>
        <w:numPr>
          <w:ilvl w:val="0"/>
          <w:numId w:val="16"/>
        </w:numPr>
        <w:tabs>
          <w:tab w:val="left" w:pos="426"/>
        </w:tabs>
        <w:autoSpaceDE w:val="0"/>
        <w:autoSpaceDN w:val="0"/>
        <w:adjustRightInd w:val="0"/>
        <w:spacing w:after="160" w:line="360" w:lineRule="auto"/>
        <w:ind w:left="426" w:hanging="284"/>
        <w:contextualSpacing/>
        <w:jc w:val="both"/>
        <w:rPr>
          <w:lang w:eastAsia="es-ES"/>
        </w:rPr>
      </w:pPr>
      <w:r w:rsidRPr="003930BD">
        <w:rPr>
          <w:lang w:eastAsia="es-ES"/>
        </w:rPr>
        <w:t>Ejecución del sistema de evaluación según la FOS seleccionada.</w:t>
      </w:r>
    </w:p>
    <w:p w14:paraId="1CC502D3" w14:textId="77777777" w:rsidR="003930BD" w:rsidRPr="003930BD" w:rsidRDefault="003930BD" w:rsidP="003930BD">
      <w:pPr>
        <w:spacing w:line="360" w:lineRule="auto"/>
        <w:jc w:val="both"/>
        <w:rPr>
          <w:rFonts w:eastAsia="Calibri"/>
          <w:lang w:eastAsia="en-US"/>
        </w:rPr>
      </w:pPr>
    </w:p>
    <w:p w14:paraId="4D0A0981" w14:textId="77777777" w:rsidR="003930BD" w:rsidRPr="003930BD" w:rsidRDefault="003930BD" w:rsidP="003930BD">
      <w:pPr>
        <w:spacing w:line="360" w:lineRule="auto"/>
        <w:jc w:val="both"/>
        <w:rPr>
          <w:rFonts w:eastAsia="Calibri"/>
          <w:lang w:eastAsia="en-US"/>
        </w:rPr>
      </w:pPr>
      <w:r w:rsidRPr="003930BD">
        <w:rPr>
          <w:rFonts w:eastAsia="Calibri"/>
          <w:lang w:eastAsia="en-US"/>
        </w:rPr>
        <w:t>Etapa IV. Evaluación. Objetivo: evaluar el nivel de desempeño profesional alcanzado por los cirujanos, luego de implementada la estrategia.</w:t>
      </w:r>
    </w:p>
    <w:p w14:paraId="151B8431" w14:textId="77777777" w:rsidR="003930BD" w:rsidRPr="003930BD" w:rsidRDefault="003930BD" w:rsidP="003930BD">
      <w:pPr>
        <w:spacing w:line="360" w:lineRule="auto"/>
        <w:jc w:val="both"/>
        <w:rPr>
          <w:rFonts w:eastAsia="Calibri"/>
          <w:lang w:eastAsia="en-US"/>
        </w:rPr>
      </w:pPr>
      <w:r w:rsidRPr="003930BD">
        <w:rPr>
          <w:rFonts w:eastAsia="Calibri"/>
          <w:lang w:eastAsia="en-US"/>
        </w:rPr>
        <w:t xml:space="preserve">Acciones: </w:t>
      </w:r>
    </w:p>
    <w:p w14:paraId="5BAAF59C" w14:textId="77777777" w:rsidR="003930BD" w:rsidRPr="003930BD" w:rsidRDefault="003930BD" w:rsidP="003930BD">
      <w:pPr>
        <w:spacing w:line="360" w:lineRule="auto"/>
        <w:jc w:val="both"/>
        <w:rPr>
          <w:rFonts w:eastAsia="Calibri"/>
          <w:bCs/>
          <w:lang w:eastAsia="en-US"/>
        </w:rPr>
      </w:pPr>
    </w:p>
    <w:p w14:paraId="489D4926" w14:textId="77777777" w:rsidR="003930BD" w:rsidRPr="003930BD" w:rsidRDefault="003930BD" w:rsidP="003930BD">
      <w:pPr>
        <w:numPr>
          <w:ilvl w:val="0"/>
          <w:numId w:val="17"/>
        </w:numPr>
        <w:spacing w:after="160" w:line="360" w:lineRule="auto"/>
        <w:ind w:left="426" w:hanging="284"/>
        <w:contextualSpacing/>
        <w:jc w:val="both"/>
        <w:rPr>
          <w:bCs/>
          <w:lang w:eastAsia="es-ES"/>
        </w:rPr>
      </w:pPr>
      <w:r w:rsidRPr="003930BD">
        <w:rPr>
          <w:bCs/>
          <w:lang w:eastAsia="es-ES"/>
        </w:rPr>
        <w:lastRenderedPageBreak/>
        <w:t xml:space="preserve">Aplicación de los instrumentos evaluativos: estudio de casos múltiples (con la prueba de desempeño final), cuestionario de satisfacción grupal y cuestionario a directivos. </w:t>
      </w:r>
    </w:p>
    <w:p w14:paraId="550C0AB9" w14:textId="77777777" w:rsidR="003930BD" w:rsidRPr="003930BD" w:rsidRDefault="003930BD" w:rsidP="003930BD">
      <w:pPr>
        <w:numPr>
          <w:ilvl w:val="0"/>
          <w:numId w:val="17"/>
        </w:numPr>
        <w:spacing w:after="160" w:line="360" w:lineRule="auto"/>
        <w:ind w:left="426" w:hanging="284"/>
        <w:contextualSpacing/>
        <w:jc w:val="both"/>
        <w:rPr>
          <w:bCs/>
          <w:lang w:eastAsia="es-ES"/>
        </w:rPr>
      </w:pPr>
      <w:r w:rsidRPr="003930BD">
        <w:rPr>
          <w:bCs/>
          <w:lang w:eastAsia="es-ES"/>
        </w:rPr>
        <w:t xml:space="preserve">Identificación de la necesidad de otras FOS, o modificaciones a las ya implementadas. </w:t>
      </w:r>
    </w:p>
    <w:p w14:paraId="4A0445D4" w14:textId="77777777" w:rsidR="003930BD" w:rsidRPr="003930BD" w:rsidRDefault="003930BD" w:rsidP="003930BD">
      <w:pPr>
        <w:numPr>
          <w:ilvl w:val="0"/>
          <w:numId w:val="17"/>
        </w:numPr>
        <w:spacing w:after="160" w:line="360" w:lineRule="auto"/>
        <w:ind w:left="426" w:hanging="284"/>
        <w:contextualSpacing/>
        <w:jc w:val="both"/>
        <w:rPr>
          <w:bCs/>
          <w:lang w:eastAsia="es-ES"/>
        </w:rPr>
      </w:pPr>
      <w:r w:rsidRPr="003930BD">
        <w:rPr>
          <w:bCs/>
          <w:lang w:eastAsia="es-ES"/>
        </w:rPr>
        <w:t xml:space="preserve">Confección de un plan de mejoras. </w:t>
      </w:r>
    </w:p>
    <w:p w14:paraId="20F7C210" w14:textId="77777777" w:rsidR="003930BD" w:rsidRPr="003930BD" w:rsidRDefault="003930BD" w:rsidP="003930BD">
      <w:pPr>
        <w:tabs>
          <w:tab w:val="left" w:pos="426"/>
        </w:tabs>
        <w:autoSpaceDE w:val="0"/>
        <w:autoSpaceDN w:val="0"/>
        <w:adjustRightInd w:val="0"/>
        <w:spacing w:line="360" w:lineRule="auto"/>
        <w:contextualSpacing/>
        <w:jc w:val="both"/>
        <w:rPr>
          <w:lang w:eastAsia="es-ES"/>
        </w:rPr>
      </w:pPr>
    </w:p>
    <w:p w14:paraId="5BDCB6CE" w14:textId="77777777" w:rsidR="003930BD" w:rsidRPr="003930BD" w:rsidRDefault="003930BD" w:rsidP="003930BD">
      <w:pPr>
        <w:tabs>
          <w:tab w:val="left" w:pos="426"/>
        </w:tabs>
        <w:autoSpaceDE w:val="0"/>
        <w:autoSpaceDN w:val="0"/>
        <w:adjustRightInd w:val="0"/>
        <w:spacing w:line="360" w:lineRule="auto"/>
        <w:contextualSpacing/>
        <w:jc w:val="both"/>
        <w:rPr>
          <w:lang w:eastAsia="es-ES"/>
        </w:rPr>
      </w:pPr>
      <w:r w:rsidRPr="003930BD">
        <w:rPr>
          <w:lang w:eastAsia="es-ES"/>
        </w:rPr>
        <w:t>La estructura de la estrategia de superación se muestra en la figura 1:</w:t>
      </w:r>
    </w:p>
    <w:p w14:paraId="3D5DD241" w14:textId="77777777" w:rsidR="003930BD" w:rsidRPr="003930BD" w:rsidRDefault="003930BD" w:rsidP="003930BD">
      <w:pPr>
        <w:tabs>
          <w:tab w:val="left" w:pos="426"/>
        </w:tabs>
        <w:autoSpaceDE w:val="0"/>
        <w:autoSpaceDN w:val="0"/>
        <w:adjustRightInd w:val="0"/>
        <w:spacing w:line="360" w:lineRule="auto"/>
        <w:contextualSpacing/>
        <w:jc w:val="both"/>
        <w:rPr>
          <w:lang w:eastAsia="es-ES"/>
        </w:rPr>
      </w:pPr>
    </w:p>
    <w:p w14:paraId="5357E426" w14:textId="0FD72D28" w:rsidR="003930BD" w:rsidRPr="003930BD" w:rsidRDefault="003930BD" w:rsidP="003930BD">
      <w:pPr>
        <w:tabs>
          <w:tab w:val="left" w:pos="426"/>
        </w:tabs>
        <w:autoSpaceDE w:val="0"/>
        <w:autoSpaceDN w:val="0"/>
        <w:adjustRightInd w:val="0"/>
        <w:spacing w:line="360" w:lineRule="auto"/>
        <w:contextualSpacing/>
        <w:jc w:val="center"/>
        <w:rPr>
          <w:lang w:eastAsia="es-ES"/>
        </w:rPr>
      </w:pPr>
      <w:r w:rsidRPr="00267808">
        <w:rPr>
          <w:noProof/>
          <w:lang w:eastAsia="es-ES"/>
        </w:rPr>
        <w:drawing>
          <wp:inline distT="0" distB="0" distL="0" distR="0" wp14:anchorId="4D8FAE06" wp14:editId="5D59B2C6">
            <wp:extent cx="6322553" cy="3521122"/>
            <wp:effectExtent l="0" t="0" r="2540" b="317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650" cy="3527859"/>
                    </a:xfrm>
                    <a:prstGeom prst="rect">
                      <a:avLst/>
                    </a:prstGeom>
                    <a:noFill/>
                    <a:ln>
                      <a:noFill/>
                    </a:ln>
                  </pic:spPr>
                </pic:pic>
              </a:graphicData>
            </a:graphic>
          </wp:inline>
        </w:drawing>
      </w:r>
    </w:p>
    <w:p w14:paraId="6DD86C27" w14:textId="77777777" w:rsidR="003930BD" w:rsidRPr="003930BD" w:rsidRDefault="003930BD" w:rsidP="003930BD">
      <w:pPr>
        <w:tabs>
          <w:tab w:val="left" w:pos="284"/>
        </w:tabs>
        <w:suppressAutoHyphens/>
        <w:spacing w:line="360" w:lineRule="auto"/>
        <w:jc w:val="center"/>
        <w:rPr>
          <w:rFonts w:eastAsia="Calibri"/>
          <w:bCs/>
          <w:sz w:val="22"/>
          <w:szCs w:val="22"/>
          <w:lang w:eastAsia="en-US"/>
        </w:rPr>
      </w:pPr>
      <w:r w:rsidRPr="003930BD">
        <w:rPr>
          <w:rFonts w:eastAsia="Calibri"/>
          <w:b/>
          <w:sz w:val="22"/>
          <w:szCs w:val="22"/>
          <w:lang w:eastAsia="en-US"/>
        </w:rPr>
        <w:t xml:space="preserve">Fig. 1 - </w:t>
      </w:r>
      <w:r w:rsidRPr="003930BD">
        <w:rPr>
          <w:rFonts w:eastAsia="Calibri"/>
          <w:sz w:val="22"/>
          <w:szCs w:val="22"/>
          <w:lang w:eastAsia="en-US"/>
        </w:rPr>
        <w:t xml:space="preserve">Estructura de la </w:t>
      </w:r>
      <w:r w:rsidRPr="003930BD">
        <w:rPr>
          <w:rFonts w:eastAsia="Calibri"/>
          <w:bCs/>
          <w:sz w:val="22"/>
          <w:szCs w:val="22"/>
          <w:lang w:eastAsia="en-US"/>
        </w:rPr>
        <w:t>estrategia de superación.</w:t>
      </w:r>
    </w:p>
    <w:p w14:paraId="22BA1905" w14:textId="77777777" w:rsidR="003930BD" w:rsidRPr="003930BD" w:rsidRDefault="003930BD" w:rsidP="003930BD">
      <w:pPr>
        <w:tabs>
          <w:tab w:val="left" w:pos="360"/>
        </w:tabs>
        <w:spacing w:line="360" w:lineRule="auto"/>
        <w:contextualSpacing/>
        <w:jc w:val="both"/>
        <w:rPr>
          <w:bCs/>
          <w:lang w:eastAsia="es-ES"/>
        </w:rPr>
      </w:pPr>
    </w:p>
    <w:p w14:paraId="585E8A3D" w14:textId="77777777" w:rsidR="003930BD" w:rsidRPr="003930BD" w:rsidRDefault="003930BD" w:rsidP="003930BD">
      <w:pPr>
        <w:tabs>
          <w:tab w:val="left" w:pos="360"/>
        </w:tabs>
        <w:spacing w:line="360" w:lineRule="auto"/>
        <w:contextualSpacing/>
        <w:jc w:val="both"/>
        <w:rPr>
          <w:bCs/>
          <w:lang w:eastAsia="es-ES"/>
        </w:rPr>
      </w:pPr>
      <w:r w:rsidRPr="003930BD">
        <w:rPr>
          <w:bCs/>
          <w:lang w:eastAsia="es-ES"/>
        </w:rPr>
        <w:t>Características de la estrategia:</w:t>
      </w:r>
    </w:p>
    <w:p w14:paraId="3DEA338E" w14:textId="77777777" w:rsidR="003930BD" w:rsidRPr="003930BD" w:rsidRDefault="003930BD" w:rsidP="003930BD">
      <w:pPr>
        <w:tabs>
          <w:tab w:val="left" w:pos="360"/>
        </w:tabs>
        <w:spacing w:line="360" w:lineRule="auto"/>
        <w:contextualSpacing/>
        <w:jc w:val="both"/>
        <w:rPr>
          <w:bCs/>
          <w:lang w:eastAsia="es-ES"/>
        </w:rPr>
      </w:pPr>
    </w:p>
    <w:p w14:paraId="5CC8AFEB" w14:textId="77777777" w:rsidR="003930BD" w:rsidRPr="003930BD" w:rsidRDefault="003930BD" w:rsidP="003930BD">
      <w:pPr>
        <w:numPr>
          <w:ilvl w:val="0"/>
          <w:numId w:val="18"/>
        </w:numPr>
        <w:spacing w:after="160" w:line="360" w:lineRule="auto"/>
        <w:ind w:left="426" w:hanging="284"/>
        <w:contextualSpacing/>
        <w:jc w:val="both"/>
        <w:rPr>
          <w:lang w:eastAsia="es-ES"/>
        </w:rPr>
      </w:pPr>
      <w:r w:rsidRPr="003930BD">
        <w:rPr>
          <w:bCs/>
          <w:lang w:eastAsia="es-ES"/>
        </w:rPr>
        <w:t>S</w:t>
      </w:r>
      <w:r w:rsidRPr="003930BD">
        <w:rPr>
          <w:rFonts w:eastAsia="Calibri"/>
          <w:lang w:eastAsia="es-ES"/>
        </w:rPr>
        <w:t>istémica: interrelación entre to</w:t>
      </w:r>
      <w:r w:rsidRPr="003930BD">
        <w:rPr>
          <w:lang w:eastAsia="es-ES"/>
        </w:rPr>
        <w:t xml:space="preserve">dos sus componentes. </w:t>
      </w:r>
    </w:p>
    <w:p w14:paraId="1A11A257" w14:textId="77777777" w:rsidR="003930BD" w:rsidRPr="003930BD" w:rsidRDefault="003930BD" w:rsidP="003930BD">
      <w:pPr>
        <w:numPr>
          <w:ilvl w:val="0"/>
          <w:numId w:val="18"/>
        </w:numPr>
        <w:spacing w:after="160" w:line="360" w:lineRule="auto"/>
        <w:ind w:left="426" w:hanging="284"/>
        <w:contextualSpacing/>
        <w:jc w:val="both"/>
        <w:rPr>
          <w:rFonts w:eastAsia="Calibri"/>
          <w:lang w:eastAsia="es-ES"/>
        </w:rPr>
      </w:pPr>
      <w:r w:rsidRPr="003930BD">
        <w:rPr>
          <w:lang w:eastAsia="es-ES"/>
        </w:rPr>
        <w:lastRenderedPageBreak/>
        <w:t>F</w:t>
      </w:r>
      <w:r w:rsidRPr="003930BD">
        <w:rPr>
          <w:rFonts w:eastAsia="Calibri"/>
          <w:lang w:eastAsia="es-ES"/>
        </w:rPr>
        <w:t>lexible</w:t>
      </w:r>
      <w:r w:rsidRPr="003930BD">
        <w:rPr>
          <w:lang w:eastAsia="es-ES"/>
        </w:rPr>
        <w:t xml:space="preserve"> y c</w:t>
      </w:r>
      <w:r w:rsidRPr="003930BD">
        <w:rPr>
          <w:rFonts w:eastAsia="Calibri"/>
          <w:lang w:eastAsia="es-ES"/>
        </w:rPr>
        <w:t>ontextualizada: permite generalizar a otros servicios de cirugía o de perfil quirúrgico. P</w:t>
      </w:r>
      <w:r w:rsidRPr="003930BD">
        <w:rPr>
          <w:lang w:eastAsia="es-ES"/>
        </w:rPr>
        <w:t>uede actualizarse de acuerdo con nuevas necesidades de aprendizaje y replicarse a demanda. Se implementa presencial y virtual.</w:t>
      </w:r>
    </w:p>
    <w:p w14:paraId="318DA086" w14:textId="77777777" w:rsidR="003930BD" w:rsidRPr="003930BD" w:rsidRDefault="003930BD" w:rsidP="003930BD">
      <w:pPr>
        <w:numPr>
          <w:ilvl w:val="0"/>
          <w:numId w:val="18"/>
        </w:numPr>
        <w:adjustRightInd w:val="0"/>
        <w:spacing w:after="160" w:line="360" w:lineRule="auto"/>
        <w:ind w:left="426" w:hanging="284"/>
        <w:contextualSpacing/>
        <w:jc w:val="both"/>
        <w:rPr>
          <w:lang w:eastAsia="es-ES"/>
        </w:rPr>
      </w:pPr>
      <w:r w:rsidRPr="003930BD">
        <w:rPr>
          <w:lang w:eastAsia="es-ES"/>
        </w:rPr>
        <w:t>Transformadora: por los cambios positivos en el desempeño de los cirujanos.</w:t>
      </w:r>
    </w:p>
    <w:p w14:paraId="21540202" w14:textId="77777777" w:rsidR="003930BD" w:rsidRPr="003930BD" w:rsidRDefault="003930BD" w:rsidP="003930BD">
      <w:pPr>
        <w:numPr>
          <w:ilvl w:val="0"/>
          <w:numId w:val="18"/>
        </w:numPr>
        <w:adjustRightInd w:val="0"/>
        <w:spacing w:after="160" w:line="360" w:lineRule="auto"/>
        <w:ind w:left="426" w:hanging="284"/>
        <w:contextualSpacing/>
        <w:jc w:val="both"/>
        <w:rPr>
          <w:iCs/>
          <w:lang w:eastAsia="es-ES"/>
        </w:rPr>
      </w:pPr>
      <w:r w:rsidRPr="003930BD">
        <w:rPr>
          <w:rFonts w:eastAsia="Calibri"/>
          <w:lang w:eastAsia="es-ES"/>
        </w:rPr>
        <w:t>D</w:t>
      </w:r>
      <w:r w:rsidRPr="003930BD">
        <w:rPr>
          <w:lang w:eastAsia="es-ES"/>
        </w:rPr>
        <w:t>inámica: validez verificable tras la implementación en escenarios presencial y virtual con el uso de las tecnologías de la informática y las comunicaciones.</w:t>
      </w:r>
      <w:r w:rsidRPr="003930BD">
        <w:rPr>
          <w:rFonts w:eastAsia="Calibri"/>
          <w:lang w:eastAsia="es-ES"/>
        </w:rPr>
        <w:t xml:space="preserve"> Resalta el </w:t>
      </w:r>
      <w:r w:rsidRPr="003930BD">
        <w:rPr>
          <w:iCs/>
          <w:lang w:eastAsia="es-ES"/>
        </w:rPr>
        <w:t xml:space="preserve">aprendizaje basado en problemas y el </w:t>
      </w:r>
      <w:r w:rsidRPr="003930BD">
        <w:rPr>
          <w:rFonts w:eastAsia="Calibri"/>
          <w:lang w:eastAsia="es-ES"/>
        </w:rPr>
        <w:t>enfoque interdisciplinario</w:t>
      </w:r>
      <w:r w:rsidRPr="003930BD">
        <w:rPr>
          <w:iCs/>
          <w:lang w:eastAsia="es-ES"/>
        </w:rPr>
        <w:t>.</w:t>
      </w:r>
    </w:p>
    <w:p w14:paraId="2EDDCB96" w14:textId="77777777" w:rsidR="003930BD" w:rsidRPr="003930BD" w:rsidRDefault="003930BD" w:rsidP="003930BD">
      <w:pPr>
        <w:numPr>
          <w:ilvl w:val="0"/>
          <w:numId w:val="18"/>
        </w:numPr>
        <w:adjustRightInd w:val="0"/>
        <w:spacing w:after="160" w:line="360" w:lineRule="auto"/>
        <w:ind w:left="426" w:hanging="284"/>
        <w:contextualSpacing/>
        <w:jc w:val="both"/>
        <w:rPr>
          <w:rFonts w:eastAsia="Calibri"/>
          <w:lang w:eastAsia="es-ES"/>
        </w:rPr>
      </w:pPr>
      <w:r w:rsidRPr="003930BD">
        <w:rPr>
          <w:rFonts w:eastAsia="Calibri"/>
          <w:lang w:eastAsia="es-ES"/>
        </w:rPr>
        <w:t xml:space="preserve">Humanista: en todas las FOS se articula lo afectivo y lo cognitivo, en la comunicación cirujano-enfermo-familiares-colegas. </w:t>
      </w:r>
    </w:p>
    <w:p w14:paraId="0DD81090" w14:textId="77777777" w:rsidR="003930BD" w:rsidRPr="003930BD" w:rsidRDefault="003930BD" w:rsidP="003930BD">
      <w:pPr>
        <w:numPr>
          <w:ilvl w:val="0"/>
          <w:numId w:val="18"/>
        </w:numPr>
        <w:adjustRightInd w:val="0"/>
        <w:spacing w:after="160" w:line="360" w:lineRule="auto"/>
        <w:ind w:left="426" w:hanging="284"/>
        <w:contextualSpacing/>
        <w:jc w:val="both"/>
        <w:rPr>
          <w:rFonts w:eastAsia="Calibri"/>
          <w:lang w:eastAsia="es-ES"/>
        </w:rPr>
      </w:pPr>
      <w:r w:rsidRPr="003930BD">
        <w:rPr>
          <w:rFonts w:eastAsia="Calibri"/>
          <w:lang w:eastAsia="es-ES"/>
        </w:rPr>
        <w:t xml:space="preserve">Interdisciplinaria: evidencia la integración de conocimientos y habilidades entre profesionales de varias disciplinas, con un mismo objetivo. </w:t>
      </w:r>
    </w:p>
    <w:p w14:paraId="35001A56" w14:textId="77777777" w:rsidR="003930BD" w:rsidRPr="003930BD" w:rsidRDefault="003930BD" w:rsidP="003930BD">
      <w:pPr>
        <w:numPr>
          <w:ilvl w:val="0"/>
          <w:numId w:val="18"/>
        </w:numPr>
        <w:adjustRightInd w:val="0"/>
        <w:spacing w:after="160" w:line="360" w:lineRule="auto"/>
        <w:ind w:left="426" w:hanging="284"/>
        <w:contextualSpacing/>
        <w:jc w:val="both"/>
        <w:rPr>
          <w:rFonts w:eastAsia="Calibri"/>
          <w:lang w:eastAsia="es-ES"/>
        </w:rPr>
      </w:pPr>
      <w:r w:rsidRPr="003930BD">
        <w:rPr>
          <w:rFonts w:eastAsia="Calibri"/>
          <w:lang w:eastAsia="es-ES"/>
        </w:rPr>
        <w:t>F</w:t>
      </w:r>
      <w:r w:rsidRPr="003930BD">
        <w:rPr>
          <w:lang w:eastAsia="es-ES"/>
        </w:rPr>
        <w:t xml:space="preserve">ormativa: logra el desarrollo de habilidades profesionales específicas en los cirujanos: método clínico-epidemiológico, solución de problemas, comunicacional (oral y escrita), idiomática (inglés), e informacional para autogestión del conocimiento. </w:t>
      </w:r>
    </w:p>
    <w:p w14:paraId="5FFF2DA8" w14:textId="77777777" w:rsidR="003930BD" w:rsidRPr="003930BD" w:rsidRDefault="003930BD" w:rsidP="003930BD">
      <w:pPr>
        <w:autoSpaceDE w:val="0"/>
        <w:autoSpaceDN w:val="0"/>
        <w:adjustRightInd w:val="0"/>
        <w:spacing w:line="360" w:lineRule="auto"/>
        <w:jc w:val="both"/>
        <w:rPr>
          <w:lang w:eastAsia="es-ES"/>
        </w:rPr>
      </w:pPr>
    </w:p>
    <w:p w14:paraId="5B876CC2" w14:textId="77777777" w:rsidR="003930BD" w:rsidRPr="003930BD" w:rsidRDefault="003930BD" w:rsidP="003930BD">
      <w:pPr>
        <w:autoSpaceDE w:val="0"/>
        <w:autoSpaceDN w:val="0"/>
        <w:adjustRightInd w:val="0"/>
        <w:spacing w:line="360" w:lineRule="auto"/>
        <w:jc w:val="both"/>
        <w:rPr>
          <w:color w:val="000000"/>
          <w:lang w:val="es-ES" w:eastAsia="es-ES"/>
        </w:rPr>
      </w:pPr>
      <w:r w:rsidRPr="003930BD">
        <w:rPr>
          <w:lang w:eastAsia="es-ES"/>
        </w:rPr>
        <w:t xml:space="preserve">En la estructura de la estrategia se diseñaron </w:t>
      </w:r>
      <w:r w:rsidRPr="003930BD">
        <w:rPr>
          <w:rFonts w:eastAsia="SimSun"/>
          <w:lang w:eastAsia="es-ES"/>
        </w:rPr>
        <w:t>relaciones internas de j</w:t>
      </w:r>
      <w:r w:rsidRPr="003930BD">
        <w:rPr>
          <w:lang w:eastAsia="es-ES"/>
        </w:rPr>
        <w:t xml:space="preserve">erarquización, </w:t>
      </w:r>
      <w:r w:rsidRPr="003930BD">
        <w:rPr>
          <w:color w:val="000000"/>
          <w:lang w:val="es-ES" w:eastAsia="es-ES"/>
        </w:rPr>
        <w:t>subordinación y coordinación</w:t>
      </w:r>
      <w:r w:rsidRPr="003930BD">
        <w:rPr>
          <w:rFonts w:eastAsia="SimSun"/>
          <w:lang w:eastAsia="es-ES"/>
        </w:rPr>
        <w:t>. Se realza la educación en el trabajo.</w:t>
      </w:r>
      <w:r w:rsidRPr="003930BD">
        <w:rPr>
          <w:color w:val="000000"/>
          <w:lang w:val="es-ES" w:eastAsia="es-ES"/>
        </w:rPr>
        <w:t xml:space="preserve"> </w:t>
      </w:r>
    </w:p>
    <w:p w14:paraId="75642970" w14:textId="77777777" w:rsidR="003930BD" w:rsidRPr="003930BD" w:rsidRDefault="003930BD" w:rsidP="003930BD">
      <w:pPr>
        <w:spacing w:line="360" w:lineRule="auto"/>
        <w:jc w:val="both"/>
        <w:rPr>
          <w:lang w:eastAsia="es-ES"/>
        </w:rPr>
      </w:pPr>
      <w:r w:rsidRPr="003930BD">
        <w:rPr>
          <w:lang w:eastAsia="es-ES"/>
        </w:rPr>
        <w:t xml:space="preserve">En la tabla 1 se muestran los resultados del estudio de casos múltiples. </w:t>
      </w:r>
    </w:p>
    <w:p w14:paraId="1E969B29" w14:textId="77777777" w:rsidR="003930BD" w:rsidRPr="003930BD" w:rsidRDefault="003930BD" w:rsidP="003930BD">
      <w:pPr>
        <w:spacing w:line="360" w:lineRule="auto"/>
        <w:jc w:val="both"/>
        <w:rPr>
          <w:lang w:eastAsia="es-ES"/>
        </w:rPr>
      </w:pPr>
    </w:p>
    <w:p w14:paraId="12CB35E9" w14:textId="77777777" w:rsidR="003930BD" w:rsidRPr="003930BD" w:rsidRDefault="003930BD" w:rsidP="003930BD">
      <w:pPr>
        <w:spacing w:line="360" w:lineRule="auto"/>
        <w:jc w:val="center"/>
        <w:rPr>
          <w:sz w:val="22"/>
          <w:szCs w:val="22"/>
          <w:lang w:eastAsia="es-ES"/>
        </w:rPr>
      </w:pPr>
      <w:r w:rsidRPr="003930BD">
        <w:rPr>
          <w:b/>
          <w:sz w:val="22"/>
          <w:szCs w:val="22"/>
          <w:lang w:eastAsia="es-ES"/>
        </w:rPr>
        <w:t xml:space="preserve">Tabla 1 - </w:t>
      </w:r>
      <w:r w:rsidRPr="003930BD">
        <w:rPr>
          <w:sz w:val="22"/>
          <w:szCs w:val="22"/>
          <w:lang w:eastAsia="es-ES"/>
        </w:rPr>
        <w:t>Resultados del estudio de casos múltiples (n= 15).</w:t>
      </w:r>
    </w:p>
    <w:p w14:paraId="2E4D2221" w14:textId="51E7549F" w:rsidR="003930BD" w:rsidRDefault="00C922AE" w:rsidP="00C922AE">
      <w:pPr>
        <w:tabs>
          <w:tab w:val="left" w:pos="426"/>
        </w:tabs>
        <w:autoSpaceDE w:val="0"/>
        <w:autoSpaceDN w:val="0"/>
        <w:adjustRightInd w:val="0"/>
        <w:spacing w:line="360" w:lineRule="auto"/>
        <w:contextualSpacing/>
        <w:jc w:val="center"/>
        <w:rPr>
          <w:lang w:eastAsia="es-ES"/>
        </w:rPr>
      </w:pPr>
      <w:r w:rsidRPr="005A7B5B">
        <w:rPr>
          <w:noProof/>
          <w:lang w:val="es-ES" w:eastAsia="es-ES"/>
        </w:rPr>
        <w:drawing>
          <wp:inline distT="0" distB="0" distL="0" distR="0" wp14:anchorId="32A6380C" wp14:editId="2DC0E77F">
            <wp:extent cx="4381500" cy="1466850"/>
            <wp:effectExtent l="0" t="0" r="0" b="0"/>
            <wp:docPr id="1" name="Imagen 1" descr="G:\nuevo\2871\t01_287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uevo\2871\t01_2871.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1466850"/>
                    </a:xfrm>
                    <a:prstGeom prst="rect">
                      <a:avLst/>
                    </a:prstGeom>
                    <a:noFill/>
                    <a:ln>
                      <a:noFill/>
                    </a:ln>
                  </pic:spPr>
                </pic:pic>
              </a:graphicData>
            </a:graphic>
          </wp:inline>
        </w:drawing>
      </w:r>
    </w:p>
    <w:p w14:paraId="69BB584D" w14:textId="77777777" w:rsidR="00C922AE" w:rsidRPr="003930BD" w:rsidRDefault="00C922AE" w:rsidP="00C922AE">
      <w:pPr>
        <w:tabs>
          <w:tab w:val="left" w:pos="426"/>
        </w:tabs>
        <w:autoSpaceDE w:val="0"/>
        <w:autoSpaceDN w:val="0"/>
        <w:adjustRightInd w:val="0"/>
        <w:spacing w:line="360" w:lineRule="auto"/>
        <w:contextualSpacing/>
        <w:jc w:val="center"/>
        <w:rPr>
          <w:lang w:eastAsia="es-ES"/>
        </w:rPr>
      </w:pPr>
    </w:p>
    <w:p w14:paraId="5AAB7B0C" w14:textId="77777777" w:rsidR="003930BD" w:rsidRPr="003930BD" w:rsidRDefault="003930BD" w:rsidP="003930BD">
      <w:pPr>
        <w:spacing w:line="360" w:lineRule="auto"/>
        <w:jc w:val="both"/>
        <w:rPr>
          <w:sz w:val="22"/>
          <w:szCs w:val="22"/>
          <w:lang w:eastAsia="es-ES"/>
        </w:rPr>
      </w:pPr>
      <w:r w:rsidRPr="003930BD">
        <w:rPr>
          <w:lang w:eastAsia="es-ES"/>
        </w:rPr>
        <w:lastRenderedPageBreak/>
        <w:t xml:space="preserve">La tabla 2 muestra los resultados comparativos de la prueba de desempeño inicial y final. En la inicial, de un 60 % con “adecuado desempeño” se mueve al 100 % al final. </w:t>
      </w:r>
    </w:p>
    <w:p w14:paraId="7F9C6887" w14:textId="77777777" w:rsidR="003930BD" w:rsidRPr="003930BD" w:rsidRDefault="003930BD" w:rsidP="003930BD">
      <w:pPr>
        <w:tabs>
          <w:tab w:val="left" w:pos="426"/>
        </w:tabs>
        <w:autoSpaceDE w:val="0"/>
        <w:autoSpaceDN w:val="0"/>
        <w:adjustRightInd w:val="0"/>
        <w:spacing w:line="360" w:lineRule="auto"/>
        <w:contextualSpacing/>
        <w:jc w:val="both"/>
        <w:rPr>
          <w:b/>
          <w:sz w:val="20"/>
          <w:szCs w:val="20"/>
          <w:lang w:eastAsia="es-ES"/>
        </w:rPr>
      </w:pPr>
    </w:p>
    <w:p w14:paraId="2E62F5D6" w14:textId="77777777" w:rsidR="003930BD" w:rsidRPr="003930BD" w:rsidRDefault="003930BD" w:rsidP="003930BD">
      <w:pPr>
        <w:tabs>
          <w:tab w:val="left" w:pos="426"/>
        </w:tabs>
        <w:autoSpaceDE w:val="0"/>
        <w:autoSpaceDN w:val="0"/>
        <w:adjustRightInd w:val="0"/>
        <w:spacing w:line="360" w:lineRule="auto"/>
        <w:contextualSpacing/>
        <w:jc w:val="center"/>
        <w:rPr>
          <w:sz w:val="22"/>
          <w:szCs w:val="22"/>
          <w:lang w:eastAsia="es-ES"/>
        </w:rPr>
      </w:pPr>
      <w:r w:rsidRPr="003930BD">
        <w:rPr>
          <w:b/>
          <w:sz w:val="22"/>
          <w:szCs w:val="22"/>
          <w:lang w:eastAsia="es-ES"/>
        </w:rPr>
        <w:t xml:space="preserve">Tabla 2 - </w:t>
      </w:r>
      <w:r w:rsidRPr="003930BD">
        <w:rPr>
          <w:sz w:val="22"/>
          <w:szCs w:val="22"/>
          <w:lang w:eastAsia="es-ES"/>
        </w:rPr>
        <w:t>Resultados comparativos de las pruebas de desempeño inicial y final (n= 15)</w:t>
      </w:r>
    </w:p>
    <w:p w14:paraId="54E0B0F4" w14:textId="37363A7B" w:rsidR="00F22F0D" w:rsidRDefault="00F22F0D" w:rsidP="003930BD">
      <w:pPr>
        <w:tabs>
          <w:tab w:val="left" w:pos="426"/>
        </w:tabs>
        <w:autoSpaceDE w:val="0"/>
        <w:autoSpaceDN w:val="0"/>
        <w:adjustRightInd w:val="0"/>
        <w:spacing w:line="360" w:lineRule="auto"/>
        <w:contextualSpacing/>
        <w:jc w:val="center"/>
        <w:rPr>
          <w:sz w:val="16"/>
          <w:szCs w:val="16"/>
          <w:lang w:eastAsia="es-ES"/>
        </w:rPr>
      </w:pPr>
      <w:r w:rsidRPr="005A7B5B">
        <w:rPr>
          <w:noProof/>
          <w:lang w:val="es-ES" w:eastAsia="es-ES"/>
        </w:rPr>
        <w:drawing>
          <wp:inline distT="0" distB="0" distL="0" distR="0" wp14:anchorId="366E4BD6" wp14:editId="406031B3">
            <wp:extent cx="3962400" cy="1504950"/>
            <wp:effectExtent l="0" t="0" r="0" b="0"/>
            <wp:docPr id="2" name="Imagen 2" descr="G:\nuevo\2871\t02_287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uevo\2871\t02_287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1504950"/>
                    </a:xfrm>
                    <a:prstGeom prst="rect">
                      <a:avLst/>
                    </a:prstGeom>
                    <a:noFill/>
                    <a:ln>
                      <a:noFill/>
                    </a:ln>
                  </pic:spPr>
                </pic:pic>
              </a:graphicData>
            </a:graphic>
          </wp:inline>
        </w:drawing>
      </w:r>
    </w:p>
    <w:p w14:paraId="3636A27B" w14:textId="33FEE695" w:rsidR="003930BD" w:rsidRPr="003930BD" w:rsidRDefault="003930BD" w:rsidP="003930BD">
      <w:pPr>
        <w:tabs>
          <w:tab w:val="left" w:pos="426"/>
        </w:tabs>
        <w:autoSpaceDE w:val="0"/>
        <w:autoSpaceDN w:val="0"/>
        <w:adjustRightInd w:val="0"/>
        <w:spacing w:line="360" w:lineRule="auto"/>
        <w:contextualSpacing/>
        <w:jc w:val="center"/>
        <w:rPr>
          <w:sz w:val="16"/>
          <w:szCs w:val="16"/>
          <w:lang w:eastAsia="es-ES"/>
        </w:rPr>
      </w:pPr>
      <w:r w:rsidRPr="003930BD">
        <w:rPr>
          <w:sz w:val="16"/>
          <w:szCs w:val="16"/>
          <w:lang w:eastAsia="es-ES"/>
        </w:rPr>
        <w:t>Leyenda: A (adecuado); PA (poco adecuado); i (inadecuado); E (excelente); B (bien).</w:t>
      </w:r>
    </w:p>
    <w:p w14:paraId="690410FD" w14:textId="77777777" w:rsidR="003930BD" w:rsidRPr="003930BD" w:rsidRDefault="003930BD" w:rsidP="003930BD">
      <w:pPr>
        <w:tabs>
          <w:tab w:val="left" w:pos="426"/>
        </w:tabs>
        <w:autoSpaceDE w:val="0"/>
        <w:autoSpaceDN w:val="0"/>
        <w:adjustRightInd w:val="0"/>
        <w:spacing w:line="360" w:lineRule="auto"/>
        <w:contextualSpacing/>
        <w:jc w:val="both"/>
        <w:rPr>
          <w:lang w:eastAsia="es-ES"/>
        </w:rPr>
      </w:pPr>
    </w:p>
    <w:p w14:paraId="6F2AEAB1" w14:textId="77777777" w:rsidR="003930BD" w:rsidRPr="003930BD" w:rsidRDefault="003930BD" w:rsidP="003930BD">
      <w:pPr>
        <w:tabs>
          <w:tab w:val="left" w:pos="426"/>
        </w:tabs>
        <w:autoSpaceDE w:val="0"/>
        <w:autoSpaceDN w:val="0"/>
        <w:adjustRightInd w:val="0"/>
        <w:spacing w:line="360" w:lineRule="auto"/>
        <w:contextualSpacing/>
        <w:jc w:val="both"/>
        <w:rPr>
          <w:lang w:eastAsia="es-ES"/>
        </w:rPr>
      </w:pPr>
      <w:r w:rsidRPr="003930BD">
        <w:rPr>
          <w:lang w:eastAsia="es-ES"/>
        </w:rPr>
        <w:t>Puede apreciarse que al final los 15 cirujanos estuvieron ubicados en el nivel “adecuado” de desempeño.</w:t>
      </w:r>
    </w:p>
    <w:p w14:paraId="5C7A76F8" w14:textId="77777777" w:rsidR="003930BD" w:rsidRPr="003930BD" w:rsidRDefault="003930BD" w:rsidP="003930BD">
      <w:pPr>
        <w:spacing w:line="360" w:lineRule="auto"/>
        <w:jc w:val="both"/>
        <w:rPr>
          <w:lang w:eastAsia="es-ES"/>
        </w:rPr>
      </w:pPr>
      <w:r w:rsidRPr="003930BD">
        <w:rPr>
          <w:lang w:eastAsia="es-ES"/>
        </w:rPr>
        <w:t>En cuanto al cuestionario de satisfacción, el 100 % respondió “muy satisfactorio”. En el cuestionario a directivos, el 100 % respondió “muy satisfecho”.</w:t>
      </w:r>
      <w:r w:rsidRPr="003930BD">
        <w:rPr>
          <w:rFonts w:ascii="Arial" w:eastAsia="DejaVu Sans" w:hAnsi="Arial" w:cs="+mn-cs"/>
          <w:color w:val="000000"/>
          <w:kern w:val="24"/>
          <w:lang w:eastAsia="es-ES"/>
        </w:rPr>
        <w:t xml:space="preserve"> </w:t>
      </w:r>
    </w:p>
    <w:p w14:paraId="6132ECDF" w14:textId="77777777" w:rsidR="003930BD" w:rsidRPr="003930BD" w:rsidRDefault="003930BD" w:rsidP="003930BD">
      <w:pPr>
        <w:spacing w:line="360" w:lineRule="auto"/>
        <w:jc w:val="both"/>
        <w:rPr>
          <w:lang w:eastAsia="es-ES"/>
        </w:rPr>
      </w:pPr>
    </w:p>
    <w:p w14:paraId="79B60C9C" w14:textId="77777777" w:rsidR="003930BD" w:rsidRPr="003930BD" w:rsidRDefault="003930BD" w:rsidP="003930BD">
      <w:pPr>
        <w:spacing w:line="360" w:lineRule="auto"/>
        <w:jc w:val="both"/>
        <w:rPr>
          <w:rFonts w:eastAsia="Calibri"/>
          <w:lang w:eastAsia="en-US"/>
        </w:rPr>
      </w:pPr>
    </w:p>
    <w:p w14:paraId="580EC890" w14:textId="77777777" w:rsidR="003930BD" w:rsidRPr="003930BD" w:rsidRDefault="003930BD" w:rsidP="003930BD">
      <w:pPr>
        <w:spacing w:line="360" w:lineRule="auto"/>
        <w:jc w:val="center"/>
        <w:rPr>
          <w:rFonts w:eastAsia="Calibri"/>
          <w:lang w:eastAsia="en-US"/>
        </w:rPr>
      </w:pPr>
      <w:r w:rsidRPr="003930BD">
        <w:rPr>
          <w:rFonts w:eastAsia="Calibri"/>
          <w:b/>
          <w:sz w:val="32"/>
          <w:szCs w:val="32"/>
          <w:lang w:eastAsia="en-US"/>
        </w:rPr>
        <w:t>DISCUSIÓN</w:t>
      </w:r>
    </w:p>
    <w:p w14:paraId="4A311AF2" w14:textId="77777777" w:rsidR="003930BD" w:rsidRPr="003930BD" w:rsidRDefault="003930BD" w:rsidP="003930BD">
      <w:pPr>
        <w:autoSpaceDE w:val="0"/>
        <w:autoSpaceDN w:val="0"/>
        <w:adjustRightInd w:val="0"/>
        <w:spacing w:line="360" w:lineRule="auto"/>
        <w:jc w:val="both"/>
        <w:rPr>
          <w:bCs/>
          <w:color w:val="000000"/>
          <w:lang w:eastAsia="es-ES"/>
        </w:rPr>
      </w:pPr>
      <w:r w:rsidRPr="003930BD">
        <w:rPr>
          <w:lang w:eastAsia="es-ES"/>
        </w:rPr>
        <w:t xml:space="preserve">Según </w:t>
      </w:r>
      <w:r w:rsidRPr="003930BD">
        <w:rPr>
          <w:i/>
          <w:lang w:eastAsia="es-ES"/>
        </w:rPr>
        <w:t xml:space="preserve">López </w:t>
      </w:r>
      <w:r w:rsidRPr="003930BD">
        <w:rPr>
          <w:iCs/>
          <w:lang w:eastAsia="es-ES"/>
        </w:rPr>
        <w:t>y otros</w:t>
      </w:r>
      <w:r w:rsidRPr="003930BD">
        <w:rPr>
          <w:color w:val="000000"/>
          <w:lang w:eastAsia="es-ES"/>
        </w:rPr>
        <w:t>,</w:t>
      </w:r>
      <w:r w:rsidRPr="003930BD">
        <w:rPr>
          <w:color w:val="000000"/>
          <w:vertAlign w:val="superscript"/>
          <w:lang w:eastAsia="es-ES"/>
        </w:rPr>
        <w:t>(5)</w:t>
      </w:r>
      <w:r w:rsidRPr="003930BD">
        <w:rPr>
          <w:color w:val="000000"/>
          <w:lang w:eastAsia="es-ES"/>
        </w:rPr>
        <w:t xml:space="preserve"> las estrategias de superación en salud se diseñan para resolver problemas de la práctica médica y vencer dificultades, con optimización de tiempo, recursos materiales y humanos. </w:t>
      </w:r>
      <w:r w:rsidRPr="003930BD">
        <w:rPr>
          <w:lang w:eastAsia="es-ES"/>
        </w:rPr>
        <w:t xml:space="preserve">Autores como </w:t>
      </w:r>
      <w:r w:rsidRPr="003930BD">
        <w:rPr>
          <w:i/>
          <w:lang w:eastAsia="es-ES"/>
        </w:rPr>
        <w:t>Rodríguez</w:t>
      </w:r>
      <w:r w:rsidRPr="003930BD">
        <w:rPr>
          <w:lang w:eastAsia="es-ES"/>
        </w:rPr>
        <w:t>,</w:t>
      </w:r>
      <w:r w:rsidRPr="003930BD">
        <w:rPr>
          <w:vertAlign w:val="superscript"/>
          <w:lang w:eastAsia="es-ES"/>
        </w:rPr>
        <w:t xml:space="preserve">(6) </w:t>
      </w:r>
      <w:r w:rsidRPr="003930BD">
        <w:rPr>
          <w:rFonts w:eastAsia="SimSun"/>
          <w:i/>
          <w:color w:val="000000"/>
          <w:shd w:val="clear" w:color="auto" w:fill="FFFFFF"/>
          <w:lang w:eastAsia="es-ES"/>
        </w:rPr>
        <w:t xml:space="preserve">Martínez </w:t>
      </w:r>
      <w:r w:rsidRPr="003930BD">
        <w:rPr>
          <w:rFonts w:eastAsia="SimSun"/>
          <w:iCs/>
          <w:color w:val="000000"/>
          <w:shd w:val="clear" w:color="auto" w:fill="FFFFFF"/>
          <w:lang w:eastAsia="es-ES"/>
        </w:rPr>
        <w:t>y otros</w:t>
      </w:r>
      <w:r w:rsidRPr="003930BD">
        <w:rPr>
          <w:rFonts w:eastAsia="SimSun"/>
          <w:color w:val="000000"/>
          <w:shd w:val="clear" w:color="auto" w:fill="FFFFFF"/>
          <w:vertAlign w:val="superscript"/>
          <w:lang w:eastAsia="es-ES"/>
        </w:rPr>
        <w:t>(7)</w:t>
      </w:r>
      <w:r w:rsidRPr="003930BD">
        <w:rPr>
          <w:rFonts w:eastAsia="SimSun"/>
          <w:color w:val="000000"/>
          <w:shd w:val="clear" w:color="auto" w:fill="FFFFFF"/>
          <w:lang w:eastAsia="es-ES"/>
        </w:rPr>
        <w:t xml:space="preserve"> </w:t>
      </w:r>
      <w:r w:rsidRPr="003930BD">
        <w:rPr>
          <w:color w:val="000000"/>
          <w:lang w:eastAsia="es-ES"/>
        </w:rPr>
        <w:t xml:space="preserve">y </w:t>
      </w:r>
      <w:r w:rsidRPr="003930BD">
        <w:rPr>
          <w:i/>
          <w:color w:val="000000"/>
          <w:lang w:eastAsia="es-ES"/>
        </w:rPr>
        <w:t xml:space="preserve">González </w:t>
      </w:r>
      <w:r w:rsidRPr="003930BD">
        <w:rPr>
          <w:iCs/>
          <w:color w:val="000000"/>
          <w:lang w:eastAsia="es-ES"/>
        </w:rPr>
        <w:t>y otros</w:t>
      </w:r>
      <w:r w:rsidRPr="003930BD">
        <w:rPr>
          <w:color w:val="000000"/>
          <w:lang w:eastAsia="es-ES"/>
        </w:rPr>
        <w:t>,</w:t>
      </w:r>
      <w:r w:rsidRPr="003930BD">
        <w:rPr>
          <w:color w:val="000000"/>
          <w:vertAlign w:val="superscript"/>
          <w:lang w:eastAsia="es-ES"/>
        </w:rPr>
        <w:t>(8)</w:t>
      </w:r>
      <w:r w:rsidRPr="003930BD">
        <w:rPr>
          <w:color w:val="000000"/>
          <w:lang w:eastAsia="es-ES"/>
        </w:rPr>
        <w:t xml:space="preserve"> plantean que las estrategias de superación facilitan un cambio cualitativamente superior en los profesionales; eliminan la contradicción del estado real con insuficiencias, a un estado ideal de desempeño profesional y humano, tal como se evidencia en el estudio presentado. Se coincide con lo expresado por </w:t>
      </w:r>
      <w:r w:rsidRPr="003930BD">
        <w:rPr>
          <w:i/>
          <w:color w:val="000000"/>
          <w:lang w:eastAsia="es-ES"/>
        </w:rPr>
        <w:t>Alfonso</w:t>
      </w:r>
      <w:r w:rsidRPr="003930BD">
        <w:rPr>
          <w:color w:val="000000"/>
          <w:lang w:eastAsia="es-ES"/>
        </w:rPr>
        <w:t>,</w:t>
      </w:r>
      <w:r w:rsidRPr="003930BD">
        <w:rPr>
          <w:color w:val="000000"/>
          <w:vertAlign w:val="superscript"/>
          <w:lang w:eastAsia="es-ES"/>
        </w:rPr>
        <w:t>(9)</w:t>
      </w:r>
      <w:r w:rsidRPr="003930BD">
        <w:rPr>
          <w:color w:val="000000"/>
          <w:lang w:eastAsia="es-ES"/>
        </w:rPr>
        <w:t xml:space="preserve"> </w:t>
      </w:r>
      <w:r w:rsidRPr="003930BD">
        <w:rPr>
          <w:i/>
          <w:color w:val="000000"/>
          <w:lang w:eastAsia="es-ES"/>
        </w:rPr>
        <w:t>Suárez</w:t>
      </w:r>
      <w:r w:rsidRPr="003930BD">
        <w:rPr>
          <w:color w:val="000000"/>
          <w:vertAlign w:val="superscript"/>
          <w:lang w:eastAsia="es-ES"/>
        </w:rPr>
        <w:t xml:space="preserve">(10) </w:t>
      </w:r>
      <w:r w:rsidRPr="003930BD">
        <w:rPr>
          <w:color w:val="000000"/>
          <w:lang w:eastAsia="es-ES"/>
        </w:rPr>
        <w:t xml:space="preserve">y </w:t>
      </w:r>
      <w:r w:rsidRPr="003930BD">
        <w:rPr>
          <w:i/>
          <w:color w:val="000000"/>
          <w:lang w:eastAsia="es-ES"/>
        </w:rPr>
        <w:t>Lescay</w:t>
      </w:r>
      <w:r w:rsidRPr="003930BD">
        <w:rPr>
          <w:iCs/>
          <w:color w:val="000000"/>
          <w:lang w:eastAsia="es-ES"/>
        </w:rPr>
        <w:t>,</w:t>
      </w:r>
      <w:r w:rsidRPr="003930BD">
        <w:rPr>
          <w:color w:val="000000"/>
          <w:vertAlign w:val="superscript"/>
          <w:lang w:eastAsia="es-ES"/>
        </w:rPr>
        <w:t>(11)</w:t>
      </w:r>
      <w:r w:rsidRPr="003930BD">
        <w:rPr>
          <w:color w:val="000000"/>
          <w:lang w:eastAsia="es-ES"/>
        </w:rPr>
        <w:t xml:space="preserve"> quienes consideran que las estrategias de superación involucran a los sujetos; su diseño incluye etapas, fases y acciones planificadas, con el uso de las tecnologías de la información y las comunicaciones. Una vez implementadas se revela el cambio positivo en el desempeño profesional. </w:t>
      </w:r>
    </w:p>
    <w:p w14:paraId="58E39F90" w14:textId="77777777" w:rsidR="003930BD" w:rsidRPr="003930BD" w:rsidRDefault="003930BD" w:rsidP="003930BD">
      <w:pPr>
        <w:spacing w:line="360" w:lineRule="auto"/>
        <w:jc w:val="both"/>
        <w:rPr>
          <w:rFonts w:eastAsia="Calibri"/>
          <w:lang w:eastAsia="en-US"/>
        </w:rPr>
      </w:pPr>
      <w:r w:rsidRPr="003930BD">
        <w:rPr>
          <w:rFonts w:eastAsia="Calibri"/>
          <w:lang w:eastAsia="en-US"/>
        </w:rPr>
        <w:lastRenderedPageBreak/>
        <w:t xml:space="preserve">Los resultados de la implementación de la estrategia de superación en PP, evidencian que logra una transformación positiva del desempeño profesional; complementa los conocimientos y habilidades aprendidas, la actualización de conocimientos y mejoras en los valores éticos. De esta manera, se asegura la calidad del servicio prestado, lo cual argumentan </w:t>
      </w:r>
      <w:r w:rsidRPr="003930BD">
        <w:rPr>
          <w:rFonts w:eastAsia="Calibri"/>
          <w:i/>
          <w:lang w:eastAsia="en-US"/>
        </w:rPr>
        <w:t xml:space="preserve">Candelaria </w:t>
      </w:r>
      <w:r w:rsidRPr="003930BD">
        <w:rPr>
          <w:rFonts w:eastAsia="Calibri"/>
          <w:iCs/>
          <w:lang w:eastAsia="en-US"/>
        </w:rPr>
        <w:t>y otros</w:t>
      </w:r>
      <w:r w:rsidRPr="003930BD">
        <w:rPr>
          <w:rFonts w:eastAsia="Calibri"/>
          <w:iCs/>
          <w:vertAlign w:val="superscript"/>
          <w:lang w:eastAsia="en-US"/>
        </w:rPr>
        <w:t>(21)</w:t>
      </w:r>
      <w:r w:rsidRPr="003930BD">
        <w:rPr>
          <w:rFonts w:eastAsia="Calibri"/>
          <w:iCs/>
          <w:lang w:eastAsia="en-US"/>
        </w:rPr>
        <w:t xml:space="preserve"> y</w:t>
      </w:r>
      <w:r w:rsidRPr="003930BD">
        <w:rPr>
          <w:rFonts w:eastAsia="Calibri"/>
          <w:i/>
          <w:lang w:eastAsia="en-US"/>
        </w:rPr>
        <w:t xml:space="preserve"> Rodríguez </w:t>
      </w:r>
      <w:r w:rsidRPr="003930BD">
        <w:rPr>
          <w:rFonts w:eastAsia="Calibri"/>
          <w:iCs/>
          <w:lang w:eastAsia="en-US"/>
        </w:rPr>
        <w:t>y otros.</w:t>
      </w:r>
      <w:r w:rsidRPr="003930BD">
        <w:rPr>
          <w:rFonts w:eastAsia="Calibri"/>
          <w:vertAlign w:val="superscript"/>
          <w:lang w:eastAsia="en-US"/>
        </w:rPr>
        <w:t>(22)</w:t>
      </w:r>
    </w:p>
    <w:p w14:paraId="2F6D3580" w14:textId="77777777" w:rsidR="003930BD" w:rsidRPr="003930BD" w:rsidRDefault="003930BD" w:rsidP="003930BD">
      <w:pPr>
        <w:spacing w:line="360" w:lineRule="auto"/>
        <w:jc w:val="both"/>
        <w:rPr>
          <w:rFonts w:eastAsia="Calibri"/>
          <w:lang w:eastAsia="en-US"/>
        </w:rPr>
      </w:pPr>
      <w:r w:rsidRPr="003930BD">
        <w:rPr>
          <w:rFonts w:eastAsia="Calibri"/>
          <w:lang w:eastAsia="en-US"/>
        </w:rPr>
        <w:t>La principal limitación de la presente investigación radica en que fue en un solo centro y los resultados deben ser probados para otras instituciones, lo cual se facilita por el diseño flexible y contextualizado.</w:t>
      </w:r>
    </w:p>
    <w:p w14:paraId="0BAA2F58" w14:textId="77777777" w:rsidR="003930BD" w:rsidRPr="003930BD" w:rsidRDefault="003930BD" w:rsidP="003930BD">
      <w:pPr>
        <w:autoSpaceDE w:val="0"/>
        <w:autoSpaceDN w:val="0"/>
        <w:adjustRightInd w:val="0"/>
        <w:spacing w:line="360" w:lineRule="auto"/>
        <w:jc w:val="both"/>
        <w:rPr>
          <w:rFonts w:eastAsia="Calibri"/>
          <w:lang w:eastAsia="en-US"/>
        </w:rPr>
      </w:pPr>
      <w:r w:rsidRPr="003930BD">
        <w:rPr>
          <w:rFonts w:eastAsia="Calibri"/>
          <w:lang w:eastAsia="en-US"/>
        </w:rPr>
        <w:t xml:space="preserve">La estrategia de superación diseñada cuenta con la estructura y coherencia científica-metodológica necesarias para ser implementada en la práctica quirúrgica. Los criterios valorativos emitidos por cirujanos y directivos, apuntan al reconocimiento del valor científico para el mejoramiento del desempeño profesional y humano de los cirujanos, en la peritonitis posoperatoria. </w:t>
      </w:r>
    </w:p>
    <w:p w14:paraId="1AE6ED28" w14:textId="77777777" w:rsidR="003930BD" w:rsidRPr="003930BD" w:rsidRDefault="003930BD" w:rsidP="003930BD">
      <w:pPr>
        <w:autoSpaceDE w:val="0"/>
        <w:autoSpaceDN w:val="0"/>
        <w:adjustRightInd w:val="0"/>
        <w:spacing w:line="360" w:lineRule="auto"/>
        <w:jc w:val="both"/>
        <w:rPr>
          <w:rFonts w:eastAsia="Calibri"/>
          <w:lang w:eastAsia="en-US"/>
        </w:rPr>
      </w:pPr>
    </w:p>
    <w:p w14:paraId="2824D520" w14:textId="77777777" w:rsidR="003930BD" w:rsidRPr="003930BD" w:rsidRDefault="003930BD" w:rsidP="003930BD">
      <w:pPr>
        <w:autoSpaceDE w:val="0"/>
        <w:autoSpaceDN w:val="0"/>
        <w:adjustRightInd w:val="0"/>
        <w:spacing w:line="360" w:lineRule="auto"/>
        <w:jc w:val="both"/>
        <w:rPr>
          <w:rFonts w:eastAsia="Calibri"/>
          <w:lang w:eastAsia="en-US"/>
        </w:rPr>
      </w:pPr>
    </w:p>
    <w:p w14:paraId="2810EBF1" w14:textId="77777777" w:rsidR="003930BD" w:rsidRPr="003930BD" w:rsidRDefault="003930BD" w:rsidP="003930BD">
      <w:pPr>
        <w:spacing w:line="360" w:lineRule="auto"/>
        <w:jc w:val="center"/>
        <w:rPr>
          <w:rFonts w:eastAsia="Calibri"/>
          <w:sz w:val="32"/>
          <w:szCs w:val="32"/>
          <w:lang w:val="en-US" w:eastAsia="en-US"/>
        </w:rPr>
      </w:pPr>
      <w:r w:rsidRPr="003930BD">
        <w:rPr>
          <w:rFonts w:eastAsia="Calibri"/>
          <w:b/>
          <w:sz w:val="32"/>
          <w:szCs w:val="32"/>
          <w:lang w:val="en-US" w:eastAsia="en-US"/>
        </w:rPr>
        <w:t>REFERENCIAS BIBLIOGRÁFICAS</w:t>
      </w:r>
    </w:p>
    <w:p w14:paraId="2C3842AF" w14:textId="77777777" w:rsidR="003930BD" w:rsidRPr="003930BD" w:rsidRDefault="003930BD" w:rsidP="003930BD">
      <w:pPr>
        <w:spacing w:line="360" w:lineRule="auto"/>
        <w:rPr>
          <w:rFonts w:eastAsia="Calibri"/>
          <w:lang w:eastAsia="en-US"/>
        </w:rPr>
      </w:pPr>
      <w:r w:rsidRPr="003930BD">
        <w:rPr>
          <w:rFonts w:eastAsia="Calibri"/>
          <w:lang w:val="en-US" w:eastAsia="en-US"/>
        </w:rPr>
        <w:t>1.</w:t>
      </w:r>
      <w:r w:rsidRPr="003930BD">
        <w:rPr>
          <w:rFonts w:eastAsia="Calibri"/>
          <w:sz w:val="22"/>
          <w:szCs w:val="22"/>
          <w:lang w:val="en-US" w:eastAsia="en-US"/>
        </w:rPr>
        <w:t xml:space="preserve"> </w:t>
      </w:r>
      <w:r w:rsidRPr="003930BD">
        <w:rPr>
          <w:rFonts w:eastAsia="Calibri"/>
          <w:lang w:val="en-US" w:eastAsia="en-US"/>
        </w:rPr>
        <w:t xml:space="preserve">Bassetti M, Eckmann C, Giacobbe DR, Sartelli M, Montravers P. </w:t>
      </w:r>
      <w:hyperlink r:id="rId12" w:history="1">
        <w:r w:rsidRPr="003930BD">
          <w:rPr>
            <w:rFonts w:eastAsia="Calibri"/>
            <w:lang w:val="en-US" w:eastAsia="en-US"/>
          </w:rPr>
          <w:t xml:space="preserve">Post-operative abdominal infections: epidemiology, operational definition, and outcomes. </w:t>
        </w:r>
      </w:hyperlink>
      <w:r w:rsidRPr="003930BD">
        <w:rPr>
          <w:rFonts w:eastAsia="Calibri"/>
          <w:lang w:val="en-US" w:eastAsia="en-US"/>
        </w:rPr>
        <w:t xml:space="preserve">Intensive Care Medicine. </w:t>
      </w:r>
      <w:r w:rsidRPr="003930BD">
        <w:rPr>
          <w:rFonts w:eastAsia="Calibri"/>
          <w:lang w:eastAsia="en-US"/>
        </w:rPr>
        <w:t xml:space="preserve">2020; 46(2):163-172. DOI: </w:t>
      </w:r>
      <w:r w:rsidRPr="003930BD">
        <w:rPr>
          <w:rFonts w:eastAsia="Calibri"/>
          <w:color w:val="0070C0"/>
          <w:lang w:eastAsia="en-US"/>
        </w:rPr>
        <w:t xml:space="preserve">10.1007/s00134-019-05841-5  </w:t>
      </w:r>
    </w:p>
    <w:p w14:paraId="05630E04" w14:textId="77777777" w:rsidR="003930BD" w:rsidRPr="003930BD" w:rsidRDefault="003930BD" w:rsidP="003930BD">
      <w:pPr>
        <w:spacing w:line="360" w:lineRule="auto"/>
        <w:rPr>
          <w:rFonts w:eastAsia="Calibri"/>
          <w:color w:val="000000"/>
          <w:lang w:eastAsia="en-US"/>
        </w:rPr>
      </w:pPr>
      <w:r w:rsidRPr="003930BD">
        <w:rPr>
          <w:rFonts w:eastAsia="Calibri"/>
          <w:lang w:eastAsia="en-US"/>
        </w:rPr>
        <w:t>2. Guerra Macías I, Suárez Guerra J, Suárez Guerra J.</w:t>
      </w:r>
      <w:r w:rsidRPr="003930BD">
        <w:rPr>
          <w:rFonts w:eastAsia="Calibri"/>
          <w:color w:val="000000"/>
          <w:lang w:eastAsia="en-US"/>
        </w:rPr>
        <w:t xml:space="preserve"> Algunas consideraciones necesarias sobre la infección intraabdominal posoperatoria. Rev Cubana Med Milit</w:t>
      </w:r>
      <w:r w:rsidRPr="003930BD">
        <w:rPr>
          <w:rFonts w:eastAsia="Calibri"/>
          <w:lang w:eastAsia="en-US"/>
        </w:rPr>
        <w:t xml:space="preserve">. </w:t>
      </w:r>
      <w:r w:rsidRPr="003930BD">
        <w:rPr>
          <w:rFonts w:eastAsia="Calibri"/>
          <w:color w:val="000000"/>
          <w:lang w:eastAsia="en-US"/>
        </w:rPr>
        <w:t>2021 [</w:t>
      </w:r>
      <w:r w:rsidRPr="003930BD">
        <w:rPr>
          <w:rFonts w:eastAsia="Calibri"/>
          <w:lang w:eastAsia="en-US"/>
        </w:rPr>
        <w:t xml:space="preserve">acceso: 07/08/2022]; </w:t>
      </w:r>
      <w:r w:rsidRPr="003930BD">
        <w:rPr>
          <w:rFonts w:eastAsia="Calibri"/>
          <w:color w:val="000000"/>
          <w:lang w:eastAsia="en-US"/>
        </w:rPr>
        <w:t xml:space="preserve">50(4):e02101281. Disponible en: </w:t>
      </w:r>
      <w:hyperlink r:id="rId13" w:history="1">
        <w:r w:rsidRPr="003930BD">
          <w:rPr>
            <w:rFonts w:eastAsia="Calibri"/>
            <w:color w:val="4472C4"/>
            <w:lang w:eastAsia="en-US"/>
          </w:rPr>
          <w:t>http://www.revmedmilitar.sld.cu/index.php/mil/article/view/1281</w:t>
        </w:r>
      </w:hyperlink>
    </w:p>
    <w:p w14:paraId="441D6C25" w14:textId="77777777" w:rsidR="003930BD" w:rsidRPr="003930BD" w:rsidRDefault="003930BD" w:rsidP="003930BD">
      <w:pPr>
        <w:spacing w:line="360" w:lineRule="auto"/>
        <w:rPr>
          <w:rFonts w:eastAsia="Calibri"/>
          <w:lang w:eastAsia="en-US"/>
        </w:rPr>
      </w:pPr>
      <w:r w:rsidRPr="003930BD">
        <w:rPr>
          <w:lang w:val="en-US" w:eastAsia="es-ES"/>
        </w:rPr>
        <w:t>3</w:t>
      </w:r>
      <w:r w:rsidRPr="003930BD">
        <w:rPr>
          <w:rFonts w:eastAsia="Calibri"/>
          <w:lang w:val="en-US" w:eastAsia="en-US"/>
        </w:rPr>
        <w:t xml:space="preserve">. Clements TW, Tolonen M, Ball CG, Kirkpatrick AW. Secondary Peritonitis and Intra-Abdominal Sepsis: An Increasingly Global Disease in Search of Better Systemic Therapies. </w:t>
      </w:r>
      <w:r w:rsidRPr="003930BD">
        <w:rPr>
          <w:rFonts w:eastAsia="Calibri"/>
          <w:lang w:eastAsia="en-US"/>
        </w:rPr>
        <w:t xml:space="preserve">Scand Journal Surgery. 2021; 110(2):139-49. DOI: </w:t>
      </w:r>
      <w:r w:rsidRPr="003930BD">
        <w:rPr>
          <w:rFonts w:eastAsia="Calibri"/>
          <w:color w:val="0070C0"/>
          <w:lang w:eastAsia="en-US"/>
        </w:rPr>
        <w:t>10.1177/1457496920984078</w:t>
      </w:r>
    </w:p>
    <w:p w14:paraId="37CAA63A" w14:textId="77777777" w:rsidR="003930BD" w:rsidRPr="003930BD" w:rsidRDefault="003930BD" w:rsidP="003930BD">
      <w:pPr>
        <w:autoSpaceDE w:val="0"/>
        <w:autoSpaceDN w:val="0"/>
        <w:adjustRightInd w:val="0"/>
        <w:spacing w:line="360" w:lineRule="auto"/>
        <w:rPr>
          <w:rFonts w:eastAsia="Calibri"/>
          <w:bCs/>
          <w:lang w:eastAsia="en-US"/>
        </w:rPr>
      </w:pPr>
      <w:r w:rsidRPr="003930BD">
        <w:rPr>
          <w:rFonts w:eastAsia="SimSun"/>
          <w:lang w:eastAsia="en-US"/>
        </w:rPr>
        <w:t xml:space="preserve">4. </w:t>
      </w:r>
      <w:r w:rsidRPr="003930BD">
        <w:rPr>
          <w:rFonts w:eastAsia="Calibri"/>
          <w:bCs/>
          <w:lang w:eastAsia="es-ES"/>
        </w:rPr>
        <w:t xml:space="preserve">Ministerio de Educación Superior. </w:t>
      </w:r>
      <w:r w:rsidRPr="003930BD">
        <w:rPr>
          <w:lang w:eastAsia="en-US"/>
        </w:rPr>
        <w:t xml:space="preserve">Resolución No. 140/2019 </w:t>
      </w:r>
      <w:r w:rsidRPr="003930BD">
        <w:rPr>
          <w:bCs/>
          <w:lang w:eastAsia="en-US"/>
        </w:rPr>
        <w:t xml:space="preserve">Reglamento de la Educación de Posgrado de la República de Cuba; </w:t>
      </w:r>
      <w:r w:rsidRPr="003930BD">
        <w:rPr>
          <w:lang w:eastAsia="en-US"/>
        </w:rPr>
        <w:t>2019.</w:t>
      </w:r>
      <w:r w:rsidRPr="003930BD">
        <w:rPr>
          <w:rFonts w:eastAsia="Calibri"/>
          <w:lang w:eastAsia="en-US"/>
        </w:rPr>
        <w:t xml:space="preserve"> [acceso: 07/08/2022]. Disponible en: </w:t>
      </w:r>
    </w:p>
    <w:p w14:paraId="7457D04A" w14:textId="77777777" w:rsidR="003930BD" w:rsidRPr="003930BD" w:rsidRDefault="003930BD" w:rsidP="003930BD">
      <w:pPr>
        <w:autoSpaceDE w:val="0"/>
        <w:autoSpaceDN w:val="0"/>
        <w:adjustRightInd w:val="0"/>
        <w:spacing w:line="360" w:lineRule="auto"/>
        <w:rPr>
          <w:rFonts w:eastAsia="Calibri"/>
          <w:lang w:eastAsia="en-US"/>
        </w:rPr>
      </w:pPr>
      <w:hyperlink r:id="rId14" w:history="1">
        <w:r w:rsidRPr="003930BD">
          <w:rPr>
            <w:rFonts w:eastAsia="Calibri"/>
            <w:color w:val="0563C1"/>
            <w:lang w:eastAsia="en-US"/>
          </w:rPr>
          <w:t>http://www.gacetaoficial.gob.cu/pdf/GOC-2019-065.pdf</w:t>
        </w:r>
      </w:hyperlink>
      <w:r w:rsidRPr="003930BD">
        <w:rPr>
          <w:rFonts w:eastAsia="Calibri"/>
          <w:lang w:eastAsia="en-US"/>
        </w:rPr>
        <w:t xml:space="preserve"> </w:t>
      </w:r>
    </w:p>
    <w:p w14:paraId="67DEA330" w14:textId="77777777" w:rsidR="003930BD" w:rsidRPr="003930BD" w:rsidRDefault="003930BD" w:rsidP="003930BD">
      <w:pPr>
        <w:autoSpaceDE w:val="0"/>
        <w:autoSpaceDN w:val="0"/>
        <w:adjustRightInd w:val="0"/>
        <w:spacing w:line="360" w:lineRule="auto"/>
        <w:rPr>
          <w:color w:val="0563C1"/>
          <w:lang w:eastAsia="es-ES"/>
        </w:rPr>
      </w:pPr>
      <w:r w:rsidRPr="003930BD">
        <w:rPr>
          <w:rFonts w:eastAsia="SimSun"/>
          <w:lang w:eastAsia="es-ES"/>
        </w:rPr>
        <w:t xml:space="preserve">5. </w:t>
      </w:r>
      <w:r w:rsidRPr="003930BD">
        <w:rPr>
          <w:lang w:eastAsia="es-ES"/>
        </w:rPr>
        <w:t xml:space="preserve">López Espinosa GJ, Valcárcel Izquierdo N, Lemus Lago  ER, Yera Alós IB, González Ramírez EE, </w:t>
      </w:r>
      <w:r w:rsidRPr="003930BD">
        <w:rPr>
          <w:rFonts w:eastAsia="Calibri"/>
          <w:lang w:eastAsia="en-US"/>
        </w:rPr>
        <w:t>Quintana Mugica R.</w:t>
      </w:r>
      <w:r w:rsidRPr="003930BD">
        <w:rPr>
          <w:lang w:eastAsia="es-ES"/>
        </w:rPr>
        <w:t xml:space="preserve"> Estrategia de superación profesional para la atención médica integral a la salud del </w:t>
      </w:r>
      <w:r w:rsidRPr="003930BD">
        <w:rPr>
          <w:lang w:eastAsia="es-ES"/>
        </w:rPr>
        <w:lastRenderedPageBreak/>
        <w:t xml:space="preserve">trabajador. Revista Edumecentro. </w:t>
      </w:r>
      <w:r w:rsidRPr="003930BD">
        <w:rPr>
          <w:rFonts w:eastAsia="Calibri"/>
          <w:color w:val="000000"/>
          <w:lang w:eastAsia="es-ES"/>
        </w:rPr>
        <w:t xml:space="preserve">2021 </w:t>
      </w:r>
      <w:r w:rsidRPr="003930BD">
        <w:rPr>
          <w:color w:val="000000"/>
          <w:lang w:eastAsia="es-ES"/>
        </w:rPr>
        <w:t xml:space="preserve">[acceso: 07/08/2022]; 13(3):22-41. Disponible en: </w:t>
      </w:r>
      <w:hyperlink r:id="rId15" w:history="1">
        <w:r w:rsidRPr="003930BD">
          <w:rPr>
            <w:color w:val="0563C1"/>
            <w:lang w:eastAsia="es-ES"/>
          </w:rPr>
          <w:t>https://www.revedumecentro.sld.cu/index.php/edumc/article/view/1811</w:t>
        </w:r>
      </w:hyperlink>
    </w:p>
    <w:p w14:paraId="63274F76" w14:textId="77777777" w:rsidR="003930BD" w:rsidRPr="003930BD" w:rsidRDefault="003930BD" w:rsidP="003930BD">
      <w:pPr>
        <w:autoSpaceDE w:val="0"/>
        <w:autoSpaceDN w:val="0"/>
        <w:adjustRightInd w:val="0"/>
        <w:spacing w:line="360" w:lineRule="auto"/>
        <w:rPr>
          <w:lang w:eastAsia="es-ES"/>
        </w:rPr>
      </w:pPr>
      <w:r w:rsidRPr="003930BD">
        <w:rPr>
          <w:lang w:eastAsia="es-ES"/>
        </w:rPr>
        <w:t xml:space="preserve">6. Rodríguez González L. Mejoramiento del desempeño profesional de los especialistas en estomatología general integral en el diagnóstico de anomalías dentomaxilofaciales [Tesis en opción al grado científico de Doctor en Ciencias Pedagógicas]. La Habana; </w:t>
      </w:r>
      <w:r w:rsidRPr="003930BD">
        <w:rPr>
          <w:color w:val="333333"/>
          <w:lang w:val="es-ES" w:eastAsia="es-ES"/>
        </w:rPr>
        <w:t xml:space="preserve">Universidad de Ciencias Pedagógicas Enrique José Varona. </w:t>
      </w:r>
      <w:r w:rsidRPr="003930BD">
        <w:rPr>
          <w:lang w:eastAsia="es-ES"/>
        </w:rPr>
        <w:t xml:space="preserve">2019 </w:t>
      </w:r>
      <w:r w:rsidRPr="003930BD">
        <w:rPr>
          <w:color w:val="000000"/>
          <w:lang w:eastAsia="es-ES"/>
        </w:rPr>
        <w:t xml:space="preserve">[acceso: 07/08/2022]. </w:t>
      </w:r>
      <w:r w:rsidRPr="003930BD">
        <w:rPr>
          <w:lang w:eastAsia="es-ES"/>
        </w:rPr>
        <w:t xml:space="preserve">Disponible en: </w:t>
      </w:r>
      <w:r w:rsidRPr="003930BD">
        <w:rPr>
          <w:color w:val="000000"/>
          <w:lang w:eastAsia="es-ES"/>
        </w:rPr>
        <w:t xml:space="preserve"> </w:t>
      </w:r>
      <w:hyperlink r:id="rId16" w:history="1">
        <w:r w:rsidRPr="003930BD">
          <w:rPr>
            <w:color w:val="0563C1"/>
            <w:lang w:eastAsia="es-ES"/>
          </w:rPr>
          <w:t>http://www.tesis.repo.sld.cu/index.php?P=FullRecord&amp;ID=782</w:t>
        </w:r>
      </w:hyperlink>
    </w:p>
    <w:p w14:paraId="762058B3" w14:textId="77777777" w:rsidR="003930BD" w:rsidRPr="003930BD" w:rsidRDefault="003930BD" w:rsidP="003930BD">
      <w:pPr>
        <w:autoSpaceDE w:val="0"/>
        <w:autoSpaceDN w:val="0"/>
        <w:adjustRightInd w:val="0"/>
        <w:spacing w:line="360" w:lineRule="auto"/>
        <w:rPr>
          <w:rFonts w:eastAsia="Calibri"/>
          <w:lang w:eastAsia="en-US"/>
        </w:rPr>
      </w:pPr>
      <w:r w:rsidRPr="003930BD">
        <w:rPr>
          <w:color w:val="000000"/>
          <w:lang w:eastAsia="es-ES"/>
        </w:rPr>
        <w:t>7</w:t>
      </w:r>
      <w:r w:rsidRPr="003930BD">
        <w:rPr>
          <w:rFonts w:eastAsia="SimSun"/>
          <w:lang w:eastAsia="es-ES"/>
        </w:rPr>
        <w:t xml:space="preserve">. </w:t>
      </w:r>
      <w:r w:rsidRPr="003930BD">
        <w:rPr>
          <w:rFonts w:eastAsia="Calibri"/>
          <w:lang w:eastAsia="en-US"/>
        </w:rPr>
        <w:t xml:space="preserve">Martínez Sariol E, Travieso Ramos N, Buquet Borges K, Vergara Vera I, Viacaba Palacios M, Martínez Ramírez I. Estrategia de superación para desarrollar competencias en la atención de enfermería al neonato crítico. Revista </w:t>
      </w:r>
      <w:r w:rsidRPr="003930BD">
        <w:rPr>
          <w:rFonts w:eastAsia="Calibri"/>
          <w:bCs/>
          <w:lang w:eastAsia="en-US"/>
        </w:rPr>
        <w:t>Educación Médica Superior</w:t>
      </w:r>
      <w:r w:rsidRPr="003930BD">
        <w:rPr>
          <w:rFonts w:eastAsia="Calibri"/>
          <w:lang w:eastAsia="en-US"/>
        </w:rPr>
        <w:t xml:space="preserve">. 2020 </w:t>
      </w:r>
      <w:r w:rsidRPr="003930BD">
        <w:rPr>
          <w:color w:val="000000"/>
          <w:lang w:eastAsia="es-ES"/>
        </w:rPr>
        <w:t xml:space="preserve">[acceso: 07/08/2022]; </w:t>
      </w:r>
      <w:r w:rsidRPr="003930BD">
        <w:rPr>
          <w:rFonts w:eastAsia="Calibri"/>
          <w:lang w:eastAsia="en-US"/>
        </w:rPr>
        <w:t xml:space="preserve">34(3):e1894. Disponible en: </w:t>
      </w:r>
      <w:hyperlink r:id="rId17" w:history="1">
        <w:r w:rsidRPr="003930BD">
          <w:rPr>
            <w:rFonts w:eastAsia="Calibri"/>
            <w:color w:val="0563C1"/>
            <w:lang w:eastAsia="en-US"/>
          </w:rPr>
          <w:t>https://www.ems.sld.cu/index.php/ems/article/view/1894</w:t>
        </w:r>
      </w:hyperlink>
    </w:p>
    <w:p w14:paraId="51F7CE60" w14:textId="77777777" w:rsidR="003930BD" w:rsidRPr="003930BD" w:rsidRDefault="003930BD" w:rsidP="003930BD">
      <w:pPr>
        <w:autoSpaceDE w:val="0"/>
        <w:autoSpaceDN w:val="0"/>
        <w:adjustRightInd w:val="0"/>
        <w:spacing w:line="360" w:lineRule="auto"/>
        <w:rPr>
          <w:rFonts w:eastAsia="SimSun"/>
          <w:color w:val="000000"/>
          <w:lang w:eastAsia="es-ES"/>
        </w:rPr>
      </w:pPr>
      <w:r w:rsidRPr="003930BD">
        <w:rPr>
          <w:rFonts w:eastAsia="SimSun"/>
          <w:color w:val="000000"/>
          <w:lang w:eastAsia="es-ES"/>
        </w:rPr>
        <w:t>8. González Díaz EC, Pérez Calleja NC, Hernández García F, Robaina Castillo JI, Angulo Peraza BM, Hidalgo Ávila M, Lazo Herrera LA. Estrategia de superación en medicina natural y tradicional para profesores de la carrera de Medicina. Revista Educación Médica. 2021 [</w:t>
      </w:r>
      <w:r w:rsidRPr="003930BD">
        <w:rPr>
          <w:color w:val="000000"/>
          <w:lang w:eastAsia="es-ES"/>
        </w:rPr>
        <w:t>acceso: 07/08/2022</w:t>
      </w:r>
      <w:r w:rsidRPr="003930BD">
        <w:rPr>
          <w:rFonts w:eastAsia="SimSun"/>
          <w:color w:val="000000"/>
          <w:lang w:eastAsia="es-ES"/>
        </w:rPr>
        <w:t xml:space="preserve">]; 22:S396-S402. Disponible en: </w:t>
      </w:r>
      <w:hyperlink r:id="rId18" w:history="1">
        <w:r w:rsidRPr="003930BD">
          <w:rPr>
            <w:rFonts w:eastAsia="SimSun"/>
            <w:color w:val="0563C1"/>
            <w:lang w:eastAsia="es-ES"/>
          </w:rPr>
          <w:t>https://www.elsevier.es/es-revista-educacion-medica-71-pdf-S1575181320301297</w:t>
        </w:r>
      </w:hyperlink>
    </w:p>
    <w:p w14:paraId="2AB522C0" w14:textId="77777777" w:rsidR="003930BD" w:rsidRPr="003930BD" w:rsidRDefault="003930BD" w:rsidP="003930BD">
      <w:pPr>
        <w:autoSpaceDE w:val="0"/>
        <w:autoSpaceDN w:val="0"/>
        <w:adjustRightInd w:val="0"/>
        <w:spacing w:line="360" w:lineRule="auto"/>
        <w:rPr>
          <w:rFonts w:eastAsia="Calibri"/>
          <w:lang w:eastAsia="en-US"/>
        </w:rPr>
      </w:pPr>
      <w:r w:rsidRPr="003930BD">
        <w:rPr>
          <w:rFonts w:eastAsia="Calibri"/>
          <w:lang w:eastAsia="en-US"/>
        </w:rPr>
        <w:t xml:space="preserve">9. Alfonso Contino NC. Modelo de profesionalización para el mejoramiento del desempeño profesional del especialista en Gastroenterología [Tesis en opción al grado científico de Doctor en Ciencias de la Educación Médica]. La Habana: </w:t>
      </w:r>
      <w:r w:rsidRPr="003930BD">
        <w:rPr>
          <w:rFonts w:eastAsia="Calibri"/>
          <w:color w:val="333333"/>
          <w:lang w:eastAsia="en-US"/>
        </w:rPr>
        <w:t xml:space="preserve">Universidad de Ciencias Médicas de La Habana, Facultad de Tecnología de la Salud; </w:t>
      </w:r>
      <w:r w:rsidRPr="003930BD">
        <w:rPr>
          <w:rFonts w:eastAsia="Calibri"/>
          <w:lang w:eastAsia="en-US"/>
        </w:rPr>
        <w:t>2020.</w:t>
      </w:r>
      <w:r w:rsidRPr="003930BD">
        <w:rPr>
          <w:rFonts w:eastAsia="SimSun"/>
          <w:lang w:eastAsia="es-ES"/>
        </w:rPr>
        <w:t xml:space="preserve"> [</w:t>
      </w:r>
      <w:r w:rsidRPr="003930BD">
        <w:rPr>
          <w:rFonts w:eastAsia="Calibri"/>
          <w:lang w:eastAsia="en-US"/>
        </w:rPr>
        <w:t>acceso: 07/08/2022</w:t>
      </w:r>
      <w:r w:rsidRPr="003930BD">
        <w:rPr>
          <w:rFonts w:eastAsia="SimSun"/>
          <w:lang w:eastAsia="es-ES"/>
        </w:rPr>
        <w:t xml:space="preserve">]. </w:t>
      </w:r>
      <w:r w:rsidRPr="003930BD">
        <w:rPr>
          <w:rFonts w:eastAsia="Calibri"/>
          <w:lang w:eastAsia="en-US"/>
        </w:rPr>
        <w:t xml:space="preserve">Disponible en: </w:t>
      </w:r>
      <w:hyperlink r:id="rId19" w:history="1">
        <w:r w:rsidRPr="003930BD">
          <w:rPr>
            <w:rFonts w:eastAsia="Calibri"/>
            <w:color w:val="0563C1"/>
            <w:lang w:eastAsia="en-US"/>
          </w:rPr>
          <w:t>http://www.tesis.repo.sld.cu/index.php?P=FullRecord&amp;ID=761</w:t>
        </w:r>
      </w:hyperlink>
    </w:p>
    <w:p w14:paraId="0202EC7B" w14:textId="77777777" w:rsidR="003930BD" w:rsidRPr="003930BD" w:rsidRDefault="003930BD" w:rsidP="003930BD">
      <w:pPr>
        <w:autoSpaceDE w:val="0"/>
        <w:autoSpaceDN w:val="0"/>
        <w:adjustRightInd w:val="0"/>
        <w:spacing w:line="360" w:lineRule="auto"/>
        <w:rPr>
          <w:rFonts w:eastAsia="Calibri"/>
          <w:lang w:eastAsia="en-US"/>
        </w:rPr>
      </w:pPr>
      <w:r w:rsidRPr="003930BD">
        <w:rPr>
          <w:rFonts w:eastAsia="Calibri"/>
          <w:lang w:eastAsia="en-US"/>
        </w:rPr>
        <w:t xml:space="preserve">10. Suárez Oceguera J. Estrategia de superación dirigida al tecnólogo en imagenología en ultrasonido ginecológico para la cirugía laparoscópica [Tesis en opción al grado científico de Doctor en Ciencias de la Educación Médica]. La Habana: </w:t>
      </w:r>
      <w:r w:rsidRPr="003930BD">
        <w:rPr>
          <w:rFonts w:eastAsia="Calibri"/>
          <w:color w:val="333333"/>
          <w:lang w:eastAsia="en-US"/>
        </w:rPr>
        <w:t>Universidad de Ciencias Médicas de La Habana, Facultad de Tecnología de la Salud;</w:t>
      </w:r>
      <w:r w:rsidRPr="003930BD">
        <w:rPr>
          <w:rFonts w:eastAsia="Calibri"/>
          <w:color w:val="333333"/>
          <w:sz w:val="20"/>
          <w:szCs w:val="20"/>
          <w:lang w:eastAsia="en-US"/>
        </w:rPr>
        <w:t xml:space="preserve"> </w:t>
      </w:r>
      <w:r w:rsidRPr="003930BD">
        <w:rPr>
          <w:rFonts w:eastAsia="Calibri"/>
          <w:lang w:eastAsia="en-US"/>
        </w:rPr>
        <w:t>2020.</w:t>
      </w:r>
      <w:r w:rsidRPr="003930BD">
        <w:rPr>
          <w:rFonts w:eastAsia="SimSun"/>
          <w:lang w:eastAsia="es-ES"/>
        </w:rPr>
        <w:t xml:space="preserve"> [</w:t>
      </w:r>
      <w:r w:rsidRPr="003930BD">
        <w:rPr>
          <w:rFonts w:eastAsia="Calibri"/>
          <w:lang w:eastAsia="en-US"/>
        </w:rPr>
        <w:t>acceso: 07/08/2022</w:t>
      </w:r>
      <w:r w:rsidRPr="003930BD">
        <w:rPr>
          <w:rFonts w:eastAsia="SimSun"/>
          <w:lang w:eastAsia="es-ES"/>
        </w:rPr>
        <w:t xml:space="preserve">]. </w:t>
      </w:r>
      <w:r w:rsidRPr="003930BD">
        <w:rPr>
          <w:rFonts w:eastAsia="Calibri"/>
          <w:lang w:eastAsia="en-US"/>
        </w:rPr>
        <w:t xml:space="preserve">Disponible en: </w:t>
      </w:r>
      <w:hyperlink r:id="rId20" w:history="1">
        <w:r w:rsidRPr="003930BD">
          <w:rPr>
            <w:rFonts w:eastAsia="Calibri"/>
            <w:color w:val="0563C1"/>
            <w:lang w:eastAsia="en-US"/>
          </w:rPr>
          <w:t>http://www.tesis.repo.sld.cu/index.php?P=FullRecord&amp;ID=757</w:t>
        </w:r>
      </w:hyperlink>
    </w:p>
    <w:p w14:paraId="4536DE29" w14:textId="77777777" w:rsidR="003930BD" w:rsidRPr="003930BD" w:rsidRDefault="003930BD" w:rsidP="003930BD">
      <w:pPr>
        <w:spacing w:line="360" w:lineRule="auto"/>
        <w:rPr>
          <w:rFonts w:eastAsia="Calibri"/>
          <w:color w:val="4472C4"/>
          <w:lang w:eastAsia="en-US"/>
        </w:rPr>
      </w:pPr>
      <w:r w:rsidRPr="003930BD">
        <w:rPr>
          <w:rFonts w:eastAsia="Calibri"/>
          <w:lang w:eastAsia="en-US"/>
        </w:rPr>
        <w:t xml:space="preserve">11. Lescay Arias M. Estrategia de gestión para la implementación de la tecnología WEB en la formación de posgrado en Ciencias Médicas [Tesis en opción al grado científico de Doctor en Ciencias </w:t>
      </w:r>
      <w:r w:rsidRPr="003930BD">
        <w:rPr>
          <w:rFonts w:eastAsia="Calibri"/>
          <w:lang w:eastAsia="en-US"/>
        </w:rPr>
        <w:lastRenderedPageBreak/>
        <w:t>de la Educación Médica]. La Habana:</w:t>
      </w:r>
      <w:r w:rsidRPr="003930BD">
        <w:rPr>
          <w:rFonts w:eastAsia="Calibri"/>
          <w:color w:val="333333"/>
          <w:sz w:val="20"/>
          <w:szCs w:val="20"/>
          <w:lang w:eastAsia="en-US"/>
        </w:rPr>
        <w:t xml:space="preserve"> </w:t>
      </w:r>
      <w:r w:rsidRPr="003930BD">
        <w:rPr>
          <w:rFonts w:eastAsia="Calibri"/>
          <w:color w:val="333333"/>
          <w:lang w:eastAsia="en-US"/>
        </w:rPr>
        <w:t>Universidad de Ciencias Médicas de La Habana, Universidad de Ciencias Médicas de Santiago de Cuba;</w:t>
      </w:r>
      <w:r w:rsidRPr="003930BD">
        <w:rPr>
          <w:rFonts w:eastAsia="Calibri"/>
          <w:lang w:eastAsia="en-US"/>
        </w:rPr>
        <w:t xml:space="preserve"> 2021. </w:t>
      </w:r>
      <w:r w:rsidRPr="003930BD">
        <w:rPr>
          <w:rFonts w:eastAsia="SimSun"/>
          <w:lang w:eastAsia="es-ES"/>
        </w:rPr>
        <w:t>[</w:t>
      </w:r>
      <w:r w:rsidRPr="003930BD">
        <w:rPr>
          <w:rFonts w:eastAsia="Calibri"/>
          <w:lang w:eastAsia="en-US"/>
        </w:rPr>
        <w:t>acceso: 07/08/2022</w:t>
      </w:r>
      <w:r w:rsidRPr="003930BD">
        <w:rPr>
          <w:rFonts w:eastAsia="SimSun"/>
          <w:lang w:eastAsia="es-ES"/>
        </w:rPr>
        <w:t xml:space="preserve">]. </w:t>
      </w:r>
      <w:r w:rsidRPr="003930BD">
        <w:rPr>
          <w:rFonts w:eastAsia="Calibri"/>
          <w:lang w:eastAsia="en-US"/>
        </w:rPr>
        <w:t xml:space="preserve">Disponible en: </w:t>
      </w:r>
      <w:hyperlink r:id="rId21" w:history="1">
        <w:r w:rsidRPr="003930BD">
          <w:rPr>
            <w:rFonts w:eastAsia="Calibri"/>
            <w:color w:val="0563C1"/>
            <w:lang w:eastAsia="en-US"/>
          </w:rPr>
          <w:t>http://www.tesis.repo.sld.cu/index.php?P=FullRecord&amp;ID=760</w:t>
        </w:r>
      </w:hyperlink>
    </w:p>
    <w:p w14:paraId="64F59C91" w14:textId="77777777" w:rsidR="003930BD" w:rsidRPr="003930BD" w:rsidRDefault="003930BD" w:rsidP="003930BD">
      <w:pPr>
        <w:spacing w:line="360" w:lineRule="auto"/>
        <w:rPr>
          <w:rFonts w:eastAsia="Calibri"/>
          <w:color w:val="595959"/>
          <w:lang w:eastAsia="en-US"/>
        </w:rPr>
      </w:pPr>
      <w:r w:rsidRPr="003930BD">
        <w:rPr>
          <w:rFonts w:eastAsia="Calibri"/>
          <w:lang w:eastAsia="en-US"/>
        </w:rPr>
        <w:t xml:space="preserve">12. Cordero Escobar I. La superación profesional de los recursos humanos en enfermería de unidades quirúrgicas. Revista </w:t>
      </w:r>
      <w:r w:rsidRPr="003930BD">
        <w:rPr>
          <w:rFonts w:eastAsia="Calibri"/>
          <w:bCs/>
          <w:lang w:eastAsia="en-US"/>
        </w:rPr>
        <w:t>Acta Médica</w:t>
      </w:r>
      <w:r w:rsidRPr="003930BD">
        <w:rPr>
          <w:rFonts w:eastAsia="Calibri"/>
          <w:lang w:eastAsia="en-US"/>
        </w:rPr>
        <w:t xml:space="preserve">; 2022 </w:t>
      </w:r>
      <w:r w:rsidRPr="003930BD">
        <w:rPr>
          <w:rFonts w:eastAsia="SimSun"/>
          <w:lang w:eastAsia="es-ES"/>
        </w:rPr>
        <w:t>[</w:t>
      </w:r>
      <w:r w:rsidRPr="003930BD">
        <w:rPr>
          <w:rFonts w:eastAsia="Calibri"/>
          <w:lang w:eastAsia="en-US"/>
        </w:rPr>
        <w:t>acceso: 07/08/2022</w:t>
      </w:r>
      <w:r w:rsidRPr="003930BD">
        <w:rPr>
          <w:rFonts w:eastAsia="SimSun"/>
          <w:lang w:eastAsia="es-ES"/>
        </w:rPr>
        <w:t xml:space="preserve">]; </w:t>
      </w:r>
      <w:r w:rsidRPr="003930BD">
        <w:rPr>
          <w:rFonts w:eastAsia="Calibri"/>
          <w:lang w:eastAsia="en-US"/>
        </w:rPr>
        <w:t xml:space="preserve">23(1):e255. Disponible en: </w:t>
      </w:r>
      <w:hyperlink r:id="rId22" w:history="1">
        <w:r w:rsidRPr="003930BD">
          <w:rPr>
            <w:rFonts w:eastAsia="Calibri"/>
            <w:color w:val="0563C1"/>
            <w:lang w:eastAsia="en-US"/>
          </w:rPr>
          <w:t>https://www.revactamedica.sld.cu/index.php/act/article/view/255</w:t>
        </w:r>
      </w:hyperlink>
      <w:r w:rsidRPr="003930BD">
        <w:rPr>
          <w:rFonts w:eastAsia="SimSun"/>
          <w:lang w:eastAsia="en-US"/>
        </w:rPr>
        <w:t xml:space="preserve"> </w:t>
      </w:r>
    </w:p>
    <w:p w14:paraId="3D845712" w14:textId="77777777" w:rsidR="003930BD" w:rsidRPr="003930BD" w:rsidRDefault="003930BD" w:rsidP="003930BD">
      <w:pPr>
        <w:autoSpaceDE w:val="0"/>
        <w:autoSpaceDN w:val="0"/>
        <w:adjustRightInd w:val="0"/>
        <w:spacing w:line="360" w:lineRule="auto"/>
        <w:rPr>
          <w:color w:val="000000"/>
          <w:lang w:eastAsia="es-ES"/>
        </w:rPr>
      </w:pPr>
      <w:r w:rsidRPr="003930BD">
        <w:rPr>
          <w:color w:val="000000"/>
          <w:lang w:eastAsia="es-ES"/>
        </w:rPr>
        <w:t>13. García Tamayo R, Soler Lahittebignott MC, Latorre Artega S. La investigación científica y el método clínico para la formación del profesional de la salud. Málaga: Eumed.net; 2018.</w:t>
      </w:r>
      <w:r w:rsidRPr="003930BD">
        <w:rPr>
          <w:rFonts w:eastAsia="SimSun"/>
          <w:color w:val="000000"/>
          <w:lang w:eastAsia="es-ES"/>
        </w:rPr>
        <w:t xml:space="preserve"> [</w:t>
      </w:r>
      <w:r w:rsidRPr="003930BD">
        <w:rPr>
          <w:color w:val="000000"/>
          <w:lang w:eastAsia="es-ES"/>
        </w:rPr>
        <w:t>acceso: 07/08/2022</w:t>
      </w:r>
      <w:r w:rsidRPr="003930BD">
        <w:rPr>
          <w:rFonts w:eastAsia="SimSun"/>
          <w:color w:val="000000"/>
          <w:lang w:eastAsia="es-ES"/>
        </w:rPr>
        <w:t>].</w:t>
      </w:r>
      <w:r w:rsidRPr="003930BD">
        <w:rPr>
          <w:color w:val="000000"/>
          <w:lang w:eastAsia="es-ES"/>
        </w:rPr>
        <w:t xml:space="preserve"> Disponible en: </w:t>
      </w:r>
      <w:hyperlink r:id="rId23" w:history="1">
        <w:r w:rsidRPr="003930BD">
          <w:rPr>
            <w:color w:val="0563C1"/>
            <w:lang w:eastAsia="es-ES"/>
          </w:rPr>
          <w:t>https://www.eumed.net/libros/1703/investigacion-cientifica.html</w:t>
        </w:r>
      </w:hyperlink>
    </w:p>
    <w:p w14:paraId="190D12B3" w14:textId="77777777" w:rsidR="003930BD" w:rsidRPr="003930BD" w:rsidRDefault="003930BD" w:rsidP="003930BD">
      <w:pPr>
        <w:autoSpaceDE w:val="0"/>
        <w:autoSpaceDN w:val="0"/>
        <w:adjustRightInd w:val="0"/>
        <w:spacing w:line="360" w:lineRule="auto"/>
        <w:rPr>
          <w:iCs/>
          <w:color w:val="231F20"/>
          <w:lang w:eastAsia="es-ES"/>
        </w:rPr>
      </w:pPr>
      <w:r w:rsidRPr="003930BD">
        <w:rPr>
          <w:color w:val="000000"/>
          <w:lang w:eastAsia="es-ES"/>
        </w:rPr>
        <w:t xml:space="preserve">14. </w:t>
      </w:r>
      <w:r w:rsidRPr="003930BD">
        <w:rPr>
          <w:iCs/>
          <w:color w:val="231F20"/>
          <w:lang w:eastAsia="es-ES"/>
        </w:rPr>
        <w:t>Ilich Lenin V. El materialismo y el empiriocritiscismo. La Habana: Editorial Pueblo y Educación; 1990.</w:t>
      </w:r>
    </w:p>
    <w:p w14:paraId="2593299B" w14:textId="77777777" w:rsidR="003930BD" w:rsidRPr="003930BD" w:rsidRDefault="003930BD" w:rsidP="003930BD">
      <w:pPr>
        <w:autoSpaceDE w:val="0"/>
        <w:autoSpaceDN w:val="0"/>
        <w:adjustRightInd w:val="0"/>
        <w:spacing w:line="360" w:lineRule="auto"/>
        <w:rPr>
          <w:color w:val="000000"/>
          <w:lang w:eastAsia="es-ES"/>
        </w:rPr>
      </w:pPr>
      <w:r w:rsidRPr="003930BD">
        <w:rPr>
          <w:iCs/>
          <w:color w:val="231F20"/>
          <w:lang w:eastAsia="es-ES"/>
        </w:rPr>
        <w:t xml:space="preserve">15. </w:t>
      </w:r>
      <w:r w:rsidRPr="003930BD">
        <w:rPr>
          <w:color w:val="000000"/>
          <w:lang w:eastAsia="es-ES"/>
        </w:rPr>
        <w:t>Vigotsky LS. Obras Completas. Tomo 5. Ciudad de La Habana: Editorial Pueblo y Educación; 1989.</w:t>
      </w:r>
    </w:p>
    <w:p w14:paraId="19AFEB37" w14:textId="77777777" w:rsidR="003930BD" w:rsidRPr="003930BD" w:rsidRDefault="003930BD" w:rsidP="003930BD">
      <w:pPr>
        <w:spacing w:line="360" w:lineRule="auto"/>
        <w:rPr>
          <w:rFonts w:eastAsia="SimSun"/>
          <w:color w:val="0563C1"/>
          <w:lang w:eastAsia="es-ES"/>
        </w:rPr>
      </w:pPr>
      <w:r w:rsidRPr="003930BD">
        <w:rPr>
          <w:rFonts w:eastAsia="Calibri"/>
          <w:lang w:eastAsia="en-US"/>
        </w:rPr>
        <w:t xml:space="preserve">16. </w:t>
      </w:r>
      <w:r w:rsidRPr="003930BD">
        <w:rPr>
          <w:rFonts w:eastAsia="SimSun"/>
          <w:lang w:eastAsia="es-ES"/>
        </w:rPr>
        <w:t>Martínez Trujillo N, Díaz Bernal Z, Martínez Boloña Y, Chao Flores M, Dandicourt Thomas C, Vera Rodríguez JE, et al. Metodología para la aplicación del Modelo de Enfermería Salubrista. Revista Cubana de Enfermería. 2022 [</w:t>
      </w:r>
      <w:r w:rsidRPr="003930BD">
        <w:rPr>
          <w:rFonts w:eastAsia="Calibri"/>
          <w:lang w:eastAsia="en-US"/>
        </w:rPr>
        <w:t>acceso: 07/08/2022</w:t>
      </w:r>
      <w:r w:rsidRPr="003930BD">
        <w:rPr>
          <w:rFonts w:eastAsia="SimSun"/>
          <w:lang w:eastAsia="es-ES"/>
        </w:rPr>
        <w:t xml:space="preserve">]; 38(2):e5089. Disponible en: </w:t>
      </w:r>
      <w:hyperlink r:id="rId24" w:history="1">
        <w:r w:rsidRPr="003930BD">
          <w:rPr>
            <w:rFonts w:eastAsia="SimSun"/>
            <w:color w:val="0563C1"/>
            <w:lang w:eastAsia="es-ES"/>
          </w:rPr>
          <w:t>http://www.revenfermeria.sld.cu/index.php/enf/article/view/5089/862</w:t>
        </w:r>
      </w:hyperlink>
    </w:p>
    <w:p w14:paraId="0CDF5089" w14:textId="77777777" w:rsidR="003930BD" w:rsidRPr="003930BD" w:rsidRDefault="003930BD" w:rsidP="003930BD">
      <w:pPr>
        <w:spacing w:line="360" w:lineRule="auto"/>
        <w:rPr>
          <w:rFonts w:eastAsia="Calibri"/>
          <w:lang w:eastAsia="en-US"/>
        </w:rPr>
      </w:pPr>
      <w:r w:rsidRPr="003930BD">
        <w:rPr>
          <w:rFonts w:eastAsia="Calibri"/>
          <w:lang w:eastAsia="en-US"/>
        </w:rPr>
        <w:t xml:space="preserve">17. Valcárcel Izquierdo N, Suárez Cabrera A, López Espinosa GJ, Pérez Bada E. La formación permanente y continuada: principio de la educación médica. Revista Edumecentro. </w:t>
      </w:r>
      <w:r w:rsidRPr="003930BD">
        <w:rPr>
          <w:rFonts w:eastAsia="Calibri"/>
          <w:bCs/>
          <w:lang w:eastAsia="en-US"/>
        </w:rPr>
        <w:t xml:space="preserve">2019 </w:t>
      </w:r>
      <w:r w:rsidRPr="003930BD">
        <w:rPr>
          <w:rFonts w:eastAsia="Calibri"/>
          <w:lang w:eastAsia="en-US"/>
        </w:rPr>
        <w:t>[acceso: 07/08/2022];</w:t>
      </w:r>
      <w:r w:rsidRPr="003930BD">
        <w:rPr>
          <w:rFonts w:eastAsia="Calibri"/>
          <w:bCs/>
          <w:lang w:eastAsia="en-US"/>
        </w:rPr>
        <w:t xml:space="preserve"> 11(4):258-65. Disponible en: </w:t>
      </w:r>
      <w:hyperlink r:id="rId25" w:history="1">
        <w:r w:rsidRPr="003930BD">
          <w:rPr>
            <w:rFonts w:eastAsia="Calibri"/>
            <w:color w:val="0563C1"/>
            <w:lang w:eastAsia="en-US"/>
          </w:rPr>
          <w:t>http://www.revedumecentro.sld.cu/index.php/edumc/article/view/1382/html515</w:t>
        </w:r>
      </w:hyperlink>
    </w:p>
    <w:p w14:paraId="6E214A0B" w14:textId="77777777" w:rsidR="003930BD" w:rsidRPr="003930BD" w:rsidRDefault="003930BD" w:rsidP="003930BD">
      <w:pPr>
        <w:spacing w:line="360" w:lineRule="auto"/>
        <w:rPr>
          <w:rFonts w:eastAsia="SimSun"/>
          <w:lang w:eastAsia="es-ES"/>
        </w:rPr>
      </w:pPr>
      <w:r w:rsidRPr="003930BD">
        <w:rPr>
          <w:rFonts w:eastAsia="Calibri"/>
          <w:lang w:eastAsia="en-US"/>
        </w:rPr>
        <w:t xml:space="preserve">18. </w:t>
      </w:r>
      <w:r w:rsidRPr="003930BD">
        <w:rPr>
          <w:rFonts w:eastAsia="SimSun"/>
          <w:lang w:eastAsia="es-ES"/>
        </w:rPr>
        <w:t xml:space="preserve">Ministerio de Educación Superior. Manual para la Gestión del Posgrado. La Habana: MES; 2020. </w:t>
      </w:r>
      <w:r w:rsidRPr="003930BD">
        <w:rPr>
          <w:rFonts w:eastAsia="Calibri"/>
          <w:lang w:eastAsia="en-US"/>
        </w:rPr>
        <w:t xml:space="preserve">[acceso: 07/08/2022]. </w:t>
      </w:r>
      <w:r w:rsidRPr="003930BD">
        <w:rPr>
          <w:rFonts w:eastAsia="SimSun"/>
          <w:lang w:eastAsia="es-ES"/>
        </w:rPr>
        <w:t>Disponible en:</w:t>
      </w:r>
      <w:r w:rsidRPr="003930BD">
        <w:rPr>
          <w:rFonts w:eastAsia="Calibri"/>
          <w:lang w:eastAsia="en-US"/>
        </w:rPr>
        <w:t xml:space="preserve"> </w:t>
      </w:r>
      <w:hyperlink r:id="rId26" w:history="1">
        <w:r w:rsidRPr="003930BD">
          <w:rPr>
            <w:rFonts w:eastAsia="SimSun"/>
            <w:color w:val="0563C1"/>
            <w:lang w:eastAsia="es-ES"/>
          </w:rPr>
          <w:t>https://docplayer.es/232878629-Directora-de-educacion-de-posgrado-ministerio-de-educacion-superior-instruccion-no-01-2020-manual-para-la-gestion-del-posgrado.html</w:t>
        </w:r>
      </w:hyperlink>
    </w:p>
    <w:p w14:paraId="0E2283A2" w14:textId="77777777" w:rsidR="003930BD" w:rsidRPr="003930BD" w:rsidRDefault="003930BD" w:rsidP="003930BD">
      <w:pPr>
        <w:spacing w:line="360" w:lineRule="auto"/>
        <w:rPr>
          <w:rFonts w:eastAsia="Calibri"/>
          <w:lang w:eastAsia="en-US"/>
        </w:rPr>
      </w:pPr>
      <w:r w:rsidRPr="003930BD">
        <w:rPr>
          <w:rFonts w:eastAsia="Calibri"/>
          <w:bCs/>
          <w:lang w:eastAsia="en-US"/>
        </w:rPr>
        <w:t xml:space="preserve">19. </w:t>
      </w:r>
      <w:r w:rsidRPr="003930BD">
        <w:rPr>
          <w:rFonts w:eastAsia="Calibri"/>
          <w:lang w:eastAsia="en-US"/>
        </w:rPr>
        <w:t xml:space="preserve">Guerra Macías I, Domínguez Pérez R, Martínez Sariol E, Travieso Ramos N, García Céspedes ME. PeritonitiSoft, una herramienta para el aprendizaje de la peritonitis aguda. Rev Cub Med Milit. 2022 </w:t>
      </w:r>
      <w:r w:rsidRPr="003930BD">
        <w:rPr>
          <w:rFonts w:eastAsia="Calibri"/>
          <w:lang w:eastAsia="en-US"/>
        </w:rPr>
        <w:lastRenderedPageBreak/>
        <w:t xml:space="preserve">[acceso: 07/08/2022]; 51(2):e02201945. Disponible en: </w:t>
      </w:r>
      <w:hyperlink r:id="rId27" w:history="1">
        <w:r w:rsidRPr="003930BD">
          <w:rPr>
            <w:rFonts w:eastAsia="Calibri"/>
            <w:color w:val="4472C4"/>
            <w:lang w:eastAsia="en-US"/>
          </w:rPr>
          <w:t>http://www.revmedmilitar.sld.cu/index.php/mil/article/view/1945/1343</w:t>
        </w:r>
      </w:hyperlink>
      <w:r w:rsidRPr="003930BD">
        <w:rPr>
          <w:rFonts w:eastAsia="Calibri"/>
          <w:bCs/>
          <w:lang w:eastAsia="en-US"/>
        </w:rPr>
        <w:t xml:space="preserve">                                                                                                                                    </w:t>
      </w:r>
    </w:p>
    <w:p w14:paraId="5D20863D" w14:textId="77777777" w:rsidR="003930BD" w:rsidRPr="003930BD" w:rsidRDefault="003930BD" w:rsidP="003930BD">
      <w:pPr>
        <w:spacing w:line="360" w:lineRule="auto"/>
        <w:rPr>
          <w:lang w:eastAsia="es-ES"/>
        </w:rPr>
      </w:pPr>
      <w:r w:rsidRPr="003930BD">
        <w:rPr>
          <w:rFonts w:eastAsia="Calibri"/>
          <w:lang w:eastAsia="en-US"/>
        </w:rPr>
        <w:t xml:space="preserve">20. Guerra Macías I, García Céspedes ME. Más de 70 preguntas y respuestas acerca de la infección intraabdominal. Revista Cubana de Medicina Intensiva y Emergencias. 2022 [acceso: 07/08/2022]; 21(1):e853 Disponible en: </w:t>
      </w:r>
      <w:hyperlink r:id="rId28" w:history="1">
        <w:r w:rsidRPr="003930BD">
          <w:rPr>
            <w:rFonts w:eastAsia="Calibri"/>
            <w:color w:val="0563C1"/>
            <w:lang w:eastAsia="en-US"/>
          </w:rPr>
          <w:t>http://www.revmie.sld.cu/index.php/mie/article/view/853/pdf</w:t>
        </w:r>
      </w:hyperlink>
    </w:p>
    <w:p w14:paraId="43CAA854" w14:textId="77777777" w:rsidR="003930BD" w:rsidRPr="003930BD" w:rsidRDefault="003930BD" w:rsidP="003930BD">
      <w:pPr>
        <w:spacing w:line="360" w:lineRule="auto"/>
        <w:rPr>
          <w:rFonts w:eastAsia="Calibri"/>
          <w:color w:val="4472C4"/>
          <w:lang w:eastAsia="en-US"/>
        </w:rPr>
      </w:pPr>
      <w:r w:rsidRPr="003930BD">
        <w:rPr>
          <w:rFonts w:eastAsia="Calibri"/>
          <w:lang w:eastAsia="en-US"/>
        </w:rPr>
        <w:t>21. Candelaria Brito JC, Ferro González B, Gutiérrez C, Alonso Ayala O.  Estrategia de superación sobre Nefrogeriatría para el mejoramiento del desempeño profesional del médico de familia. Revista Edumecentro.</w:t>
      </w:r>
      <w:r w:rsidRPr="003930BD">
        <w:rPr>
          <w:rFonts w:eastAsia="Calibri"/>
          <w:bCs/>
          <w:lang w:eastAsia="es-ES"/>
        </w:rPr>
        <w:t xml:space="preserve"> </w:t>
      </w:r>
      <w:r w:rsidRPr="003930BD">
        <w:rPr>
          <w:rFonts w:eastAsia="Calibri"/>
          <w:lang w:eastAsia="en-US"/>
        </w:rPr>
        <w:t xml:space="preserve">2021 </w:t>
      </w:r>
      <w:r w:rsidRPr="003930BD">
        <w:rPr>
          <w:rFonts w:eastAsia="SimSun"/>
          <w:lang w:eastAsia="es-ES"/>
        </w:rPr>
        <w:t>[</w:t>
      </w:r>
      <w:r w:rsidRPr="003930BD">
        <w:rPr>
          <w:rFonts w:eastAsia="Calibri"/>
          <w:lang w:eastAsia="en-US"/>
        </w:rPr>
        <w:t>acceso: 07/08/2022</w:t>
      </w:r>
      <w:r w:rsidRPr="003930BD">
        <w:rPr>
          <w:rFonts w:eastAsia="SimSun"/>
          <w:lang w:eastAsia="es-ES"/>
        </w:rPr>
        <w:t xml:space="preserve">]; </w:t>
      </w:r>
      <w:r w:rsidRPr="003930BD">
        <w:rPr>
          <w:rFonts w:eastAsia="Calibri"/>
          <w:lang w:eastAsia="en-US"/>
        </w:rPr>
        <w:t xml:space="preserve">13(3):162-79. Disponible en: </w:t>
      </w:r>
      <w:hyperlink r:id="rId29" w:history="1">
        <w:r w:rsidRPr="003930BD">
          <w:rPr>
            <w:rFonts w:eastAsia="Calibri"/>
            <w:color w:val="0563C1"/>
            <w:lang w:eastAsia="en-US"/>
          </w:rPr>
          <w:t>http://www.revedumecentro.sld.cu/index.php/edumc/article/view/1760</w:t>
        </w:r>
      </w:hyperlink>
    </w:p>
    <w:p w14:paraId="50A87402" w14:textId="77777777" w:rsidR="003930BD" w:rsidRPr="003930BD" w:rsidRDefault="003930BD" w:rsidP="003930BD">
      <w:pPr>
        <w:autoSpaceDE w:val="0"/>
        <w:autoSpaceDN w:val="0"/>
        <w:adjustRightInd w:val="0"/>
        <w:spacing w:line="360" w:lineRule="auto"/>
        <w:rPr>
          <w:rFonts w:eastAsia="Calibri"/>
          <w:lang w:eastAsia="en-US"/>
        </w:rPr>
      </w:pPr>
      <w:r w:rsidRPr="003930BD">
        <w:rPr>
          <w:rFonts w:eastAsia="Calibri"/>
          <w:lang w:eastAsia="en-US"/>
        </w:rPr>
        <w:t xml:space="preserve">22. Rodríguez Báez L, González Peña O, Caro Fernández M. Pertinencia de una estrategia de profesionalización para oftalmólogos sobre la prevención de la discapacidad visual. Medisan. 2021 </w:t>
      </w:r>
      <w:r w:rsidRPr="003930BD">
        <w:rPr>
          <w:lang w:eastAsia="es-ES"/>
        </w:rPr>
        <w:t xml:space="preserve">[acceso: 07/08/2022]; </w:t>
      </w:r>
      <w:r w:rsidRPr="003930BD">
        <w:rPr>
          <w:rFonts w:eastAsia="Calibri"/>
          <w:lang w:eastAsia="en-US"/>
        </w:rPr>
        <w:t xml:space="preserve">25(3):746-61. Disponible en: </w:t>
      </w:r>
    </w:p>
    <w:p w14:paraId="6977543B" w14:textId="77777777" w:rsidR="003930BD" w:rsidRPr="003930BD" w:rsidRDefault="003930BD" w:rsidP="003930BD">
      <w:pPr>
        <w:autoSpaceDE w:val="0"/>
        <w:autoSpaceDN w:val="0"/>
        <w:adjustRightInd w:val="0"/>
        <w:spacing w:line="360" w:lineRule="auto"/>
        <w:rPr>
          <w:rFonts w:eastAsia="SimSun"/>
          <w:color w:val="000000"/>
          <w:lang w:eastAsia="es-ES"/>
        </w:rPr>
      </w:pPr>
      <w:hyperlink r:id="rId30" w:history="1">
        <w:r w:rsidRPr="003930BD">
          <w:rPr>
            <w:rFonts w:eastAsia="Calibri"/>
            <w:color w:val="0563C1"/>
            <w:lang w:eastAsia="en-US"/>
          </w:rPr>
          <w:t>https://www.medisan.sld.cu/index.php/san/article/view/3679</w:t>
        </w:r>
      </w:hyperlink>
    </w:p>
    <w:p w14:paraId="21E73DAB" w14:textId="77777777" w:rsidR="003930BD" w:rsidRPr="003930BD" w:rsidRDefault="003930BD" w:rsidP="003930BD">
      <w:pPr>
        <w:autoSpaceDE w:val="0"/>
        <w:autoSpaceDN w:val="0"/>
        <w:adjustRightInd w:val="0"/>
        <w:spacing w:line="360" w:lineRule="auto"/>
        <w:rPr>
          <w:rFonts w:eastAsia="Calibri"/>
          <w:lang w:eastAsia="en-US"/>
        </w:rPr>
      </w:pPr>
    </w:p>
    <w:p w14:paraId="3F35819E" w14:textId="77777777" w:rsidR="003930BD" w:rsidRPr="003930BD" w:rsidRDefault="003930BD" w:rsidP="003930BD">
      <w:pPr>
        <w:spacing w:line="360" w:lineRule="auto"/>
        <w:rPr>
          <w:rFonts w:eastAsia="Calibri"/>
          <w:lang w:eastAsia="en-US"/>
        </w:rPr>
      </w:pPr>
      <w:bookmarkStart w:id="0" w:name="f1"/>
      <w:bookmarkEnd w:id="0"/>
      <w:r w:rsidRPr="003930BD">
        <w:rPr>
          <w:rFonts w:eastAsia="Calibri"/>
          <w:lang w:eastAsia="en-US"/>
        </w:rPr>
        <w:t xml:space="preserve">                                                        </w:t>
      </w:r>
    </w:p>
    <w:p w14:paraId="02BA6298" w14:textId="77777777" w:rsidR="003930BD" w:rsidRPr="003930BD" w:rsidRDefault="003930BD" w:rsidP="003930BD">
      <w:pPr>
        <w:spacing w:line="360" w:lineRule="auto"/>
        <w:jc w:val="center"/>
        <w:rPr>
          <w:lang w:eastAsia="es-ES"/>
        </w:rPr>
      </w:pPr>
      <w:r w:rsidRPr="003930BD">
        <w:rPr>
          <w:b/>
          <w:bCs/>
          <w:lang w:eastAsia="es-ES"/>
        </w:rPr>
        <w:t>Conflictos de interés</w:t>
      </w:r>
    </w:p>
    <w:p w14:paraId="43650CAD" w14:textId="77777777" w:rsidR="003930BD" w:rsidRPr="003930BD" w:rsidRDefault="003930BD" w:rsidP="003930BD">
      <w:pPr>
        <w:spacing w:line="360" w:lineRule="auto"/>
        <w:jc w:val="both"/>
        <w:rPr>
          <w:lang w:eastAsia="es-ES"/>
        </w:rPr>
      </w:pPr>
      <w:r w:rsidRPr="003930BD">
        <w:rPr>
          <w:lang w:eastAsia="es-ES"/>
        </w:rPr>
        <w:t>La autora no declara conflictos de interés.</w:t>
      </w:r>
    </w:p>
    <w:p w14:paraId="71BDB98B" w14:textId="77777777" w:rsidR="00675476" w:rsidRPr="0055115D" w:rsidRDefault="00675476" w:rsidP="00EA1FEF">
      <w:pPr>
        <w:pStyle w:val="PDFRevista"/>
      </w:pPr>
    </w:p>
    <w:sectPr w:rsidR="00675476" w:rsidRPr="0055115D"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AA17" w14:textId="77777777" w:rsidR="00B925D6" w:rsidRDefault="00B925D6">
      <w:r>
        <w:separator/>
      </w:r>
    </w:p>
  </w:endnote>
  <w:endnote w:type="continuationSeparator" w:id="0">
    <w:p w14:paraId="1F9CED7C" w14:textId="77777777" w:rsidR="00B925D6" w:rsidRDefault="00B9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20B0603030804020204"/>
    <w:charset w:val="00"/>
    <w:family w:val="swiss"/>
    <w:pitch w:val="variable"/>
    <w:sig w:usb0="E7002EFF" w:usb1="D200FDFF" w:usb2="0A246029" w:usb3="00000000" w:csb0="000001FF" w:csb1="00000000"/>
  </w:font>
  <w:font w:name="+mn-c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8FB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769E5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ACDF" w14:textId="59B04B7F" w:rsidR="000F3690" w:rsidRPr="00AE044C" w:rsidRDefault="003930B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69A4FC0" wp14:editId="48EA2593">
              <wp:simplePos x="0" y="0"/>
              <wp:positionH relativeFrom="column">
                <wp:posOffset>3810</wp:posOffset>
              </wp:positionH>
              <wp:positionV relativeFrom="paragraph">
                <wp:posOffset>50165</wp:posOffset>
              </wp:positionV>
              <wp:extent cx="6286500" cy="19050"/>
              <wp:effectExtent l="19050" t="19050" r="0" b="0"/>
              <wp:wrapNone/>
              <wp:docPr id="151448254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9DF2D0"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9B0BB87"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C17260D"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F1B8BCD" w14:textId="3D9790F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3930BD" w:rsidRPr="003930BD">
      <w:rPr>
        <w:rFonts w:ascii="Verdana" w:hAnsi="Verdana"/>
        <w:noProof/>
        <w:sz w:val="18"/>
        <w:szCs w:val="18"/>
        <w:lang w:val="en-US" w:eastAsia="en-US"/>
      </w:rPr>
      <w:drawing>
        <wp:inline distT="0" distB="0" distL="0" distR="0" wp14:anchorId="38F241E1" wp14:editId="1D6EC566">
          <wp:extent cx="638175" cy="146685"/>
          <wp:effectExtent l="0" t="0" r="0" b="0"/>
          <wp:docPr id="108476959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3E20" w14:textId="77777777" w:rsidR="00B925D6" w:rsidRDefault="00B925D6">
      <w:r>
        <w:separator/>
      </w:r>
    </w:p>
  </w:footnote>
  <w:footnote w:type="continuationSeparator" w:id="0">
    <w:p w14:paraId="64DB07B6" w14:textId="77777777" w:rsidR="00B925D6" w:rsidRDefault="00B9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BCBE" w14:textId="62C895B6" w:rsidR="00CC376A" w:rsidRPr="00AE044C" w:rsidRDefault="003930B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5D6E0877" wp14:editId="13EF6A2A">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e02302871</w:t>
    </w:r>
  </w:p>
  <w:p w14:paraId="3AB98756" w14:textId="122E1AD4" w:rsidR="00A477DE" w:rsidRDefault="003930BD">
    <w:r>
      <w:rPr>
        <w:noProof/>
      </w:rPr>
      <mc:AlternateContent>
        <mc:Choice Requires="wps">
          <w:drawing>
            <wp:anchor distT="0" distB="0" distL="114300" distR="114300" simplePos="0" relativeHeight="251654144" behindDoc="0" locked="0" layoutInCell="1" allowOverlap="1" wp14:anchorId="6147B291" wp14:editId="2C92AE1B">
              <wp:simplePos x="0" y="0"/>
              <wp:positionH relativeFrom="column">
                <wp:posOffset>635</wp:posOffset>
              </wp:positionH>
              <wp:positionV relativeFrom="paragraph">
                <wp:posOffset>42545</wp:posOffset>
              </wp:positionV>
              <wp:extent cx="6307455" cy="28575"/>
              <wp:effectExtent l="19050" t="19050" r="17145" b="9525"/>
              <wp:wrapNone/>
              <wp:docPr id="136981481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F73753"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0F3E"/>
    <w:multiLevelType w:val="hybridMultilevel"/>
    <w:tmpl w:val="005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E7B2A"/>
    <w:multiLevelType w:val="hybridMultilevel"/>
    <w:tmpl w:val="B8C886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295126"/>
    <w:multiLevelType w:val="hybridMultilevel"/>
    <w:tmpl w:val="B936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E3D37"/>
    <w:multiLevelType w:val="hybridMultilevel"/>
    <w:tmpl w:val="2F86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224E6"/>
    <w:multiLevelType w:val="hybridMultilevel"/>
    <w:tmpl w:val="D6F40110"/>
    <w:lvl w:ilvl="0" w:tplc="11C28930">
      <w:start w:val="1"/>
      <w:numFmt w:val="bullet"/>
      <w:lvlText w:val=""/>
      <w:lvlJc w:val="left"/>
      <w:pPr>
        <w:ind w:left="360" w:hanging="360"/>
      </w:pPr>
      <w:rPr>
        <w:rFonts w:ascii="Wingdings" w:hAnsi="Wingdings" w:hint="default"/>
        <w:color w:val="FF0000"/>
      </w:rPr>
    </w:lvl>
    <w:lvl w:ilvl="1" w:tplc="0C0A0003" w:tentative="1">
      <w:start w:val="1"/>
      <w:numFmt w:val="bullet"/>
      <w:lvlText w:val="o"/>
      <w:lvlJc w:val="left"/>
      <w:pPr>
        <w:ind w:left="1015" w:hanging="360"/>
      </w:pPr>
      <w:rPr>
        <w:rFonts w:ascii="Courier New" w:hAnsi="Courier New" w:cs="Courier New" w:hint="default"/>
      </w:rPr>
    </w:lvl>
    <w:lvl w:ilvl="2" w:tplc="0C0A0005" w:tentative="1">
      <w:start w:val="1"/>
      <w:numFmt w:val="bullet"/>
      <w:lvlText w:val=""/>
      <w:lvlJc w:val="left"/>
      <w:pPr>
        <w:ind w:left="1735" w:hanging="360"/>
      </w:pPr>
      <w:rPr>
        <w:rFonts w:ascii="Wingdings" w:hAnsi="Wingdings" w:hint="default"/>
      </w:rPr>
    </w:lvl>
    <w:lvl w:ilvl="3" w:tplc="0C0A0001" w:tentative="1">
      <w:start w:val="1"/>
      <w:numFmt w:val="bullet"/>
      <w:lvlText w:val=""/>
      <w:lvlJc w:val="left"/>
      <w:pPr>
        <w:ind w:left="2455" w:hanging="360"/>
      </w:pPr>
      <w:rPr>
        <w:rFonts w:ascii="Symbol" w:hAnsi="Symbol" w:hint="default"/>
      </w:rPr>
    </w:lvl>
    <w:lvl w:ilvl="4" w:tplc="0C0A0003" w:tentative="1">
      <w:start w:val="1"/>
      <w:numFmt w:val="bullet"/>
      <w:lvlText w:val="o"/>
      <w:lvlJc w:val="left"/>
      <w:pPr>
        <w:ind w:left="3175" w:hanging="360"/>
      </w:pPr>
      <w:rPr>
        <w:rFonts w:ascii="Courier New" w:hAnsi="Courier New" w:cs="Courier New" w:hint="default"/>
      </w:rPr>
    </w:lvl>
    <w:lvl w:ilvl="5" w:tplc="0C0A0005" w:tentative="1">
      <w:start w:val="1"/>
      <w:numFmt w:val="bullet"/>
      <w:lvlText w:val=""/>
      <w:lvlJc w:val="left"/>
      <w:pPr>
        <w:ind w:left="3895" w:hanging="360"/>
      </w:pPr>
      <w:rPr>
        <w:rFonts w:ascii="Wingdings" w:hAnsi="Wingdings" w:hint="default"/>
      </w:rPr>
    </w:lvl>
    <w:lvl w:ilvl="6" w:tplc="0C0A0001" w:tentative="1">
      <w:start w:val="1"/>
      <w:numFmt w:val="bullet"/>
      <w:lvlText w:val=""/>
      <w:lvlJc w:val="left"/>
      <w:pPr>
        <w:ind w:left="4615" w:hanging="360"/>
      </w:pPr>
      <w:rPr>
        <w:rFonts w:ascii="Symbol" w:hAnsi="Symbol" w:hint="default"/>
      </w:rPr>
    </w:lvl>
    <w:lvl w:ilvl="7" w:tplc="0C0A0003" w:tentative="1">
      <w:start w:val="1"/>
      <w:numFmt w:val="bullet"/>
      <w:lvlText w:val="o"/>
      <w:lvlJc w:val="left"/>
      <w:pPr>
        <w:ind w:left="5335" w:hanging="360"/>
      </w:pPr>
      <w:rPr>
        <w:rFonts w:ascii="Courier New" w:hAnsi="Courier New" w:cs="Courier New" w:hint="default"/>
      </w:rPr>
    </w:lvl>
    <w:lvl w:ilvl="8" w:tplc="0C0A0005" w:tentative="1">
      <w:start w:val="1"/>
      <w:numFmt w:val="bullet"/>
      <w:lvlText w:val=""/>
      <w:lvlJc w:val="left"/>
      <w:pPr>
        <w:ind w:left="6055" w:hanging="360"/>
      </w:pPr>
      <w:rPr>
        <w:rFonts w:ascii="Wingdings" w:hAnsi="Wingdings" w:hint="default"/>
      </w:rPr>
    </w:lvl>
  </w:abstractNum>
  <w:abstractNum w:abstractNumId="5" w15:restartNumberingAfterBreak="0">
    <w:nsid w:val="252C54E3"/>
    <w:multiLevelType w:val="hybridMultilevel"/>
    <w:tmpl w:val="B2A2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6844"/>
    <w:multiLevelType w:val="hybridMultilevel"/>
    <w:tmpl w:val="910E5A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F6C73C7"/>
    <w:multiLevelType w:val="hybridMultilevel"/>
    <w:tmpl w:val="39968D84"/>
    <w:lvl w:ilvl="0" w:tplc="DED2CA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67D6D"/>
    <w:multiLevelType w:val="hybridMultilevel"/>
    <w:tmpl w:val="16A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5064D"/>
    <w:multiLevelType w:val="hybridMultilevel"/>
    <w:tmpl w:val="CCE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721B1"/>
    <w:multiLevelType w:val="hybridMultilevel"/>
    <w:tmpl w:val="6470ACD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4B262B28"/>
    <w:multiLevelType w:val="hybridMultilevel"/>
    <w:tmpl w:val="AC8E59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B8E3CE7"/>
    <w:multiLevelType w:val="hybridMultilevel"/>
    <w:tmpl w:val="25824F88"/>
    <w:lvl w:ilvl="0" w:tplc="9AFC50C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47483D"/>
    <w:multiLevelType w:val="hybridMultilevel"/>
    <w:tmpl w:val="3818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77F34"/>
    <w:multiLevelType w:val="hybridMultilevel"/>
    <w:tmpl w:val="5F3290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E7505FF"/>
    <w:multiLevelType w:val="hybridMultilevel"/>
    <w:tmpl w:val="7E20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B64D7"/>
    <w:multiLevelType w:val="hybridMultilevel"/>
    <w:tmpl w:val="91F04BDA"/>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8" w15:restartNumberingAfterBreak="0">
    <w:nsid w:val="6F3463C0"/>
    <w:multiLevelType w:val="hybridMultilevel"/>
    <w:tmpl w:val="11BE1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8E6720D"/>
    <w:multiLevelType w:val="hybridMultilevel"/>
    <w:tmpl w:val="7B62FF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0291865">
    <w:abstractNumId w:val="11"/>
  </w:num>
  <w:num w:numId="2" w16cid:durableId="1605453820">
    <w:abstractNumId w:val="10"/>
  </w:num>
  <w:num w:numId="3" w16cid:durableId="1436553751">
    <w:abstractNumId w:val="1"/>
  </w:num>
  <w:num w:numId="4" w16cid:durableId="658994631">
    <w:abstractNumId w:val="4"/>
  </w:num>
  <w:num w:numId="5" w16cid:durableId="898782407">
    <w:abstractNumId w:val="18"/>
  </w:num>
  <w:num w:numId="6" w16cid:durableId="396896995">
    <w:abstractNumId w:val="13"/>
  </w:num>
  <w:num w:numId="7" w16cid:durableId="180094196">
    <w:abstractNumId w:val="19"/>
  </w:num>
  <w:num w:numId="8" w16cid:durableId="1042170341">
    <w:abstractNumId w:val="15"/>
  </w:num>
  <w:num w:numId="9" w16cid:durableId="916399765">
    <w:abstractNumId w:val="17"/>
  </w:num>
  <w:num w:numId="10" w16cid:durableId="1792741830">
    <w:abstractNumId w:val="16"/>
  </w:num>
  <w:num w:numId="11" w16cid:durableId="18817436">
    <w:abstractNumId w:val="12"/>
  </w:num>
  <w:num w:numId="12" w16cid:durableId="631637044">
    <w:abstractNumId w:val="2"/>
  </w:num>
  <w:num w:numId="13" w16cid:durableId="1935429661">
    <w:abstractNumId w:val="6"/>
  </w:num>
  <w:num w:numId="14" w16cid:durableId="1009527771">
    <w:abstractNumId w:val="5"/>
  </w:num>
  <w:num w:numId="15" w16cid:durableId="888608805">
    <w:abstractNumId w:val="8"/>
  </w:num>
  <w:num w:numId="16" w16cid:durableId="1932279955">
    <w:abstractNumId w:val="14"/>
  </w:num>
  <w:num w:numId="17" w16cid:durableId="2147237975">
    <w:abstractNumId w:val="3"/>
  </w:num>
  <w:num w:numId="18" w16cid:durableId="33816818">
    <w:abstractNumId w:val="0"/>
  </w:num>
  <w:num w:numId="19" w16cid:durableId="1723406962">
    <w:abstractNumId w:val="9"/>
  </w:num>
  <w:num w:numId="20" w16cid:durableId="1284843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BD"/>
    <w:rsid w:val="00057F45"/>
    <w:rsid w:val="000A54E0"/>
    <w:rsid w:val="000D3958"/>
    <w:rsid w:val="000F3690"/>
    <w:rsid w:val="001221D1"/>
    <w:rsid w:val="00165CB5"/>
    <w:rsid w:val="00180CE9"/>
    <w:rsid w:val="00230DD5"/>
    <w:rsid w:val="00250AE9"/>
    <w:rsid w:val="00380D64"/>
    <w:rsid w:val="00391509"/>
    <w:rsid w:val="003930BD"/>
    <w:rsid w:val="003E03D5"/>
    <w:rsid w:val="00486BFA"/>
    <w:rsid w:val="00493701"/>
    <w:rsid w:val="004E2065"/>
    <w:rsid w:val="005508A2"/>
    <w:rsid w:val="0055115D"/>
    <w:rsid w:val="00566F71"/>
    <w:rsid w:val="005918BD"/>
    <w:rsid w:val="006173A6"/>
    <w:rsid w:val="00675476"/>
    <w:rsid w:val="007C430F"/>
    <w:rsid w:val="007D2D0C"/>
    <w:rsid w:val="007D614D"/>
    <w:rsid w:val="00877DED"/>
    <w:rsid w:val="00915D3C"/>
    <w:rsid w:val="00960D6A"/>
    <w:rsid w:val="009A0560"/>
    <w:rsid w:val="009B0917"/>
    <w:rsid w:val="009F0F96"/>
    <w:rsid w:val="00A23C0C"/>
    <w:rsid w:val="00A477DE"/>
    <w:rsid w:val="00A66186"/>
    <w:rsid w:val="00A71E65"/>
    <w:rsid w:val="00AE044C"/>
    <w:rsid w:val="00B31971"/>
    <w:rsid w:val="00B4380A"/>
    <w:rsid w:val="00B66ECB"/>
    <w:rsid w:val="00B925D6"/>
    <w:rsid w:val="00C7523A"/>
    <w:rsid w:val="00C922AE"/>
    <w:rsid w:val="00CC1B6E"/>
    <w:rsid w:val="00CC376A"/>
    <w:rsid w:val="00CC48A1"/>
    <w:rsid w:val="00CF50E0"/>
    <w:rsid w:val="00D85951"/>
    <w:rsid w:val="00E62606"/>
    <w:rsid w:val="00EA1FEF"/>
    <w:rsid w:val="00EC5A6B"/>
    <w:rsid w:val="00EE301D"/>
    <w:rsid w:val="00F22F0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3A2D0"/>
  <w15:docId w15:val="{DBF537EC-87B1-41A0-B108-7F7AE94A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4">
    <w:name w:val="heading 4"/>
    <w:basedOn w:val="Normal"/>
    <w:next w:val="Normal"/>
    <w:link w:val="Ttulo4Car"/>
    <w:uiPriority w:val="9"/>
    <w:semiHidden/>
    <w:unhideWhenUsed/>
    <w:qFormat/>
    <w:rsid w:val="003930BD"/>
    <w:pPr>
      <w:keepNext/>
      <w:spacing w:before="240" w:after="60"/>
      <w:outlineLvl w:val="3"/>
    </w:pPr>
    <w:rPr>
      <w:rFonts w:ascii="Calibri Light" w:hAnsi="Calibri Light"/>
      <w:i/>
      <w:iCs/>
      <w:color w:val="2E74B5"/>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paragraph" w:customStyle="1" w:styleId="Ttulo41">
    <w:name w:val="Título 41"/>
    <w:basedOn w:val="Normal"/>
    <w:next w:val="Normal"/>
    <w:uiPriority w:val="9"/>
    <w:semiHidden/>
    <w:unhideWhenUsed/>
    <w:qFormat/>
    <w:rsid w:val="003930BD"/>
    <w:pPr>
      <w:keepNext/>
      <w:keepLines/>
      <w:spacing w:before="40" w:line="276" w:lineRule="auto"/>
      <w:outlineLvl w:val="3"/>
    </w:pPr>
    <w:rPr>
      <w:rFonts w:ascii="Calibri Light" w:hAnsi="Calibri Light"/>
      <w:i/>
      <w:iCs/>
      <w:color w:val="2E74B5"/>
      <w:sz w:val="22"/>
      <w:szCs w:val="22"/>
      <w:lang w:eastAsia="es-ES"/>
    </w:rPr>
  </w:style>
  <w:style w:type="numbering" w:customStyle="1" w:styleId="Sinlista1">
    <w:name w:val="Sin lista1"/>
    <w:next w:val="Sinlista"/>
    <w:uiPriority w:val="99"/>
    <w:semiHidden/>
    <w:unhideWhenUsed/>
    <w:rsid w:val="003930BD"/>
  </w:style>
  <w:style w:type="paragraph" w:styleId="Prrafodelista">
    <w:name w:val="List Paragraph"/>
    <w:basedOn w:val="Normal"/>
    <w:uiPriority w:val="34"/>
    <w:qFormat/>
    <w:rsid w:val="003930BD"/>
    <w:pPr>
      <w:ind w:left="720"/>
      <w:contextualSpacing/>
    </w:pPr>
    <w:rPr>
      <w:lang w:eastAsia="es-ES"/>
    </w:rPr>
  </w:style>
  <w:style w:type="paragraph" w:customStyle="1" w:styleId="Default">
    <w:name w:val="Default"/>
    <w:link w:val="DefaultCar"/>
    <w:rsid w:val="003930BD"/>
    <w:pPr>
      <w:autoSpaceDE w:val="0"/>
      <w:autoSpaceDN w:val="0"/>
      <w:adjustRightInd w:val="0"/>
    </w:pPr>
    <w:rPr>
      <w:rFonts w:ascii="Arial" w:hAnsi="Arial" w:cs="Arial"/>
      <w:color w:val="000000"/>
      <w:sz w:val="24"/>
      <w:szCs w:val="24"/>
      <w:lang w:val="es-ES" w:eastAsia="es-ES"/>
    </w:rPr>
  </w:style>
  <w:style w:type="character" w:customStyle="1" w:styleId="DefaultCar">
    <w:name w:val="Default Car"/>
    <w:link w:val="Default"/>
    <w:rsid w:val="003930BD"/>
    <w:rPr>
      <w:rFonts w:ascii="Arial" w:hAnsi="Arial" w:cs="Arial"/>
      <w:color w:val="000000"/>
      <w:sz w:val="24"/>
      <w:szCs w:val="24"/>
      <w:lang w:val="es-ES" w:eastAsia="es-ES"/>
    </w:rPr>
  </w:style>
  <w:style w:type="paragraph" w:styleId="Textocomentario">
    <w:name w:val="annotation text"/>
    <w:basedOn w:val="Normal"/>
    <w:link w:val="TextocomentarioCar"/>
    <w:uiPriority w:val="99"/>
    <w:qFormat/>
    <w:rsid w:val="003930BD"/>
    <w:pPr>
      <w:spacing w:after="200" w:line="276" w:lineRule="auto"/>
    </w:pPr>
    <w:rPr>
      <w:rFonts w:ascii="Calibri" w:hAnsi="Calibri"/>
      <w:sz w:val="20"/>
      <w:szCs w:val="20"/>
      <w:lang w:eastAsia="es-ES"/>
    </w:rPr>
  </w:style>
  <w:style w:type="character" w:customStyle="1" w:styleId="TextocomentarioCar">
    <w:name w:val="Texto comentario Car"/>
    <w:basedOn w:val="Fuentedeprrafopredeter"/>
    <w:link w:val="Textocomentario"/>
    <w:uiPriority w:val="99"/>
    <w:qFormat/>
    <w:rsid w:val="003930BD"/>
    <w:rPr>
      <w:rFonts w:ascii="Calibri" w:hAnsi="Calibri"/>
      <w:lang w:val="es-ES_tradnl" w:eastAsia="es-ES"/>
    </w:rPr>
  </w:style>
  <w:style w:type="character" w:customStyle="1" w:styleId="Ttulo4Car">
    <w:name w:val="Título 4 Car"/>
    <w:link w:val="Ttulo4"/>
    <w:uiPriority w:val="9"/>
    <w:semiHidden/>
    <w:rsid w:val="003930BD"/>
    <w:rPr>
      <w:rFonts w:ascii="Calibri Light" w:eastAsia="Times New Roman" w:hAnsi="Calibri Light" w:cs="Times New Roman"/>
      <w:i/>
      <w:iCs/>
      <w:color w:val="2E74B5"/>
      <w:lang w:eastAsia="es-ES"/>
    </w:rPr>
  </w:style>
  <w:style w:type="paragraph" w:customStyle="1" w:styleId="svarticle">
    <w:name w:val="svarticle"/>
    <w:basedOn w:val="Normal"/>
    <w:rsid w:val="003930BD"/>
    <w:pPr>
      <w:spacing w:before="100" w:beforeAutospacing="1" w:after="100" w:afterAutospacing="1"/>
    </w:pPr>
    <w:rPr>
      <w:rFonts w:ascii="Arial" w:hAnsi="Arial" w:cs="Arial"/>
      <w:lang w:eastAsia="es-ES"/>
    </w:rPr>
  </w:style>
  <w:style w:type="table" w:customStyle="1" w:styleId="Tablaconcuadrcula1">
    <w:name w:val="Tabla con cuadrícula1"/>
    <w:basedOn w:val="Tablanormal"/>
    <w:next w:val="Tablaconcuadrcula"/>
    <w:uiPriority w:val="1"/>
    <w:rsid w:val="003930BD"/>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930BD"/>
    <w:rPr>
      <w:sz w:val="16"/>
      <w:szCs w:val="16"/>
    </w:rPr>
  </w:style>
  <w:style w:type="paragraph" w:customStyle="1" w:styleId="Asuntodelcomentario1">
    <w:name w:val="Asunto del comentario1"/>
    <w:basedOn w:val="Textocomentario"/>
    <w:next w:val="Textocomentario"/>
    <w:uiPriority w:val="99"/>
    <w:semiHidden/>
    <w:unhideWhenUsed/>
    <w:rsid w:val="003930BD"/>
    <w:pPr>
      <w:spacing w:after="160" w:line="240" w:lineRule="auto"/>
    </w:pPr>
    <w:rPr>
      <w:rFonts w:eastAsia="Calibri"/>
      <w:b/>
      <w:bCs/>
      <w:lang w:eastAsia="en-US"/>
    </w:rPr>
  </w:style>
  <w:style w:type="character" w:customStyle="1" w:styleId="AsuntodelcomentarioCar">
    <w:name w:val="Asunto del comentario Car"/>
    <w:link w:val="Asuntodelcomentario"/>
    <w:uiPriority w:val="99"/>
    <w:semiHidden/>
    <w:rsid w:val="003930BD"/>
    <w:rPr>
      <w:rFonts w:ascii="Calibri" w:eastAsia="Times New Roman" w:hAnsi="Calibri" w:cs="Times New Roman"/>
      <w:b/>
      <w:bCs/>
      <w:sz w:val="20"/>
      <w:szCs w:val="20"/>
      <w:lang w:val="es-ES_tradnl" w:eastAsia="es-ES"/>
    </w:rPr>
  </w:style>
  <w:style w:type="paragraph" w:customStyle="1" w:styleId="j">
    <w:name w:val="j"/>
    <w:basedOn w:val="Normal"/>
    <w:rsid w:val="003930BD"/>
    <w:pPr>
      <w:spacing w:before="100" w:beforeAutospacing="1" w:after="100" w:afterAutospacing="1"/>
    </w:pPr>
    <w:rPr>
      <w:lang w:eastAsia="en-US"/>
    </w:rPr>
  </w:style>
  <w:style w:type="character" w:customStyle="1" w:styleId="nacep">
    <w:name w:val="n_acep"/>
    <w:basedOn w:val="Fuentedeprrafopredeter"/>
    <w:rsid w:val="003930BD"/>
  </w:style>
  <w:style w:type="character" w:customStyle="1" w:styleId="h">
    <w:name w:val="h"/>
    <w:basedOn w:val="Fuentedeprrafopredeter"/>
    <w:rsid w:val="003930BD"/>
  </w:style>
  <w:style w:type="paragraph" w:customStyle="1" w:styleId="k6">
    <w:name w:val="k6"/>
    <w:basedOn w:val="Normal"/>
    <w:rsid w:val="003930BD"/>
    <w:pPr>
      <w:spacing w:before="100" w:beforeAutospacing="1" w:after="100" w:afterAutospacing="1"/>
    </w:pPr>
    <w:rPr>
      <w:lang w:eastAsia="en-US"/>
    </w:rPr>
  </w:style>
  <w:style w:type="paragraph" w:customStyle="1" w:styleId="l2">
    <w:name w:val="l2"/>
    <w:basedOn w:val="Normal"/>
    <w:rsid w:val="003930BD"/>
    <w:pPr>
      <w:spacing w:before="100" w:beforeAutospacing="1" w:after="100" w:afterAutospacing="1"/>
    </w:pPr>
    <w:rPr>
      <w:lang w:eastAsia="en-US"/>
    </w:rPr>
  </w:style>
  <w:style w:type="character" w:customStyle="1" w:styleId="Mencinsinresolver1">
    <w:name w:val="Mención sin resolver1"/>
    <w:uiPriority w:val="99"/>
    <w:semiHidden/>
    <w:unhideWhenUsed/>
    <w:rsid w:val="003930BD"/>
    <w:rPr>
      <w:color w:val="605E5C"/>
      <w:shd w:val="clear" w:color="auto" w:fill="E1DFDD"/>
    </w:rPr>
  </w:style>
  <w:style w:type="character" w:customStyle="1" w:styleId="hwtze">
    <w:name w:val="hwtze"/>
    <w:basedOn w:val="Fuentedeprrafopredeter"/>
    <w:rsid w:val="003930BD"/>
  </w:style>
  <w:style w:type="character" w:customStyle="1" w:styleId="rynqvb">
    <w:name w:val="rynqvb"/>
    <w:basedOn w:val="Fuentedeprrafopredeter"/>
    <w:rsid w:val="003930BD"/>
  </w:style>
  <w:style w:type="character" w:customStyle="1" w:styleId="Mencinsinresolver2">
    <w:name w:val="Mención sin resolver2"/>
    <w:uiPriority w:val="99"/>
    <w:semiHidden/>
    <w:unhideWhenUsed/>
    <w:rsid w:val="003930BD"/>
    <w:rPr>
      <w:color w:val="605E5C"/>
      <w:shd w:val="clear" w:color="auto" w:fill="E1DFDD"/>
    </w:rPr>
  </w:style>
  <w:style w:type="character" w:customStyle="1" w:styleId="Mencinsinresolver3">
    <w:name w:val="Mención sin resolver3"/>
    <w:uiPriority w:val="99"/>
    <w:semiHidden/>
    <w:unhideWhenUsed/>
    <w:rsid w:val="003930BD"/>
    <w:rPr>
      <w:color w:val="605E5C"/>
      <w:shd w:val="clear" w:color="auto" w:fill="E1DFDD"/>
    </w:rPr>
  </w:style>
  <w:style w:type="character" w:customStyle="1" w:styleId="docsum-journal-citation">
    <w:name w:val="docsum-journal-citation"/>
    <w:basedOn w:val="Fuentedeprrafopredeter"/>
    <w:rsid w:val="003930BD"/>
  </w:style>
  <w:style w:type="character" w:customStyle="1" w:styleId="cit">
    <w:name w:val="cit"/>
    <w:basedOn w:val="Fuentedeprrafopredeter"/>
    <w:rsid w:val="003930BD"/>
  </w:style>
  <w:style w:type="paragraph" w:styleId="Textoindependiente">
    <w:name w:val="Body Text"/>
    <w:basedOn w:val="Normal"/>
    <w:link w:val="TextoindependienteCar"/>
    <w:uiPriority w:val="99"/>
    <w:unhideWhenUsed/>
    <w:rsid w:val="003930BD"/>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3930BD"/>
    <w:rPr>
      <w:rFonts w:ascii="Arial" w:hAnsi="Arial" w:cs="Arial"/>
      <w:sz w:val="12"/>
      <w:szCs w:val="12"/>
      <w:lang w:val="es-ES" w:eastAsia="es-ES"/>
    </w:rPr>
  </w:style>
  <w:style w:type="character" w:styleId="nfasis">
    <w:name w:val="Emphasis"/>
    <w:uiPriority w:val="20"/>
    <w:qFormat/>
    <w:rsid w:val="003930BD"/>
    <w:rPr>
      <w:i/>
      <w:iCs/>
    </w:rPr>
  </w:style>
  <w:style w:type="paragraph" w:styleId="Revisin">
    <w:name w:val="Revision"/>
    <w:hidden/>
    <w:uiPriority w:val="99"/>
    <w:semiHidden/>
    <w:rsid w:val="003930BD"/>
    <w:rPr>
      <w:rFonts w:ascii="Calibri" w:eastAsia="Calibri" w:hAnsi="Calibri"/>
      <w:sz w:val="22"/>
      <w:szCs w:val="22"/>
      <w:lang w:val="es-ES_tradnl"/>
    </w:rPr>
  </w:style>
  <w:style w:type="character" w:customStyle="1" w:styleId="Mencinsinresolver4">
    <w:name w:val="Mención sin resolver4"/>
    <w:uiPriority w:val="99"/>
    <w:semiHidden/>
    <w:unhideWhenUsed/>
    <w:rsid w:val="003930BD"/>
    <w:rPr>
      <w:color w:val="605E5C"/>
      <w:shd w:val="clear" w:color="auto" w:fill="E1DFDD"/>
    </w:rPr>
  </w:style>
  <w:style w:type="character" w:customStyle="1" w:styleId="Ttulo4Car1">
    <w:name w:val="Título 4 Car1"/>
    <w:basedOn w:val="Fuentedeprrafopredeter"/>
    <w:link w:val="Ttulo4"/>
    <w:semiHidden/>
    <w:rsid w:val="003930BD"/>
    <w:rPr>
      <w:rFonts w:asciiTheme="minorHAnsi" w:eastAsiaTheme="minorEastAsia" w:hAnsiTheme="minorHAnsi" w:cstheme="minorBidi"/>
      <w:b/>
      <w:bCs/>
      <w:sz w:val="28"/>
      <w:szCs w:val="28"/>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930BD"/>
    <w:pPr>
      <w:spacing w:after="0" w:line="240" w:lineRule="auto"/>
    </w:pPr>
    <w:rPr>
      <w:b/>
      <w:bCs/>
    </w:rPr>
  </w:style>
  <w:style w:type="character" w:customStyle="1" w:styleId="AsuntodelcomentarioCar1">
    <w:name w:val="Asunto del comentario Car1"/>
    <w:basedOn w:val="TextocomentarioCar"/>
    <w:link w:val="Asuntodelcomentario"/>
    <w:semiHidden/>
    <w:rsid w:val="003930BD"/>
    <w:rPr>
      <w:rFonts w:ascii="Calibri" w:hAnsi="Calibri"/>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eanagm@infomed.sld.cu" TargetMode="External"/><Relationship Id="rId13" Type="http://schemas.openxmlformats.org/officeDocument/2006/relationships/hyperlink" Target="http://www.revmedmilitar.sld.cu/index.php/mil/article/view/1281" TargetMode="External"/><Relationship Id="rId18" Type="http://schemas.openxmlformats.org/officeDocument/2006/relationships/hyperlink" Target="https://www.elsevier.es/es-revista-educacion-medica-71-pdf-S1575181320301297" TargetMode="External"/><Relationship Id="rId26" Type="http://schemas.openxmlformats.org/officeDocument/2006/relationships/hyperlink" Target="https://docplayer.es/232878629-Directora-de-educacion-de-posgrado-ministerio-de-educacion-superior-instruccion-no-01-2020-manual-para-la-gestion-del-posgrado.html" TargetMode="External"/><Relationship Id="rId3" Type="http://schemas.openxmlformats.org/officeDocument/2006/relationships/settings" Target="settings.xml"/><Relationship Id="rId21" Type="http://schemas.openxmlformats.org/officeDocument/2006/relationships/hyperlink" Target="http://www.tesis.repo.sld.cu/index.php?P=FullRecord&amp;ID=760" TargetMode="External"/><Relationship Id="rId34" Type="http://schemas.openxmlformats.org/officeDocument/2006/relationships/fontTable" Target="fontTable.xml"/><Relationship Id="rId7" Type="http://schemas.openxmlformats.org/officeDocument/2006/relationships/hyperlink" Target="https://orcid.org/0000-0002-9223-0609" TargetMode="External"/><Relationship Id="rId12" Type="http://schemas.openxmlformats.org/officeDocument/2006/relationships/hyperlink" Target="https://pubmed.ncbi.nlm.nih.gov/31701205/" TargetMode="External"/><Relationship Id="rId17" Type="http://schemas.openxmlformats.org/officeDocument/2006/relationships/hyperlink" Target="https://www.ems.sld.cu/index.php/ems/article/view/1894" TargetMode="External"/><Relationship Id="rId25" Type="http://schemas.openxmlformats.org/officeDocument/2006/relationships/hyperlink" Target="http://www.revedumecentro.sld.cu/index.php/edumc/article/view/1382/html51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esis.repo.sld.cu/index.php?P=FullRecord&amp;ID=782" TargetMode="External"/><Relationship Id="rId20" Type="http://schemas.openxmlformats.org/officeDocument/2006/relationships/hyperlink" Target="http://www.tesis.repo.sld.cu/index.php?P=FullRecord&amp;ID=757" TargetMode="External"/><Relationship Id="rId29" Type="http://schemas.openxmlformats.org/officeDocument/2006/relationships/hyperlink" Target="http://www.revedumecentro.sld.cu/index.php/edumc/article/view/17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revenfermeria.sld.cu/index.php/enf/article/view/5089/86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vedumecentro.sld.cu/index.php/edumc/article/view/1811" TargetMode="External"/><Relationship Id="rId23" Type="http://schemas.openxmlformats.org/officeDocument/2006/relationships/hyperlink" Target="https://www.eumed.net/libros/1703/investigacion-cientifica.html" TargetMode="External"/><Relationship Id="rId28" Type="http://schemas.openxmlformats.org/officeDocument/2006/relationships/hyperlink" Target="http://www.revmie.sld.cu/index.php/mie/article/view/853/pdf" TargetMode="External"/><Relationship Id="rId10" Type="http://schemas.openxmlformats.org/officeDocument/2006/relationships/image" Target="media/image2.png"/><Relationship Id="rId19" Type="http://schemas.openxmlformats.org/officeDocument/2006/relationships/hyperlink" Target="http://www.tesis.repo.sld.cu/index.php?P=FullRecord&amp;ID=76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gacetaoficial.gob.cu/pdf/GOC-2019-065.pdf" TargetMode="External"/><Relationship Id="rId22" Type="http://schemas.openxmlformats.org/officeDocument/2006/relationships/hyperlink" Target="https://www.revactamedica.sld.cu/index.php/act/article/view/255" TargetMode="External"/><Relationship Id="rId27" Type="http://schemas.openxmlformats.org/officeDocument/2006/relationships/hyperlink" Target="http://www.revmedmilitar.sld.cu/index.php/mil/article/view/1945/1343" TargetMode="External"/><Relationship Id="rId30" Type="http://schemas.openxmlformats.org/officeDocument/2006/relationships/hyperlink" Target="https://www.medisan.sld.cu/index.php/san/article/view/3679"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15</Pages>
  <Words>4053</Words>
  <Characters>23107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27106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2023-07-19T21:07:00Z</cp:lastPrinted>
  <dcterms:created xsi:type="dcterms:W3CDTF">2023-07-19T21:04:00Z</dcterms:created>
  <dcterms:modified xsi:type="dcterms:W3CDTF">2023-07-19T21:09:00Z</dcterms:modified>
</cp:coreProperties>
</file>