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91453" w14:textId="77777777" w:rsidR="005A0E23" w:rsidRPr="005A0E23" w:rsidRDefault="005A0E23" w:rsidP="005A0E23">
      <w:pPr>
        <w:autoSpaceDE w:val="0"/>
        <w:autoSpaceDN w:val="0"/>
        <w:adjustRightInd w:val="0"/>
        <w:spacing w:line="360" w:lineRule="auto"/>
        <w:jc w:val="right"/>
        <w:rPr>
          <w:rFonts w:eastAsia="Calibri"/>
          <w:sz w:val="20"/>
          <w:szCs w:val="20"/>
          <w:lang w:eastAsia="es-ES"/>
        </w:rPr>
      </w:pPr>
      <w:r w:rsidRPr="005A0E23">
        <w:rPr>
          <w:rFonts w:eastAsia="Calibri"/>
          <w:sz w:val="20"/>
          <w:szCs w:val="20"/>
          <w:lang w:eastAsia="es-ES"/>
        </w:rPr>
        <w:t>Artículo de investigación</w:t>
      </w:r>
    </w:p>
    <w:p w14:paraId="598DA2F8" w14:textId="77777777" w:rsidR="005A0E23" w:rsidRPr="005A0E23" w:rsidRDefault="005A0E23" w:rsidP="005A0E23">
      <w:pPr>
        <w:autoSpaceDE w:val="0"/>
        <w:autoSpaceDN w:val="0"/>
        <w:adjustRightInd w:val="0"/>
        <w:spacing w:line="360" w:lineRule="auto"/>
        <w:jc w:val="center"/>
        <w:rPr>
          <w:rFonts w:eastAsia="Calibri"/>
          <w:lang w:val="es-CR" w:eastAsia="es-ES"/>
        </w:rPr>
      </w:pPr>
    </w:p>
    <w:p w14:paraId="29B1F6BC" w14:textId="77777777" w:rsidR="005A0E23" w:rsidRPr="005A0E23" w:rsidRDefault="005A0E23" w:rsidP="005A0E23">
      <w:pPr>
        <w:autoSpaceDE w:val="0"/>
        <w:autoSpaceDN w:val="0"/>
        <w:adjustRightInd w:val="0"/>
        <w:spacing w:line="360" w:lineRule="auto"/>
        <w:jc w:val="center"/>
        <w:rPr>
          <w:rFonts w:eastAsia="Calibri"/>
          <w:b/>
          <w:sz w:val="28"/>
          <w:szCs w:val="28"/>
          <w:lang w:val="es-CR" w:eastAsia="es-ES"/>
        </w:rPr>
      </w:pPr>
      <w:r w:rsidRPr="005A0E23">
        <w:rPr>
          <w:rFonts w:eastAsia="Calibri"/>
          <w:b/>
          <w:sz w:val="28"/>
          <w:szCs w:val="28"/>
          <w:lang w:val="es-CR" w:eastAsia="es-ES"/>
        </w:rPr>
        <w:t>Mortalidad y morbilidad del adulto joven ingresado en cuidados intensivos</w:t>
      </w:r>
    </w:p>
    <w:p w14:paraId="2B5360B1" w14:textId="77777777" w:rsidR="005A0E23" w:rsidRPr="005A0E23" w:rsidRDefault="005A0E23" w:rsidP="005A0E23">
      <w:pPr>
        <w:autoSpaceDE w:val="0"/>
        <w:autoSpaceDN w:val="0"/>
        <w:adjustRightInd w:val="0"/>
        <w:spacing w:line="360" w:lineRule="auto"/>
        <w:jc w:val="center"/>
        <w:rPr>
          <w:rFonts w:eastAsia="Calibri"/>
          <w:sz w:val="28"/>
          <w:szCs w:val="28"/>
          <w:lang w:val="en-US" w:eastAsia="es-ES"/>
        </w:rPr>
      </w:pPr>
      <w:r w:rsidRPr="005A0E23">
        <w:rPr>
          <w:rFonts w:eastAsia="Calibri"/>
          <w:sz w:val="28"/>
          <w:szCs w:val="28"/>
          <w:lang w:val="en-US" w:eastAsia="es-ES"/>
        </w:rPr>
        <w:t>Mortality and morbidity of young adult admitted in intensive care</w:t>
      </w:r>
    </w:p>
    <w:p w14:paraId="38B12A56" w14:textId="77777777" w:rsidR="005A0E23" w:rsidRPr="005A0E23" w:rsidRDefault="005A0E23" w:rsidP="005A0E23">
      <w:pPr>
        <w:keepNext/>
        <w:suppressAutoHyphens/>
        <w:spacing w:line="360" w:lineRule="auto"/>
        <w:jc w:val="both"/>
        <w:outlineLvl w:val="1"/>
        <w:rPr>
          <w:b/>
          <w:snapToGrid w:val="0"/>
          <w:sz w:val="28"/>
          <w:szCs w:val="28"/>
          <w:lang w:val="en-US" w:eastAsia="es-ES"/>
        </w:rPr>
      </w:pPr>
    </w:p>
    <w:p w14:paraId="7FB1FC61" w14:textId="77777777" w:rsidR="005A0E23" w:rsidRPr="005A0E23" w:rsidRDefault="005A0E23" w:rsidP="005A0E23">
      <w:pPr>
        <w:autoSpaceDE w:val="0"/>
        <w:autoSpaceDN w:val="0"/>
        <w:adjustRightInd w:val="0"/>
        <w:spacing w:line="360" w:lineRule="auto"/>
        <w:jc w:val="both"/>
        <w:rPr>
          <w:rFonts w:eastAsia="Calibri"/>
          <w:lang w:eastAsia="es-ES"/>
        </w:rPr>
      </w:pPr>
      <w:r w:rsidRPr="005A0E23">
        <w:rPr>
          <w:rFonts w:eastAsia="Calibri"/>
          <w:lang w:eastAsia="es-ES"/>
        </w:rPr>
        <w:t>Alberto García Gómez</w:t>
      </w:r>
      <w:r w:rsidRPr="005A0E23">
        <w:rPr>
          <w:rFonts w:eastAsia="Calibri"/>
          <w:vertAlign w:val="superscript"/>
          <w:lang w:eastAsia="es-ES"/>
        </w:rPr>
        <w:t>1</w:t>
      </w:r>
      <w:r w:rsidRPr="005A0E23">
        <w:rPr>
          <w:rFonts w:eastAsia="Calibri"/>
          <w:lang w:eastAsia="es-ES"/>
        </w:rPr>
        <w:t xml:space="preserve">* </w:t>
      </w:r>
      <w:hyperlink r:id="rId7" w:history="1">
        <w:r w:rsidRPr="005A0E23">
          <w:rPr>
            <w:rFonts w:eastAsia="Calibri"/>
            <w:color w:val="0000FF"/>
            <w:lang w:eastAsia="es-ES"/>
          </w:rPr>
          <w:t>https://orcid.org/0000-0001-7232-343X</w:t>
        </w:r>
      </w:hyperlink>
      <w:r w:rsidRPr="005A0E23">
        <w:rPr>
          <w:rFonts w:eastAsia="Calibri"/>
          <w:lang w:eastAsia="es-ES"/>
        </w:rPr>
        <w:t xml:space="preserve"> </w:t>
      </w:r>
    </w:p>
    <w:p w14:paraId="6A2C1EF4" w14:textId="77777777" w:rsidR="005A0E23" w:rsidRPr="005A0E23" w:rsidRDefault="005A0E23" w:rsidP="005A0E23">
      <w:pPr>
        <w:autoSpaceDE w:val="0"/>
        <w:autoSpaceDN w:val="0"/>
        <w:adjustRightInd w:val="0"/>
        <w:spacing w:line="360" w:lineRule="auto"/>
        <w:jc w:val="both"/>
        <w:rPr>
          <w:rFonts w:eastAsia="Calibri"/>
          <w:lang w:eastAsia="es-ES"/>
        </w:rPr>
      </w:pPr>
      <w:r w:rsidRPr="005A0E23">
        <w:rPr>
          <w:rFonts w:eastAsia="Calibri"/>
          <w:lang w:val="es-ES" w:eastAsia="es-ES"/>
        </w:rPr>
        <w:t>Yoan Rafael Machado Rosales</w:t>
      </w:r>
      <w:r w:rsidRPr="005A0E23">
        <w:rPr>
          <w:rFonts w:eastAsia="Calibri"/>
          <w:vertAlign w:val="superscript"/>
          <w:lang w:val="es-ES" w:eastAsia="es-ES"/>
        </w:rPr>
        <w:t xml:space="preserve">1 </w:t>
      </w:r>
      <w:hyperlink r:id="rId8" w:history="1">
        <w:r w:rsidRPr="005A0E23">
          <w:rPr>
            <w:rFonts w:eastAsia="Calibri"/>
            <w:color w:val="0000FF"/>
            <w:lang w:eastAsia="es-ES"/>
          </w:rPr>
          <w:t>https://orcid.org/0000-0002-6146-6184</w:t>
        </w:r>
      </w:hyperlink>
      <w:r w:rsidRPr="005A0E23">
        <w:rPr>
          <w:rFonts w:eastAsia="Calibri"/>
          <w:lang w:eastAsia="es-ES"/>
        </w:rPr>
        <w:t xml:space="preserve"> </w:t>
      </w:r>
    </w:p>
    <w:p w14:paraId="39AC7173" w14:textId="77777777" w:rsidR="005A0E23" w:rsidRPr="005A0E23" w:rsidRDefault="005A0E23" w:rsidP="005A0E23">
      <w:pPr>
        <w:spacing w:line="360" w:lineRule="auto"/>
        <w:jc w:val="both"/>
        <w:rPr>
          <w:lang w:eastAsia="es-ES"/>
        </w:rPr>
      </w:pPr>
      <w:r w:rsidRPr="005A0E23">
        <w:rPr>
          <w:lang w:eastAsia="es-ES"/>
        </w:rPr>
        <w:t>Ozohydhy Leal Capdesuñer</w:t>
      </w:r>
      <w:r w:rsidRPr="005A0E23">
        <w:rPr>
          <w:vertAlign w:val="superscript"/>
          <w:lang w:eastAsia="es-ES"/>
        </w:rPr>
        <w:t>1</w:t>
      </w:r>
      <w:r w:rsidRPr="005A0E23">
        <w:rPr>
          <w:lang w:eastAsia="es-ES"/>
        </w:rPr>
        <w:t xml:space="preserve"> </w:t>
      </w:r>
      <w:hyperlink r:id="rId9" w:history="1">
        <w:r w:rsidRPr="005A0E23">
          <w:rPr>
            <w:color w:val="0000FF"/>
            <w:lang w:eastAsia="es-ES"/>
          </w:rPr>
          <w:t>https://orcid.org/0000-0002-7270-0503</w:t>
        </w:r>
      </w:hyperlink>
      <w:r w:rsidRPr="005A0E23">
        <w:rPr>
          <w:lang w:eastAsia="es-ES"/>
        </w:rPr>
        <w:t xml:space="preserve"> </w:t>
      </w:r>
    </w:p>
    <w:p w14:paraId="27891774" w14:textId="77777777" w:rsidR="005A0E23" w:rsidRPr="005A0E23" w:rsidRDefault="005A0E23" w:rsidP="005A0E23">
      <w:pPr>
        <w:keepNext/>
        <w:suppressAutoHyphens/>
        <w:spacing w:line="360" w:lineRule="auto"/>
        <w:jc w:val="both"/>
        <w:outlineLvl w:val="1"/>
        <w:rPr>
          <w:snapToGrid w:val="0"/>
          <w:lang w:eastAsia="es-ES"/>
        </w:rPr>
      </w:pPr>
      <w:r w:rsidRPr="005A0E23">
        <w:rPr>
          <w:snapToGrid w:val="0"/>
          <w:lang w:eastAsia="es-ES"/>
        </w:rPr>
        <w:t>Olga Lidia Sanabria Blanco</w:t>
      </w:r>
      <w:r w:rsidRPr="005A0E23">
        <w:rPr>
          <w:snapToGrid w:val="0"/>
          <w:vertAlign w:val="superscript"/>
          <w:lang w:eastAsia="es-ES"/>
        </w:rPr>
        <w:t xml:space="preserve">1 </w:t>
      </w:r>
      <w:hyperlink r:id="rId10" w:history="1">
        <w:r w:rsidRPr="005A0E23">
          <w:rPr>
            <w:snapToGrid w:val="0"/>
            <w:color w:val="0000FF"/>
            <w:lang w:eastAsia="es-ES"/>
          </w:rPr>
          <w:t>https://orcid.org/0000-0002-5248-7055</w:t>
        </w:r>
      </w:hyperlink>
      <w:r w:rsidRPr="005A0E23">
        <w:rPr>
          <w:snapToGrid w:val="0"/>
          <w:lang w:eastAsia="es-ES"/>
        </w:rPr>
        <w:t xml:space="preserve"> </w:t>
      </w:r>
    </w:p>
    <w:p w14:paraId="51558C57" w14:textId="77777777" w:rsidR="005A0E23" w:rsidRPr="005A0E23" w:rsidRDefault="005A0E23" w:rsidP="005A0E23">
      <w:pPr>
        <w:autoSpaceDE w:val="0"/>
        <w:autoSpaceDN w:val="0"/>
        <w:adjustRightInd w:val="0"/>
        <w:spacing w:line="360" w:lineRule="auto"/>
        <w:jc w:val="both"/>
        <w:rPr>
          <w:rFonts w:eastAsia="Calibri"/>
          <w:lang w:eastAsia="es-ES"/>
        </w:rPr>
      </w:pPr>
      <w:r w:rsidRPr="005A0E23">
        <w:rPr>
          <w:rFonts w:eastAsia="Calibri"/>
          <w:lang w:eastAsia="es-ES"/>
        </w:rPr>
        <w:t>Pedro Julio García Álvarez</w:t>
      </w:r>
      <w:r w:rsidRPr="005A0E23">
        <w:rPr>
          <w:rFonts w:eastAsia="Calibri"/>
          <w:vertAlign w:val="superscript"/>
          <w:lang w:eastAsia="es-ES"/>
        </w:rPr>
        <w:t>1</w:t>
      </w:r>
      <w:r w:rsidRPr="005A0E23">
        <w:rPr>
          <w:rFonts w:eastAsia="Calibri"/>
          <w:lang w:eastAsia="es-ES"/>
        </w:rPr>
        <w:t xml:space="preserve"> </w:t>
      </w:r>
      <w:hyperlink r:id="rId11" w:history="1">
        <w:r w:rsidRPr="005A0E23">
          <w:rPr>
            <w:rFonts w:eastAsia="Calibri"/>
            <w:color w:val="0000FF"/>
            <w:lang w:eastAsia="es-ES"/>
          </w:rPr>
          <w:t>https://orcid.org/0000-0002-6146-6184</w:t>
        </w:r>
      </w:hyperlink>
      <w:r w:rsidRPr="005A0E23">
        <w:rPr>
          <w:rFonts w:eastAsia="Calibri"/>
          <w:lang w:eastAsia="es-ES"/>
        </w:rPr>
        <w:t xml:space="preserve">  </w:t>
      </w:r>
    </w:p>
    <w:p w14:paraId="59F5BF38" w14:textId="77777777" w:rsidR="005A0E23" w:rsidRPr="005A0E23" w:rsidRDefault="005A0E23" w:rsidP="005A0E23">
      <w:pPr>
        <w:autoSpaceDE w:val="0"/>
        <w:autoSpaceDN w:val="0"/>
        <w:adjustRightInd w:val="0"/>
        <w:spacing w:line="360" w:lineRule="auto"/>
        <w:jc w:val="both"/>
        <w:rPr>
          <w:rFonts w:eastAsia="Calibri"/>
          <w:lang w:eastAsia="es-ES"/>
        </w:rPr>
      </w:pPr>
      <w:r w:rsidRPr="005A0E23">
        <w:rPr>
          <w:rFonts w:eastAsia="Calibri"/>
          <w:lang w:eastAsia="es-ES"/>
        </w:rPr>
        <w:t>Eglis Fernández Castillo</w:t>
      </w:r>
      <w:r w:rsidRPr="005A0E23">
        <w:rPr>
          <w:rFonts w:eastAsia="Calibri"/>
          <w:vertAlign w:val="superscript"/>
          <w:lang w:eastAsia="es-ES"/>
        </w:rPr>
        <w:t>1</w:t>
      </w:r>
      <w:r w:rsidRPr="005A0E23">
        <w:rPr>
          <w:rFonts w:eastAsia="Calibri"/>
          <w:lang w:eastAsia="es-ES"/>
        </w:rPr>
        <w:t xml:space="preserve"> </w:t>
      </w:r>
      <w:hyperlink r:id="rId12" w:history="1">
        <w:r w:rsidRPr="005A0E23">
          <w:rPr>
            <w:rFonts w:eastAsia="Calibri"/>
            <w:color w:val="0000FF"/>
            <w:lang w:eastAsia="es-ES"/>
          </w:rPr>
          <w:t>https://orcid.org/0000-0002-8752-7475</w:t>
        </w:r>
      </w:hyperlink>
      <w:r w:rsidRPr="005A0E23">
        <w:rPr>
          <w:rFonts w:eastAsia="Calibri"/>
          <w:lang w:eastAsia="es-ES"/>
        </w:rPr>
        <w:t xml:space="preserve"> </w:t>
      </w:r>
    </w:p>
    <w:p w14:paraId="43B5AA79" w14:textId="77777777" w:rsidR="005A0E23" w:rsidRPr="005A0E23" w:rsidRDefault="005A0E23" w:rsidP="005A0E23">
      <w:pPr>
        <w:autoSpaceDE w:val="0"/>
        <w:autoSpaceDN w:val="0"/>
        <w:adjustRightInd w:val="0"/>
        <w:spacing w:line="360" w:lineRule="auto"/>
        <w:jc w:val="both"/>
        <w:rPr>
          <w:rFonts w:eastAsia="Calibri"/>
          <w:lang w:eastAsia="es-ES"/>
        </w:rPr>
      </w:pPr>
      <w:r w:rsidRPr="005A0E23">
        <w:rPr>
          <w:rFonts w:eastAsia="Calibri"/>
          <w:lang w:eastAsia="es-ES"/>
        </w:rPr>
        <w:t>Jacqueline Nistal Mena</w:t>
      </w:r>
      <w:r w:rsidRPr="005A0E23">
        <w:rPr>
          <w:rFonts w:eastAsia="Calibri"/>
          <w:vertAlign w:val="superscript"/>
          <w:lang w:eastAsia="es-ES"/>
        </w:rPr>
        <w:t>1</w:t>
      </w:r>
      <w:r w:rsidRPr="005A0E23">
        <w:rPr>
          <w:rFonts w:eastAsia="Calibri"/>
          <w:lang w:eastAsia="es-ES"/>
        </w:rPr>
        <w:t xml:space="preserve"> </w:t>
      </w:r>
      <w:hyperlink r:id="rId13" w:history="1">
        <w:r w:rsidRPr="005A0E23">
          <w:rPr>
            <w:rFonts w:eastAsia="Calibri"/>
            <w:color w:val="0000FF"/>
            <w:lang w:eastAsia="es-ES"/>
          </w:rPr>
          <w:t>https://orcid.org/0000-0001-9377-3202</w:t>
        </w:r>
      </w:hyperlink>
      <w:r w:rsidRPr="005A0E23">
        <w:rPr>
          <w:rFonts w:eastAsia="Calibri"/>
          <w:lang w:eastAsia="es-ES"/>
        </w:rPr>
        <w:t xml:space="preserve"> </w:t>
      </w:r>
    </w:p>
    <w:p w14:paraId="2B59C9B6" w14:textId="77777777" w:rsidR="005A0E23" w:rsidRPr="005A0E23" w:rsidRDefault="005A0E23" w:rsidP="005A0E23">
      <w:pPr>
        <w:autoSpaceDE w:val="0"/>
        <w:autoSpaceDN w:val="0"/>
        <w:adjustRightInd w:val="0"/>
        <w:spacing w:line="360" w:lineRule="auto"/>
        <w:jc w:val="both"/>
        <w:rPr>
          <w:bCs/>
          <w:vertAlign w:val="superscript"/>
          <w:lang w:eastAsia="es-ES"/>
        </w:rPr>
      </w:pPr>
    </w:p>
    <w:p w14:paraId="2E9C1838" w14:textId="295AC428" w:rsidR="005A0E23" w:rsidRPr="005A0E23" w:rsidRDefault="005A0E23" w:rsidP="005A0E23">
      <w:pPr>
        <w:autoSpaceDE w:val="0"/>
        <w:autoSpaceDN w:val="0"/>
        <w:adjustRightInd w:val="0"/>
        <w:spacing w:line="360" w:lineRule="auto"/>
        <w:jc w:val="both"/>
        <w:rPr>
          <w:bCs/>
          <w:lang w:eastAsia="es-ES"/>
        </w:rPr>
      </w:pPr>
      <w:r w:rsidRPr="005A0E23">
        <w:rPr>
          <w:bCs/>
          <w:vertAlign w:val="superscript"/>
          <w:lang w:eastAsia="es-ES"/>
        </w:rPr>
        <w:t>1</w:t>
      </w:r>
      <w:r w:rsidRPr="005A0E23">
        <w:rPr>
          <w:bCs/>
          <w:lang w:eastAsia="es-ES"/>
        </w:rPr>
        <w:t xml:space="preserve">Hospital Militar Central </w:t>
      </w:r>
      <w:r w:rsidR="000B5361">
        <w:rPr>
          <w:bCs/>
          <w:lang w:eastAsia="es-ES"/>
        </w:rPr>
        <w:t>“</w:t>
      </w:r>
      <w:r w:rsidRPr="005A0E23">
        <w:rPr>
          <w:bCs/>
          <w:lang w:eastAsia="es-ES"/>
        </w:rPr>
        <w:t>Dr. Carlos J. Finlay”. La Habana, Cuba.</w:t>
      </w:r>
    </w:p>
    <w:p w14:paraId="3559F2AA" w14:textId="77777777" w:rsidR="005A0E23" w:rsidRPr="005A0E23" w:rsidRDefault="005A0E23" w:rsidP="005A0E23">
      <w:pPr>
        <w:autoSpaceDE w:val="0"/>
        <w:autoSpaceDN w:val="0"/>
        <w:adjustRightInd w:val="0"/>
        <w:spacing w:line="360" w:lineRule="auto"/>
        <w:jc w:val="both"/>
        <w:rPr>
          <w:bCs/>
          <w:lang w:eastAsia="es-ES"/>
        </w:rPr>
      </w:pPr>
    </w:p>
    <w:p w14:paraId="56BF20D3" w14:textId="77777777" w:rsidR="005A0E23" w:rsidRPr="005A0E23" w:rsidRDefault="005A0E23" w:rsidP="005A0E23">
      <w:pPr>
        <w:autoSpaceDE w:val="0"/>
        <w:autoSpaceDN w:val="0"/>
        <w:adjustRightInd w:val="0"/>
        <w:spacing w:line="360" w:lineRule="auto"/>
        <w:jc w:val="both"/>
        <w:rPr>
          <w:bCs/>
          <w:lang w:eastAsia="es-ES"/>
        </w:rPr>
      </w:pPr>
      <w:r w:rsidRPr="005A0E23">
        <w:rPr>
          <w:bCs/>
          <w:lang w:eastAsia="es-ES"/>
        </w:rPr>
        <w:t xml:space="preserve">*Autor para la correspondencia. Correo electrónico: </w:t>
      </w:r>
      <w:hyperlink r:id="rId14" w:history="1">
        <w:r w:rsidRPr="005A0E23">
          <w:rPr>
            <w:bCs/>
            <w:color w:val="0000FF"/>
            <w:lang w:eastAsia="es-ES"/>
          </w:rPr>
          <w:t>albertogarcia@infomed.sld.cu</w:t>
        </w:r>
      </w:hyperlink>
    </w:p>
    <w:p w14:paraId="7D5B19E9" w14:textId="77777777" w:rsidR="005A0E23" w:rsidRPr="005A0E23" w:rsidRDefault="005A0E23" w:rsidP="005A0E23">
      <w:pPr>
        <w:autoSpaceDE w:val="0"/>
        <w:autoSpaceDN w:val="0"/>
        <w:adjustRightInd w:val="0"/>
        <w:spacing w:line="360" w:lineRule="auto"/>
        <w:jc w:val="both"/>
        <w:rPr>
          <w:bCs/>
          <w:lang w:eastAsia="es-ES"/>
        </w:rPr>
      </w:pPr>
    </w:p>
    <w:p w14:paraId="2AFE08FD" w14:textId="77777777" w:rsidR="005A0E23" w:rsidRPr="005A0E23" w:rsidRDefault="005A0E23" w:rsidP="005A0E23">
      <w:pPr>
        <w:keepNext/>
        <w:suppressAutoHyphens/>
        <w:spacing w:line="360" w:lineRule="auto"/>
        <w:outlineLvl w:val="1"/>
        <w:rPr>
          <w:b/>
          <w:snapToGrid w:val="0"/>
          <w:lang w:val="es-MX" w:eastAsia="es-ES"/>
        </w:rPr>
      </w:pPr>
      <w:r w:rsidRPr="005A0E23">
        <w:rPr>
          <w:b/>
          <w:snapToGrid w:val="0"/>
          <w:lang w:val="es-MX" w:eastAsia="es-ES"/>
        </w:rPr>
        <w:t>RESUMEN</w:t>
      </w:r>
    </w:p>
    <w:p w14:paraId="6EABA9CC" w14:textId="77777777" w:rsidR="005A0E23" w:rsidRPr="005A0E23" w:rsidRDefault="005A0E23" w:rsidP="005A0E23">
      <w:pPr>
        <w:spacing w:line="360" w:lineRule="auto"/>
        <w:jc w:val="both"/>
        <w:rPr>
          <w:lang w:eastAsia="es-ES"/>
        </w:rPr>
      </w:pPr>
      <w:r w:rsidRPr="005A0E23">
        <w:rPr>
          <w:b/>
          <w:bCs/>
          <w:lang w:eastAsia="es-ES"/>
        </w:rPr>
        <w:t>Introducción</w:t>
      </w:r>
      <w:r w:rsidRPr="005A0E23">
        <w:rPr>
          <w:b/>
          <w:lang w:eastAsia="es-ES"/>
        </w:rPr>
        <w:t>:</w:t>
      </w:r>
      <w:r w:rsidRPr="005A0E23">
        <w:rPr>
          <w:b/>
          <w:bCs/>
          <w:lang w:eastAsia="es-ES"/>
        </w:rPr>
        <w:t xml:space="preserve"> </w:t>
      </w:r>
      <w:r w:rsidRPr="005A0E23">
        <w:rPr>
          <w:bCs/>
          <w:lang w:eastAsia="es-ES"/>
        </w:rPr>
        <w:t>Se</w:t>
      </w:r>
      <w:r w:rsidRPr="005A0E23">
        <w:rPr>
          <w:b/>
          <w:bCs/>
          <w:lang w:eastAsia="es-ES"/>
        </w:rPr>
        <w:t xml:space="preserve"> </w:t>
      </w:r>
      <w:r w:rsidRPr="005A0E23">
        <w:rPr>
          <w:lang w:eastAsia="es-ES"/>
        </w:rPr>
        <w:t>considera población adulta joven a los grupos etarios hasta 35 años de edad, otros señalan la edad comprendida entre los 20 y 40 años.</w:t>
      </w:r>
    </w:p>
    <w:p w14:paraId="4A9DF9C9" w14:textId="77777777" w:rsidR="005A0E23" w:rsidRPr="005A0E23" w:rsidRDefault="005A0E23" w:rsidP="005A0E23">
      <w:pPr>
        <w:spacing w:line="360" w:lineRule="auto"/>
        <w:jc w:val="both"/>
        <w:rPr>
          <w:lang w:eastAsia="es-ES"/>
        </w:rPr>
      </w:pPr>
      <w:r w:rsidRPr="005A0E23">
        <w:rPr>
          <w:b/>
          <w:bCs/>
          <w:lang w:eastAsia="es-ES"/>
        </w:rPr>
        <w:t>Objetivos</w:t>
      </w:r>
      <w:r w:rsidRPr="005A0E23">
        <w:rPr>
          <w:b/>
          <w:lang w:eastAsia="es-ES"/>
        </w:rPr>
        <w:t>:</w:t>
      </w:r>
      <w:r w:rsidRPr="005A0E23">
        <w:rPr>
          <w:b/>
          <w:bCs/>
          <w:lang w:eastAsia="es-ES"/>
        </w:rPr>
        <w:t xml:space="preserve"> </w:t>
      </w:r>
      <w:r w:rsidRPr="005A0E23">
        <w:rPr>
          <w:bCs/>
          <w:lang w:eastAsia="es-ES"/>
        </w:rPr>
        <w:t xml:space="preserve">Determinar </w:t>
      </w:r>
      <w:r w:rsidRPr="005A0E23">
        <w:rPr>
          <w:lang w:val="es-ES" w:eastAsia="es-ES"/>
        </w:rPr>
        <w:t>la mortalidad y morbilidad d</w:t>
      </w:r>
      <w:r w:rsidRPr="005A0E23">
        <w:rPr>
          <w:lang w:eastAsia="es-ES"/>
        </w:rPr>
        <w:t xml:space="preserve">el adulto joven ingresado en la unidad de cuidados intensivos. </w:t>
      </w:r>
    </w:p>
    <w:p w14:paraId="29846578" w14:textId="77777777" w:rsidR="005A0E23" w:rsidRPr="005A0E23" w:rsidRDefault="005A0E23" w:rsidP="005A0E23">
      <w:pPr>
        <w:spacing w:line="360" w:lineRule="auto"/>
        <w:jc w:val="both"/>
        <w:rPr>
          <w:lang w:eastAsia="es-ES"/>
        </w:rPr>
      </w:pPr>
      <w:r w:rsidRPr="005A0E23">
        <w:rPr>
          <w:b/>
          <w:bCs/>
          <w:lang w:eastAsia="es-ES"/>
        </w:rPr>
        <w:t>Métodos</w:t>
      </w:r>
      <w:r w:rsidRPr="005A0E23">
        <w:rPr>
          <w:b/>
          <w:lang w:eastAsia="es-ES"/>
        </w:rPr>
        <w:t>:</w:t>
      </w:r>
      <w:r w:rsidRPr="005A0E23">
        <w:rPr>
          <w:b/>
          <w:bCs/>
          <w:lang w:eastAsia="es-ES"/>
        </w:rPr>
        <w:t xml:space="preserve"> </w:t>
      </w:r>
      <w:r w:rsidRPr="005A0E23">
        <w:rPr>
          <w:lang w:eastAsia="es-ES"/>
        </w:rPr>
        <w:t xml:space="preserve">Estudio observacional, descriptivo, transversal en una serie de 623 pacientes. Las variables estudiadas fueron: edad, sexo, tipo de ingreso, APACHE II al ingreso, ventilación mecánica, estadía, mortalidad y causa directa de muerte. Los métodos estadísticos utilizados fueron las distribuciones de frecuencias, medidas de tendencia central, y las pruebas inferenciales </w:t>
      </w:r>
      <w:r w:rsidRPr="005A0E23">
        <w:rPr>
          <w:i/>
          <w:lang w:eastAsia="es-ES"/>
        </w:rPr>
        <w:t>ji</w:t>
      </w:r>
      <w:r w:rsidRPr="005A0E23">
        <w:rPr>
          <w:lang w:eastAsia="es-ES"/>
        </w:rPr>
        <w:t xml:space="preserve"> cuadrado y t de Student. Se consideró como nivel de significación el 5 %. </w:t>
      </w:r>
    </w:p>
    <w:p w14:paraId="57357114" w14:textId="77777777" w:rsidR="005A0E23" w:rsidRPr="005A0E23" w:rsidRDefault="005A0E23" w:rsidP="005A0E23">
      <w:pPr>
        <w:spacing w:line="360" w:lineRule="auto"/>
        <w:jc w:val="both"/>
        <w:rPr>
          <w:lang w:eastAsia="es-ES"/>
        </w:rPr>
      </w:pPr>
      <w:r w:rsidRPr="005A0E23">
        <w:rPr>
          <w:b/>
          <w:bCs/>
          <w:lang w:eastAsia="es-ES"/>
        </w:rPr>
        <w:lastRenderedPageBreak/>
        <w:t>Resultados</w:t>
      </w:r>
      <w:r w:rsidRPr="005A0E23">
        <w:rPr>
          <w:b/>
          <w:lang w:eastAsia="es-ES"/>
        </w:rPr>
        <w:t>:</w:t>
      </w:r>
      <w:r w:rsidRPr="005A0E23">
        <w:rPr>
          <w:b/>
          <w:bCs/>
          <w:lang w:eastAsia="es-ES"/>
        </w:rPr>
        <w:t xml:space="preserve"> </w:t>
      </w:r>
      <w:r w:rsidRPr="005A0E23">
        <w:rPr>
          <w:lang w:eastAsia="es-ES"/>
        </w:rPr>
        <w:t xml:space="preserve">Predominó el grupo de edad 19-29 años (53,9 %) y el sexo masculino (64,7 %). La razón sexo masculino/femenino fue de 1,8:1,0. Egresaron vivos el 75,9 % de los pacientes. El ingreso de tipo clínico se adjudicó el mayor número de pacientes (45,1 %). La media del valor del APACHE II fue superior en los fallecidos (18,9 vs. 7,6). No recibieron ventilación mecánica el 54,1 % de los pacientes. La estadía media fue más prolongada en los fallecidos (10,5 vs. 6,5 días) y la principal causa de muerte fue la bronconeumonía bacteriana (22,2 %). </w:t>
      </w:r>
    </w:p>
    <w:p w14:paraId="383FE6DB" w14:textId="77777777" w:rsidR="005A0E23" w:rsidRPr="005A0E23" w:rsidRDefault="005A0E23" w:rsidP="005A0E23">
      <w:pPr>
        <w:spacing w:line="360" w:lineRule="auto"/>
        <w:jc w:val="both"/>
        <w:rPr>
          <w:lang w:eastAsia="es-ES"/>
        </w:rPr>
      </w:pPr>
      <w:r w:rsidRPr="005A0E23">
        <w:rPr>
          <w:b/>
          <w:bCs/>
          <w:lang w:eastAsia="es-ES"/>
        </w:rPr>
        <w:t>Conclusiones</w:t>
      </w:r>
      <w:r w:rsidRPr="005A0E23">
        <w:rPr>
          <w:b/>
          <w:lang w:eastAsia="es-ES"/>
        </w:rPr>
        <w:t>:</w:t>
      </w:r>
      <w:r w:rsidRPr="005A0E23">
        <w:rPr>
          <w:b/>
          <w:bCs/>
          <w:lang w:eastAsia="es-ES"/>
        </w:rPr>
        <w:t xml:space="preserve"> </w:t>
      </w:r>
      <w:r w:rsidRPr="005A0E23">
        <w:rPr>
          <w:bCs/>
          <w:lang w:eastAsia="es-ES"/>
        </w:rPr>
        <w:t>Los adultos jóvenes en cuidados intensivos es más probable que evolucionen de forma satisfactoria y egresen vivos. La</w:t>
      </w:r>
      <w:r w:rsidRPr="005A0E23">
        <w:rPr>
          <w:lang w:eastAsia="es-ES"/>
        </w:rPr>
        <w:t xml:space="preserve"> principal causa de muerte es la bronconeumonía bacteriana</w:t>
      </w:r>
      <w:r w:rsidRPr="005A0E23">
        <w:rPr>
          <w:bCs/>
          <w:lang w:eastAsia="es-ES"/>
        </w:rPr>
        <w:t>.</w:t>
      </w:r>
    </w:p>
    <w:p w14:paraId="06882A31" w14:textId="77777777" w:rsidR="005A0E23" w:rsidRPr="005A0E23" w:rsidRDefault="005A0E23" w:rsidP="005A0E23">
      <w:pPr>
        <w:spacing w:line="360" w:lineRule="auto"/>
        <w:jc w:val="both"/>
        <w:rPr>
          <w:bCs/>
          <w:lang w:eastAsia="es-ES"/>
        </w:rPr>
      </w:pPr>
      <w:r w:rsidRPr="005A0E23">
        <w:rPr>
          <w:b/>
          <w:bCs/>
          <w:lang w:eastAsia="es-ES"/>
        </w:rPr>
        <w:t>Palabras clave</w:t>
      </w:r>
      <w:r w:rsidRPr="005A0E23">
        <w:rPr>
          <w:b/>
          <w:lang w:eastAsia="es-ES"/>
        </w:rPr>
        <w:t>:</w:t>
      </w:r>
      <w:r w:rsidRPr="005A0E23">
        <w:rPr>
          <w:bCs/>
          <w:lang w:eastAsia="es-ES"/>
        </w:rPr>
        <w:t xml:space="preserve"> adulto joven; mortalidad; unidad de cuidados intensivos.</w:t>
      </w:r>
    </w:p>
    <w:p w14:paraId="30C749FB" w14:textId="77777777" w:rsidR="005A0E23" w:rsidRPr="005A0E23" w:rsidRDefault="005A0E23" w:rsidP="005A0E23">
      <w:pPr>
        <w:spacing w:line="360" w:lineRule="auto"/>
        <w:jc w:val="both"/>
        <w:rPr>
          <w:bCs/>
          <w:lang w:eastAsia="es-ES"/>
        </w:rPr>
      </w:pPr>
    </w:p>
    <w:p w14:paraId="686DF427" w14:textId="77777777" w:rsidR="005A0E23" w:rsidRPr="005A0E23" w:rsidRDefault="005A0E23" w:rsidP="005A0E23">
      <w:pPr>
        <w:keepNext/>
        <w:suppressAutoHyphens/>
        <w:spacing w:line="360" w:lineRule="auto"/>
        <w:outlineLvl w:val="1"/>
        <w:rPr>
          <w:b/>
          <w:snapToGrid w:val="0"/>
          <w:lang w:val="en-US" w:eastAsia="es-ES"/>
        </w:rPr>
      </w:pPr>
      <w:r w:rsidRPr="005A0E23">
        <w:rPr>
          <w:b/>
          <w:snapToGrid w:val="0"/>
          <w:lang w:val="en-US" w:eastAsia="es-ES"/>
        </w:rPr>
        <w:t>ABSTRACT</w:t>
      </w:r>
    </w:p>
    <w:p w14:paraId="5D3C716E" w14:textId="77777777" w:rsidR="005A0E23" w:rsidRPr="005A0E23" w:rsidRDefault="005A0E23" w:rsidP="005A0E23">
      <w:pPr>
        <w:keepNext/>
        <w:suppressAutoHyphens/>
        <w:spacing w:line="360" w:lineRule="auto"/>
        <w:outlineLvl w:val="1"/>
        <w:rPr>
          <w:bCs/>
          <w:lang w:val="en-US" w:eastAsia="x-none"/>
        </w:rPr>
      </w:pPr>
      <w:r w:rsidRPr="005A0E23">
        <w:rPr>
          <w:b/>
          <w:lang w:val="en-US" w:eastAsia="x-none"/>
        </w:rPr>
        <w:t>Introduction:</w:t>
      </w:r>
      <w:r w:rsidRPr="005A0E23">
        <w:rPr>
          <w:bCs/>
          <w:lang w:val="en-US" w:eastAsia="x-none"/>
        </w:rPr>
        <w:t xml:space="preserve"> The young adult population is considered to be age groups up to 35 years of age, others indicate the age between 20 and 40 years.</w:t>
      </w:r>
    </w:p>
    <w:p w14:paraId="72D86D10" w14:textId="77777777" w:rsidR="005A0E23" w:rsidRPr="005A0E23" w:rsidRDefault="005A0E23" w:rsidP="005A0E23">
      <w:pPr>
        <w:keepNext/>
        <w:suppressAutoHyphens/>
        <w:spacing w:line="360" w:lineRule="auto"/>
        <w:outlineLvl w:val="1"/>
        <w:rPr>
          <w:bCs/>
          <w:lang w:val="en-US" w:eastAsia="x-none"/>
        </w:rPr>
      </w:pPr>
      <w:r w:rsidRPr="005A0E23">
        <w:rPr>
          <w:b/>
          <w:lang w:val="en-US" w:eastAsia="x-none"/>
        </w:rPr>
        <w:t xml:space="preserve">Objectives: </w:t>
      </w:r>
      <w:r w:rsidRPr="005A0E23">
        <w:rPr>
          <w:bCs/>
          <w:lang w:val="en-US" w:eastAsia="x-none"/>
        </w:rPr>
        <w:t>Determine the mortality and morbidity of young adults admitted to the intensive care unit.</w:t>
      </w:r>
    </w:p>
    <w:p w14:paraId="73DCF26D" w14:textId="77777777" w:rsidR="005A0E23" w:rsidRPr="005A0E23" w:rsidRDefault="005A0E23" w:rsidP="005A0E23">
      <w:pPr>
        <w:keepNext/>
        <w:suppressAutoHyphens/>
        <w:spacing w:line="360" w:lineRule="auto"/>
        <w:outlineLvl w:val="1"/>
        <w:rPr>
          <w:bCs/>
          <w:lang w:val="en-US" w:eastAsia="x-none"/>
        </w:rPr>
      </w:pPr>
      <w:r w:rsidRPr="005A0E23">
        <w:rPr>
          <w:b/>
          <w:lang w:val="en-US" w:eastAsia="x-none"/>
        </w:rPr>
        <w:t xml:space="preserve">Methods: </w:t>
      </w:r>
      <w:r w:rsidRPr="005A0E23">
        <w:rPr>
          <w:bCs/>
          <w:lang w:val="en-US" w:eastAsia="x-none"/>
        </w:rPr>
        <w:t>Observational, descriptive, cross-sectional study in a series of 623 patients. The variables studied were: age, sex, type of admission, APACHE II upon admission, mechanical ventilation, length of stay, mortality and direct cause of death. The statistical methods used were frequency distributions, measures of central tendency, and inferential chi-square and Student's t tests. The 5% level of significance was considered.</w:t>
      </w:r>
    </w:p>
    <w:p w14:paraId="7E4D23EC" w14:textId="77777777" w:rsidR="005A0E23" w:rsidRPr="005A0E23" w:rsidRDefault="005A0E23" w:rsidP="005A0E23">
      <w:pPr>
        <w:keepNext/>
        <w:suppressAutoHyphens/>
        <w:spacing w:line="360" w:lineRule="auto"/>
        <w:outlineLvl w:val="1"/>
        <w:rPr>
          <w:bCs/>
          <w:lang w:val="en-US" w:eastAsia="x-none"/>
        </w:rPr>
      </w:pPr>
      <w:r w:rsidRPr="005A0E23">
        <w:rPr>
          <w:b/>
          <w:lang w:val="en-US" w:eastAsia="x-none"/>
        </w:rPr>
        <w:t xml:space="preserve">Results: </w:t>
      </w:r>
      <w:r w:rsidRPr="005A0E23">
        <w:rPr>
          <w:bCs/>
          <w:lang w:val="en-US" w:eastAsia="x-none"/>
        </w:rPr>
        <w:t>The age group 19-29 years (53.9%) and the male sex (64.7%) predominated. The male/female sex ratio was 1.8:1.0. 75.9% of the patients were discharged alive. The clinical type admission was awarded the largest number of patients (45.1%). The mean APACHE II value was higher in the deceased (18.9 vs. 7.6). 54.1% of the patients did not receive mechanical ventilation. The average stay was longer in those who died (10.5 vs. 6.5 days) and the main cause of death was bacterial bronchopneumonia (22.2%).</w:t>
      </w:r>
    </w:p>
    <w:p w14:paraId="70681D53" w14:textId="77777777" w:rsidR="005A0E23" w:rsidRPr="005A0E23" w:rsidRDefault="005A0E23" w:rsidP="005A0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lang w:val="en" w:eastAsia="x-none"/>
        </w:rPr>
      </w:pPr>
      <w:r w:rsidRPr="005A0E23">
        <w:rPr>
          <w:b/>
          <w:lang w:val="en-US" w:eastAsia="x-none"/>
        </w:rPr>
        <w:t>Conclusions:</w:t>
      </w:r>
      <w:r w:rsidRPr="005A0E23">
        <w:rPr>
          <w:bCs/>
          <w:lang w:val="en-US" w:eastAsia="x-none"/>
        </w:rPr>
        <w:t xml:space="preserve"> Young adults in intensive care are more likely to evolve satisfactorily and be discharged alive. The main cause of death is bacterial bronchopneumonia.</w:t>
      </w:r>
    </w:p>
    <w:p w14:paraId="6539FE73" w14:textId="77777777" w:rsidR="005A0E23" w:rsidRPr="005A0E23" w:rsidRDefault="005A0E23" w:rsidP="005A0E23">
      <w:pPr>
        <w:spacing w:line="360" w:lineRule="auto"/>
        <w:jc w:val="both"/>
        <w:rPr>
          <w:lang w:val="en-US" w:eastAsia="es-ES"/>
        </w:rPr>
      </w:pPr>
      <w:r w:rsidRPr="005A0E23">
        <w:rPr>
          <w:b/>
          <w:lang w:val="en-US" w:eastAsia="es-ES"/>
        </w:rPr>
        <w:t>Keywords:</w:t>
      </w:r>
      <w:r w:rsidRPr="005A0E23">
        <w:rPr>
          <w:lang w:val="en-US" w:eastAsia="es-ES"/>
        </w:rPr>
        <w:t xml:space="preserve"> young adult; mortality; intensive care unit.</w:t>
      </w:r>
    </w:p>
    <w:p w14:paraId="7CE36102" w14:textId="77777777" w:rsidR="005A0E23" w:rsidRPr="005A0E23" w:rsidRDefault="005A0E23" w:rsidP="005A0E23">
      <w:pPr>
        <w:spacing w:line="360" w:lineRule="auto"/>
        <w:jc w:val="both"/>
        <w:rPr>
          <w:lang w:val="en-US" w:eastAsia="es-ES"/>
        </w:rPr>
      </w:pPr>
    </w:p>
    <w:p w14:paraId="3A0D84C2" w14:textId="77777777" w:rsidR="005A0E23" w:rsidRPr="005A0E23" w:rsidRDefault="005A0E23" w:rsidP="005A0E23">
      <w:pPr>
        <w:spacing w:line="360" w:lineRule="auto"/>
        <w:jc w:val="both"/>
        <w:rPr>
          <w:lang w:val="en-US" w:eastAsia="es-ES"/>
        </w:rPr>
      </w:pPr>
    </w:p>
    <w:p w14:paraId="33AAEA35" w14:textId="77777777" w:rsidR="005A0E23" w:rsidRPr="005A0E23" w:rsidRDefault="005A0E23" w:rsidP="005A0E23">
      <w:pPr>
        <w:spacing w:line="360" w:lineRule="auto"/>
        <w:jc w:val="both"/>
        <w:rPr>
          <w:lang w:val="es-MX" w:eastAsia="es-ES"/>
        </w:rPr>
      </w:pPr>
      <w:r w:rsidRPr="005A0E23">
        <w:rPr>
          <w:lang w:val="es-MX" w:eastAsia="es-ES"/>
        </w:rPr>
        <w:t>Recibido: 14/04/2023</w:t>
      </w:r>
    </w:p>
    <w:p w14:paraId="3EE7C407" w14:textId="77777777" w:rsidR="005A0E23" w:rsidRPr="005A0E23" w:rsidRDefault="005A0E23" w:rsidP="005A0E23">
      <w:pPr>
        <w:spacing w:line="360" w:lineRule="auto"/>
        <w:jc w:val="both"/>
        <w:rPr>
          <w:lang w:val="es-MX" w:eastAsia="es-ES"/>
        </w:rPr>
      </w:pPr>
      <w:r w:rsidRPr="005A0E23">
        <w:rPr>
          <w:lang w:val="es-MX" w:eastAsia="es-ES"/>
        </w:rPr>
        <w:t>Aprobado: 08/11/2023</w:t>
      </w:r>
    </w:p>
    <w:p w14:paraId="5C58130A" w14:textId="77777777" w:rsidR="005A0E23" w:rsidRPr="005A0E23" w:rsidRDefault="005A0E23" w:rsidP="005A0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MX" w:eastAsia="x-none"/>
        </w:rPr>
      </w:pPr>
    </w:p>
    <w:p w14:paraId="39DF3FF3" w14:textId="77777777" w:rsidR="005A0E23" w:rsidRPr="005A0E23" w:rsidRDefault="005A0E23" w:rsidP="005A0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lang w:val="es-MX" w:eastAsia="x-none"/>
        </w:rPr>
      </w:pPr>
    </w:p>
    <w:p w14:paraId="44A51489" w14:textId="77777777" w:rsidR="005A0E23" w:rsidRPr="005A0E23" w:rsidRDefault="005A0E23" w:rsidP="005A0E23">
      <w:pPr>
        <w:keepNext/>
        <w:suppressAutoHyphens/>
        <w:spacing w:line="360" w:lineRule="auto"/>
        <w:jc w:val="center"/>
        <w:outlineLvl w:val="1"/>
        <w:rPr>
          <w:b/>
          <w:snapToGrid w:val="0"/>
          <w:sz w:val="32"/>
          <w:szCs w:val="32"/>
          <w:lang w:val="es-MX" w:eastAsia="es-ES"/>
        </w:rPr>
      </w:pPr>
      <w:r w:rsidRPr="005A0E23">
        <w:rPr>
          <w:b/>
          <w:snapToGrid w:val="0"/>
          <w:sz w:val="32"/>
          <w:szCs w:val="32"/>
          <w:lang w:val="es-MX" w:eastAsia="es-ES"/>
        </w:rPr>
        <w:t>INTRODUCCIÓN</w:t>
      </w:r>
    </w:p>
    <w:p w14:paraId="0C119BA6" w14:textId="77777777" w:rsidR="005A0E23" w:rsidRPr="005A0E23" w:rsidRDefault="005A0E23" w:rsidP="005A0E23">
      <w:pPr>
        <w:spacing w:line="360" w:lineRule="auto"/>
        <w:jc w:val="both"/>
        <w:rPr>
          <w:lang w:eastAsia="es-ES"/>
        </w:rPr>
      </w:pPr>
      <w:r w:rsidRPr="005A0E23">
        <w:rPr>
          <w:lang w:val="es-MX" w:eastAsia="es-ES"/>
        </w:rPr>
        <w:t xml:space="preserve"> </w:t>
      </w:r>
      <w:r w:rsidRPr="005A0E23">
        <w:rPr>
          <w:lang w:val="es-ES" w:eastAsia="es-ES"/>
        </w:rPr>
        <w:t>Adulto</w:t>
      </w:r>
      <w:r w:rsidRPr="005A0E23">
        <w:rPr>
          <w:lang w:val="es-MX" w:eastAsia="es-ES"/>
        </w:rPr>
        <w:t xml:space="preserve"> </w:t>
      </w:r>
      <w:r w:rsidRPr="005A0E23">
        <w:rPr>
          <w:lang w:val="es-ES" w:eastAsia="es-ES"/>
        </w:rPr>
        <w:t>es</w:t>
      </w:r>
      <w:r w:rsidRPr="005A0E23">
        <w:rPr>
          <w:lang w:val="es-MX" w:eastAsia="es-ES"/>
        </w:rPr>
        <w:t xml:space="preserve"> </w:t>
      </w:r>
      <w:r w:rsidRPr="005A0E23">
        <w:rPr>
          <w:lang w:val="es-ES" w:eastAsia="es-ES"/>
        </w:rPr>
        <w:t>aquella</w:t>
      </w:r>
      <w:r w:rsidRPr="005A0E23">
        <w:rPr>
          <w:lang w:val="es-MX" w:eastAsia="es-ES"/>
        </w:rPr>
        <w:t xml:space="preserve"> persona </w:t>
      </w:r>
      <w:r w:rsidRPr="005A0E23">
        <w:rPr>
          <w:lang w:val="es-ES" w:eastAsia="es-ES"/>
        </w:rPr>
        <w:t>que</w:t>
      </w:r>
      <w:r w:rsidRPr="005A0E23">
        <w:rPr>
          <w:lang w:val="es-MX" w:eastAsia="es-ES"/>
        </w:rPr>
        <w:t xml:space="preserve"> ha </w:t>
      </w:r>
      <w:r w:rsidRPr="005A0E23">
        <w:rPr>
          <w:lang w:val="es-ES" w:eastAsia="es-ES"/>
        </w:rPr>
        <w:t>terminado</w:t>
      </w:r>
      <w:r w:rsidRPr="005A0E23">
        <w:rPr>
          <w:lang w:val="es-MX" w:eastAsia="es-ES"/>
        </w:rPr>
        <w:t xml:space="preserve"> d</w:t>
      </w:r>
      <w:r w:rsidRPr="005A0E23">
        <w:rPr>
          <w:lang w:val="es-ES" w:eastAsia="es-ES"/>
        </w:rPr>
        <w:t>e</w:t>
      </w:r>
      <w:r w:rsidRPr="005A0E23">
        <w:rPr>
          <w:lang w:eastAsia="es-ES"/>
        </w:rPr>
        <w:t xml:space="preserve"> crecer y se encuentra en el periodo intermedio entre la adolescencia y la vejez. Abarca, aproximadamente 40 años, entre los 20 y los 60 años. Estos límites no son fijos y pueden variar según diferentes fuentes y </w:t>
      </w:r>
      <w:proofErr w:type="gramStart"/>
      <w:r w:rsidRPr="005A0E23">
        <w:rPr>
          <w:lang w:eastAsia="es-ES"/>
        </w:rPr>
        <w:t>culturas.</w:t>
      </w:r>
      <w:r w:rsidRPr="005A0E23">
        <w:rPr>
          <w:vertAlign w:val="superscript"/>
          <w:lang w:eastAsia="es-ES"/>
        </w:rPr>
        <w:t>(</w:t>
      </w:r>
      <w:proofErr w:type="gramEnd"/>
      <w:r w:rsidRPr="005A0E23">
        <w:rPr>
          <w:vertAlign w:val="superscript"/>
          <w:lang w:eastAsia="es-ES"/>
        </w:rPr>
        <w:t xml:space="preserve">1,2,3) </w:t>
      </w:r>
      <w:r w:rsidRPr="005A0E23">
        <w:rPr>
          <w:lang w:eastAsia="es-ES"/>
        </w:rPr>
        <w:t>Pueden distinguirse etapas que caracterizan el proceso evolutivo de cada persona, con relación a funciones o roles que pueda desempeñar, y que conformarán el pleno desarrollo de su personalidad.</w:t>
      </w:r>
      <w:r w:rsidRPr="005A0E23">
        <w:rPr>
          <w:vertAlign w:val="superscript"/>
          <w:lang w:eastAsia="es-ES"/>
        </w:rPr>
        <w:t>(1)</w:t>
      </w:r>
      <w:r w:rsidRPr="005A0E23">
        <w:rPr>
          <w:lang w:eastAsia="es-ES"/>
        </w:rPr>
        <w:t xml:space="preserve"> </w:t>
      </w:r>
    </w:p>
    <w:p w14:paraId="1A8CD48C" w14:textId="77777777" w:rsidR="005A0E23" w:rsidRPr="005A0E23" w:rsidRDefault="005A0E23" w:rsidP="005A0E23">
      <w:pPr>
        <w:spacing w:line="360" w:lineRule="auto"/>
        <w:contextualSpacing/>
        <w:jc w:val="both"/>
        <w:rPr>
          <w:lang w:eastAsia="es-ES"/>
        </w:rPr>
      </w:pPr>
      <w:r w:rsidRPr="005A0E23">
        <w:rPr>
          <w:shd w:val="clear" w:color="auto" w:fill="FFFFFF"/>
          <w:lang w:eastAsia="es-ES"/>
        </w:rPr>
        <w:t xml:space="preserve">La adultez se divide en 3 períodos: adultez joven o juventud (20 a 40-45 años); adultez media (45 a 65 años) y adultez mayor (65 años en adelante). </w:t>
      </w:r>
      <w:r w:rsidRPr="005A0E23">
        <w:rPr>
          <w:lang w:eastAsia="es-ES"/>
        </w:rPr>
        <w:t xml:space="preserve">La juventud comienza con el final de la adolescencia y su desarrollo depende del logro de las tareas de la </w:t>
      </w:r>
      <w:proofErr w:type="gramStart"/>
      <w:r w:rsidRPr="005A0E23">
        <w:rPr>
          <w:lang w:eastAsia="es-ES"/>
        </w:rPr>
        <w:t>adolescencia.</w:t>
      </w:r>
      <w:r w:rsidRPr="005A0E23">
        <w:rPr>
          <w:vertAlign w:val="superscript"/>
          <w:lang w:eastAsia="es-ES"/>
        </w:rPr>
        <w:t>(</w:t>
      </w:r>
      <w:proofErr w:type="gramEnd"/>
      <w:r w:rsidRPr="005A0E23">
        <w:rPr>
          <w:vertAlign w:val="superscript"/>
          <w:lang w:eastAsia="es-ES"/>
        </w:rPr>
        <w:t>4,5)</w:t>
      </w:r>
      <w:r w:rsidRPr="005A0E23">
        <w:rPr>
          <w:lang w:eastAsia="es-ES"/>
        </w:rPr>
        <w:t xml:space="preserve"> </w:t>
      </w:r>
    </w:p>
    <w:p w14:paraId="27C2BCE7" w14:textId="77777777" w:rsidR="005A0E23" w:rsidRPr="005A0E23" w:rsidRDefault="005A0E23" w:rsidP="005A0E23">
      <w:pPr>
        <w:spacing w:line="360" w:lineRule="auto"/>
        <w:contextualSpacing/>
        <w:jc w:val="both"/>
        <w:rPr>
          <w:lang w:eastAsia="es-ES"/>
        </w:rPr>
      </w:pPr>
      <w:r w:rsidRPr="005A0E23">
        <w:rPr>
          <w:lang w:eastAsia="es-ES"/>
        </w:rPr>
        <w:t xml:space="preserve">En Cuba, según el Anuario Estadístico de </w:t>
      </w:r>
      <w:proofErr w:type="gramStart"/>
      <w:r w:rsidRPr="005A0E23">
        <w:rPr>
          <w:lang w:eastAsia="es-ES"/>
        </w:rPr>
        <w:t>Salud,</w:t>
      </w:r>
      <w:r w:rsidRPr="005A0E23">
        <w:rPr>
          <w:vertAlign w:val="superscript"/>
          <w:lang w:eastAsia="es-ES"/>
        </w:rPr>
        <w:t>(</w:t>
      </w:r>
      <w:proofErr w:type="gramEnd"/>
      <w:r w:rsidRPr="005A0E23">
        <w:rPr>
          <w:vertAlign w:val="superscript"/>
          <w:lang w:eastAsia="es-ES"/>
        </w:rPr>
        <w:t xml:space="preserve">6) </w:t>
      </w:r>
      <w:r w:rsidRPr="005A0E23">
        <w:rPr>
          <w:lang w:eastAsia="es-ES"/>
        </w:rPr>
        <w:t xml:space="preserve">en el año 2020, la población entre 20 a 39 años era de 2 879 585 habitantes, es decir, el 25,7 % de la población. En este grupo hubo 2 253 fallecidos, con una tasa de mortalidad de 0,8 por cada 1000 </w:t>
      </w:r>
      <w:proofErr w:type="gramStart"/>
      <w:r w:rsidRPr="005A0E23">
        <w:rPr>
          <w:lang w:eastAsia="es-ES"/>
        </w:rPr>
        <w:t>habitantes.</w:t>
      </w:r>
      <w:r w:rsidRPr="005A0E23">
        <w:rPr>
          <w:vertAlign w:val="superscript"/>
          <w:lang w:eastAsia="es-ES"/>
        </w:rPr>
        <w:t>(</w:t>
      </w:r>
      <w:proofErr w:type="gramEnd"/>
      <w:r w:rsidRPr="005A0E23">
        <w:rPr>
          <w:vertAlign w:val="superscript"/>
          <w:lang w:eastAsia="es-ES"/>
        </w:rPr>
        <w:t>6)</w:t>
      </w:r>
    </w:p>
    <w:p w14:paraId="74D5ACAD" w14:textId="77777777" w:rsidR="005A0E23" w:rsidRPr="005A0E23" w:rsidRDefault="005A0E23" w:rsidP="005A0E23">
      <w:pPr>
        <w:spacing w:line="360" w:lineRule="auto"/>
        <w:contextualSpacing/>
        <w:jc w:val="both"/>
        <w:rPr>
          <w:lang w:eastAsia="es-ES"/>
        </w:rPr>
      </w:pPr>
      <w:r w:rsidRPr="005A0E23">
        <w:rPr>
          <w:lang w:eastAsia="es-ES"/>
        </w:rPr>
        <w:t>La cuantificación y estratificación de los factores de riesgo en la población adulta joven permite identificar su vulnerabilidad, y contribuye a focalizar las estrategias de prevención. Constituye un grupo susceptible de cambiar conductas y establecer hábitos de vida saludables, que permitan retrasar o minimizar la aparición de situaciones de salud que conlleven al ingreso en instituciones médicas, y requieran atención debido a las complicaciones en las unidades de cuidados intensivos (UCI</w:t>
      </w:r>
      <w:proofErr w:type="gramStart"/>
      <w:r w:rsidRPr="005A0E23">
        <w:rPr>
          <w:lang w:eastAsia="es-ES"/>
        </w:rPr>
        <w:t>).</w:t>
      </w:r>
      <w:r w:rsidRPr="005A0E23">
        <w:rPr>
          <w:vertAlign w:val="superscript"/>
          <w:lang w:eastAsia="es-ES"/>
        </w:rPr>
        <w:t>(</w:t>
      </w:r>
      <w:proofErr w:type="gramEnd"/>
      <w:r w:rsidRPr="005A0E23">
        <w:rPr>
          <w:shd w:val="clear" w:color="auto" w:fill="FFFFFF"/>
          <w:vertAlign w:val="superscript"/>
          <w:lang w:eastAsia="es-ES"/>
        </w:rPr>
        <w:t xml:space="preserve">7) </w:t>
      </w:r>
    </w:p>
    <w:p w14:paraId="444E62FB" w14:textId="77777777" w:rsidR="005A0E23" w:rsidRPr="005A0E23" w:rsidRDefault="005A0E23" w:rsidP="005A0E23">
      <w:pPr>
        <w:spacing w:line="360" w:lineRule="auto"/>
        <w:contextualSpacing/>
        <w:jc w:val="both"/>
        <w:rPr>
          <w:lang w:eastAsia="es-ES"/>
        </w:rPr>
      </w:pPr>
      <w:r w:rsidRPr="005A0E23">
        <w:rPr>
          <w:lang w:eastAsia="es-ES"/>
        </w:rPr>
        <w:t xml:space="preserve">El aumento </w:t>
      </w:r>
      <w:r w:rsidRPr="005A0E23">
        <w:rPr>
          <w:shd w:val="clear" w:color="auto" w:fill="FFFFFF"/>
          <w:lang w:eastAsia="es-ES"/>
        </w:rPr>
        <w:t>del</w:t>
      </w:r>
      <w:r w:rsidRPr="005A0E23">
        <w:rPr>
          <w:lang w:eastAsia="es-ES"/>
        </w:rPr>
        <w:t xml:space="preserve"> consumo de drogas y otras sustancias tóxicas, el alcoholismo, el tabaquismo, los accidentes del tránsito y trabajo, así como situaciones de conductas de riesgos, son desencadenantes que propician el ingreso, demandan tratamiento emergente por parte del intensivista y seguimiento en la </w:t>
      </w:r>
      <w:proofErr w:type="gramStart"/>
      <w:r w:rsidRPr="005A0E23">
        <w:rPr>
          <w:lang w:eastAsia="es-ES"/>
        </w:rPr>
        <w:t>sala.</w:t>
      </w:r>
      <w:r w:rsidRPr="005A0E23">
        <w:rPr>
          <w:vertAlign w:val="superscript"/>
          <w:lang w:eastAsia="es-ES"/>
        </w:rPr>
        <w:t>(</w:t>
      </w:r>
      <w:proofErr w:type="gramEnd"/>
      <w:r w:rsidRPr="005A0E23">
        <w:rPr>
          <w:vertAlign w:val="superscript"/>
          <w:lang w:eastAsia="es-ES"/>
        </w:rPr>
        <w:t>8)</w:t>
      </w:r>
    </w:p>
    <w:p w14:paraId="0E381406" w14:textId="77777777" w:rsidR="005A0E23" w:rsidRPr="005A0E23" w:rsidRDefault="005A0E23" w:rsidP="005A0E23">
      <w:pPr>
        <w:spacing w:line="360" w:lineRule="auto"/>
        <w:jc w:val="both"/>
        <w:rPr>
          <w:lang w:eastAsia="es-ES"/>
        </w:rPr>
      </w:pPr>
      <w:r w:rsidRPr="005A0E23">
        <w:rPr>
          <w:lang w:eastAsia="es-ES"/>
        </w:rPr>
        <w:lastRenderedPageBreak/>
        <w:t>El análisis de las cifras de mortalidad en jóvenes adultos y su relación con ingresos en las UCI constituye una temática de importancia médica e impacto social pues, existe poca información con base poblacional en adultos jóvenes menores, de 40 años de edad.</w:t>
      </w:r>
    </w:p>
    <w:p w14:paraId="1864DFAE" w14:textId="77777777" w:rsidR="005A0E23" w:rsidRPr="005A0E23" w:rsidRDefault="005A0E23" w:rsidP="005A0E23">
      <w:pPr>
        <w:spacing w:line="360" w:lineRule="auto"/>
        <w:jc w:val="both"/>
        <w:rPr>
          <w:lang w:eastAsia="es-ES"/>
        </w:rPr>
      </w:pPr>
      <w:r w:rsidRPr="005A0E23">
        <w:rPr>
          <w:lang w:eastAsia="es-ES"/>
        </w:rPr>
        <w:t>Este estudio tiene el objetivo de d</w:t>
      </w:r>
      <w:r w:rsidRPr="005A0E23">
        <w:rPr>
          <w:bCs/>
          <w:lang w:eastAsia="es-ES"/>
        </w:rPr>
        <w:t xml:space="preserve">eterminar </w:t>
      </w:r>
      <w:r w:rsidRPr="005A0E23">
        <w:rPr>
          <w:lang w:val="es-ES" w:eastAsia="es-ES"/>
        </w:rPr>
        <w:t>la mortalidad y morbilidad d</w:t>
      </w:r>
      <w:r w:rsidRPr="005A0E23">
        <w:rPr>
          <w:lang w:eastAsia="es-ES"/>
        </w:rPr>
        <w:t>el adulto joven ingresado en la unidad de cuidados intensivos.</w:t>
      </w:r>
    </w:p>
    <w:p w14:paraId="70E5E435" w14:textId="77777777" w:rsidR="005A0E23" w:rsidRPr="005A0E23" w:rsidRDefault="005A0E23" w:rsidP="005A0E23">
      <w:pPr>
        <w:keepNext/>
        <w:suppressAutoHyphens/>
        <w:spacing w:line="360" w:lineRule="auto"/>
        <w:jc w:val="both"/>
        <w:outlineLvl w:val="1"/>
        <w:rPr>
          <w:b/>
          <w:snapToGrid w:val="0"/>
          <w:lang w:eastAsia="en-US"/>
        </w:rPr>
      </w:pPr>
    </w:p>
    <w:p w14:paraId="3E70C8D4" w14:textId="77777777" w:rsidR="005A0E23" w:rsidRPr="005A0E23" w:rsidRDefault="005A0E23" w:rsidP="005A0E23">
      <w:pPr>
        <w:keepNext/>
        <w:suppressAutoHyphens/>
        <w:spacing w:line="360" w:lineRule="auto"/>
        <w:jc w:val="both"/>
        <w:outlineLvl w:val="1"/>
        <w:rPr>
          <w:b/>
          <w:snapToGrid w:val="0"/>
          <w:lang w:eastAsia="en-US"/>
        </w:rPr>
      </w:pPr>
    </w:p>
    <w:p w14:paraId="07D5455C" w14:textId="77777777" w:rsidR="005A0E23" w:rsidRPr="005A0E23" w:rsidRDefault="005A0E23" w:rsidP="005A0E23">
      <w:pPr>
        <w:keepNext/>
        <w:suppressAutoHyphens/>
        <w:spacing w:line="360" w:lineRule="auto"/>
        <w:jc w:val="center"/>
        <w:outlineLvl w:val="1"/>
        <w:rPr>
          <w:snapToGrid w:val="0"/>
          <w:sz w:val="32"/>
          <w:szCs w:val="32"/>
          <w:lang w:eastAsia="es-ES"/>
        </w:rPr>
      </w:pPr>
      <w:r w:rsidRPr="005A0E23">
        <w:rPr>
          <w:b/>
          <w:snapToGrid w:val="0"/>
          <w:sz w:val="32"/>
          <w:szCs w:val="32"/>
          <w:lang w:eastAsia="en-US"/>
        </w:rPr>
        <w:t>MÉTODOS</w:t>
      </w:r>
    </w:p>
    <w:p w14:paraId="1BD293D2" w14:textId="77777777" w:rsidR="005A0E23" w:rsidRPr="005A0E23" w:rsidRDefault="005A0E23" w:rsidP="005A0E23">
      <w:pPr>
        <w:spacing w:line="360" w:lineRule="auto"/>
        <w:jc w:val="center"/>
        <w:rPr>
          <w:b/>
          <w:sz w:val="28"/>
          <w:szCs w:val="28"/>
          <w:lang w:eastAsia="x-none"/>
        </w:rPr>
      </w:pPr>
      <w:r w:rsidRPr="005A0E23">
        <w:rPr>
          <w:b/>
          <w:sz w:val="28"/>
          <w:szCs w:val="28"/>
          <w:lang w:eastAsia="x-none"/>
        </w:rPr>
        <w:t>Diseño</w:t>
      </w:r>
    </w:p>
    <w:p w14:paraId="787D9802" w14:textId="77777777" w:rsidR="005A0E23" w:rsidRPr="005A0E23" w:rsidRDefault="005A0E23" w:rsidP="005A0E23">
      <w:pPr>
        <w:spacing w:line="360" w:lineRule="auto"/>
        <w:jc w:val="both"/>
        <w:rPr>
          <w:lang w:eastAsia="x-none"/>
        </w:rPr>
      </w:pPr>
      <w:r w:rsidRPr="005A0E23">
        <w:rPr>
          <w:lang w:eastAsia="x-none"/>
        </w:rPr>
        <w:t>Se diseñó un estudio observacional, descriptivo, transversal, de serie de casos, a partir de la revisión de la base de datos del servicio, que comprendió el periodo de enero del 2011 a diciembre del 2020.</w:t>
      </w:r>
    </w:p>
    <w:p w14:paraId="053D71D3" w14:textId="77777777" w:rsidR="005A0E23" w:rsidRPr="005A0E23" w:rsidRDefault="005A0E23" w:rsidP="005A0E23">
      <w:pPr>
        <w:spacing w:line="360" w:lineRule="auto"/>
        <w:jc w:val="center"/>
        <w:rPr>
          <w:b/>
          <w:sz w:val="28"/>
          <w:szCs w:val="28"/>
          <w:lang w:eastAsia="x-none"/>
        </w:rPr>
      </w:pPr>
      <w:r w:rsidRPr="005A0E23">
        <w:rPr>
          <w:b/>
          <w:sz w:val="28"/>
          <w:szCs w:val="28"/>
          <w:lang w:eastAsia="x-none"/>
        </w:rPr>
        <w:t>Sujetos</w:t>
      </w:r>
    </w:p>
    <w:p w14:paraId="2144711D" w14:textId="77777777" w:rsidR="005A0E23" w:rsidRPr="005A0E23" w:rsidRDefault="005A0E23" w:rsidP="005A0E23">
      <w:pPr>
        <w:spacing w:line="360" w:lineRule="auto"/>
        <w:jc w:val="both"/>
        <w:rPr>
          <w:lang w:eastAsia="x-none"/>
        </w:rPr>
      </w:pPr>
      <w:r w:rsidRPr="005A0E23">
        <w:rPr>
          <w:lang w:eastAsia="x-none"/>
        </w:rPr>
        <w:t xml:space="preserve">Se eligieron los pacientes </w:t>
      </w:r>
      <w:r w:rsidRPr="005A0E23">
        <w:rPr>
          <w:rFonts w:eastAsia="Calibri"/>
          <w:lang w:eastAsia="es-ES"/>
        </w:rPr>
        <w:t>adultos jóvenes</w:t>
      </w:r>
      <w:r w:rsidRPr="005A0E23">
        <w:rPr>
          <w:lang w:eastAsia="x-none"/>
        </w:rPr>
        <w:t xml:space="preserve"> (20-39 años) ingresados en la </w:t>
      </w:r>
      <w:r w:rsidRPr="005A0E23">
        <w:rPr>
          <w:rFonts w:eastAsia="Calibri"/>
          <w:lang w:eastAsia="es-ES"/>
        </w:rPr>
        <w:t>UCI</w:t>
      </w:r>
      <w:r w:rsidRPr="005A0E23">
        <w:rPr>
          <w:lang w:eastAsia="x-none"/>
        </w:rPr>
        <w:t xml:space="preserve"> del Hospital Militar Central “Dr. Carlos J. Finlay”, de La Habana, Cuba. De 637 pacientes, se tomaron, de forma consecutiva, según la fecha de ingreso en el periodo seleccionado. Se excluyeron quienes tenían la información incompleta en la historia clínica. Resultaron 623 sujetos.</w:t>
      </w:r>
    </w:p>
    <w:p w14:paraId="59B4279F" w14:textId="77777777" w:rsidR="005A0E23" w:rsidRPr="005A0E23" w:rsidRDefault="005A0E23" w:rsidP="005A0E23">
      <w:pPr>
        <w:spacing w:line="360" w:lineRule="auto"/>
        <w:jc w:val="center"/>
        <w:rPr>
          <w:b/>
          <w:sz w:val="28"/>
          <w:szCs w:val="28"/>
          <w:lang w:eastAsia="x-none"/>
        </w:rPr>
      </w:pPr>
      <w:r w:rsidRPr="005A0E23">
        <w:rPr>
          <w:b/>
          <w:sz w:val="28"/>
          <w:szCs w:val="28"/>
          <w:lang w:eastAsia="x-none"/>
        </w:rPr>
        <w:t>Variables</w:t>
      </w:r>
    </w:p>
    <w:p w14:paraId="6F60E08A" w14:textId="77777777" w:rsidR="005A0E23" w:rsidRPr="005A0E23" w:rsidRDefault="005A0E23" w:rsidP="005A0E23">
      <w:pPr>
        <w:spacing w:line="360" w:lineRule="auto"/>
        <w:jc w:val="both"/>
        <w:rPr>
          <w:lang w:eastAsia="x-none"/>
        </w:rPr>
      </w:pPr>
      <w:r w:rsidRPr="005A0E23">
        <w:rPr>
          <w:lang w:eastAsia="x-none"/>
        </w:rPr>
        <w:t xml:space="preserve">Las variables utilizadas fueron: edad (20-29 años, 30-39 años); sexo (masculino, femenino); tipo de ingreso (clínico, quirúrgico, traumático); estado al egreso (vivo, fallecido); </w:t>
      </w:r>
      <w:r w:rsidRPr="005A0E23">
        <w:rPr>
          <w:i/>
          <w:lang w:eastAsia="x-none"/>
        </w:rPr>
        <w:t xml:space="preserve">Acute Physiology, And Chronic Health Evaluation </w:t>
      </w:r>
      <w:r w:rsidRPr="005A0E23">
        <w:rPr>
          <w:lang w:eastAsia="x-none"/>
        </w:rPr>
        <w:t xml:space="preserve">II (APACHE II) al ingreso (≤ 15 puntos, &gt; 15 puntos); ventilación mecánica (VM) (sí, no); estadía (≤ 7 días, &gt; 7 días); y causa directa de muerte (según informe anátomo-patológico). </w:t>
      </w:r>
    </w:p>
    <w:p w14:paraId="72930FE8" w14:textId="77777777" w:rsidR="005A0E23" w:rsidRPr="005A0E23" w:rsidRDefault="005A0E23" w:rsidP="005A0E23">
      <w:pPr>
        <w:spacing w:line="360" w:lineRule="auto"/>
        <w:jc w:val="both"/>
        <w:rPr>
          <w:lang w:eastAsia="x-none"/>
        </w:rPr>
      </w:pPr>
      <w:r w:rsidRPr="005A0E23">
        <w:rPr>
          <w:lang w:eastAsia="x-none"/>
        </w:rPr>
        <w:t xml:space="preserve">El tipo de ingreso se clasificó de la siguiente forma: </w:t>
      </w:r>
    </w:p>
    <w:p w14:paraId="0ED62834" w14:textId="77777777" w:rsidR="005A0E23" w:rsidRPr="005A0E23" w:rsidRDefault="005A0E23" w:rsidP="005A0E23">
      <w:pPr>
        <w:spacing w:line="360" w:lineRule="auto"/>
        <w:jc w:val="both"/>
        <w:rPr>
          <w:lang w:eastAsia="x-none"/>
        </w:rPr>
      </w:pPr>
    </w:p>
    <w:p w14:paraId="48D0FC2D" w14:textId="77777777" w:rsidR="005A0E23" w:rsidRPr="005A0E23" w:rsidRDefault="005A0E23" w:rsidP="005A0E23">
      <w:pPr>
        <w:numPr>
          <w:ilvl w:val="0"/>
          <w:numId w:val="10"/>
        </w:numPr>
        <w:spacing w:line="360" w:lineRule="auto"/>
        <w:ind w:left="426" w:hanging="426"/>
        <w:jc w:val="both"/>
        <w:rPr>
          <w:lang w:eastAsia="x-none"/>
        </w:rPr>
      </w:pPr>
      <w:r w:rsidRPr="005A0E23">
        <w:rPr>
          <w:lang w:eastAsia="x-none"/>
        </w:rPr>
        <w:t>Clínico: pacientes con enfermedades clínicas, sin traumas ni intervenciones quirúrgicas.</w:t>
      </w:r>
    </w:p>
    <w:p w14:paraId="14672769" w14:textId="77777777" w:rsidR="005A0E23" w:rsidRPr="005A0E23" w:rsidRDefault="005A0E23" w:rsidP="005A0E23">
      <w:pPr>
        <w:numPr>
          <w:ilvl w:val="0"/>
          <w:numId w:val="10"/>
        </w:numPr>
        <w:spacing w:line="360" w:lineRule="auto"/>
        <w:ind w:left="426" w:hanging="426"/>
        <w:jc w:val="both"/>
        <w:rPr>
          <w:lang w:eastAsia="x-none"/>
        </w:rPr>
      </w:pPr>
      <w:r w:rsidRPr="005A0E23">
        <w:rPr>
          <w:lang w:eastAsia="x-none"/>
        </w:rPr>
        <w:t>Quirúrgico: pacientes con intervención quirúrgica de urgencia o electiva, que no fueran por trauma.</w:t>
      </w:r>
    </w:p>
    <w:p w14:paraId="545FB18C" w14:textId="77777777" w:rsidR="005A0E23" w:rsidRPr="005A0E23" w:rsidRDefault="005A0E23" w:rsidP="005A0E23">
      <w:pPr>
        <w:numPr>
          <w:ilvl w:val="0"/>
          <w:numId w:val="10"/>
        </w:numPr>
        <w:spacing w:line="360" w:lineRule="auto"/>
        <w:ind w:left="426" w:hanging="426"/>
        <w:jc w:val="both"/>
        <w:rPr>
          <w:lang w:eastAsia="x-none"/>
        </w:rPr>
      </w:pPr>
      <w:r w:rsidRPr="005A0E23">
        <w:rPr>
          <w:lang w:eastAsia="x-none"/>
        </w:rPr>
        <w:t>Traumático: paciente con cualquier tipo de traumatismo, operado o no.</w:t>
      </w:r>
    </w:p>
    <w:p w14:paraId="762B2FDB" w14:textId="77777777" w:rsidR="005A0E23" w:rsidRPr="005A0E23" w:rsidRDefault="005A0E23" w:rsidP="005A0E23">
      <w:pPr>
        <w:spacing w:line="360" w:lineRule="auto"/>
        <w:rPr>
          <w:b/>
          <w:sz w:val="28"/>
          <w:szCs w:val="28"/>
          <w:lang w:eastAsia="x-none"/>
        </w:rPr>
      </w:pPr>
    </w:p>
    <w:p w14:paraId="71D7E941" w14:textId="77777777" w:rsidR="005A0E23" w:rsidRPr="005A0E23" w:rsidRDefault="005A0E23" w:rsidP="005A0E23">
      <w:pPr>
        <w:spacing w:line="360" w:lineRule="auto"/>
        <w:jc w:val="center"/>
        <w:rPr>
          <w:b/>
          <w:sz w:val="28"/>
          <w:szCs w:val="28"/>
          <w:lang w:eastAsia="x-none"/>
        </w:rPr>
      </w:pPr>
      <w:r w:rsidRPr="005A0E23">
        <w:rPr>
          <w:b/>
          <w:sz w:val="28"/>
          <w:szCs w:val="28"/>
          <w:lang w:eastAsia="x-none"/>
        </w:rPr>
        <w:lastRenderedPageBreak/>
        <w:t>Procedimientos y procesamiento</w:t>
      </w:r>
    </w:p>
    <w:p w14:paraId="031C56D5" w14:textId="77777777" w:rsidR="005A0E23" w:rsidRPr="005A0E23" w:rsidRDefault="005A0E23" w:rsidP="005A0E23">
      <w:pPr>
        <w:spacing w:line="360" w:lineRule="auto"/>
        <w:jc w:val="both"/>
        <w:rPr>
          <w:lang w:eastAsia="x-none"/>
        </w:rPr>
      </w:pPr>
      <w:r w:rsidRPr="005A0E23">
        <w:rPr>
          <w:lang w:eastAsia="x-none"/>
        </w:rPr>
        <w:t xml:space="preserve">Los datos se procesaron con el sistema STATISTICA 21. A las variables cualitativas se le realizó análisis de frecuencias, y a las cuantitativas, medidas de tendencia central (media, mediana y razón). Para determinar relación entre variables se efectuó análisis bivariado mediante la prueba </w:t>
      </w:r>
      <w:r w:rsidRPr="005A0E23">
        <w:rPr>
          <w:i/>
          <w:iCs/>
          <w:lang w:eastAsia="x-none"/>
        </w:rPr>
        <w:t>ji</w:t>
      </w:r>
      <w:r w:rsidRPr="005A0E23">
        <w:rPr>
          <w:lang w:eastAsia="x-none"/>
        </w:rPr>
        <w:t xml:space="preserve"> cuadrado (edad, sexo, tipo de ingreso, estado al egreso, APACHE II al ingreso, VM y estadía), y comparación de medias mediante la prueba t de Student (edad, APACHE II al ingreso y estadía). En ambas se consideró un nivel de significación del 5 %. Se cuantificó el riesgo mediante el </w:t>
      </w:r>
      <w:r w:rsidRPr="005A0E23">
        <w:rPr>
          <w:i/>
          <w:lang w:eastAsia="x-none"/>
        </w:rPr>
        <w:t>odd ratio</w:t>
      </w:r>
      <w:r w:rsidRPr="005A0E23">
        <w:rPr>
          <w:iCs/>
          <w:lang w:eastAsia="x-none"/>
        </w:rPr>
        <w:t xml:space="preserve"> (OR)</w:t>
      </w:r>
      <w:r w:rsidRPr="005A0E23">
        <w:rPr>
          <w:lang w:eastAsia="x-none"/>
        </w:rPr>
        <w:t xml:space="preserve"> con un intervalo de confianza (IC) del 95 % calculado por el método de Woolf.</w:t>
      </w:r>
    </w:p>
    <w:p w14:paraId="713BD25D" w14:textId="77777777" w:rsidR="005A0E23" w:rsidRPr="005A0E23" w:rsidRDefault="005A0E23" w:rsidP="005A0E23">
      <w:pPr>
        <w:spacing w:line="360" w:lineRule="auto"/>
        <w:jc w:val="center"/>
        <w:rPr>
          <w:b/>
          <w:sz w:val="28"/>
          <w:szCs w:val="28"/>
          <w:lang w:eastAsia="x-none"/>
        </w:rPr>
      </w:pPr>
      <w:r w:rsidRPr="005A0E23">
        <w:rPr>
          <w:b/>
          <w:sz w:val="28"/>
          <w:szCs w:val="28"/>
          <w:lang w:eastAsia="x-none"/>
        </w:rPr>
        <w:t>Aspectos bioéticos</w:t>
      </w:r>
    </w:p>
    <w:p w14:paraId="1F022157" w14:textId="77777777" w:rsidR="005A0E23" w:rsidRPr="005A0E23" w:rsidRDefault="005A0E23" w:rsidP="005A0E23">
      <w:pPr>
        <w:spacing w:line="360" w:lineRule="auto"/>
        <w:jc w:val="both"/>
        <w:rPr>
          <w:lang w:eastAsia="x-none"/>
        </w:rPr>
      </w:pPr>
      <w:r w:rsidRPr="005A0E23">
        <w:rPr>
          <w:lang w:eastAsia="x-none"/>
        </w:rPr>
        <w:t xml:space="preserve">Se respetaron los principios bioéticos de la declaración de Helsinki. Al ser un estudio retrospectivo, mediante la revisión de una base de datos, no hubo necesidad de solicitar consentimiento informado; además, no se recogió el nombre de los pacientes para mantener su privacidad. El estudio fue aprobado por el Consejo Científico del Hospital Militar Central “Dr. Carlos J. Finlay”. </w:t>
      </w:r>
    </w:p>
    <w:p w14:paraId="2FC5D236" w14:textId="77777777" w:rsidR="005A0E23" w:rsidRPr="005A0E23" w:rsidRDefault="005A0E23" w:rsidP="005A0E23">
      <w:pPr>
        <w:keepNext/>
        <w:spacing w:line="360" w:lineRule="auto"/>
        <w:jc w:val="center"/>
        <w:outlineLvl w:val="3"/>
        <w:rPr>
          <w:b/>
          <w:lang w:eastAsia="es-ES"/>
        </w:rPr>
      </w:pPr>
    </w:p>
    <w:p w14:paraId="531E1FA8" w14:textId="77777777" w:rsidR="005A0E23" w:rsidRPr="005A0E23" w:rsidRDefault="005A0E23" w:rsidP="005A0E23">
      <w:pPr>
        <w:keepNext/>
        <w:spacing w:line="360" w:lineRule="auto"/>
        <w:jc w:val="center"/>
        <w:outlineLvl w:val="3"/>
        <w:rPr>
          <w:b/>
          <w:lang w:eastAsia="es-ES"/>
        </w:rPr>
      </w:pPr>
    </w:p>
    <w:p w14:paraId="45B15928" w14:textId="77777777" w:rsidR="005A0E23" w:rsidRPr="005A0E23" w:rsidRDefault="005A0E23" w:rsidP="005A0E23">
      <w:pPr>
        <w:keepNext/>
        <w:spacing w:line="360" w:lineRule="auto"/>
        <w:jc w:val="center"/>
        <w:outlineLvl w:val="3"/>
        <w:rPr>
          <w:b/>
          <w:sz w:val="32"/>
          <w:szCs w:val="32"/>
          <w:lang w:eastAsia="es-ES"/>
        </w:rPr>
      </w:pPr>
      <w:r w:rsidRPr="005A0E23">
        <w:rPr>
          <w:b/>
          <w:sz w:val="32"/>
          <w:szCs w:val="32"/>
          <w:lang w:eastAsia="es-ES"/>
        </w:rPr>
        <w:t>RESULTADOS</w:t>
      </w:r>
    </w:p>
    <w:p w14:paraId="3FB6274D" w14:textId="77777777" w:rsidR="005A0E23" w:rsidRPr="005A0E23" w:rsidRDefault="005A0E23" w:rsidP="005A0E23">
      <w:pPr>
        <w:spacing w:line="360" w:lineRule="auto"/>
        <w:jc w:val="both"/>
        <w:rPr>
          <w:lang w:eastAsia="es-ES"/>
        </w:rPr>
      </w:pPr>
      <w:r w:rsidRPr="005A0E23">
        <w:rPr>
          <w:lang w:eastAsia="es-ES"/>
        </w:rPr>
        <w:t>En la tabla 1 se muestran características clínicas y demográficas de la serie. El grupo de edad predominante fue de 20 a 29 años, sin relación estadística importante entre los 2 grupos de edades con el estado de egreso. La comparación entre las medias de la edad de egresados vivos y fallecidos no fue significativa; mientras la mediana de la edad en la serie fue de 29 años, igual que en los fallecidos y egresados vivos. Los egresados vivos predominaron ambos grupos de edades.</w:t>
      </w:r>
    </w:p>
    <w:p w14:paraId="4A0E91A9" w14:textId="77777777" w:rsidR="005A0E23" w:rsidRPr="005A0E23" w:rsidRDefault="005A0E23" w:rsidP="005A0E23">
      <w:pPr>
        <w:spacing w:line="360" w:lineRule="auto"/>
        <w:jc w:val="both"/>
        <w:rPr>
          <w:lang w:eastAsia="es-ES"/>
        </w:rPr>
      </w:pPr>
      <w:r w:rsidRPr="005A0E23">
        <w:rPr>
          <w:lang w:eastAsia="es-ES"/>
        </w:rPr>
        <w:t xml:space="preserve">La razón sexo masculino/femenino fue de 1,8:1. El sexo masculino representó la mayoría, ambos sexos presentaron un porcentaje de egresados vivos similares (77,4 % vs. 78,6 %), sin significación estadística en las diferencias. </w:t>
      </w:r>
    </w:p>
    <w:p w14:paraId="2BF6CE52" w14:textId="77777777" w:rsidR="005A0E23" w:rsidRPr="005A0E23" w:rsidRDefault="005A0E23" w:rsidP="005A0E23">
      <w:pPr>
        <w:spacing w:line="360" w:lineRule="auto"/>
        <w:jc w:val="both"/>
        <w:rPr>
          <w:lang w:eastAsia="es-ES"/>
        </w:rPr>
      </w:pPr>
      <w:r w:rsidRPr="005A0E23">
        <w:rPr>
          <w:lang w:eastAsia="es-ES"/>
        </w:rPr>
        <w:t xml:space="preserve">Las causas clínicas fueron el principal tipo de ingreso y a su vez aportaron más fallecidos; con diferencias estadísticas significativas. La principal causa de ingreso en cada grupo fue, en las de tipo clínico la bronconeumonía/neumonía bacteriana extrahospitalaria (51; 18,1 %), en las quirúrgicas el posoperatorio </w:t>
      </w:r>
      <w:r w:rsidRPr="005A0E23">
        <w:rPr>
          <w:lang w:eastAsia="es-ES"/>
        </w:rPr>
        <w:lastRenderedPageBreak/>
        <w:t>por infección intraabdominal (42; 37,2 %) y en las traumáticas, las lesiones cráneo-encefálicas (81; 35,4 %). La mediana de APACHE II al ingreso fue 8; en los fallecidos 19, mientras en los egresados vivos de 8; hubo diferencias estadísticas significativas al comparar las medias de las edades (p&lt; 0,0001). Hubo predominio de pacientes con ≤ 15 puntos de APACHE II que egresaron vivos; los fallecidos fueron mayoría en los que presentaron más de 15 puntos, con diferencias estadísticas significativas. Los pacientes con un valor de la escala APACHE II superior a 15 puntos presentaron 31 veces mayor probabilidad de fallecer (</w:t>
      </w:r>
      <w:r w:rsidRPr="005A0E23">
        <w:rPr>
          <w:i/>
          <w:lang w:eastAsia="es-ES"/>
        </w:rPr>
        <w:t>X</w:t>
      </w:r>
      <w:r w:rsidRPr="005A0E23">
        <w:rPr>
          <w:vertAlign w:val="superscript"/>
          <w:lang w:eastAsia="es-ES"/>
        </w:rPr>
        <w:t>2</w:t>
      </w:r>
      <w:r w:rsidRPr="005A0E23">
        <w:rPr>
          <w:lang w:eastAsia="es-ES"/>
        </w:rPr>
        <w:t>=</w:t>
      </w:r>
      <w:r w:rsidRPr="005A0E23">
        <w:rPr>
          <w:vertAlign w:val="superscript"/>
          <w:lang w:eastAsia="es-ES"/>
        </w:rPr>
        <w:t xml:space="preserve"> </w:t>
      </w:r>
      <w:r w:rsidRPr="005A0E23">
        <w:rPr>
          <w:lang w:eastAsia="es-ES"/>
        </w:rPr>
        <w:t>214,72; OR= 31,17; IC95 %: 17,46-56,64).</w:t>
      </w:r>
    </w:p>
    <w:p w14:paraId="3655F608" w14:textId="77777777" w:rsidR="005A0E23" w:rsidRPr="005A0E23" w:rsidRDefault="005A0E23" w:rsidP="005A0E23">
      <w:pPr>
        <w:spacing w:line="360" w:lineRule="auto"/>
        <w:jc w:val="both"/>
        <w:rPr>
          <w:lang w:eastAsia="es-ES"/>
        </w:rPr>
      </w:pPr>
      <w:r w:rsidRPr="005A0E23">
        <w:rPr>
          <w:lang w:eastAsia="es-ES"/>
        </w:rPr>
        <w:t>Más del 50 % de los pacientes no requirió ventilación mecánica; en ellos predominaron los egresados vivos. En los que hubo necesidad de ventilación mecánica falleció más del 50 %, con diferencias estadísticas significativas entre ambos grupos. Los pacientes que requirieron ventilación mecánica presentaron 47 veces mayor probabilidad de fallecer (</w:t>
      </w:r>
      <w:r w:rsidRPr="005A0E23">
        <w:rPr>
          <w:i/>
          <w:lang w:eastAsia="es-ES"/>
        </w:rPr>
        <w:t>X</w:t>
      </w:r>
      <w:r w:rsidRPr="005A0E23">
        <w:rPr>
          <w:vertAlign w:val="superscript"/>
          <w:lang w:eastAsia="es-ES"/>
        </w:rPr>
        <w:t>2</w:t>
      </w:r>
      <w:r w:rsidRPr="005A0E23">
        <w:rPr>
          <w:lang w:eastAsia="es-ES"/>
        </w:rPr>
        <w:t>= 174,08; OR= 47,28; IC95 %: 20,40-109,57).</w:t>
      </w:r>
    </w:p>
    <w:p w14:paraId="1ACC6D5F" w14:textId="77777777" w:rsidR="005A0E23" w:rsidRPr="005A0E23" w:rsidRDefault="005A0E23" w:rsidP="005A0E23">
      <w:pPr>
        <w:spacing w:line="360" w:lineRule="auto"/>
        <w:jc w:val="both"/>
        <w:rPr>
          <w:lang w:eastAsia="es-ES"/>
        </w:rPr>
      </w:pPr>
      <w:r w:rsidRPr="005A0E23">
        <w:rPr>
          <w:lang w:eastAsia="es-ES"/>
        </w:rPr>
        <w:t>La mediana de la estadía fue de 3 días; para los fallecidos de 4 y en los egresados vivos, 3. Hubo diferencias significativas entre las medias de estadía (p= 0,002). Los pacientes con estadía de hasta 7 fueron mayoría. Los pacientes con estadía superior a los 7 días tuvieron 1,5 veces más probabilidad de fallecer (</w:t>
      </w:r>
      <w:r w:rsidRPr="005A0E23">
        <w:rPr>
          <w:i/>
          <w:lang w:eastAsia="es-ES"/>
        </w:rPr>
        <w:t>X</w:t>
      </w:r>
      <w:r w:rsidRPr="005A0E23">
        <w:rPr>
          <w:vertAlign w:val="superscript"/>
          <w:lang w:eastAsia="es-ES"/>
        </w:rPr>
        <w:t>2</w:t>
      </w:r>
      <w:r w:rsidRPr="005A0E23">
        <w:rPr>
          <w:lang w:eastAsia="es-ES"/>
        </w:rPr>
        <w:t>= 4,07; OR= 1,55; IC95 %: 1,03-2,33).</w:t>
      </w:r>
    </w:p>
    <w:p w14:paraId="2F8C8E89" w14:textId="77777777" w:rsidR="005A0E23" w:rsidRPr="005A0E23" w:rsidRDefault="005A0E23" w:rsidP="005A0E23">
      <w:pPr>
        <w:spacing w:line="360" w:lineRule="auto"/>
        <w:jc w:val="both"/>
        <w:rPr>
          <w:lang w:eastAsia="es-ES"/>
        </w:rPr>
      </w:pPr>
    </w:p>
    <w:p w14:paraId="3E44DA03" w14:textId="77777777" w:rsidR="005A0E23" w:rsidRPr="005A0E23" w:rsidRDefault="005A0E23" w:rsidP="005A0E23">
      <w:pPr>
        <w:keepNext/>
        <w:spacing w:line="360" w:lineRule="auto"/>
        <w:jc w:val="center"/>
        <w:outlineLvl w:val="4"/>
        <w:rPr>
          <w:snapToGrid w:val="0"/>
          <w:sz w:val="22"/>
          <w:szCs w:val="22"/>
          <w:lang w:eastAsia="es-ES"/>
        </w:rPr>
      </w:pPr>
      <w:r w:rsidRPr="005A0E23">
        <w:rPr>
          <w:b/>
          <w:snapToGrid w:val="0"/>
          <w:sz w:val="22"/>
          <w:szCs w:val="22"/>
          <w:lang w:eastAsia="es-ES"/>
        </w:rPr>
        <w:br w:type="page"/>
      </w:r>
      <w:r w:rsidRPr="005A0E23">
        <w:rPr>
          <w:b/>
          <w:snapToGrid w:val="0"/>
          <w:sz w:val="22"/>
          <w:szCs w:val="22"/>
          <w:lang w:eastAsia="es-ES"/>
        </w:rPr>
        <w:lastRenderedPageBreak/>
        <w:t>Tabla 1 -</w:t>
      </w:r>
      <w:r w:rsidRPr="005A0E23">
        <w:rPr>
          <w:snapToGrid w:val="0"/>
          <w:sz w:val="22"/>
          <w:szCs w:val="22"/>
          <w:lang w:eastAsia="es-ES"/>
        </w:rPr>
        <w:t xml:space="preserve"> Distribución según datos demográficos y clínicos</w:t>
      </w:r>
    </w:p>
    <w:p w14:paraId="1A2EFA49" w14:textId="25BBA22F" w:rsidR="005A0E23" w:rsidRDefault="00FE4DA1" w:rsidP="00FE4DA1">
      <w:pPr>
        <w:spacing w:line="360" w:lineRule="auto"/>
        <w:jc w:val="center"/>
        <w:rPr>
          <w:lang w:eastAsia="es-ES"/>
        </w:rPr>
      </w:pPr>
      <w:r>
        <w:rPr>
          <w:noProof/>
          <w:lang w:eastAsia="es-ES"/>
        </w:rPr>
        <w:drawing>
          <wp:inline distT="0" distB="0" distL="0" distR="0" wp14:anchorId="2A49A7B0" wp14:editId="1B39A751">
            <wp:extent cx="5019048" cy="4495238"/>
            <wp:effectExtent l="0" t="0" r="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5">
                      <a:extLst>
                        <a:ext uri="{28A0092B-C50C-407E-A947-70E740481C1C}">
                          <a14:useLocalDpi xmlns:a14="http://schemas.microsoft.com/office/drawing/2010/main" val="0"/>
                        </a:ext>
                      </a:extLst>
                    </a:blip>
                    <a:stretch>
                      <a:fillRect/>
                    </a:stretch>
                  </pic:blipFill>
                  <pic:spPr>
                    <a:xfrm>
                      <a:off x="0" y="0"/>
                      <a:ext cx="5019048" cy="4495238"/>
                    </a:xfrm>
                    <a:prstGeom prst="rect">
                      <a:avLst/>
                    </a:prstGeom>
                  </pic:spPr>
                </pic:pic>
              </a:graphicData>
            </a:graphic>
          </wp:inline>
        </w:drawing>
      </w:r>
    </w:p>
    <w:p w14:paraId="5C2D0DB2" w14:textId="77777777" w:rsidR="00FE4DA1" w:rsidRPr="005A0E23" w:rsidRDefault="00FE4DA1" w:rsidP="005A0E23">
      <w:pPr>
        <w:spacing w:line="360" w:lineRule="auto"/>
        <w:jc w:val="both"/>
        <w:rPr>
          <w:lang w:eastAsia="es-ES"/>
        </w:rPr>
      </w:pPr>
    </w:p>
    <w:p w14:paraId="174488BB" w14:textId="77777777" w:rsidR="005A0E23" w:rsidRPr="005A0E23" w:rsidRDefault="005A0E23" w:rsidP="005A0E23">
      <w:pPr>
        <w:spacing w:line="360" w:lineRule="auto"/>
        <w:jc w:val="both"/>
        <w:rPr>
          <w:snapToGrid w:val="0"/>
          <w:lang w:eastAsia="en-US"/>
        </w:rPr>
      </w:pPr>
      <w:r w:rsidRPr="005A0E23">
        <w:rPr>
          <w:snapToGrid w:val="0"/>
          <w:lang w:eastAsia="en-US"/>
        </w:rPr>
        <w:t>En la tabla 2 se muestran las causas directas de muerte. De 138 fallecidos, se obtuvo el informe de necropsia de 36. Las 3 primeras causas directas de muerte fueron: bronconeumonía bacteriana, edema cerebral intenso y tromboembolismo pulmonar.</w:t>
      </w:r>
    </w:p>
    <w:p w14:paraId="3B3E28FA" w14:textId="77777777" w:rsidR="005A0E23" w:rsidRPr="005A0E23" w:rsidRDefault="005A0E23" w:rsidP="005A0E23">
      <w:pPr>
        <w:spacing w:line="360" w:lineRule="auto"/>
        <w:jc w:val="center"/>
        <w:rPr>
          <w:lang w:eastAsia="es-ES"/>
        </w:rPr>
      </w:pPr>
    </w:p>
    <w:p w14:paraId="5AB6DDC1" w14:textId="77777777" w:rsidR="005A0E23" w:rsidRPr="005A0E23" w:rsidRDefault="005A0E23" w:rsidP="005A0E23">
      <w:pPr>
        <w:spacing w:line="360" w:lineRule="auto"/>
        <w:jc w:val="center"/>
        <w:rPr>
          <w:sz w:val="22"/>
          <w:szCs w:val="22"/>
        </w:rPr>
      </w:pPr>
      <w:r w:rsidRPr="005A0E23">
        <w:rPr>
          <w:b/>
          <w:sz w:val="22"/>
          <w:szCs w:val="22"/>
          <w:lang w:eastAsia="es-ES"/>
        </w:rPr>
        <w:br w:type="page"/>
      </w:r>
      <w:r w:rsidRPr="005A0E23">
        <w:rPr>
          <w:b/>
          <w:sz w:val="22"/>
          <w:szCs w:val="22"/>
          <w:lang w:eastAsia="es-ES"/>
        </w:rPr>
        <w:lastRenderedPageBreak/>
        <w:t xml:space="preserve">Tabla 2 - </w:t>
      </w:r>
      <w:r w:rsidRPr="005A0E23">
        <w:rPr>
          <w:sz w:val="22"/>
          <w:szCs w:val="22"/>
          <w:lang w:eastAsia="es-ES"/>
        </w:rPr>
        <w:t xml:space="preserve">Distribución según </w:t>
      </w:r>
      <w:r w:rsidRPr="005A0E23">
        <w:rPr>
          <w:sz w:val="22"/>
          <w:szCs w:val="22"/>
        </w:rPr>
        <w:t>causa directa de muerte</w:t>
      </w:r>
    </w:p>
    <w:tbl>
      <w:tblPr>
        <w:tblW w:w="4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64"/>
        <w:gridCol w:w="960"/>
        <w:gridCol w:w="960"/>
      </w:tblGrid>
      <w:tr w:rsidR="005A0E23" w:rsidRPr="005A0E23" w14:paraId="452064C3" w14:textId="77777777" w:rsidTr="00B5388B">
        <w:trPr>
          <w:trHeight w:val="300"/>
          <w:jc w:val="center"/>
        </w:trPr>
        <w:tc>
          <w:tcPr>
            <w:tcW w:w="2764" w:type="dxa"/>
            <w:shd w:val="clear" w:color="auto" w:fill="auto"/>
            <w:noWrap/>
            <w:vAlign w:val="center"/>
            <w:hideMark/>
          </w:tcPr>
          <w:p w14:paraId="34661446" w14:textId="77777777" w:rsidR="005A0E23" w:rsidRPr="005A0E23" w:rsidRDefault="005A0E23" w:rsidP="005A0E23">
            <w:pPr>
              <w:spacing w:line="360" w:lineRule="auto"/>
              <w:jc w:val="center"/>
              <w:rPr>
                <w:b/>
                <w:sz w:val="18"/>
                <w:szCs w:val="18"/>
              </w:rPr>
            </w:pPr>
            <w:r w:rsidRPr="005A0E23">
              <w:rPr>
                <w:b/>
                <w:sz w:val="18"/>
                <w:szCs w:val="18"/>
              </w:rPr>
              <w:t>Causa directa</w:t>
            </w:r>
          </w:p>
        </w:tc>
        <w:tc>
          <w:tcPr>
            <w:tcW w:w="960" w:type="dxa"/>
            <w:shd w:val="clear" w:color="auto" w:fill="auto"/>
            <w:noWrap/>
            <w:vAlign w:val="center"/>
            <w:hideMark/>
          </w:tcPr>
          <w:p w14:paraId="4B248F21" w14:textId="77777777" w:rsidR="005A0E23" w:rsidRPr="005A0E23" w:rsidRDefault="005A0E23" w:rsidP="005A0E23">
            <w:pPr>
              <w:spacing w:line="360" w:lineRule="auto"/>
              <w:jc w:val="center"/>
              <w:rPr>
                <w:b/>
                <w:sz w:val="18"/>
                <w:szCs w:val="18"/>
              </w:rPr>
            </w:pPr>
            <w:r w:rsidRPr="005A0E23">
              <w:rPr>
                <w:b/>
                <w:sz w:val="18"/>
                <w:szCs w:val="18"/>
              </w:rPr>
              <w:t>n</w:t>
            </w:r>
          </w:p>
        </w:tc>
        <w:tc>
          <w:tcPr>
            <w:tcW w:w="960" w:type="dxa"/>
            <w:shd w:val="clear" w:color="auto" w:fill="auto"/>
            <w:noWrap/>
            <w:vAlign w:val="center"/>
            <w:hideMark/>
          </w:tcPr>
          <w:p w14:paraId="5493CCB0" w14:textId="77777777" w:rsidR="005A0E23" w:rsidRPr="005A0E23" w:rsidRDefault="005A0E23" w:rsidP="005A0E23">
            <w:pPr>
              <w:spacing w:line="360" w:lineRule="auto"/>
              <w:jc w:val="center"/>
              <w:rPr>
                <w:b/>
                <w:sz w:val="18"/>
                <w:szCs w:val="18"/>
              </w:rPr>
            </w:pPr>
            <w:r w:rsidRPr="005A0E23">
              <w:rPr>
                <w:b/>
                <w:sz w:val="18"/>
                <w:szCs w:val="18"/>
              </w:rPr>
              <w:t>%</w:t>
            </w:r>
          </w:p>
        </w:tc>
      </w:tr>
      <w:tr w:rsidR="005A0E23" w:rsidRPr="005A0E23" w14:paraId="0445A8F7" w14:textId="77777777" w:rsidTr="00B5388B">
        <w:trPr>
          <w:trHeight w:val="300"/>
          <w:jc w:val="center"/>
        </w:trPr>
        <w:tc>
          <w:tcPr>
            <w:tcW w:w="2764" w:type="dxa"/>
            <w:shd w:val="clear" w:color="auto" w:fill="auto"/>
            <w:noWrap/>
            <w:vAlign w:val="center"/>
            <w:hideMark/>
          </w:tcPr>
          <w:p w14:paraId="06C66B1A" w14:textId="77777777" w:rsidR="005A0E23" w:rsidRPr="005A0E23" w:rsidRDefault="005A0E23" w:rsidP="005A0E23">
            <w:pPr>
              <w:spacing w:line="360" w:lineRule="auto"/>
              <w:rPr>
                <w:sz w:val="18"/>
                <w:szCs w:val="18"/>
              </w:rPr>
            </w:pPr>
            <w:r w:rsidRPr="005A0E23">
              <w:rPr>
                <w:snapToGrid w:val="0"/>
                <w:sz w:val="18"/>
                <w:szCs w:val="18"/>
                <w:lang w:eastAsia="en-US"/>
              </w:rPr>
              <w:t>Bronconeumonía bacteriana</w:t>
            </w:r>
          </w:p>
        </w:tc>
        <w:tc>
          <w:tcPr>
            <w:tcW w:w="960" w:type="dxa"/>
            <w:shd w:val="clear" w:color="auto" w:fill="auto"/>
            <w:noWrap/>
            <w:vAlign w:val="center"/>
            <w:hideMark/>
          </w:tcPr>
          <w:p w14:paraId="05078B42" w14:textId="77777777" w:rsidR="005A0E23" w:rsidRPr="005A0E23" w:rsidRDefault="005A0E23" w:rsidP="005A0E23">
            <w:pPr>
              <w:spacing w:line="360" w:lineRule="auto"/>
              <w:jc w:val="center"/>
              <w:rPr>
                <w:sz w:val="18"/>
                <w:szCs w:val="18"/>
              </w:rPr>
            </w:pPr>
            <w:r w:rsidRPr="005A0E23">
              <w:rPr>
                <w:sz w:val="18"/>
                <w:szCs w:val="18"/>
              </w:rPr>
              <w:t>8</w:t>
            </w:r>
          </w:p>
        </w:tc>
        <w:tc>
          <w:tcPr>
            <w:tcW w:w="960" w:type="dxa"/>
            <w:shd w:val="clear" w:color="auto" w:fill="auto"/>
            <w:noWrap/>
            <w:vAlign w:val="center"/>
            <w:hideMark/>
          </w:tcPr>
          <w:p w14:paraId="0D76090B" w14:textId="77777777" w:rsidR="005A0E23" w:rsidRPr="005A0E23" w:rsidRDefault="005A0E23" w:rsidP="005A0E23">
            <w:pPr>
              <w:spacing w:line="360" w:lineRule="auto"/>
              <w:jc w:val="center"/>
              <w:rPr>
                <w:sz w:val="18"/>
                <w:szCs w:val="18"/>
              </w:rPr>
            </w:pPr>
            <w:r w:rsidRPr="005A0E23">
              <w:rPr>
                <w:sz w:val="18"/>
                <w:szCs w:val="18"/>
              </w:rPr>
              <w:t>22,2</w:t>
            </w:r>
          </w:p>
        </w:tc>
      </w:tr>
      <w:tr w:rsidR="005A0E23" w:rsidRPr="005A0E23" w14:paraId="23860617" w14:textId="77777777" w:rsidTr="00B5388B">
        <w:trPr>
          <w:trHeight w:val="300"/>
          <w:jc w:val="center"/>
        </w:trPr>
        <w:tc>
          <w:tcPr>
            <w:tcW w:w="2764" w:type="dxa"/>
            <w:shd w:val="clear" w:color="auto" w:fill="auto"/>
            <w:noWrap/>
            <w:vAlign w:val="center"/>
            <w:hideMark/>
          </w:tcPr>
          <w:p w14:paraId="7F6FC785" w14:textId="77777777" w:rsidR="005A0E23" w:rsidRPr="005A0E23" w:rsidRDefault="005A0E23" w:rsidP="005A0E23">
            <w:pPr>
              <w:spacing w:line="360" w:lineRule="auto"/>
              <w:rPr>
                <w:sz w:val="18"/>
                <w:szCs w:val="18"/>
              </w:rPr>
            </w:pPr>
            <w:r w:rsidRPr="005A0E23">
              <w:rPr>
                <w:sz w:val="18"/>
                <w:szCs w:val="18"/>
              </w:rPr>
              <w:t>Edema cerebral intenso</w:t>
            </w:r>
          </w:p>
        </w:tc>
        <w:tc>
          <w:tcPr>
            <w:tcW w:w="960" w:type="dxa"/>
            <w:shd w:val="clear" w:color="auto" w:fill="auto"/>
            <w:noWrap/>
            <w:vAlign w:val="center"/>
            <w:hideMark/>
          </w:tcPr>
          <w:p w14:paraId="7E463791" w14:textId="77777777" w:rsidR="005A0E23" w:rsidRPr="005A0E23" w:rsidRDefault="005A0E23" w:rsidP="005A0E23">
            <w:pPr>
              <w:spacing w:line="360" w:lineRule="auto"/>
              <w:jc w:val="center"/>
              <w:rPr>
                <w:sz w:val="18"/>
                <w:szCs w:val="18"/>
              </w:rPr>
            </w:pPr>
            <w:r w:rsidRPr="005A0E23">
              <w:rPr>
                <w:sz w:val="18"/>
                <w:szCs w:val="18"/>
              </w:rPr>
              <w:t>7</w:t>
            </w:r>
          </w:p>
        </w:tc>
        <w:tc>
          <w:tcPr>
            <w:tcW w:w="960" w:type="dxa"/>
            <w:shd w:val="clear" w:color="auto" w:fill="auto"/>
            <w:noWrap/>
            <w:vAlign w:val="center"/>
            <w:hideMark/>
          </w:tcPr>
          <w:p w14:paraId="66CEB86C" w14:textId="77777777" w:rsidR="005A0E23" w:rsidRPr="005A0E23" w:rsidRDefault="005A0E23" w:rsidP="005A0E23">
            <w:pPr>
              <w:spacing w:line="360" w:lineRule="auto"/>
              <w:jc w:val="center"/>
              <w:rPr>
                <w:sz w:val="18"/>
                <w:szCs w:val="18"/>
              </w:rPr>
            </w:pPr>
            <w:r w:rsidRPr="005A0E23">
              <w:rPr>
                <w:sz w:val="18"/>
                <w:szCs w:val="18"/>
              </w:rPr>
              <w:t>19,4</w:t>
            </w:r>
          </w:p>
        </w:tc>
      </w:tr>
      <w:tr w:rsidR="005A0E23" w:rsidRPr="005A0E23" w14:paraId="3C6F4C7E" w14:textId="77777777" w:rsidTr="00B5388B">
        <w:trPr>
          <w:trHeight w:val="300"/>
          <w:jc w:val="center"/>
        </w:trPr>
        <w:tc>
          <w:tcPr>
            <w:tcW w:w="2764" w:type="dxa"/>
            <w:shd w:val="clear" w:color="auto" w:fill="auto"/>
            <w:noWrap/>
            <w:vAlign w:val="center"/>
            <w:hideMark/>
          </w:tcPr>
          <w:p w14:paraId="67A467AF" w14:textId="77777777" w:rsidR="005A0E23" w:rsidRPr="005A0E23" w:rsidRDefault="005A0E23" w:rsidP="005A0E23">
            <w:pPr>
              <w:spacing w:line="360" w:lineRule="auto"/>
              <w:rPr>
                <w:sz w:val="18"/>
                <w:szCs w:val="18"/>
              </w:rPr>
            </w:pPr>
            <w:r w:rsidRPr="005A0E23">
              <w:rPr>
                <w:sz w:val="18"/>
                <w:szCs w:val="18"/>
              </w:rPr>
              <w:t>Tromboembolismo pulmonar</w:t>
            </w:r>
          </w:p>
        </w:tc>
        <w:tc>
          <w:tcPr>
            <w:tcW w:w="960" w:type="dxa"/>
            <w:shd w:val="clear" w:color="auto" w:fill="auto"/>
            <w:noWrap/>
            <w:vAlign w:val="center"/>
            <w:hideMark/>
          </w:tcPr>
          <w:p w14:paraId="292AA1C8" w14:textId="77777777" w:rsidR="005A0E23" w:rsidRPr="005A0E23" w:rsidRDefault="005A0E23" w:rsidP="005A0E23">
            <w:pPr>
              <w:spacing w:line="360" w:lineRule="auto"/>
              <w:jc w:val="center"/>
              <w:rPr>
                <w:sz w:val="18"/>
                <w:szCs w:val="18"/>
              </w:rPr>
            </w:pPr>
            <w:r w:rsidRPr="005A0E23">
              <w:rPr>
                <w:sz w:val="18"/>
                <w:szCs w:val="18"/>
              </w:rPr>
              <w:t>5</w:t>
            </w:r>
          </w:p>
        </w:tc>
        <w:tc>
          <w:tcPr>
            <w:tcW w:w="960" w:type="dxa"/>
            <w:shd w:val="clear" w:color="auto" w:fill="auto"/>
            <w:noWrap/>
            <w:vAlign w:val="center"/>
            <w:hideMark/>
          </w:tcPr>
          <w:p w14:paraId="638D3D23" w14:textId="77777777" w:rsidR="005A0E23" w:rsidRPr="005A0E23" w:rsidRDefault="005A0E23" w:rsidP="005A0E23">
            <w:pPr>
              <w:spacing w:line="360" w:lineRule="auto"/>
              <w:jc w:val="center"/>
              <w:rPr>
                <w:sz w:val="18"/>
                <w:szCs w:val="18"/>
              </w:rPr>
            </w:pPr>
            <w:r w:rsidRPr="005A0E23">
              <w:rPr>
                <w:sz w:val="18"/>
                <w:szCs w:val="18"/>
              </w:rPr>
              <w:t>13,9</w:t>
            </w:r>
          </w:p>
        </w:tc>
      </w:tr>
      <w:tr w:rsidR="005A0E23" w:rsidRPr="005A0E23" w14:paraId="4B03C9A6" w14:textId="77777777" w:rsidTr="00B5388B">
        <w:trPr>
          <w:trHeight w:val="300"/>
          <w:jc w:val="center"/>
        </w:trPr>
        <w:tc>
          <w:tcPr>
            <w:tcW w:w="2764" w:type="dxa"/>
            <w:shd w:val="clear" w:color="auto" w:fill="auto"/>
            <w:noWrap/>
            <w:vAlign w:val="center"/>
            <w:hideMark/>
          </w:tcPr>
          <w:p w14:paraId="14D66361" w14:textId="77777777" w:rsidR="005A0E23" w:rsidRPr="005A0E23" w:rsidRDefault="005A0E23" w:rsidP="005A0E23">
            <w:pPr>
              <w:spacing w:line="360" w:lineRule="auto"/>
              <w:rPr>
                <w:sz w:val="18"/>
                <w:szCs w:val="18"/>
              </w:rPr>
            </w:pPr>
            <w:r w:rsidRPr="005A0E23">
              <w:rPr>
                <w:sz w:val="18"/>
                <w:szCs w:val="18"/>
              </w:rPr>
              <w:t>Disfunción múltiple de órganos</w:t>
            </w:r>
          </w:p>
        </w:tc>
        <w:tc>
          <w:tcPr>
            <w:tcW w:w="960" w:type="dxa"/>
            <w:shd w:val="clear" w:color="auto" w:fill="auto"/>
            <w:noWrap/>
            <w:vAlign w:val="center"/>
            <w:hideMark/>
          </w:tcPr>
          <w:p w14:paraId="7FAF3F66" w14:textId="77777777" w:rsidR="005A0E23" w:rsidRPr="005A0E23" w:rsidRDefault="005A0E23" w:rsidP="005A0E23">
            <w:pPr>
              <w:spacing w:line="360" w:lineRule="auto"/>
              <w:jc w:val="center"/>
              <w:rPr>
                <w:sz w:val="18"/>
                <w:szCs w:val="18"/>
              </w:rPr>
            </w:pPr>
            <w:r w:rsidRPr="005A0E23">
              <w:rPr>
                <w:sz w:val="18"/>
                <w:szCs w:val="18"/>
              </w:rPr>
              <w:t>4</w:t>
            </w:r>
          </w:p>
        </w:tc>
        <w:tc>
          <w:tcPr>
            <w:tcW w:w="960" w:type="dxa"/>
            <w:shd w:val="clear" w:color="auto" w:fill="auto"/>
            <w:noWrap/>
            <w:vAlign w:val="center"/>
            <w:hideMark/>
          </w:tcPr>
          <w:p w14:paraId="012030FB" w14:textId="77777777" w:rsidR="005A0E23" w:rsidRPr="005A0E23" w:rsidRDefault="005A0E23" w:rsidP="005A0E23">
            <w:pPr>
              <w:spacing w:line="360" w:lineRule="auto"/>
              <w:jc w:val="center"/>
              <w:rPr>
                <w:sz w:val="18"/>
                <w:szCs w:val="18"/>
              </w:rPr>
            </w:pPr>
            <w:r w:rsidRPr="005A0E23">
              <w:rPr>
                <w:sz w:val="18"/>
                <w:szCs w:val="18"/>
              </w:rPr>
              <w:t>11,0</w:t>
            </w:r>
          </w:p>
        </w:tc>
      </w:tr>
      <w:tr w:rsidR="005A0E23" w:rsidRPr="005A0E23" w14:paraId="260894F7" w14:textId="77777777" w:rsidTr="00B5388B">
        <w:trPr>
          <w:trHeight w:val="300"/>
          <w:jc w:val="center"/>
        </w:trPr>
        <w:tc>
          <w:tcPr>
            <w:tcW w:w="2764" w:type="dxa"/>
            <w:shd w:val="clear" w:color="auto" w:fill="auto"/>
            <w:noWrap/>
            <w:vAlign w:val="center"/>
            <w:hideMark/>
          </w:tcPr>
          <w:p w14:paraId="6B5BD58C" w14:textId="77777777" w:rsidR="005A0E23" w:rsidRPr="005A0E23" w:rsidRDefault="005A0E23" w:rsidP="005A0E23">
            <w:pPr>
              <w:spacing w:line="360" w:lineRule="auto"/>
              <w:rPr>
                <w:sz w:val="18"/>
                <w:szCs w:val="18"/>
              </w:rPr>
            </w:pPr>
            <w:r w:rsidRPr="005A0E23">
              <w:rPr>
                <w:sz w:val="18"/>
                <w:szCs w:val="18"/>
              </w:rPr>
              <w:t>Choque séptico</w:t>
            </w:r>
          </w:p>
        </w:tc>
        <w:tc>
          <w:tcPr>
            <w:tcW w:w="960" w:type="dxa"/>
            <w:shd w:val="clear" w:color="auto" w:fill="auto"/>
            <w:noWrap/>
            <w:vAlign w:val="center"/>
            <w:hideMark/>
          </w:tcPr>
          <w:p w14:paraId="3D1C44E9" w14:textId="77777777" w:rsidR="005A0E23" w:rsidRPr="005A0E23" w:rsidRDefault="005A0E23" w:rsidP="005A0E23">
            <w:pPr>
              <w:spacing w:line="360" w:lineRule="auto"/>
              <w:jc w:val="center"/>
              <w:rPr>
                <w:sz w:val="18"/>
                <w:szCs w:val="18"/>
              </w:rPr>
            </w:pPr>
            <w:r w:rsidRPr="005A0E23">
              <w:rPr>
                <w:sz w:val="18"/>
                <w:szCs w:val="18"/>
              </w:rPr>
              <w:t>3</w:t>
            </w:r>
          </w:p>
        </w:tc>
        <w:tc>
          <w:tcPr>
            <w:tcW w:w="960" w:type="dxa"/>
            <w:shd w:val="clear" w:color="auto" w:fill="auto"/>
            <w:noWrap/>
            <w:vAlign w:val="center"/>
            <w:hideMark/>
          </w:tcPr>
          <w:p w14:paraId="008C6B9A" w14:textId="77777777" w:rsidR="005A0E23" w:rsidRPr="005A0E23" w:rsidRDefault="005A0E23" w:rsidP="005A0E23">
            <w:pPr>
              <w:spacing w:line="360" w:lineRule="auto"/>
              <w:jc w:val="center"/>
              <w:rPr>
                <w:sz w:val="18"/>
                <w:szCs w:val="18"/>
              </w:rPr>
            </w:pPr>
            <w:r w:rsidRPr="005A0E23">
              <w:rPr>
                <w:sz w:val="18"/>
                <w:szCs w:val="18"/>
              </w:rPr>
              <w:t>8,3</w:t>
            </w:r>
          </w:p>
        </w:tc>
      </w:tr>
      <w:tr w:rsidR="005A0E23" w:rsidRPr="005A0E23" w14:paraId="62AE1A39" w14:textId="77777777" w:rsidTr="00B5388B">
        <w:trPr>
          <w:trHeight w:val="300"/>
          <w:jc w:val="center"/>
        </w:trPr>
        <w:tc>
          <w:tcPr>
            <w:tcW w:w="2764" w:type="dxa"/>
            <w:shd w:val="clear" w:color="auto" w:fill="auto"/>
            <w:noWrap/>
            <w:vAlign w:val="center"/>
            <w:hideMark/>
          </w:tcPr>
          <w:p w14:paraId="32478D0B" w14:textId="77777777" w:rsidR="005A0E23" w:rsidRPr="005A0E23" w:rsidRDefault="005A0E23" w:rsidP="005A0E23">
            <w:pPr>
              <w:spacing w:line="360" w:lineRule="auto"/>
              <w:rPr>
                <w:sz w:val="18"/>
                <w:szCs w:val="18"/>
              </w:rPr>
            </w:pPr>
            <w:r w:rsidRPr="005A0E23">
              <w:rPr>
                <w:sz w:val="18"/>
                <w:szCs w:val="18"/>
              </w:rPr>
              <w:t>Sepsis generalizada</w:t>
            </w:r>
          </w:p>
        </w:tc>
        <w:tc>
          <w:tcPr>
            <w:tcW w:w="960" w:type="dxa"/>
            <w:shd w:val="clear" w:color="auto" w:fill="auto"/>
            <w:noWrap/>
            <w:vAlign w:val="center"/>
            <w:hideMark/>
          </w:tcPr>
          <w:p w14:paraId="7DFA9EA5" w14:textId="77777777" w:rsidR="005A0E23" w:rsidRPr="005A0E23" w:rsidRDefault="005A0E23" w:rsidP="005A0E23">
            <w:pPr>
              <w:spacing w:line="360" w:lineRule="auto"/>
              <w:jc w:val="center"/>
              <w:rPr>
                <w:sz w:val="18"/>
                <w:szCs w:val="18"/>
              </w:rPr>
            </w:pPr>
            <w:r w:rsidRPr="005A0E23">
              <w:rPr>
                <w:sz w:val="18"/>
                <w:szCs w:val="18"/>
              </w:rPr>
              <w:t>2</w:t>
            </w:r>
          </w:p>
        </w:tc>
        <w:tc>
          <w:tcPr>
            <w:tcW w:w="960" w:type="dxa"/>
            <w:shd w:val="clear" w:color="auto" w:fill="auto"/>
            <w:noWrap/>
            <w:vAlign w:val="center"/>
            <w:hideMark/>
          </w:tcPr>
          <w:p w14:paraId="12A5189E" w14:textId="77777777" w:rsidR="005A0E23" w:rsidRPr="005A0E23" w:rsidRDefault="005A0E23" w:rsidP="005A0E23">
            <w:pPr>
              <w:spacing w:line="360" w:lineRule="auto"/>
              <w:jc w:val="center"/>
              <w:rPr>
                <w:sz w:val="18"/>
                <w:szCs w:val="18"/>
              </w:rPr>
            </w:pPr>
            <w:r w:rsidRPr="005A0E23">
              <w:rPr>
                <w:sz w:val="18"/>
                <w:szCs w:val="18"/>
              </w:rPr>
              <w:t>5,5</w:t>
            </w:r>
          </w:p>
        </w:tc>
      </w:tr>
      <w:tr w:rsidR="005A0E23" w:rsidRPr="005A0E23" w14:paraId="3FC7E237" w14:textId="77777777" w:rsidTr="00B5388B">
        <w:trPr>
          <w:trHeight w:val="300"/>
          <w:jc w:val="center"/>
        </w:trPr>
        <w:tc>
          <w:tcPr>
            <w:tcW w:w="2764" w:type="dxa"/>
            <w:shd w:val="clear" w:color="auto" w:fill="auto"/>
            <w:noWrap/>
            <w:vAlign w:val="center"/>
            <w:hideMark/>
          </w:tcPr>
          <w:p w14:paraId="4C30D8B8" w14:textId="77777777" w:rsidR="005A0E23" w:rsidRPr="005A0E23" w:rsidRDefault="005A0E23" w:rsidP="005A0E23">
            <w:pPr>
              <w:spacing w:line="360" w:lineRule="auto"/>
              <w:rPr>
                <w:sz w:val="18"/>
                <w:szCs w:val="18"/>
              </w:rPr>
            </w:pPr>
            <w:r w:rsidRPr="005A0E23">
              <w:rPr>
                <w:sz w:val="18"/>
                <w:szCs w:val="18"/>
              </w:rPr>
              <w:t>edema pulmonar no cardiogénico</w:t>
            </w:r>
          </w:p>
        </w:tc>
        <w:tc>
          <w:tcPr>
            <w:tcW w:w="960" w:type="dxa"/>
            <w:shd w:val="clear" w:color="auto" w:fill="auto"/>
            <w:noWrap/>
            <w:vAlign w:val="center"/>
            <w:hideMark/>
          </w:tcPr>
          <w:p w14:paraId="08F6E6C9" w14:textId="77777777" w:rsidR="005A0E23" w:rsidRPr="005A0E23" w:rsidRDefault="005A0E23" w:rsidP="005A0E23">
            <w:pPr>
              <w:spacing w:line="360" w:lineRule="auto"/>
              <w:jc w:val="center"/>
              <w:rPr>
                <w:sz w:val="18"/>
                <w:szCs w:val="18"/>
              </w:rPr>
            </w:pPr>
            <w:r w:rsidRPr="005A0E23">
              <w:rPr>
                <w:sz w:val="18"/>
                <w:szCs w:val="18"/>
              </w:rPr>
              <w:t>2</w:t>
            </w:r>
          </w:p>
        </w:tc>
        <w:tc>
          <w:tcPr>
            <w:tcW w:w="960" w:type="dxa"/>
            <w:shd w:val="clear" w:color="auto" w:fill="auto"/>
            <w:noWrap/>
            <w:vAlign w:val="center"/>
            <w:hideMark/>
          </w:tcPr>
          <w:p w14:paraId="03005BA1" w14:textId="77777777" w:rsidR="005A0E23" w:rsidRPr="005A0E23" w:rsidRDefault="005A0E23" w:rsidP="005A0E23">
            <w:pPr>
              <w:spacing w:line="360" w:lineRule="auto"/>
              <w:jc w:val="center"/>
              <w:rPr>
                <w:sz w:val="18"/>
                <w:szCs w:val="18"/>
              </w:rPr>
            </w:pPr>
            <w:r w:rsidRPr="005A0E23">
              <w:rPr>
                <w:sz w:val="18"/>
                <w:szCs w:val="18"/>
              </w:rPr>
              <w:t>5,5</w:t>
            </w:r>
          </w:p>
        </w:tc>
      </w:tr>
      <w:tr w:rsidR="005A0E23" w:rsidRPr="005A0E23" w14:paraId="1D644DD6" w14:textId="77777777" w:rsidTr="00B5388B">
        <w:trPr>
          <w:trHeight w:val="300"/>
          <w:jc w:val="center"/>
        </w:trPr>
        <w:tc>
          <w:tcPr>
            <w:tcW w:w="2764" w:type="dxa"/>
            <w:shd w:val="clear" w:color="auto" w:fill="auto"/>
            <w:noWrap/>
            <w:vAlign w:val="center"/>
            <w:hideMark/>
          </w:tcPr>
          <w:p w14:paraId="723E30B2" w14:textId="77777777" w:rsidR="005A0E23" w:rsidRPr="005A0E23" w:rsidRDefault="005A0E23" w:rsidP="005A0E23">
            <w:pPr>
              <w:spacing w:line="360" w:lineRule="auto"/>
              <w:rPr>
                <w:sz w:val="18"/>
                <w:szCs w:val="18"/>
              </w:rPr>
            </w:pPr>
            <w:r w:rsidRPr="005A0E23">
              <w:rPr>
                <w:sz w:val="18"/>
                <w:szCs w:val="18"/>
              </w:rPr>
              <w:t>Neoplasia terminal</w:t>
            </w:r>
          </w:p>
        </w:tc>
        <w:tc>
          <w:tcPr>
            <w:tcW w:w="960" w:type="dxa"/>
            <w:shd w:val="clear" w:color="auto" w:fill="auto"/>
            <w:noWrap/>
            <w:vAlign w:val="center"/>
            <w:hideMark/>
          </w:tcPr>
          <w:p w14:paraId="56DF0FE7" w14:textId="77777777" w:rsidR="005A0E23" w:rsidRPr="005A0E23" w:rsidRDefault="005A0E23" w:rsidP="005A0E23">
            <w:pPr>
              <w:spacing w:line="360" w:lineRule="auto"/>
              <w:jc w:val="center"/>
              <w:rPr>
                <w:sz w:val="18"/>
                <w:szCs w:val="18"/>
              </w:rPr>
            </w:pPr>
            <w:r w:rsidRPr="005A0E23">
              <w:rPr>
                <w:sz w:val="18"/>
                <w:szCs w:val="18"/>
              </w:rPr>
              <w:t>2</w:t>
            </w:r>
          </w:p>
        </w:tc>
        <w:tc>
          <w:tcPr>
            <w:tcW w:w="960" w:type="dxa"/>
            <w:shd w:val="clear" w:color="auto" w:fill="auto"/>
            <w:noWrap/>
            <w:vAlign w:val="center"/>
            <w:hideMark/>
          </w:tcPr>
          <w:p w14:paraId="4671F8D8" w14:textId="77777777" w:rsidR="005A0E23" w:rsidRPr="005A0E23" w:rsidRDefault="005A0E23" w:rsidP="005A0E23">
            <w:pPr>
              <w:spacing w:line="360" w:lineRule="auto"/>
              <w:jc w:val="center"/>
              <w:rPr>
                <w:sz w:val="18"/>
                <w:szCs w:val="18"/>
              </w:rPr>
            </w:pPr>
            <w:r w:rsidRPr="005A0E23">
              <w:rPr>
                <w:sz w:val="18"/>
                <w:szCs w:val="18"/>
              </w:rPr>
              <w:t>5,5</w:t>
            </w:r>
          </w:p>
        </w:tc>
      </w:tr>
      <w:tr w:rsidR="005A0E23" w:rsidRPr="005A0E23" w14:paraId="3A2DE505" w14:textId="77777777" w:rsidTr="00B5388B">
        <w:trPr>
          <w:trHeight w:val="300"/>
          <w:jc w:val="center"/>
        </w:trPr>
        <w:tc>
          <w:tcPr>
            <w:tcW w:w="2764" w:type="dxa"/>
            <w:shd w:val="clear" w:color="auto" w:fill="auto"/>
            <w:noWrap/>
            <w:vAlign w:val="center"/>
            <w:hideMark/>
          </w:tcPr>
          <w:p w14:paraId="2C0ADCA4" w14:textId="77777777" w:rsidR="005A0E23" w:rsidRPr="005A0E23" w:rsidRDefault="005A0E23" w:rsidP="005A0E23">
            <w:pPr>
              <w:spacing w:line="360" w:lineRule="auto"/>
              <w:rPr>
                <w:sz w:val="18"/>
                <w:szCs w:val="18"/>
              </w:rPr>
            </w:pPr>
            <w:r w:rsidRPr="005A0E23">
              <w:rPr>
                <w:sz w:val="18"/>
                <w:szCs w:val="18"/>
              </w:rPr>
              <w:t>Encefalopatía hipóxica</w:t>
            </w:r>
          </w:p>
        </w:tc>
        <w:tc>
          <w:tcPr>
            <w:tcW w:w="960" w:type="dxa"/>
            <w:shd w:val="clear" w:color="auto" w:fill="auto"/>
            <w:noWrap/>
            <w:vAlign w:val="center"/>
            <w:hideMark/>
          </w:tcPr>
          <w:p w14:paraId="37BF4783" w14:textId="77777777" w:rsidR="005A0E23" w:rsidRPr="005A0E23" w:rsidRDefault="005A0E23" w:rsidP="005A0E23">
            <w:pPr>
              <w:spacing w:line="360" w:lineRule="auto"/>
              <w:jc w:val="center"/>
              <w:rPr>
                <w:sz w:val="18"/>
                <w:szCs w:val="18"/>
              </w:rPr>
            </w:pPr>
            <w:r w:rsidRPr="005A0E23">
              <w:rPr>
                <w:sz w:val="18"/>
                <w:szCs w:val="18"/>
              </w:rPr>
              <w:t>1</w:t>
            </w:r>
          </w:p>
        </w:tc>
        <w:tc>
          <w:tcPr>
            <w:tcW w:w="960" w:type="dxa"/>
            <w:shd w:val="clear" w:color="auto" w:fill="auto"/>
            <w:noWrap/>
            <w:vAlign w:val="center"/>
            <w:hideMark/>
          </w:tcPr>
          <w:p w14:paraId="40272E74" w14:textId="77777777" w:rsidR="005A0E23" w:rsidRPr="005A0E23" w:rsidRDefault="005A0E23" w:rsidP="005A0E23">
            <w:pPr>
              <w:spacing w:line="360" w:lineRule="auto"/>
              <w:jc w:val="center"/>
              <w:rPr>
                <w:sz w:val="18"/>
                <w:szCs w:val="18"/>
              </w:rPr>
            </w:pPr>
            <w:r w:rsidRPr="005A0E23">
              <w:rPr>
                <w:sz w:val="18"/>
                <w:szCs w:val="18"/>
              </w:rPr>
              <w:t>2,9</w:t>
            </w:r>
          </w:p>
        </w:tc>
      </w:tr>
      <w:tr w:rsidR="005A0E23" w:rsidRPr="005A0E23" w14:paraId="66614EC7" w14:textId="77777777" w:rsidTr="00B5388B">
        <w:trPr>
          <w:trHeight w:val="300"/>
          <w:jc w:val="center"/>
        </w:trPr>
        <w:tc>
          <w:tcPr>
            <w:tcW w:w="2764" w:type="dxa"/>
            <w:shd w:val="clear" w:color="auto" w:fill="auto"/>
            <w:noWrap/>
            <w:vAlign w:val="center"/>
            <w:hideMark/>
          </w:tcPr>
          <w:p w14:paraId="0DB7B23B" w14:textId="77777777" w:rsidR="005A0E23" w:rsidRPr="005A0E23" w:rsidRDefault="005A0E23" w:rsidP="005A0E23">
            <w:pPr>
              <w:spacing w:line="360" w:lineRule="auto"/>
              <w:rPr>
                <w:sz w:val="18"/>
                <w:szCs w:val="18"/>
              </w:rPr>
            </w:pPr>
            <w:r w:rsidRPr="005A0E23">
              <w:rPr>
                <w:sz w:val="18"/>
                <w:szCs w:val="18"/>
              </w:rPr>
              <w:t>Encefalopatía hepática</w:t>
            </w:r>
          </w:p>
        </w:tc>
        <w:tc>
          <w:tcPr>
            <w:tcW w:w="960" w:type="dxa"/>
            <w:shd w:val="clear" w:color="auto" w:fill="auto"/>
            <w:noWrap/>
            <w:vAlign w:val="center"/>
            <w:hideMark/>
          </w:tcPr>
          <w:p w14:paraId="5B3D4ADD" w14:textId="77777777" w:rsidR="005A0E23" w:rsidRPr="005A0E23" w:rsidRDefault="005A0E23" w:rsidP="005A0E23">
            <w:pPr>
              <w:spacing w:line="360" w:lineRule="auto"/>
              <w:jc w:val="center"/>
              <w:rPr>
                <w:sz w:val="18"/>
                <w:szCs w:val="18"/>
              </w:rPr>
            </w:pPr>
            <w:r w:rsidRPr="005A0E23">
              <w:rPr>
                <w:sz w:val="18"/>
                <w:szCs w:val="18"/>
              </w:rPr>
              <w:t>1</w:t>
            </w:r>
          </w:p>
        </w:tc>
        <w:tc>
          <w:tcPr>
            <w:tcW w:w="960" w:type="dxa"/>
            <w:shd w:val="clear" w:color="auto" w:fill="auto"/>
            <w:noWrap/>
            <w:vAlign w:val="center"/>
            <w:hideMark/>
          </w:tcPr>
          <w:p w14:paraId="596DDA6C" w14:textId="77777777" w:rsidR="005A0E23" w:rsidRPr="005A0E23" w:rsidRDefault="005A0E23" w:rsidP="005A0E23">
            <w:pPr>
              <w:spacing w:line="360" w:lineRule="auto"/>
              <w:jc w:val="center"/>
              <w:rPr>
                <w:sz w:val="18"/>
                <w:szCs w:val="18"/>
              </w:rPr>
            </w:pPr>
            <w:r w:rsidRPr="005A0E23">
              <w:rPr>
                <w:sz w:val="18"/>
                <w:szCs w:val="18"/>
              </w:rPr>
              <w:t>2,9</w:t>
            </w:r>
          </w:p>
        </w:tc>
      </w:tr>
      <w:tr w:rsidR="005A0E23" w:rsidRPr="005A0E23" w14:paraId="57977041" w14:textId="77777777" w:rsidTr="00B5388B">
        <w:trPr>
          <w:trHeight w:val="300"/>
          <w:jc w:val="center"/>
        </w:trPr>
        <w:tc>
          <w:tcPr>
            <w:tcW w:w="2764" w:type="dxa"/>
            <w:shd w:val="clear" w:color="auto" w:fill="auto"/>
            <w:noWrap/>
            <w:vAlign w:val="center"/>
            <w:hideMark/>
          </w:tcPr>
          <w:p w14:paraId="3E181790" w14:textId="77777777" w:rsidR="005A0E23" w:rsidRPr="005A0E23" w:rsidRDefault="005A0E23" w:rsidP="005A0E23">
            <w:pPr>
              <w:spacing w:line="360" w:lineRule="auto"/>
              <w:rPr>
                <w:sz w:val="18"/>
                <w:szCs w:val="18"/>
              </w:rPr>
            </w:pPr>
            <w:r w:rsidRPr="005A0E23">
              <w:rPr>
                <w:sz w:val="18"/>
                <w:szCs w:val="18"/>
              </w:rPr>
              <w:t>Tuberculosis miliar</w:t>
            </w:r>
          </w:p>
        </w:tc>
        <w:tc>
          <w:tcPr>
            <w:tcW w:w="960" w:type="dxa"/>
            <w:shd w:val="clear" w:color="auto" w:fill="auto"/>
            <w:noWrap/>
            <w:vAlign w:val="center"/>
            <w:hideMark/>
          </w:tcPr>
          <w:p w14:paraId="3D4CBF09" w14:textId="77777777" w:rsidR="005A0E23" w:rsidRPr="005A0E23" w:rsidRDefault="005A0E23" w:rsidP="005A0E23">
            <w:pPr>
              <w:spacing w:line="360" w:lineRule="auto"/>
              <w:jc w:val="center"/>
              <w:rPr>
                <w:sz w:val="18"/>
                <w:szCs w:val="18"/>
              </w:rPr>
            </w:pPr>
            <w:r w:rsidRPr="005A0E23">
              <w:rPr>
                <w:sz w:val="18"/>
                <w:szCs w:val="18"/>
              </w:rPr>
              <w:t>1</w:t>
            </w:r>
          </w:p>
        </w:tc>
        <w:tc>
          <w:tcPr>
            <w:tcW w:w="960" w:type="dxa"/>
            <w:shd w:val="clear" w:color="auto" w:fill="auto"/>
            <w:noWrap/>
            <w:vAlign w:val="center"/>
            <w:hideMark/>
          </w:tcPr>
          <w:p w14:paraId="4449A04D" w14:textId="77777777" w:rsidR="005A0E23" w:rsidRPr="005A0E23" w:rsidRDefault="005A0E23" w:rsidP="005A0E23">
            <w:pPr>
              <w:spacing w:line="360" w:lineRule="auto"/>
              <w:jc w:val="center"/>
              <w:rPr>
                <w:sz w:val="18"/>
                <w:szCs w:val="18"/>
              </w:rPr>
            </w:pPr>
            <w:r w:rsidRPr="005A0E23">
              <w:rPr>
                <w:sz w:val="18"/>
                <w:szCs w:val="18"/>
              </w:rPr>
              <w:t>2,9</w:t>
            </w:r>
          </w:p>
        </w:tc>
      </w:tr>
      <w:tr w:rsidR="005A0E23" w:rsidRPr="005A0E23" w14:paraId="39140847" w14:textId="77777777" w:rsidTr="00B5388B">
        <w:trPr>
          <w:trHeight w:val="300"/>
          <w:jc w:val="center"/>
        </w:trPr>
        <w:tc>
          <w:tcPr>
            <w:tcW w:w="2764" w:type="dxa"/>
            <w:shd w:val="clear" w:color="auto" w:fill="auto"/>
            <w:noWrap/>
            <w:vAlign w:val="center"/>
            <w:hideMark/>
          </w:tcPr>
          <w:p w14:paraId="67BA55FC" w14:textId="77777777" w:rsidR="005A0E23" w:rsidRPr="005A0E23" w:rsidRDefault="005A0E23" w:rsidP="005A0E23">
            <w:pPr>
              <w:spacing w:line="360" w:lineRule="auto"/>
              <w:rPr>
                <w:sz w:val="18"/>
                <w:szCs w:val="18"/>
              </w:rPr>
            </w:pPr>
            <w:r w:rsidRPr="005A0E23">
              <w:rPr>
                <w:sz w:val="18"/>
                <w:szCs w:val="18"/>
              </w:rPr>
              <w:t>Total</w:t>
            </w:r>
          </w:p>
        </w:tc>
        <w:tc>
          <w:tcPr>
            <w:tcW w:w="960" w:type="dxa"/>
            <w:shd w:val="clear" w:color="auto" w:fill="auto"/>
            <w:noWrap/>
            <w:vAlign w:val="center"/>
            <w:hideMark/>
          </w:tcPr>
          <w:p w14:paraId="7281A5B8" w14:textId="77777777" w:rsidR="005A0E23" w:rsidRPr="005A0E23" w:rsidRDefault="005A0E23" w:rsidP="005A0E23">
            <w:pPr>
              <w:spacing w:line="360" w:lineRule="auto"/>
              <w:jc w:val="center"/>
              <w:rPr>
                <w:sz w:val="18"/>
                <w:szCs w:val="18"/>
              </w:rPr>
            </w:pPr>
            <w:r w:rsidRPr="005A0E23">
              <w:rPr>
                <w:sz w:val="18"/>
                <w:szCs w:val="18"/>
              </w:rPr>
              <w:t>36</w:t>
            </w:r>
          </w:p>
        </w:tc>
        <w:tc>
          <w:tcPr>
            <w:tcW w:w="960" w:type="dxa"/>
            <w:shd w:val="clear" w:color="auto" w:fill="auto"/>
            <w:noWrap/>
            <w:vAlign w:val="center"/>
            <w:hideMark/>
          </w:tcPr>
          <w:p w14:paraId="72BF89BD" w14:textId="77777777" w:rsidR="005A0E23" w:rsidRPr="005A0E23" w:rsidRDefault="005A0E23" w:rsidP="005A0E23">
            <w:pPr>
              <w:spacing w:line="360" w:lineRule="auto"/>
              <w:jc w:val="center"/>
              <w:rPr>
                <w:sz w:val="18"/>
                <w:szCs w:val="18"/>
              </w:rPr>
            </w:pPr>
            <w:r w:rsidRPr="005A0E23">
              <w:rPr>
                <w:sz w:val="18"/>
                <w:szCs w:val="18"/>
              </w:rPr>
              <w:t>100</w:t>
            </w:r>
          </w:p>
        </w:tc>
      </w:tr>
    </w:tbl>
    <w:p w14:paraId="508E65EE" w14:textId="77777777" w:rsidR="005A0E23" w:rsidRPr="005A0E23" w:rsidRDefault="005A0E23" w:rsidP="005A0E23">
      <w:pPr>
        <w:spacing w:line="360" w:lineRule="auto"/>
        <w:jc w:val="both"/>
      </w:pPr>
      <w:r w:rsidRPr="005A0E23">
        <w:rPr>
          <w:lang w:eastAsia="es-ES"/>
        </w:rPr>
        <w:t xml:space="preserve">                                      </w:t>
      </w:r>
    </w:p>
    <w:p w14:paraId="01E94903" w14:textId="77777777" w:rsidR="005A0E23" w:rsidRPr="005A0E23" w:rsidRDefault="005A0E23" w:rsidP="005A0E23">
      <w:pPr>
        <w:autoSpaceDE w:val="0"/>
        <w:autoSpaceDN w:val="0"/>
        <w:adjustRightInd w:val="0"/>
        <w:spacing w:line="360" w:lineRule="auto"/>
        <w:jc w:val="both"/>
        <w:rPr>
          <w:b/>
          <w:bCs/>
        </w:rPr>
      </w:pPr>
    </w:p>
    <w:p w14:paraId="6DA29AA1" w14:textId="77777777" w:rsidR="005A0E23" w:rsidRPr="005A0E23" w:rsidRDefault="005A0E23" w:rsidP="005A0E23">
      <w:pPr>
        <w:autoSpaceDE w:val="0"/>
        <w:autoSpaceDN w:val="0"/>
        <w:adjustRightInd w:val="0"/>
        <w:spacing w:line="360" w:lineRule="auto"/>
        <w:jc w:val="center"/>
        <w:rPr>
          <w:sz w:val="32"/>
          <w:szCs w:val="32"/>
        </w:rPr>
      </w:pPr>
      <w:r w:rsidRPr="005A0E23">
        <w:rPr>
          <w:b/>
          <w:bCs/>
          <w:sz w:val="32"/>
          <w:szCs w:val="32"/>
        </w:rPr>
        <w:t>DISCUSIÓN</w:t>
      </w:r>
    </w:p>
    <w:p w14:paraId="12130895" w14:textId="77777777" w:rsidR="005A0E23" w:rsidRPr="005A0E23" w:rsidRDefault="005A0E23" w:rsidP="005A0E23">
      <w:pPr>
        <w:spacing w:line="360" w:lineRule="auto"/>
        <w:contextualSpacing/>
        <w:jc w:val="both"/>
        <w:rPr>
          <w:lang w:eastAsia="es-ES"/>
        </w:rPr>
      </w:pPr>
      <w:r w:rsidRPr="005A0E23">
        <w:rPr>
          <w:lang w:eastAsia="es-ES"/>
        </w:rPr>
        <w:t xml:space="preserve">En una investigación llevada a cabo por </w:t>
      </w:r>
      <w:r w:rsidRPr="005A0E23">
        <w:rPr>
          <w:i/>
          <w:lang w:eastAsia="es-ES"/>
        </w:rPr>
        <w:t xml:space="preserve">Ipaneque </w:t>
      </w:r>
      <w:proofErr w:type="gramStart"/>
      <w:r w:rsidRPr="005A0E23">
        <w:rPr>
          <w:i/>
          <w:lang w:eastAsia="es-ES"/>
        </w:rPr>
        <w:t>G</w:t>
      </w:r>
      <w:r w:rsidRPr="005A0E23">
        <w:rPr>
          <w:iCs/>
          <w:lang w:eastAsia="es-ES"/>
        </w:rPr>
        <w:t>,</w:t>
      </w:r>
      <w:r w:rsidRPr="005A0E23">
        <w:rPr>
          <w:vertAlign w:val="superscript"/>
          <w:lang w:eastAsia="es-ES"/>
        </w:rPr>
        <w:t>(</w:t>
      </w:r>
      <w:proofErr w:type="gramEnd"/>
      <w:r w:rsidRPr="005A0E23">
        <w:rPr>
          <w:vertAlign w:val="superscript"/>
          <w:lang w:eastAsia="es-ES"/>
        </w:rPr>
        <w:t>9)</w:t>
      </w:r>
      <w:r w:rsidRPr="005A0E23">
        <w:rPr>
          <w:lang w:eastAsia="es-ES"/>
        </w:rPr>
        <w:t xml:space="preserve"> el 38 % de los pacientes correspondió al grupo etario de 31 a 35 años, el 35 % de 26 a 30 años y el 27 % al grupo etario de 20 a 25 años;</w:t>
      </w:r>
      <w:r w:rsidRPr="005A0E23">
        <w:rPr>
          <w:vertAlign w:val="superscript"/>
          <w:lang w:eastAsia="es-ES"/>
        </w:rPr>
        <w:t xml:space="preserve"> </w:t>
      </w:r>
      <w:r w:rsidRPr="005A0E23">
        <w:rPr>
          <w:lang w:eastAsia="es-ES"/>
        </w:rPr>
        <w:t xml:space="preserve">en otro estudio, </w:t>
      </w:r>
      <w:r w:rsidRPr="005A0E23">
        <w:rPr>
          <w:snapToGrid w:val="0"/>
          <w:lang w:eastAsia="en-US"/>
        </w:rPr>
        <w:t xml:space="preserve">en Sudán, </w:t>
      </w:r>
      <w:r w:rsidRPr="005A0E23">
        <w:rPr>
          <w:i/>
          <w:lang w:val="es-CR" w:eastAsia="es-ES"/>
        </w:rPr>
        <w:t>Magboul SM</w:t>
      </w:r>
      <w:r w:rsidRPr="005A0E23">
        <w:rPr>
          <w:vertAlign w:val="superscript"/>
          <w:lang w:eastAsia="es-ES"/>
        </w:rPr>
        <w:t xml:space="preserve"> </w:t>
      </w:r>
      <w:r w:rsidRPr="005A0E23">
        <w:rPr>
          <w:lang w:eastAsia="es-ES"/>
        </w:rPr>
        <w:t>y otros</w:t>
      </w:r>
      <w:r w:rsidRPr="005A0E23">
        <w:rPr>
          <w:vertAlign w:val="superscript"/>
          <w:lang w:eastAsia="es-ES"/>
        </w:rPr>
        <w:t>(10)</w:t>
      </w:r>
      <w:r w:rsidRPr="005A0E23">
        <w:rPr>
          <w:snapToGrid w:val="0"/>
          <w:lang w:eastAsia="en-US"/>
        </w:rPr>
        <w:t xml:space="preserve"> investigan en una UCI de 105 pacientes, la incidencia, factores de riesgo y pronóstico de lesión renal aguda; 15 pacientes tenían 39 años o menos de edad. En ambos casos, superiores a esta investigación.</w:t>
      </w:r>
      <w:r w:rsidRPr="005A0E23">
        <w:rPr>
          <w:snapToGrid w:val="0"/>
          <w:vertAlign w:val="superscript"/>
          <w:lang w:eastAsia="en-US"/>
        </w:rPr>
        <w:t xml:space="preserve">  </w:t>
      </w:r>
    </w:p>
    <w:p w14:paraId="7F3CEA82" w14:textId="77777777" w:rsidR="005A0E23" w:rsidRPr="005A0E23" w:rsidRDefault="005A0E23" w:rsidP="005A0E23">
      <w:pPr>
        <w:spacing w:line="360" w:lineRule="auto"/>
        <w:jc w:val="both"/>
        <w:rPr>
          <w:lang w:eastAsia="es-ES"/>
        </w:rPr>
      </w:pPr>
      <w:r w:rsidRPr="005A0E23">
        <w:rPr>
          <w:i/>
          <w:lang w:eastAsia="es-ES"/>
        </w:rPr>
        <w:t>Betancourt Betancourt G</w:t>
      </w:r>
      <w:r w:rsidRPr="005A0E23">
        <w:rPr>
          <w:lang w:eastAsia="es-ES"/>
        </w:rPr>
        <w:t xml:space="preserve"> y </w:t>
      </w:r>
      <w:proofErr w:type="gramStart"/>
      <w:r w:rsidRPr="005A0E23">
        <w:rPr>
          <w:lang w:eastAsia="es-ES"/>
        </w:rPr>
        <w:t>otros</w:t>
      </w:r>
      <w:r w:rsidRPr="005A0E23">
        <w:rPr>
          <w:vertAlign w:val="superscript"/>
          <w:lang w:eastAsia="es-ES"/>
        </w:rPr>
        <w:t>(</w:t>
      </w:r>
      <w:proofErr w:type="gramEnd"/>
      <w:r w:rsidRPr="005A0E23">
        <w:rPr>
          <w:vertAlign w:val="superscript"/>
          <w:lang w:eastAsia="es-ES"/>
        </w:rPr>
        <w:t>11)</w:t>
      </w:r>
      <w:r w:rsidRPr="005A0E23">
        <w:rPr>
          <w:lang w:eastAsia="es-ES"/>
        </w:rPr>
        <w:t xml:space="preserve"> c</w:t>
      </w:r>
      <w:r w:rsidRPr="005A0E23">
        <w:rPr>
          <w:bCs/>
          <w:lang w:eastAsia="es-ES"/>
        </w:rPr>
        <w:t>aracterizan la adecuación del esfuerzo terapéutico en las unidades de atención al adulto grave</w:t>
      </w:r>
      <w:r w:rsidRPr="005A0E23">
        <w:rPr>
          <w:lang w:eastAsia="es-ES"/>
        </w:rPr>
        <w:t xml:space="preserve"> durante el año 2017 y</w:t>
      </w:r>
      <w:r w:rsidRPr="005A0E23">
        <w:rPr>
          <w:bCs/>
          <w:lang w:eastAsia="es-ES"/>
        </w:rPr>
        <w:t xml:space="preserve"> encontraron que </w:t>
      </w:r>
      <w:r w:rsidRPr="005A0E23">
        <w:rPr>
          <w:lang w:eastAsia="es-ES"/>
        </w:rPr>
        <w:t xml:space="preserve">1,39 % pertenecía al grupo de 20 a 39 años de edad, un porcentaje reducido, ya que se trataba de pacientes con enfermedades terminales. </w:t>
      </w:r>
    </w:p>
    <w:p w14:paraId="5EFD67C6" w14:textId="77777777" w:rsidR="005A0E23" w:rsidRPr="005A0E23" w:rsidRDefault="005A0E23" w:rsidP="005A0E23">
      <w:pPr>
        <w:spacing w:line="360" w:lineRule="auto"/>
        <w:jc w:val="both"/>
        <w:rPr>
          <w:snapToGrid w:val="0"/>
          <w:lang w:eastAsia="en-US"/>
        </w:rPr>
      </w:pPr>
      <w:r w:rsidRPr="005A0E23">
        <w:rPr>
          <w:snapToGrid w:val="0"/>
          <w:lang w:eastAsia="en-US"/>
        </w:rPr>
        <w:t>En la presente investigación predominó el sexo masculino, lo que coincidió con la mayoría de los artículos revisados.</w:t>
      </w:r>
      <w:r w:rsidRPr="005A0E23">
        <w:rPr>
          <w:lang w:eastAsia="es-ES"/>
        </w:rPr>
        <w:t xml:space="preserve"> Esto puede estar relacionado con que adulto joven masculino se involucra en actividades que lo hacen proclive a mayor posibilidad de ingreso.</w:t>
      </w:r>
    </w:p>
    <w:p w14:paraId="3A82FC29" w14:textId="77777777" w:rsidR="005A0E23" w:rsidRPr="005A0E23" w:rsidRDefault="005A0E23" w:rsidP="005A0E23">
      <w:pPr>
        <w:spacing w:line="360" w:lineRule="auto"/>
        <w:contextualSpacing/>
        <w:jc w:val="both"/>
        <w:rPr>
          <w:lang w:eastAsia="es-ES"/>
        </w:rPr>
      </w:pPr>
      <w:r w:rsidRPr="005A0E23">
        <w:rPr>
          <w:lang w:eastAsia="es-ES"/>
        </w:rPr>
        <w:t>La relación sexo masculino/femenino fue superior a la de la población cubana, que es de 0,98:</w:t>
      </w:r>
      <w:proofErr w:type="gramStart"/>
      <w:r w:rsidRPr="005A0E23">
        <w:rPr>
          <w:lang w:eastAsia="es-ES"/>
        </w:rPr>
        <w:t>1.</w:t>
      </w:r>
      <w:r w:rsidRPr="005A0E23">
        <w:rPr>
          <w:vertAlign w:val="superscript"/>
          <w:lang w:eastAsia="es-ES"/>
        </w:rPr>
        <w:t>(</w:t>
      </w:r>
      <w:proofErr w:type="gramEnd"/>
      <w:r w:rsidRPr="005A0E23">
        <w:rPr>
          <w:vertAlign w:val="superscript"/>
          <w:lang w:eastAsia="es-ES"/>
        </w:rPr>
        <w:t>6)</w:t>
      </w:r>
      <w:r w:rsidRPr="005A0E23">
        <w:rPr>
          <w:lang w:eastAsia="es-ES"/>
        </w:rPr>
        <w:t xml:space="preserve"> </w:t>
      </w:r>
    </w:p>
    <w:p w14:paraId="4E107395" w14:textId="77777777" w:rsidR="005A0E23" w:rsidRPr="005A0E23" w:rsidRDefault="005A0E23" w:rsidP="005A0E23">
      <w:pPr>
        <w:spacing w:line="360" w:lineRule="auto"/>
        <w:jc w:val="both"/>
        <w:rPr>
          <w:lang w:eastAsia="es-ES"/>
        </w:rPr>
      </w:pPr>
      <w:r w:rsidRPr="005A0E23">
        <w:rPr>
          <w:lang w:eastAsia="es-ES"/>
        </w:rPr>
        <w:lastRenderedPageBreak/>
        <w:t xml:space="preserve">En las investigaciones de </w:t>
      </w:r>
      <w:r w:rsidRPr="005A0E23">
        <w:rPr>
          <w:i/>
          <w:lang w:eastAsia="es-ES"/>
        </w:rPr>
        <w:t xml:space="preserve">Ipaneque </w:t>
      </w:r>
      <w:proofErr w:type="gramStart"/>
      <w:r w:rsidRPr="005A0E23">
        <w:rPr>
          <w:i/>
          <w:lang w:eastAsia="es-ES"/>
        </w:rPr>
        <w:t>G</w:t>
      </w:r>
      <w:r w:rsidRPr="005A0E23">
        <w:rPr>
          <w:vertAlign w:val="superscript"/>
          <w:lang w:eastAsia="es-ES"/>
        </w:rPr>
        <w:t>(</w:t>
      </w:r>
      <w:proofErr w:type="gramEnd"/>
      <w:r w:rsidRPr="005A0E23">
        <w:rPr>
          <w:vertAlign w:val="superscript"/>
          <w:lang w:eastAsia="es-ES"/>
        </w:rPr>
        <w:t xml:space="preserve">9) </w:t>
      </w:r>
      <w:r w:rsidRPr="005A0E23">
        <w:rPr>
          <w:lang w:eastAsia="es-ES"/>
        </w:rPr>
        <w:t>y</w:t>
      </w:r>
      <w:r w:rsidRPr="005A0E23">
        <w:rPr>
          <w:vertAlign w:val="superscript"/>
          <w:lang w:eastAsia="es-ES"/>
        </w:rPr>
        <w:t xml:space="preserve"> </w:t>
      </w:r>
      <w:r w:rsidRPr="005A0E23">
        <w:rPr>
          <w:i/>
          <w:lang w:val="es-CR" w:eastAsia="es-ES"/>
        </w:rPr>
        <w:t>Magboul SM</w:t>
      </w:r>
      <w:r w:rsidRPr="005A0E23">
        <w:rPr>
          <w:vertAlign w:val="superscript"/>
          <w:lang w:eastAsia="es-ES"/>
        </w:rPr>
        <w:t xml:space="preserve">(10) </w:t>
      </w:r>
      <w:r w:rsidRPr="005A0E23">
        <w:rPr>
          <w:lang w:eastAsia="es-ES"/>
        </w:rPr>
        <w:t xml:space="preserve">predomina el sexo masculino con un porcentaje de 52,3 y 56,2 %; ambos por debajo al de esta serie. En el estudio de </w:t>
      </w:r>
      <w:r w:rsidRPr="005A0E23">
        <w:rPr>
          <w:i/>
          <w:lang w:eastAsia="es-ES"/>
        </w:rPr>
        <w:t>Betancourt Betancourt G</w:t>
      </w:r>
      <w:r w:rsidRPr="005A0E23">
        <w:rPr>
          <w:vertAlign w:val="superscript"/>
          <w:lang w:eastAsia="es-ES"/>
        </w:rPr>
        <w:t xml:space="preserve"> </w:t>
      </w:r>
      <w:r w:rsidRPr="005A0E23">
        <w:rPr>
          <w:lang w:eastAsia="es-ES"/>
        </w:rPr>
        <w:t xml:space="preserve">y </w:t>
      </w:r>
      <w:proofErr w:type="gramStart"/>
      <w:r w:rsidRPr="005A0E23">
        <w:rPr>
          <w:lang w:eastAsia="es-ES"/>
        </w:rPr>
        <w:t>otros,</w:t>
      </w:r>
      <w:r w:rsidRPr="005A0E23">
        <w:rPr>
          <w:vertAlign w:val="superscript"/>
          <w:lang w:eastAsia="es-ES"/>
        </w:rPr>
        <w:t>(</w:t>
      </w:r>
      <w:proofErr w:type="gramEnd"/>
      <w:r w:rsidRPr="005A0E23">
        <w:rPr>
          <w:vertAlign w:val="superscript"/>
          <w:lang w:eastAsia="es-ES"/>
        </w:rPr>
        <w:t>11)</w:t>
      </w:r>
      <w:r w:rsidRPr="005A0E23">
        <w:rPr>
          <w:lang w:eastAsia="es-ES"/>
        </w:rPr>
        <w:t xml:space="preserve"> el 57,1 % era del sexo femenino; sin coincidencia con esta serie. </w:t>
      </w:r>
    </w:p>
    <w:p w14:paraId="682EE7EE" w14:textId="77777777" w:rsidR="005A0E23" w:rsidRPr="005A0E23" w:rsidRDefault="005A0E23" w:rsidP="005A0E23">
      <w:pPr>
        <w:spacing w:line="360" w:lineRule="auto"/>
        <w:jc w:val="both"/>
        <w:rPr>
          <w:lang w:eastAsia="es-ES"/>
        </w:rPr>
      </w:pPr>
      <w:r w:rsidRPr="005A0E23">
        <w:rPr>
          <w:lang w:eastAsia="es-ES"/>
        </w:rPr>
        <w:t xml:space="preserve">En el presente trabajo, como en otras series revisadas, la principal causa de ingreso fue la de tipo clínico, al ser el tipo de enfermedad que más afecta a la población. En un estudio realizado </w:t>
      </w:r>
      <w:r w:rsidRPr="005A0E23">
        <w:rPr>
          <w:i/>
          <w:lang w:val="es-CR" w:eastAsia="es-ES"/>
        </w:rPr>
        <w:t>Martins GS</w:t>
      </w:r>
      <w:r w:rsidRPr="005A0E23">
        <w:rPr>
          <w:lang w:eastAsia="es-ES"/>
        </w:rPr>
        <w:t xml:space="preserve"> y </w:t>
      </w:r>
      <w:proofErr w:type="gramStart"/>
      <w:r w:rsidRPr="005A0E23">
        <w:rPr>
          <w:lang w:eastAsia="es-ES"/>
        </w:rPr>
        <w:t>otros,</w:t>
      </w:r>
      <w:r w:rsidRPr="005A0E23">
        <w:rPr>
          <w:vertAlign w:val="superscript"/>
          <w:lang w:eastAsia="es-ES"/>
        </w:rPr>
        <w:t>(</w:t>
      </w:r>
      <w:proofErr w:type="gramEnd"/>
      <w:r w:rsidRPr="005A0E23">
        <w:rPr>
          <w:vertAlign w:val="superscript"/>
          <w:lang w:eastAsia="es-ES"/>
        </w:rPr>
        <w:t>12)</w:t>
      </w:r>
      <w:r w:rsidRPr="005A0E23">
        <w:rPr>
          <w:lang w:eastAsia="es-ES"/>
        </w:rPr>
        <w:t xml:space="preserve"> en una UCI de adultos que no recibe pacientes con traumas; el 84 % de los ingresos fueron por causas clínicas e incluyeron enfermedades respiratorias, cardiovasculares, neurológicas, infecciosas, inflamatorias e intoxicaciones;</w:t>
      </w:r>
      <w:r w:rsidRPr="005A0E23">
        <w:rPr>
          <w:vertAlign w:val="superscript"/>
          <w:lang w:eastAsia="es-ES"/>
        </w:rPr>
        <w:t xml:space="preserve"> </w:t>
      </w:r>
      <w:r w:rsidRPr="005A0E23">
        <w:rPr>
          <w:lang w:eastAsia="es-ES"/>
        </w:rPr>
        <w:t>porcentaje muy superior al de esta serie.</w:t>
      </w:r>
    </w:p>
    <w:p w14:paraId="6A847644" w14:textId="77777777" w:rsidR="005A0E23" w:rsidRPr="005A0E23" w:rsidRDefault="005A0E23" w:rsidP="005A0E23">
      <w:pPr>
        <w:spacing w:line="360" w:lineRule="auto"/>
        <w:contextualSpacing/>
        <w:jc w:val="both"/>
        <w:rPr>
          <w:lang w:val="es-ES" w:eastAsia="es-ES"/>
        </w:rPr>
      </w:pPr>
      <w:r w:rsidRPr="005A0E23">
        <w:rPr>
          <w:lang w:eastAsia="es-ES"/>
        </w:rPr>
        <w:t xml:space="preserve">Una investigación de </w:t>
      </w:r>
      <w:r w:rsidRPr="005A0E23">
        <w:rPr>
          <w:i/>
          <w:lang w:val="es-CR" w:eastAsia="es-ES"/>
        </w:rPr>
        <w:t>Engebretsen S</w:t>
      </w:r>
      <w:r w:rsidRPr="005A0E23">
        <w:rPr>
          <w:vertAlign w:val="superscript"/>
          <w:lang w:eastAsia="es-ES"/>
        </w:rPr>
        <w:t xml:space="preserve"> </w:t>
      </w:r>
      <w:r w:rsidRPr="005A0E23">
        <w:rPr>
          <w:lang w:eastAsia="es-ES"/>
        </w:rPr>
        <w:t xml:space="preserve">y </w:t>
      </w:r>
      <w:proofErr w:type="gramStart"/>
      <w:r w:rsidRPr="005A0E23">
        <w:rPr>
          <w:lang w:eastAsia="es-ES"/>
        </w:rPr>
        <w:t>otros</w:t>
      </w:r>
      <w:r w:rsidRPr="005A0E23">
        <w:rPr>
          <w:vertAlign w:val="superscript"/>
          <w:lang w:eastAsia="es-ES"/>
        </w:rPr>
        <w:t>(</w:t>
      </w:r>
      <w:proofErr w:type="gramEnd"/>
      <w:r w:rsidRPr="005A0E23">
        <w:rPr>
          <w:vertAlign w:val="superscript"/>
          <w:lang w:eastAsia="es-ES"/>
        </w:rPr>
        <w:t>13)</w:t>
      </w:r>
      <w:r w:rsidRPr="005A0E23">
        <w:rPr>
          <w:lang w:eastAsia="es-ES"/>
        </w:rPr>
        <w:t xml:space="preserve"> encontró las causas clínicas, como los principales diagnósticos al egreso de la UCI, entre ellas: el envenenamiento agudo  (24 %), seguida por causas cardiacas/circulatorias (21,1 %), y las infecciones (19,1 %). </w:t>
      </w:r>
    </w:p>
    <w:p w14:paraId="76BA029D" w14:textId="77777777" w:rsidR="005A0E23" w:rsidRPr="005A0E23" w:rsidRDefault="005A0E23" w:rsidP="005A0E23">
      <w:pPr>
        <w:spacing w:line="360" w:lineRule="auto"/>
        <w:contextualSpacing/>
        <w:jc w:val="both"/>
        <w:rPr>
          <w:lang w:val="es-ES" w:eastAsia="es-ES"/>
        </w:rPr>
      </w:pPr>
      <w:r w:rsidRPr="005A0E23">
        <w:rPr>
          <w:lang w:eastAsia="es-ES"/>
        </w:rPr>
        <w:t xml:space="preserve">Las causas más frecuentes de traumas en una UCI de Taiwán, según </w:t>
      </w:r>
      <w:r w:rsidRPr="005A0E23">
        <w:rPr>
          <w:i/>
          <w:lang w:val="es-CR" w:eastAsia="es-ES"/>
        </w:rPr>
        <w:t>Chiang YT</w:t>
      </w:r>
      <w:r w:rsidRPr="005A0E23">
        <w:rPr>
          <w:vertAlign w:val="superscript"/>
          <w:lang w:eastAsia="es-ES"/>
        </w:rPr>
        <w:t xml:space="preserve"> </w:t>
      </w:r>
      <w:r w:rsidRPr="005A0E23">
        <w:rPr>
          <w:lang w:eastAsia="es-ES"/>
        </w:rPr>
        <w:t xml:space="preserve">y </w:t>
      </w:r>
      <w:proofErr w:type="gramStart"/>
      <w:r w:rsidRPr="005A0E23">
        <w:rPr>
          <w:lang w:eastAsia="es-ES"/>
        </w:rPr>
        <w:t>otros</w:t>
      </w:r>
      <w:r w:rsidRPr="005A0E23">
        <w:rPr>
          <w:vertAlign w:val="superscript"/>
          <w:lang w:eastAsia="es-ES"/>
        </w:rPr>
        <w:t>(</w:t>
      </w:r>
      <w:proofErr w:type="gramEnd"/>
      <w:r w:rsidRPr="005A0E23">
        <w:rPr>
          <w:vertAlign w:val="superscript"/>
          <w:lang w:eastAsia="es-ES"/>
        </w:rPr>
        <w:t>14)</w:t>
      </w:r>
      <w:r w:rsidRPr="005A0E23">
        <w:rPr>
          <w:lang w:eastAsia="es-ES"/>
        </w:rPr>
        <w:t xml:space="preserve"> fueron las caídas, accidentes de tránsito, quemaduras, heridas penetrantes, lesiones por aplastamiento y lesiones por electricidad e iluminación, en orden decreciente.</w:t>
      </w:r>
      <w:r w:rsidRPr="005A0E23">
        <w:rPr>
          <w:lang w:val="es-ES" w:eastAsia="es-ES"/>
        </w:rPr>
        <w:t xml:space="preserve"> Según </w:t>
      </w:r>
      <w:r w:rsidRPr="005A0E23">
        <w:rPr>
          <w:i/>
          <w:lang w:val="es-CR" w:eastAsia="es-ES"/>
        </w:rPr>
        <w:t>Gulati A</w:t>
      </w:r>
      <w:r w:rsidRPr="005A0E23">
        <w:rPr>
          <w:vertAlign w:val="superscript"/>
          <w:lang w:eastAsia="es-ES"/>
        </w:rPr>
        <w:t xml:space="preserve"> </w:t>
      </w:r>
      <w:r w:rsidRPr="005A0E23">
        <w:rPr>
          <w:lang w:eastAsia="es-ES"/>
        </w:rPr>
        <w:t xml:space="preserve">y </w:t>
      </w:r>
      <w:proofErr w:type="gramStart"/>
      <w:r w:rsidRPr="005A0E23">
        <w:rPr>
          <w:lang w:eastAsia="es-ES"/>
        </w:rPr>
        <w:t>otros,</w:t>
      </w:r>
      <w:r w:rsidRPr="005A0E23">
        <w:rPr>
          <w:vertAlign w:val="superscript"/>
          <w:lang w:eastAsia="es-ES"/>
        </w:rPr>
        <w:t>(</w:t>
      </w:r>
      <w:proofErr w:type="gramEnd"/>
      <w:r w:rsidRPr="005A0E23">
        <w:rPr>
          <w:vertAlign w:val="superscript"/>
          <w:lang w:eastAsia="es-ES"/>
        </w:rPr>
        <w:t xml:space="preserve">15) </w:t>
      </w:r>
      <w:r w:rsidRPr="005A0E23">
        <w:rPr>
          <w:lang w:val="es-ES" w:eastAsia="es-ES"/>
        </w:rPr>
        <w:t>e</w:t>
      </w:r>
      <w:r w:rsidRPr="005A0E23">
        <w:rPr>
          <w:lang w:eastAsia="es-ES"/>
        </w:rPr>
        <w:t xml:space="preserve">l trauma (n= 42), gastroenteritis (n= 35), poscirugía (n= 8), hemorragia posparto (n= 8) y el sangramiento vaginal (n= 9) fueron las causas más frecuentes de </w:t>
      </w:r>
      <w:r w:rsidRPr="005A0E23">
        <w:rPr>
          <w:i/>
          <w:lang w:eastAsia="es-ES"/>
        </w:rPr>
        <w:t>shock</w:t>
      </w:r>
      <w:r w:rsidRPr="005A0E23">
        <w:rPr>
          <w:lang w:eastAsia="es-ES"/>
        </w:rPr>
        <w:t xml:space="preserve"> hipovolémico en un estudio multicéntrico en la India, o sea, los traumatismos constituyeron el principal motivo de ingreso en la UCI, en adultos jóvenes. </w:t>
      </w:r>
    </w:p>
    <w:p w14:paraId="59034129" w14:textId="77777777" w:rsidR="005A0E23" w:rsidRPr="005A0E23" w:rsidRDefault="005A0E23" w:rsidP="005A0E23">
      <w:pPr>
        <w:spacing w:line="360" w:lineRule="auto"/>
        <w:contextualSpacing/>
        <w:jc w:val="both"/>
      </w:pPr>
      <w:r w:rsidRPr="005A0E23">
        <w:t xml:space="preserve">Un estudio de </w:t>
      </w:r>
      <w:r w:rsidRPr="005A0E23">
        <w:rPr>
          <w:i/>
          <w:lang w:val="es-CR" w:eastAsia="es-ES"/>
        </w:rPr>
        <w:t>Kaydu A</w:t>
      </w:r>
      <w:r w:rsidRPr="005A0E23">
        <w:rPr>
          <w:vertAlign w:val="superscript"/>
        </w:rPr>
        <w:t xml:space="preserve"> </w:t>
      </w:r>
      <w:r w:rsidRPr="005A0E23">
        <w:t xml:space="preserve">y </w:t>
      </w:r>
      <w:proofErr w:type="gramStart"/>
      <w:r w:rsidRPr="005A0E23">
        <w:t>otros,</w:t>
      </w:r>
      <w:r w:rsidRPr="005A0E23">
        <w:rPr>
          <w:vertAlign w:val="superscript"/>
        </w:rPr>
        <w:t>(</w:t>
      </w:r>
      <w:proofErr w:type="gramEnd"/>
      <w:r w:rsidRPr="005A0E23">
        <w:rPr>
          <w:vertAlign w:val="superscript"/>
        </w:rPr>
        <w:t>16)</w:t>
      </w:r>
      <w:r w:rsidRPr="005A0E23">
        <w:t xml:space="preserve"> sobre la relación entre la presión arterial de oxígeno y la mortalidad, halló como principales causas de ingreso, enfermedades cardiovasculares, diabetes mellitus, hipertensión arterial, enfermedades respiratorias y malignas. La tasa más alta de fallecidos correspondió al grupo proveniente del área clínica y el mayor número de egresados vivos, de la quirúrgica.</w:t>
      </w:r>
      <w:r w:rsidRPr="005A0E23">
        <w:rPr>
          <w:vertAlign w:val="superscript"/>
        </w:rPr>
        <w:t xml:space="preserve"> </w:t>
      </w:r>
    </w:p>
    <w:p w14:paraId="6CE7B31C" w14:textId="77777777" w:rsidR="005A0E23" w:rsidRPr="005A0E23" w:rsidRDefault="005A0E23" w:rsidP="005A0E23">
      <w:pPr>
        <w:spacing w:line="360" w:lineRule="auto"/>
        <w:contextualSpacing/>
        <w:jc w:val="both"/>
        <w:rPr>
          <w:lang w:eastAsia="es-ES"/>
        </w:rPr>
      </w:pPr>
      <w:r w:rsidRPr="005A0E23">
        <w:rPr>
          <w:lang w:eastAsia="es-ES"/>
        </w:rPr>
        <w:t xml:space="preserve">Para </w:t>
      </w:r>
      <w:r w:rsidRPr="005A0E23">
        <w:rPr>
          <w:i/>
          <w:lang w:eastAsia="es-ES"/>
        </w:rPr>
        <w:t xml:space="preserve">Brakenridge </w:t>
      </w:r>
      <w:r w:rsidRPr="005A0E23">
        <w:rPr>
          <w:iCs/>
          <w:lang w:eastAsia="es-ES"/>
        </w:rPr>
        <w:t xml:space="preserve">y </w:t>
      </w:r>
      <w:proofErr w:type="gramStart"/>
      <w:r w:rsidRPr="005A0E23">
        <w:rPr>
          <w:iCs/>
          <w:lang w:eastAsia="es-ES"/>
        </w:rPr>
        <w:t>otros,</w:t>
      </w:r>
      <w:r w:rsidRPr="005A0E23">
        <w:rPr>
          <w:vertAlign w:val="superscript"/>
        </w:rPr>
        <w:t>(</w:t>
      </w:r>
      <w:proofErr w:type="gramEnd"/>
      <w:r w:rsidRPr="005A0E23">
        <w:rPr>
          <w:vertAlign w:val="superscript"/>
        </w:rPr>
        <w:t>17)</w:t>
      </w:r>
      <w:r w:rsidRPr="005A0E23">
        <w:t xml:space="preserve"> los 4 motivos de ingreso fueron la sepsis intraabdominal, (19,1 %)</w:t>
      </w:r>
      <w:r w:rsidRPr="005A0E23">
        <w:rPr>
          <w:lang w:eastAsia="es-ES"/>
        </w:rPr>
        <w:t xml:space="preserve"> infección necrotizante de tejido blando </w:t>
      </w:r>
      <w:r w:rsidRPr="005A0E23">
        <w:t xml:space="preserve">(27,7 %), procedimientos quirúrgicos planificados (14,9 %) y el trauma (14,9 %). En un trabajo sobre las características, manejo y evolución de los pacientes con trauma grave, realizado por </w:t>
      </w:r>
      <w:r w:rsidRPr="005A0E23">
        <w:rPr>
          <w:i/>
          <w:lang w:eastAsia="es-ES"/>
        </w:rPr>
        <w:t>Ruiz C</w:t>
      </w:r>
      <w:r w:rsidRPr="005A0E23">
        <w:rPr>
          <w:vertAlign w:val="superscript"/>
        </w:rPr>
        <w:t xml:space="preserve"> </w:t>
      </w:r>
      <w:r w:rsidRPr="005A0E23">
        <w:t xml:space="preserve">y </w:t>
      </w:r>
      <w:proofErr w:type="gramStart"/>
      <w:r w:rsidRPr="005A0E23">
        <w:t>otros,</w:t>
      </w:r>
      <w:r w:rsidRPr="005A0E23">
        <w:rPr>
          <w:vertAlign w:val="superscript"/>
        </w:rPr>
        <w:t>(</w:t>
      </w:r>
      <w:proofErr w:type="gramEnd"/>
      <w:r w:rsidRPr="005A0E23">
        <w:rPr>
          <w:vertAlign w:val="superscript"/>
        </w:rPr>
        <w:t>18)</w:t>
      </w:r>
      <w:r w:rsidRPr="005A0E23">
        <w:t xml:space="preserve"> la mortalidad por traumas en la UCI fue de un 12,5 %.</w:t>
      </w:r>
    </w:p>
    <w:p w14:paraId="0FCF249F" w14:textId="77777777" w:rsidR="005A0E23" w:rsidRPr="005A0E23" w:rsidRDefault="005A0E23" w:rsidP="005A0E23">
      <w:pPr>
        <w:spacing w:line="360" w:lineRule="auto"/>
        <w:jc w:val="both"/>
        <w:rPr>
          <w:lang w:val="es-ES" w:eastAsia="es-ES"/>
        </w:rPr>
      </w:pPr>
      <w:r w:rsidRPr="005A0E23">
        <w:rPr>
          <w:snapToGrid w:val="0"/>
          <w:lang w:eastAsia="en-US"/>
        </w:rPr>
        <w:t xml:space="preserve">La media y la mediana en los valores de la escala APACHE II de esta serie fueron inferiores al de los artículos revisados, esto pudiera estar en relación con el tipo de UCI y de pacientes que reciben estas unidades. </w:t>
      </w:r>
      <w:r w:rsidRPr="005A0E23">
        <w:rPr>
          <w:lang w:eastAsia="es-ES"/>
        </w:rPr>
        <w:t xml:space="preserve">En el estudio de </w:t>
      </w:r>
      <w:r w:rsidRPr="005A0E23">
        <w:rPr>
          <w:i/>
          <w:lang w:val="es-CR" w:eastAsia="es-ES"/>
        </w:rPr>
        <w:t xml:space="preserve">Martins </w:t>
      </w:r>
      <w:proofErr w:type="gramStart"/>
      <w:r w:rsidRPr="005A0E23">
        <w:rPr>
          <w:i/>
          <w:lang w:val="es-CR" w:eastAsia="es-ES"/>
        </w:rPr>
        <w:t>GS</w:t>
      </w:r>
      <w:r w:rsidRPr="005A0E23">
        <w:rPr>
          <w:iCs/>
          <w:lang w:val="es-CR" w:eastAsia="es-ES"/>
        </w:rPr>
        <w:t>,</w:t>
      </w:r>
      <w:r w:rsidRPr="005A0E23">
        <w:rPr>
          <w:vertAlign w:val="superscript"/>
          <w:lang w:eastAsia="es-ES"/>
        </w:rPr>
        <w:t>(</w:t>
      </w:r>
      <w:proofErr w:type="gramEnd"/>
      <w:r w:rsidRPr="005A0E23">
        <w:rPr>
          <w:vertAlign w:val="superscript"/>
          <w:lang w:eastAsia="es-ES"/>
        </w:rPr>
        <w:t>12)</w:t>
      </w:r>
      <w:r w:rsidRPr="005A0E23">
        <w:rPr>
          <w:lang w:eastAsia="es-ES"/>
        </w:rPr>
        <w:t xml:space="preserve"> el valor medio del APACHE II en el adulto joven fue de 16 </w:t>
      </w:r>
      <w:r w:rsidRPr="005A0E23">
        <w:rPr>
          <w:lang w:eastAsia="es-ES"/>
        </w:rPr>
        <w:lastRenderedPageBreak/>
        <w:t>puntos</w:t>
      </w:r>
      <w:r w:rsidRPr="005A0E23">
        <w:rPr>
          <w:vertAlign w:val="superscript"/>
          <w:lang w:eastAsia="es-ES"/>
        </w:rPr>
        <w:t xml:space="preserve"> </w:t>
      </w:r>
      <w:r w:rsidRPr="005A0E23">
        <w:rPr>
          <w:lang w:eastAsia="es-ES"/>
        </w:rPr>
        <w:t xml:space="preserve">y </w:t>
      </w:r>
      <w:r w:rsidRPr="005A0E23">
        <w:t xml:space="preserve">en la serie de </w:t>
      </w:r>
      <w:r w:rsidRPr="005A0E23">
        <w:rPr>
          <w:i/>
          <w:lang w:eastAsia="es-ES"/>
        </w:rPr>
        <w:t>Brakenridge SC</w:t>
      </w:r>
      <w:r w:rsidRPr="005A0E23">
        <w:rPr>
          <w:iCs/>
          <w:lang w:eastAsia="es-ES"/>
        </w:rPr>
        <w:t>,</w:t>
      </w:r>
      <w:r w:rsidRPr="005A0E23">
        <w:rPr>
          <w:vertAlign w:val="superscript"/>
        </w:rPr>
        <w:t>(</w:t>
      </w:r>
      <w:r w:rsidRPr="005A0E23">
        <w:rPr>
          <w:bCs/>
          <w:vertAlign w:val="superscript"/>
        </w:rPr>
        <w:t>17)</w:t>
      </w:r>
      <w:r w:rsidRPr="005A0E23">
        <w:t xml:space="preserve"> la mediana del APACHE II fue de 18 puntos.</w:t>
      </w:r>
      <w:r w:rsidRPr="005A0E23">
        <w:rPr>
          <w:bCs/>
          <w:vertAlign w:val="superscript"/>
        </w:rPr>
        <w:t xml:space="preserve"> </w:t>
      </w:r>
      <w:r w:rsidRPr="005A0E23">
        <w:rPr>
          <w:i/>
        </w:rPr>
        <w:t xml:space="preserve"> Kaydu A </w:t>
      </w:r>
      <w:r w:rsidRPr="005A0E23">
        <w:rPr>
          <w:iCs/>
        </w:rPr>
        <w:t xml:space="preserve">y </w:t>
      </w:r>
      <w:proofErr w:type="gramStart"/>
      <w:r w:rsidRPr="005A0E23">
        <w:rPr>
          <w:iCs/>
        </w:rPr>
        <w:t>otros</w:t>
      </w:r>
      <w:r w:rsidRPr="005A0E23">
        <w:rPr>
          <w:vertAlign w:val="superscript"/>
        </w:rPr>
        <w:t>(</w:t>
      </w:r>
      <w:proofErr w:type="gramEnd"/>
      <w:r w:rsidRPr="005A0E23">
        <w:rPr>
          <w:vertAlign w:val="superscript"/>
        </w:rPr>
        <w:t>16)</w:t>
      </w:r>
      <w:r w:rsidRPr="005A0E23">
        <w:t xml:space="preserve"> hallaron un APACHE II medio en los egresados vivos, de 18,38 ± 6,39, con mediana de 18; mientras en los fallecidos fue de 24,61 ± 5,99 y mediana de 24. En un estudio prospectivo observacional conducido por </w:t>
      </w:r>
      <w:r w:rsidRPr="005A0E23">
        <w:rPr>
          <w:i/>
          <w:lang w:val="es-CR" w:eastAsia="es-ES"/>
        </w:rPr>
        <w:t>Goswami J</w:t>
      </w:r>
      <w:r w:rsidRPr="005A0E23">
        <w:t xml:space="preserve"> y </w:t>
      </w:r>
      <w:proofErr w:type="gramStart"/>
      <w:r w:rsidRPr="005A0E23">
        <w:t>otros</w:t>
      </w:r>
      <w:r w:rsidRPr="005A0E23">
        <w:rPr>
          <w:vertAlign w:val="superscript"/>
        </w:rPr>
        <w:t>(</w:t>
      </w:r>
      <w:proofErr w:type="gramEnd"/>
      <w:r w:rsidRPr="005A0E23">
        <w:rPr>
          <w:vertAlign w:val="superscript"/>
        </w:rPr>
        <w:t>19)</w:t>
      </w:r>
      <w:r w:rsidRPr="005A0E23">
        <w:t xml:space="preserve"> en 14 UCI de la India, el valor medio del APACHE II en fallecidos es de 35,79 ± 6,16 y en egresados vivos, de 23,37 ± 2,87 puntos.</w:t>
      </w:r>
    </w:p>
    <w:p w14:paraId="18BCAD86" w14:textId="77777777" w:rsidR="005A0E23" w:rsidRPr="005A0E23" w:rsidRDefault="005A0E23" w:rsidP="005A0E23">
      <w:pPr>
        <w:spacing w:line="360" w:lineRule="auto"/>
        <w:jc w:val="both"/>
        <w:rPr>
          <w:lang w:eastAsia="es-ES"/>
        </w:rPr>
      </w:pPr>
      <w:r w:rsidRPr="005A0E23">
        <w:rPr>
          <w:snapToGrid w:val="0"/>
          <w:lang w:eastAsia="en-US"/>
        </w:rPr>
        <w:t xml:space="preserve">La VM en el adulto joven fue elevada, comparada con otros trabajos analizados; solo en </w:t>
      </w:r>
      <w:proofErr w:type="gramStart"/>
      <w:r w:rsidRPr="005A0E23">
        <w:rPr>
          <w:snapToGrid w:val="0"/>
          <w:lang w:eastAsia="en-US"/>
        </w:rPr>
        <w:t>uno</w:t>
      </w:r>
      <w:r w:rsidRPr="005A0E23">
        <w:rPr>
          <w:vertAlign w:val="superscript"/>
          <w:lang w:eastAsia="es-ES"/>
        </w:rPr>
        <w:t>(</w:t>
      </w:r>
      <w:proofErr w:type="gramEnd"/>
      <w:r w:rsidRPr="005A0E23">
        <w:rPr>
          <w:vertAlign w:val="superscript"/>
          <w:lang w:eastAsia="es-ES"/>
        </w:rPr>
        <w:t>12)</w:t>
      </w:r>
      <w:r w:rsidRPr="005A0E23">
        <w:rPr>
          <w:lang w:eastAsia="es-ES"/>
        </w:rPr>
        <w:t xml:space="preserve"> </w:t>
      </w:r>
      <w:r w:rsidRPr="005A0E23">
        <w:rPr>
          <w:snapToGrid w:val="0"/>
          <w:lang w:eastAsia="en-US"/>
        </w:rPr>
        <w:t>fue mayor, lo que depende del tipo de enfermedades con los que ingresan estos pacientes.</w:t>
      </w:r>
      <w:r w:rsidRPr="005A0E23">
        <w:rPr>
          <w:lang w:eastAsia="es-ES"/>
        </w:rPr>
        <w:t xml:space="preserve"> El 75 % de los adultos jóvenes recibió VM, en el trabajo realizado por </w:t>
      </w:r>
      <w:r w:rsidRPr="005A0E23">
        <w:rPr>
          <w:i/>
          <w:lang w:val="es-CR" w:eastAsia="es-ES"/>
        </w:rPr>
        <w:t>Martins GS</w:t>
      </w:r>
      <w:r w:rsidRPr="005A0E23">
        <w:rPr>
          <w:lang w:eastAsia="es-ES"/>
        </w:rPr>
        <w:t>;</w:t>
      </w:r>
      <w:r w:rsidRPr="005A0E23">
        <w:rPr>
          <w:vertAlign w:val="superscript"/>
          <w:lang w:eastAsia="es-ES"/>
        </w:rPr>
        <w:t>(12)</w:t>
      </w:r>
      <w:r w:rsidRPr="005A0E23">
        <w:rPr>
          <w:lang w:eastAsia="es-ES"/>
        </w:rPr>
        <w:t xml:space="preserve"> lo que representa un porcentaje muy superior al de esta serie. Sin embargo, en otras 2 investigaciones, fue inferior: el trabajo realizados por </w:t>
      </w:r>
      <w:r w:rsidRPr="005A0E23">
        <w:rPr>
          <w:i/>
          <w:lang w:val="es-CR" w:eastAsia="es-ES"/>
        </w:rPr>
        <w:t xml:space="preserve">Engebretsen </w:t>
      </w:r>
      <w:proofErr w:type="gramStart"/>
      <w:r w:rsidRPr="005A0E23">
        <w:rPr>
          <w:i/>
          <w:lang w:val="es-CR" w:eastAsia="es-ES"/>
        </w:rPr>
        <w:t>S</w:t>
      </w:r>
      <w:r w:rsidRPr="005A0E23">
        <w:rPr>
          <w:vertAlign w:val="superscript"/>
          <w:lang w:eastAsia="es-ES"/>
        </w:rPr>
        <w:t>(</w:t>
      </w:r>
      <w:proofErr w:type="gramEnd"/>
      <w:r w:rsidRPr="005A0E23">
        <w:rPr>
          <w:vertAlign w:val="superscript"/>
          <w:lang w:eastAsia="es-ES"/>
        </w:rPr>
        <w:t>13)</w:t>
      </w:r>
      <w:r w:rsidRPr="005A0E23">
        <w:rPr>
          <w:lang w:eastAsia="es-ES"/>
        </w:rPr>
        <w:t xml:space="preserve"> (9,1 %) y </w:t>
      </w:r>
      <w:r w:rsidRPr="005A0E23">
        <w:rPr>
          <w:i/>
          <w:lang w:val="es-CR" w:eastAsia="es-ES"/>
        </w:rPr>
        <w:t>He Q</w:t>
      </w:r>
      <w:r w:rsidRPr="005A0E23">
        <w:rPr>
          <w:vertAlign w:val="superscript"/>
          <w:lang w:eastAsia="es-ES"/>
        </w:rPr>
        <w:t xml:space="preserve"> </w:t>
      </w:r>
      <w:r w:rsidRPr="005A0E23">
        <w:rPr>
          <w:lang w:eastAsia="es-ES"/>
        </w:rPr>
        <w:t>y otros</w:t>
      </w:r>
      <w:r w:rsidRPr="005A0E23">
        <w:rPr>
          <w:vertAlign w:val="superscript"/>
          <w:lang w:eastAsia="es-ES"/>
        </w:rPr>
        <w:t xml:space="preserve">(20) </w:t>
      </w:r>
      <w:r w:rsidRPr="005A0E23">
        <w:rPr>
          <w:lang w:eastAsia="es-ES"/>
        </w:rPr>
        <w:t xml:space="preserve"> (22,4 %). En el de </w:t>
      </w:r>
      <w:r w:rsidRPr="005A0E23">
        <w:rPr>
          <w:i/>
          <w:lang w:val="es-CR" w:eastAsia="es-ES"/>
        </w:rPr>
        <w:t xml:space="preserve">Gulati </w:t>
      </w:r>
      <w:proofErr w:type="gramStart"/>
      <w:r w:rsidRPr="005A0E23">
        <w:rPr>
          <w:i/>
          <w:lang w:val="es-CR" w:eastAsia="es-ES"/>
        </w:rPr>
        <w:t>A</w:t>
      </w:r>
      <w:r w:rsidRPr="005A0E23">
        <w:rPr>
          <w:i/>
          <w:iCs/>
          <w:lang w:eastAsia="es-ES"/>
        </w:rPr>
        <w:t>,</w:t>
      </w:r>
      <w:r w:rsidRPr="005A0E23">
        <w:rPr>
          <w:vertAlign w:val="superscript"/>
          <w:lang w:eastAsia="es-ES"/>
        </w:rPr>
        <w:t>(</w:t>
      </w:r>
      <w:proofErr w:type="gramEnd"/>
      <w:r w:rsidRPr="005A0E23">
        <w:rPr>
          <w:vertAlign w:val="superscript"/>
        </w:rPr>
        <w:t>15)</w:t>
      </w:r>
      <w:r w:rsidRPr="005A0E23">
        <w:rPr>
          <w:lang w:eastAsia="es-ES"/>
        </w:rPr>
        <w:t xml:space="preserve"> el 5,9 % recibió VM.</w:t>
      </w:r>
    </w:p>
    <w:p w14:paraId="1959A547" w14:textId="77777777" w:rsidR="005A0E23" w:rsidRPr="005A0E23" w:rsidRDefault="005A0E23" w:rsidP="005A0E23">
      <w:pPr>
        <w:spacing w:line="360" w:lineRule="auto"/>
        <w:jc w:val="both"/>
        <w:rPr>
          <w:vertAlign w:val="superscript"/>
        </w:rPr>
      </w:pPr>
      <w:r w:rsidRPr="005A0E23">
        <w:rPr>
          <w:snapToGrid w:val="0"/>
          <w:lang w:eastAsia="en-US"/>
        </w:rPr>
        <w:t>En cuanto a la estadía, se apreció en las investigaciones revisadas, que algunas estaban por encima y otras por debajo al de presente trabajo, lo cual se relaciona con el tipo de UCI y enfermedades causa de ingreso.</w:t>
      </w:r>
      <w:r w:rsidRPr="005A0E23">
        <w:t xml:space="preserve"> E</w:t>
      </w:r>
      <w:r w:rsidRPr="005A0E23">
        <w:rPr>
          <w:snapToGrid w:val="0"/>
          <w:lang w:eastAsia="en-US"/>
        </w:rPr>
        <w:t xml:space="preserve">n el </w:t>
      </w:r>
      <w:r w:rsidRPr="005A0E23">
        <w:rPr>
          <w:snapToGrid w:val="0"/>
          <w:lang w:val="es-ES" w:eastAsia="en-US"/>
        </w:rPr>
        <w:t>trabajo</w:t>
      </w:r>
      <w:r w:rsidRPr="005A0E23">
        <w:rPr>
          <w:snapToGrid w:val="0"/>
          <w:lang w:eastAsia="en-US"/>
        </w:rPr>
        <w:t xml:space="preserve"> de </w:t>
      </w:r>
      <w:r w:rsidRPr="005A0E23">
        <w:rPr>
          <w:i/>
          <w:lang w:val="es-CR" w:eastAsia="es-ES"/>
        </w:rPr>
        <w:t>Chiang YT</w:t>
      </w:r>
      <w:r w:rsidRPr="005A0E23">
        <w:rPr>
          <w:vertAlign w:val="superscript"/>
          <w:lang w:eastAsia="es-ES"/>
        </w:rPr>
        <w:t xml:space="preserve"> </w:t>
      </w:r>
      <w:r w:rsidRPr="005A0E23">
        <w:rPr>
          <w:lang w:eastAsia="es-ES"/>
        </w:rPr>
        <w:t xml:space="preserve">y </w:t>
      </w:r>
      <w:proofErr w:type="gramStart"/>
      <w:r w:rsidRPr="005A0E23">
        <w:rPr>
          <w:lang w:eastAsia="es-ES"/>
        </w:rPr>
        <w:t>otros,</w:t>
      </w:r>
      <w:r w:rsidRPr="005A0E23">
        <w:rPr>
          <w:vertAlign w:val="superscript"/>
          <w:lang w:eastAsia="es-ES"/>
        </w:rPr>
        <w:t>(</w:t>
      </w:r>
      <w:proofErr w:type="gramEnd"/>
      <w:r w:rsidRPr="005A0E23">
        <w:rPr>
          <w:vertAlign w:val="superscript"/>
          <w:lang w:eastAsia="es-ES"/>
        </w:rPr>
        <w:t>14)</w:t>
      </w:r>
      <w:r w:rsidRPr="005A0E23">
        <w:rPr>
          <w:snapToGrid w:val="0"/>
          <w:lang w:eastAsia="en-US"/>
        </w:rPr>
        <w:t xml:space="preserve"> la </w:t>
      </w:r>
      <w:r w:rsidRPr="005A0E23">
        <w:rPr>
          <w:snapToGrid w:val="0"/>
          <w:lang w:val="es-ES" w:eastAsia="en-US"/>
        </w:rPr>
        <w:t>estadía</w:t>
      </w:r>
      <w:r w:rsidRPr="005A0E23">
        <w:rPr>
          <w:snapToGrid w:val="0"/>
          <w:lang w:eastAsia="en-US"/>
        </w:rPr>
        <w:t xml:space="preserve"> media </w:t>
      </w:r>
      <w:r w:rsidRPr="005A0E23">
        <w:rPr>
          <w:snapToGrid w:val="0"/>
          <w:lang w:val="es-ES" w:eastAsia="en-US"/>
        </w:rPr>
        <w:t>fue</w:t>
      </w:r>
      <w:r w:rsidRPr="005A0E23">
        <w:rPr>
          <w:snapToGrid w:val="0"/>
          <w:lang w:eastAsia="en-US"/>
        </w:rPr>
        <w:t xml:space="preserve"> de </w:t>
      </w:r>
      <w:r w:rsidRPr="005A0E23">
        <w:rPr>
          <w:lang w:eastAsia="es-ES"/>
        </w:rPr>
        <w:t>3 días;</w:t>
      </w:r>
      <w:r w:rsidRPr="005A0E23">
        <w:rPr>
          <w:vertAlign w:val="superscript"/>
          <w:lang w:eastAsia="es-ES"/>
        </w:rPr>
        <w:t xml:space="preserve"> </w:t>
      </w:r>
      <w:r w:rsidRPr="005A0E23">
        <w:t>en</w:t>
      </w:r>
      <w:r w:rsidRPr="005A0E23">
        <w:rPr>
          <w:lang w:val="es-ES"/>
        </w:rPr>
        <w:t xml:space="preserve"> una</w:t>
      </w:r>
      <w:r w:rsidRPr="005A0E23">
        <w:t xml:space="preserve"> investigación de </w:t>
      </w:r>
      <w:r w:rsidRPr="005A0E23">
        <w:rPr>
          <w:i/>
          <w:lang w:val="es-CR" w:eastAsia="es-ES"/>
        </w:rPr>
        <w:t>Keskin K</w:t>
      </w:r>
      <w:r w:rsidRPr="005A0E23">
        <w:t xml:space="preserve"> y otros,</w:t>
      </w:r>
      <w:r w:rsidRPr="005A0E23">
        <w:rPr>
          <w:vertAlign w:val="superscript"/>
          <w:lang w:val="es-CU"/>
        </w:rPr>
        <w:t>(</w:t>
      </w:r>
      <w:r w:rsidRPr="005A0E23">
        <w:rPr>
          <w:vertAlign w:val="superscript"/>
        </w:rPr>
        <w:t>21)</w:t>
      </w:r>
      <w:r w:rsidRPr="005A0E23">
        <w:t xml:space="preserve"> en adultos </w:t>
      </w:r>
      <w:r w:rsidRPr="005A0E23">
        <w:rPr>
          <w:lang w:val="es-ES"/>
        </w:rPr>
        <w:t>jóvenes</w:t>
      </w:r>
      <w:r w:rsidRPr="005A0E23">
        <w:t xml:space="preserve"> con miocarditis, la </w:t>
      </w:r>
      <w:r w:rsidRPr="005A0E23">
        <w:rPr>
          <w:lang w:val="es-CU"/>
        </w:rPr>
        <w:t>estadía</w:t>
      </w:r>
      <w:r w:rsidRPr="005A0E23">
        <w:t xml:space="preserve"> media de 4,5 ± 1,7 </w:t>
      </w:r>
      <w:r w:rsidRPr="005A0E23">
        <w:rPr>
          <w:lang w:val="es-CU"/>
        </w:rPr>
        <w:t>días.</w:t>
      </w:r>
      <w:r w:rsidRPr="005A0E23">
        <w:rPr>
          <w:vertAlign w:val="superscript"/>
        </w:rPr>
        <w:t xml:space="preserve"> </w:t>
      </w:r>
      <w:r w:rsidRPr="005A0E23">
        <w:rPr>
          <w:lang w:eastAsia="es-ES"/>
        </w:rPr>
        <w:t xml:space="preserve">Estos 2 estudios muestran una estadía inferior al de la presente serie. En el estudio de </w:t>
      </w:r>
      <w:r w:rsidRPr="005A0E23">
        <w:rPr>
          <w:i/>
          <w:lang w:val="es-CR" w:eastAsia="es-ES"/>
        </w:rPr>
        <w:t xml:space="preserve">Martins </w:t>
      </w:r>
      <w:proofErr w:type="gramStart"/>
      <w:r w:rsidRPr="005A0E23">
        <w:rPr>
          <w:i/>
          <w:lang w:val="es-CR" w:eastAsia="es-ES"/>
        </w:rPr>
        <w:t>GS</w:t>
      </w:r>
      <w:r w:rsidRPr="005A0E23">
        <w:rPr>
          <w:iCs/>
          <w:lang w:val="es-CR" w:eastAsia="es-ES"/>
        </w:rPr>
        <w:t>,</w:t>
      </w:r>
      <w:r w:rsidRPr="005A0E23">
        <w:rPr>
          <w:vertAlign w:val="superscript"/>
          <w:lang w:eastAsia="es-ES"/>
        </w:rPr>
        <w:t>(</w:t>
      </w:r>
      <w:proofErr w:type="gramEnd"/>
      <w:r w:rsidRPr="005A0E23">
        <w:rPr>
          <w:vertAlign w:val="superscript"/>
          <w:lang w:eastAsia="es-ES"/>
        </w:rPr>
        <w:t xml:space="preserve">12) </w:t>
      </w:r>
      <w:r w:rsidRPr="005A0E23">
        <w:rPr>
          <w:lang w:eastAsia="es-ES"/>
        </w:rPr>
        <w:t xml:space="preserve">la estadía media fue de 9 días y en el de </w:t>
      </w:r>
      <w:r w:rsidRPr="005A0E23">
        <w:rPr>
          <w:i/>
        </w:rPr>
        <w:t xml:space="preserve">Kaydu A </w:t>
      </w:r>
      <w:r w:rsidRPr="005A0E23">
        <w:rPr>
          <w:iCs/>
        </w:rPr>
        <w:t>y otros</w:t>
      </w:r>
      <w:r w:rsidRPr="005A0E23">
        <w:rPr>
          <w:vertAlign w:val="superscript"/>
        </w:rPr>
        <w:t>(16)</w:t>
      </w:r>
      <w:r w:rsidRPr="005A0E23">
        <w:t xml:space="preserve"> hallaron una estadía en los fallecidos, de 13,99 ± 15,28, con mediana de 9 días; en los egresados vivos, de 17,31 ± 14,6 y 13 días, fueron</w:t>
      </w:r>
      <w:r w:rsidRPr="005A0E23">
        <w:rPr>
          <w:lang w:eastAsia="es-ES"/>
        </w:rPr>
        <w:t xml:space="preserve"> superiores al de esta serie.</w:t>
      </w:r>
    </w:p>
    <w:p w14:paraId="1F266618" w14:textId="77777777" w:rsidR="005A0E23" w:rsidRPr="005A0E23" w:rsidRDefault="005A0E23" w:rsidP="005A0E23">
      <w:pPr>
        <w:spacing w:line="360" w:lineRule="auto"/>
        <w:jc w:val="both"/>
        <w:rPr>
          <w:lang w:eastAsia="es-ES"/>
        </w:rPr>
      </w:pPr>
      <w:r w:rsidRPr="005A0E23">
        <w:rPr>
          <w:lang w:eastAsia="es-ES"/>
        </w:rPr>
        <w:t xml:space="preserve">En la presente serie, la mortalidad fue de 22,2 %; en el estudio de </w:t>
      </w:r>
      <w:r w:rsidRPr="005A0E23">
        <w:rPr>
          <w:i/>
          <w:lang w:val="es-CR" w:eastAsia="es-ES"/>
        </w:rPr>
        <w:t>Chiang YT</w:t>
      </w:r>
      <w:r w:rsidRPr="005A0E23">
        <w:rPr>
          <w:vertAlign w:val="superscript"/>
          <w:lang w:eastAsia="es-ES"/>
        </w:rPr>
        <w:t xml:space="preserve"> </w:t>
      </w:r>
      <w:r w:rsidRPr="005A0E23">
        <w:rPr>
          <w:lang w:eastAsia="es-ES"/>
        </w:rPr>
        <w:t xml:space="preserve">y </w:t>
      </w:r>
      <w:proofErr w:type="gramStart"/>
      <w:r w:rsidRPr="005A0E23">
        <w:rPr>
          <w:lang w:eastAsia="es-ES"/>
        </w:rPr>
        <w:t>otros,</w:t>
      </w:r>
      <w:r w:rsidRPr="005A0E23">
        <w:rPr>
          <w:vertAlign w:val="superscript"/>
          <w:lang w:eastAsia="es-ES"/>
        </w:rPr>
        <w:t>(</w:t>
      </w:r>
      <w:proofErr w:type="gramEnd"/>
      <w:r w:rsidRPr="005A0E23">
        <w:rPr>
          <w:vertAlign w:val="superscript"/>
          <w:lang w:eastAsia="es-ES"/>
        </w:rPr>
        <w:t xml:space="preserve">14) </w:t>
      </w:r>
      <w:r w:rsidRPr="005A0E23">
        <w:rPr>
          <w:lang w:eastAsia="es-ES"/>
        </w:rPr>
        <w:t>estuvo ligeramente superior (26,3 %), en</w:t>
      </w:r>
      <w:r w:rsidRPr="005A0E23">
        <w:rPr>
          <w:bCs/>
        </w:rPr>
        <w:t xml:space="preserve"> el de </w:t>
      </w:r>
      <w:r w:rsidRPr="005A0E23">
        <w:rPr>
          <w:i/>
          <w:lang w:val="es-CR" w:eastAsia="es-ES"/>
        </w:rPr>
        <w:t>Kaydu A</w:t>
      </w:r>
      <w:r w:rsidRPr="005A0E23">
        <w:rPr>
          <w:bCs/>
          <w:vertAlign w:val="superscript"/>
        </w:rPr>
        <w:t xml:space="preserve"> </w:t>
      </w:r>
      <w:r w:rsidRPr="005A0E23">
        <w:rPr>
          <w:bCs/>
        </w:rPr>
        <w:t>y otros,</w:t>
      </w:r>
      <w:r w:rsidRPr="005A0E23">
        <w:rPr>
          <w:bCs/>
          <w:vertAlign w:val="superscript"/>
        </w:rPr>
        <w:t>(</w:t>
      </w:r>
      <w:r w:rsidRPr="005A0E23">
        <w:rPr>
          <w:vertAlign w:val="superscript"/>
        </w:rPr>
        <w:t>16)</w:t>
      </w:r>
      <w:r w:rsidRPr="005A0E23">
        <w:rPr>
          <w:bCs/>
        </w:rPr>
        <w:t xml:space="preserve"> de 56,6 %; </w:t>
      </w:r>
      <w:r w:rsidRPr="005A0E23">
        <w:t xml:space="preserve">mientras en el de </w:t>
      </w:r>
      <w:r w:rsidRPr="005A0E23">
        <w:rPr>
          <w:i/>
          <w:lang w:eastAsia="es-ES"/>
        </w:rPr>
        <w:t>Brakenridge SC</w:t>
      </w:r>
      <w:r w:rsidRPr="005A0E23">
        <w:rPr>
          <w:vertAlign w:val="superscript"/>
        </w:rPr>
        <w:t>(</w:t>
      </w:r>
      <w:r w:rsidRPr="005A0E23">
        <w:rPr>
          <w:bCs/>
          <w:vertAlign w:val="superscript"/>
        </w:rPr>
        <w:t xml:space="preserve">15) </w:t>
      </w:r>
      <w:r w:rsidRPr="005A0E23">
        <w:t xml:space="preserve"> fue del 2 %</w:t>
      </w:r>
      <w:r w:rsidRPr="005A0E23">
        <w:rPr>
          <w:bCs/>
        </w:rPr>
        <w:t>.</w:t>
      </w:r>
    </w:p>
    <w:p w14:paraId="1F275D45" w14:textId="77777777" w:rsidR="005A0E23" w:rsidRPr="005A0E23" w:rsidRDefault="005A0E23" w:rsidP="005A0E23">
      <w:pPr>
        <w:spacing w:line="360" w:lineRule="auto"/>
        <w:contextualSpacing/>
        <w:jc w:val="both"/>
      </w:pPr>
      <w:r w:rsidRPr="005A0E23">
        <w:rPr>
          <w:snapToGrid w:val="0"/>
          <w:lang w:eastAsia="en-US"/>
        </w:rPr>
        <w:t xml:space="preserve">En </w:t>
      </w:r>
      <w:proofErr w:type="gramStart"/>
      <w:r w:rsidRPr="005A0E23">
        <w:rPr>
          <w:snapToGrid w:val="0"/>
          <w:lang w:eastAsia="en-US"/>
        </w:rPr>
        <w:t>Cuba,</w:t>
      </w:r>
      <w:r w:rsidRPr="005A0E23">
        <w:rPr>
          <w:snapToGrid w:val="0"/>
          <w:vertAlign w:val="superscript"/>
          <w:lang w:eastAsia="en-US"/>
        </w:rPr>
        <w:t>(</w:t>
      </w:r>
      <w:proofErr w:type="gramEnd"/>
      <w:r w:rsidRPr="005A0E23">
        <w:rPr>
          <w:snapToGrid w:val="0"/>
          <w:vertAlign w:val="superscript"/>
          <w:lang w:eastAsia="en-US"/>
        </w:rPr>
        <w:t>6)</w:t>
      </w:r>
      <w:r w:rsidRPr="005A0E23">
        <w:rPr>
          <w:snapToGrid w:val="0"/>
          <w:lang w:eastAsia="en-US"/>
        </w:rPr>
        <w:t xml:space="preserve"> la mortalidad en el grupo etario de 20 a 39 años fue de 138 por enfermedad cerebrovascular, 226 por enfermedades del corazón, 364 por accidentes de diferentes tipos y 357 por cánceres de diferentes órganos y tejidos. No se corresponde con la serie estudiada, pues en esta se analiza la causa directa de muerte. No se encontraron artículos que mostraran causas directas de muerte, según el resultado de anatomía patológica en el adulto joven; sin embargo, en 3 </w:t>
      </w:r>
      <w:proofErr w:type="gramStart"/>
      <w:r w:rsidRPr="005A0E23">
        <w:rPr>
          <w:snapToGrid w:val="0"/>
          <w:lang w:eastAsia="en-US"/>
        </w:rPr>
        <w:t>estudios,</w:t>
      </w:r>
      <w:r w:rsidRPr="005A0E23">
        <w:rPr>
          <w:vertAlign w:val="superscript"/>
        </w:rPr>
        <w:t>(</w:t>
      </w:r>
      <w:proofErr w:type="gramEnd"/>
      <w:r w:rsidRPr="005A0E23">
        <w:rPr>
          <w:vertAlign w:val="superscript"/>
        </w:rPr>
        <w:t>22,23,24)</w:t>
      </w:r>
      <w:r w:rsidRPr="005A0E23">
        <w:t xml:space="preserve"> </w:t>
      </w:r>
      <w:r w:rsidRPr="005A0E23">
        <w:rPr>
          <w:snapToGrid w:val="0"/>
          <w:lang w:eastAsia="en-US"/>
        </w:rPr>
        <w:t xml:space="preserve">las causas directas de muerte coinciden con esta serie, a pesar de ser en otros tipos de pacientes. Las causas son: </w:t>
      </w:r>
      <w:r w:rsidRPr="005A0E23">
        <w:t>edema cerebral grave, bronconeumonía bacteriana, y tromboembolismo pulmonar.</w:t>
      </w:r>
    </w:p>
    <w:p w14:paraId="4431DC89" w14:textId="77777777" w:rsidR="005A0E23" w:rsidRPr="005A0E23" w:rsidRDefault="005A0E23" w:rsidP="005A0E23">
      <w:pPr>
        <w:spacing w:line="360" w:lineRule="auto"/>
        <w:contextualSpacing/>
        <w:jc w:val="both"/>
        <w:rPr>
          <w:rFonts w:eastAsia="Calibri"/>
          <w:lang w:eastAsia="en-US"/>
        </w:rPr>
      </w:pPr>
      <w:r w:rsidRPr="005A0E23">
        <w:rPr>
          <w:rFonts w:eastAsia="Calibri"/>
          <w:lang w:eastAsia="en-US"/>
        </w:rPr>
        <w:lastRenderedPageBreak/>
        <w:t>El adulto joven con evolución favorable, presentó un valor de APACHE II ≤ 15 puntos, no requirió VM, tiene una estadía ≤ 7 días, lo cual sugiere que los pacientes con estas características pueden ser atendidos en una sala de cuidados intermedios, con el consiguiente ahorro de recursos. Se toma en consideración, además, que presenta baja mortalidad. Las variables que en las cuales los resultados mostraron significación estadística son: causa de ingreso, valor de APACHE II, VM y estadía.</w:t>
      </w:r>
    </w:p>
    <w:p w14:paraId="47E63DA6" w14:textId="77777777" w:rsidR="005A0E23" w:rsidRPr="005A0E23" w:rsidRDefault="005A0E23" w:rsidP="005A0E23">
      <w:pPr>
        <w:spacing w:line="360" w:lineRule="auto"/>
        <w:contextualSpacing/>
        <w:jc w:val="both"/>
        <w:rPr>
          <w:rFonts w:eastAsia="Calibri"/>
          <w:lang w:eastAsia="en-US"/>
        </w:rPr>
      </w:pPr>
      <w:r w:rsidRPr="005A0E23">
        <w:rPr>
          <w:rFonts w:eastAsia="Calibri"/>
          <w:lang w:eastAsia="en-US"/>
        </w:rPr>
        <w:t xml:space="preserve">Se concluye que </w:t>
      </w:r>
      <w:r w:rsidRPr="005A0E23">
        <w:rPr>
          <w:rFonts w:eastAsia="Calibri"/>
          <w:bCs/>
          <w:lang w:eastAsia="en-US"/>
        </w:rPr>
        <w:t>los adultos jóvenes en cuidados intensivos es más probable que evolucionen de forma satisfactoria y egresen vivos. La</w:t>
      </w:r>
      <w:r w:rsidRPr="005A0E23">
        <w:rPr>
          <w:rFonts w:eastAsia="Calibri"/>
          <w:lang w:eastAsia="en-US"/>
        </w:rPr>
        <w:t xml:space="preserve"> principal causa de muerte es la bronconeumonía bacteriana</w:t>
      </w:r>
      <w:r w:rsidRPr="005A0E23">
        <w:rPr>
          <w:rFonts w:eastAsia="Calibri"/>
          <w:bCs/>
          <w:lang w:eastAsia="en-US"/>
        </w:rPr>
        <w:t>.</w:t>
      </w:r>
    </w:p>
    <w:p w14:paraId="66D7E6E3" w14:textId="77777777" w:rsidR="005A0E23" w:rsidRPr="005A0E23" w:rsidRDefault="005A0E23" w:rsidP="005A0E23">
      <w:pPr>
        <w:spacing w:line="360" w:lineRule="auto"/>
        <w:contextualSpacing/>
        <w:jc w:val="both"/>
        <w:rPr>
          <w:rFonts w:eastAsia="Calibri"/>
          <w:lang w:eastAsia="en-US"/>
        </w:rPr>
      </w:pPr>
    </w:p>
    <w:p w14:paraId="03C18DA7" w14:textId="77777777" w:rsidR="005A0E23" w:rsidRPr="005A0E23" w:rsidRDefault="005A0E23" w:rsidP="005A0E23">
      <w:pPr>
        <w:spacing w:line="360" w:lineRule="auto"/>
        <w:contextualSpacing/>
        <w:jc w:val="both"/>
        <w:rPr>
          <w:rFonts w:eastAsia="Calibri"/>
          <w:lang w:eastAsia="en-US"/>
        </w:rPr>
      </w:pPr>
    </w:p>
    <w:p w14:paraId="3363E475" w14:textId="77777777" w:rsidR="005A0E23" w:rsidRPr="005A0E23" w:rsidRDefault="005A0E23" w:rsidP="005A0E23">
      <w:pPr>
        <w:keepNext/>
        <w:suppressAutoHyphens/>
        <w:spacing w:line="360" w:lineRule="auto"/>
        <w:jc w:val="center"/>
        <w:outlineLvl w:val="2"/>
        <w:rPr>
          <w:b/>
          <w:snapToGrid w:val="0"/>
          <w:sz w:val="32"/>
          <w:szCs w:val="32"/>
          <w:lang w:eastAsia="en-US"/>
        </w:rPr>
      </w:pPr>
      <w:r w:rsidRPr="005A0E23">
        <w:rPr>
          <w:b/>
          <w:snapToGrid w:val="0"/>
          <w:sz w:val="32"/>
          <w:szCs w:val="32"/>
          <w:lang w:eastAsia="en-US"/>
        </w:rPr>
        <w:t>REFERENCIAS BIBLIOGRÁFICAS</w:t>
      </w:r>
    </w:p>
    <w:p w14:paraId="1A403D77" w14:textId="77777777" w:rsidR="005A0E23" w:rsidRPr="005A0E23" w:rsidRDefault="005A0E23" w:rsidP="005A0E23">
      <w:pPr>
        <w:spacing w:line="360" w:lineRule="auto"/>
        <w:rPr>
          <w:lang w:eastAsia="es-ES"/>
        </w:rPr>
      </w:pPr>
      <w:r w:rsidRPr="005A0E23">
        <w:rPr>
          <w:lang w:eastAsia="es-ES"/>
        </w:rPr>
        <w:t xml:space="preserve">1. Monreal Gimeno C, Marco Macarro MJ, Amador Muñoz LV. El adulto: etapas y consideraciones para el aprendizaje. Eúphoros. 2001 [acceso: 27/03/2021]; 3:79-112. Disponible en: </w:t>
      </w:r>
      <w:hyperlink r:id="rId16" w:history="1">
        <w:r w:rsidRPr="005A0E23">
          <w:rPr>
            <w:color w:val="0000FF"/>
            <w:lang w:eastAsia="es-ES"/>
          </w:rPr>
          <w:t>https://dialnet.unirioja.es/servlet/articulo?codigo=1183063</w:t>
        </w:r>
      </w:hyperlink>
      <w:r w:rsidRPr="005A0E23">
        <w:rPr>
          <w:lang w:eastAsia="es-ES"/>
        </w:rPr>
        <w:t xml:space="preserve"> </w:t>
      </w:r>
    </w:p>
    <w:p w14:paraId="2D82B35B" w14:textId="77777777" w:rsidR="005A0E23" w:rsidRPr="005A0E23" w:rsidRDefault="005A0E23" w:rsidP="005A0E23">
      <w:pPr>
        <w:spacing w:line="360" w:lineRule="auto"/>
        <w:rPr>
          <w:lang w:eastAsia="es-ES"/>
        </w:rPr>
      </w:pPr>
      <w:r w:rsidRPr="005A0E23">
        <w:rPr>
          <w:lang w:eastAsia="es-ES"/>
        </w:rPr>
        <w:t xml:space="preserve">2. Organización Mundial de la Salud. Estadísticas sanitarias mundiales 2021: Un resumen visual. Ginebra: OMS; 2021. [acceso: 14/08/2023]. Disponible en: </w:t>
      </w:r>
      <w:hyperlink r:id="rId17" w:history="1">
        <w:r w:rsidRPr="005A0E23">
          <w:rPr>
            <w:color w:val="0000FF"/>
            <w:lang w:eastAsia="es-ES"/>
          </w:rPr>
          <w:t>https://www.who.int/data/stories/world-health-statistics-2021-a-visual-summary</w:t>
        </w:r>
      </w:hyperlink>
      <w:r w:rsidRPr="005A0E23">
        <w:rPr>
          <w:lang w:eastAsia="es-ES"/>
        </w:rPr>
        <w:t xml:space="preserve"> </w:t>
      </w:r>
    </w:p>
    <w:p w14:paraId="0A277B96" w14:textId="77777777" w:rsidR="005A0E23" w:rsidRPr="005A0E23" w:rsidRDefault="005A0E23" w:rsidP="005A0E23">
      <w:pPr>
        <w:spacing w:line="360" w:lineRule="auto"/>
        <w:rPr>
          <w:lang w:eastAsia="es-ES"/>
        </w:rPr>
      </w:pPr>
      <w:r w:rsidRPr="005A0E23">
        <w:rPr>
          <w:lang w:eastAsia="es-ES"/>
        </w:rPr>
        <w:t xml:space="preserve">3. Eurostat.  Statistiques sociales européennes. Luxemburgo, European Union: Eurostat; 2020. [acceso: 14/08/2023]. Disponible en: </w:t>
      </w:r>
      <w:hyperlink r:id="rId18" w:history="1">
        <w:r w:rsidRPr="005A0E23">
          <w:rPr>
            <w:color w:val="0000FF"/>
            <w:lang w:eastAsia="es-ES"/>
          </w:rPr>
          <w:t>https://ec.europa.eu/eurostat/web/products-datasets/-/ilc_lvps10</w:t>
        </w:r>
      </w:hyperlink>
      <w:r w:rsidRPr="005A0E23">
        <w:rPr>
          <w:lang w:eastAsia="es-ES"/>
        </w:rPr>
        <w:t xml:space="preserve"> </w:t>
      </w:r>
    </w:p>
    <w:p w14:paraId="27BCCE95" w14:textId="77777777" w:rsidR="005A0E23" w:rsidRPr="005A0E23" w:rsidRDefault="005A0E23" w:rsidP="005A0E23">
      <w:pPr>
        <w:spacing w:line="360" w:lineRule="auto"/>
        <w:rPr>
          <w:lang w:eastAsia="es-ES"/>
        </w:rPr>
      </w:pPr>
      <w:r w:rsidRPr="005A0E23">
        <w:rPr>
          <w:lang w:eastAsia="es-ES"/>
        </w:rPr>
        <w:t xml:space="preserve">4.  Papalia DE, Olds Wendkos S, Feldman Duskin R. Desarrollo físico y cognoscitivo en la adultez emergente y adultez temprana. En: Mares Chacón J, Delgado Rodríguez AL (editores). Desarrollo Humano. 11ma ed. México: Editorial McGraw-Hill; 2009. [acceso: 29/01/2022]. p. 420-78. Disponible en: </w:t>
      </w:r>
      <w:hyperlink r:id="rId19" w:history="1">
        <w:r w:rsidRPr="005A0E23">
          <w:rPr>
            <w:color w:val="0000FF"/>
            <w:lang w:eastAsia="es-ES"/>
          </w:rPr>
          <w:t>https://www.moodle.utecv.esiaz.ipn.mx/pluginfile.php/29205/mod_resource/content/1/libro-desarrollo-humano-papalia.pdf</w:t>
        </w:r>
      </w:hyperlink>
      <w:r w:rsidRPr="005A0E23">
        <w:rPr>
          <w:lang w:eastAsia="es-ES"/>
        </w:rPr>
        <w:t xml:space="preserve"> </w:t>
      </w:r>
    </w:p>
    <w:p w14:paraId="114E0099" w14:textId="77777777" w:rsidR="005A0E23" w:rsidRPr="005A0E23" w:rsidRDefault="005A0E23" w:rsidP="005A0E23">
      <w:pPr>
        <w:spacing w:line="360" w:lineRule="auto"/>
        <w:rPr>
          <w:lang w:eastAsia="es-ES"/>
        </w:rPr>
      </w:pPr>
      <w:r w:rsidRPr="005A0E23">
        <w:rPr>
          <w:lang w:eastAsia="es-ES"/>
        </w:rPr>
        <w:t>5. Sandoval Mora SA. Psicología del Desarrollo Humano II. 1ra edición. México, Culiacán: Servicios editoriales Once Ríos; 2018.</w:t>
      </w:r>
    </w:p>
    <w:p w14:paraId="7879B895" w14:textId="77777777" w:rsidR="005A0E23" w:rsidRPr="005A0E23" w:rsidRDefault="005A0E23" w:rsidP="005A0E23">
      <w:pPr>
        <w:spacing w:line="360" w:lineRule="auto"/>
        <w:rPr>
          <w:lang w:eastAsia="es-ES"/>
        </w:rPr>
      </w:pPr>
      <w:r w:rsidRPr="005A0E23">
        <w:rPr>
          <w:lang w:eastAsia="es-ES"/>
        </w:rPr>
        <w:t xml:space="preserve">6. Ministerio de Salud Pública. Dirección de Registros médicos y estadísticas de Salud. Anuario estadístico de salud 2021. La Habana: Editorial Ciencias Médicas; 2022. [acceso: 27/03/2021]. Disponible en: </w:t>
      </w:r>
      <w:hyperlink r:id="rId20" w:history="1">
        <w:r w:rsidRPr="005A0E23">
          <w:rPr>
            <w:color w:val="0000FF"/>
            <w:lang w:eastAsia="es-ES"/>
          </w:rPr>
          <w:t>https://files.sld.cu/dne/files/2022/10/Anuario-Estadístico-de-Salud-2021.-Ed-2022.pdf</w:t>
        </w:r>
      </w:hyperlink>
      <w:r w:rsidRPr="005A0E23">
        <w:rPr>
          <w:lang w:eastAsia="es-ES"/>
        </w:rPr>
        <w:t xml:space="preserve"> </w:t>
      </w:r>
    </w:p>
    <w:p w14:paraId="70AB2583" w14:textId="77777777" w:rsidR="005A0E23" w:rsidRPr="005A0E23" w:rsidRDefault="005A0E23" w:rsidP="005A0E23">
      <w:pPr>
        <w:spacing w:line="360" w:lineRule="auto"/>
        <w:rPr>
          <w:lang w:eastAsia="es-ES"/>
        </w:rPr>
      </w:pPr>
      <w:r w:rsidRPr="005A0E23">
        <w:rPr>
          <w:lang w:eastAsia="es-ES"/>
        </w:rPr>
        <w:lastRenderedPageBreak/>
        <w:t xml:space="preserve">7. Pérez Díaz J. Demografía y envejecimiento. Informes Portal Mayores nº 51. Lecciones de Gerontología I. Madrid: Portal Mayores; 2006. [acceso: 29/04/2022]. Disponible en: </w:t>
      </w:r>
      <w:hyperlink r:id="rId21" w:history="1">
        <w:r w:rsidRPr="005A0E23">
          <w:rPr>
            <w:color w:val="0000FF"/>
            <w:lang w:eastAsia="es-ES"/>
          </w:rPr>
          <w:t>https://digital.csic.es/bitstream/10261/5120/1/Perez2006a.pdf</w:t>
        </w:r>
      </w:hyperlink>
      <w:r w:rsidRPr="005A0E23">
        <w:rPr>
          <w:lang w:eastAsia="es-ES"/>
        </w:rPr>
        <w:t xml:space="preserve"> </w:t>
      </w:r>
    </w:p>
    <w:p w14:paraId="70CAF651" w14:textId="77777777" w:rsidR="005A0E23" w:rsidRPr="005A0E23" w:rsidRDefault="005A0E23" w:rsidP="005A0E23">
      <w:pPr>
        <w:spacing w:line="360" w:lineRule="auto"/>
        <w:rPr>
          <w:lang w:eastAsia="es-ES"/>
        </w:rPr>
      </w:pPr>
      <w:r w:rsidRPr="005A0E23">
        <w:rPr>
          <w:lang w:eastAsia="es-ES"/>
        </w:rPr>
        <w:t xml:space="preserve">8. Guillén Llera F, Bravo Fernández de Araoz G. Patología del envejecimiento. Indicadores de salud. En: Salgado Alba A, Guillén Llera F, Ruipérez I, editores. Manual de Geriatría. 3ª ed. Barcelona: Masson; 2002. p. 77-88. </w:t>
      </w:r>
    </w:p>
    <w:p w14:paraId="355878A3" w14:textId="77777777" w:rsidR="005A0E23" w:rsidRPr="005A0E23" w:rsidRDefault="005A0E23" w:rsidP="005A0E23">
      <w:pPr>
        <w:spacing w:line="360" w:lineRule="auto"/>
        <w:rPr>
          <w:lang w:eastAsia="es-ES"/>
        </w:rPr>
      </w:pPr>
      <w:r w:rsidRPr="005A0E23">
        <w:rPr>
          <w:lang w:eastAsia="es-ES"/>
        </w:rPr>
        <w:t xml:space="preserve">9. Ipaneque G. Factores de riesgo a enfermedades cardiovasculares en el adulto joven del centro de salud de Tablazo norte i-2. La unión, marzo 2020 [Tesis de Licenciatura en Enfermería]. Perú, Piura: Universidad Nacional de Piura. 2020 [acceso: 29/01/2022]. Disponible en: </w:t>
      </w:r>
      <w:hyperlink r:id="rId22" w:history="1">
        <w:r w:rsidRPr="005A0E23">
          <w:rPr>
            <w:color w:val="0000FF"/>
            <w:lang w:eastAsia="es-ES"/>
          </w:rPr>
          <w:t>https://repositorio.unp.edu.pe/bitstream/handle/20.500.12676/2411/ENFE-IPA-LOZ-2020.pdf?sequence=1&amp;isAllowed=y</w:t>
        </w:r>
      </w:hyperlink>
      <w:r w:rsidRPr="005A0E23">
        <w:rPr>
          <w:lang w:eastAsia="es-ES"/>
        </w:rPr>
        <w:t xml:space="preserve"> </w:t>
      </w:r>
    </w:p>
    <w:p w14:paraId="1E18DEC2" w14:textId="77777777" w:rsidR="005A0E23" w:rsidRPr="005A0E23" w:rsidRDefault="005A0E23" w:rsidP="005A0E23">
      <w:pPr>
        <w:spacing w:line="360" w:lineRule="auto"/>
        <w:rPr>
          <w:lang w:eastAsia="es-ES"/>
        </w:rPr>
      </w:pPr>
      <w:r w:rsidRPr="005A0E23">
        <w:rPr>
          <w:lang w:val="en-US" w:eastAsia="es-ES"/>
        </w:rPr>
        <w:t xml:space="preserve">10. Magboul SM, Osman B, Elnour AA. The incidence, risk factors, and outcomes of acute kidney injury in the intensive care unit in Sudan. </w:t>
      </w:r>
      <w:r w:rsidRPr="005A0E23">
        <w:rPr>
          <w:lang w:eastAsia="es-ES"/>
        </w:rPr>
        <w:t>Int J Clin Pharm. 2020 [acceso: 29/01/2022]; 42(6):1447-55. DOI: 10.1007/s11096-020-01147-5</w:t>
      </w:r>
    </w:p>
    <w:p w14:paraId="3B266E47" w14:textId="77777777" w:rsidR="005A0E23" w:rsidRPr="005A0E23" w:rsidRDefault="005A0E23" w:rsidP="005A0E23">
      <w:pPr>
        <w:spacing w:line="360" w:lineRule="auto"/>
        <w:rPr>
          <w:lang w:eastAsia="es-ES"/>
        </w:rPr>
      </w:pPr>
      <w:r w:rsidRPr="005A0E23">
        <w:rPr>
          <w:lang w:eastAsia="es-ES"/>
        </w:rPr>
        <w:t>11. Betancourt Betancourt G, Betancourt Reyes G. Caracterización de la adecuación del esfuerzo terapéutico en las unidades de atención al adulto grave, hospital “Manuel Ascunce Domenech”. Revista Electrónica Dr. Zoilo E. Marinello Vidaurreta. 2020 [acceso: 21/03/2022]; 45(6</w:t>
      </w:r>
      <w:proofErr w:type="gramStart"/>
      <w:r w:rsidRPr="005A0E23">
        <w:rPr>
          <w:lang w:eastAsia="es-ES"/>
        </w:rPr>
        <w:t>):[</w:t>
      </w:r>
      <w:proofErr w:type="gramEnd"/>
      <w:r w:rsidRPr="005A0E23">
        <w:rPr>
          <w:lang w:eastAsia="es-ES"/>
        </w:rPr>
        <w:t xml:space="preserve">aprox. 9 p.]. Disponible en: </w:t>
      </w:r>
      <w:hyperlink r:id="rId23" w:history="1">
        <w:r w:rsidRPr="005A0E23">
          <w:rPr>
            <w:color w:val="0000FF"/>
            <w:lang w:eastAsia="es-ES"/>
          </w:rPr>
          <w:t>http://revzoilomarinello.sld.cu/index.php/zmv/article/view/2265</w:t>
        </w:r>
      </w:hyperlink>
      <w:r w:rsidRPr="005A0E23">
        <w:rPr>
          <w:lang w:eastAsia="es-ES"/>
        </w:rPr>
        <w:t xml:space="preserve"> </w:t>
      </w:r>
    </w:p>
    <w:p w14:paraId="4C615D4E" w14:textId="77777777" w:rsidR="005A0E23" w:rsidRPr="005A0E23" w:rsidRDefault="005A0E23" w:rsidP="005A0E23">
      <w:pPr>
        <w:spacing w:line="360" w:lineRule="auto"/>
        <w:rPr>
          <w:lang w:val="en-US" w:eastAsia="es-ES"/>
        </w:rPr>
      </w:pPr>
      <w:r w:rsidRPr="005A0E23">
        <w:rPr>
          <w:lang w:eastAsia="es-ES"/>
        </w:rPr>
        <w:t xml:space="preserve">12. Martins GS, Toledo SV, Andrade JML, Nakano EY, Valduga R, Paz LPDS, et al. </w:t>
      </w:r>
      <w:r w:rsidRPr="005A0E23">
        <w:rPr>
          <w:lang w:val="en-US" w:eastAsia="es-ES"/>
        </w:rPr>
        <w:t>Analysis of functional status and muscle strength in adults and older adults in an intensive care unit: a prospective cohort study. Cien Saude Colet. 2021 [acceso: 29/01/2022]; 26(7):2899-910. DOI: 10.1590/1413-81232021267.21422019</w:t>
      </w:r>
    </w:p>
    <w:p w14:paraId="4E454610" w14:textId="77777777" w:rsidR="005A0E23" w:rsidRPr="005A0E23" w:rsidRDefault="005A0E23" w:rsidP="005A0E23">
      <w:pPr>
        <w:spacing w:line="360" w:lineRule="auto"/>
        <w:rPr>
          <w:lang w:val="en-US" w:eastAsia="es-ES"/>
        </w:rPr>
      </w:pPr>
      <w:r w:rsidRPr="005A0E23">
        <w:rPr>
          <w:lang w:val="en-US" w:eastAsia="es-ES"/>
        </w:rPr>
        <w:t xml:space="preserve">13. Engebretsen S, Bogstrand ST, Jacobsen D, Rimstad R. Characteristics, management and outcome of critically ill general medical patients in the Emergency Department: An observational study. Int Emerg Nurs. 2021 [acceso: 29/01/2022]; 54:100939. DOI: 10.1016/j.ienj.2020.100939 </w:t>
      </w:r>
    </w:p>
    <w:p w14:paraId="529DADA7" w14:textId="77777777" w:rsidR="005A0E23" w:rsidRPr="005A0E23" w:rsidRDefault="005A0E23" w:rsidP="005A0E23">
      <w:pPr>
        <w:spacing w:line="360" w:lineRule="auto"/>
        <w:rPr>
          <w:lang w:val="en-US" w:eastAsia="es-ES"/>
        </w:rPr>
      </w:pPr>
      <w:r w:rsidRPr="005A0E23">
        <w:rPr>
          <w:lang w:val="en-US" w:eastAsia="es-ES"/>
        </w:rPr>
        <w:t xml:space="preserve">14. Chiang YT, Lin TH, Hu RH, Lee PC, Shih HC. Predicting factors for major trauma patient mortality analyzed from trauma registry system. Asian J Surg. 2021 [acceso: 29/01/2022]; 44(1):262-8. DOI: 10.1016/j.asjsur.2020.06.014 </w:t>
      </w:r>
    </w:p>
    <w:p w14:paraId="061BB158" w14:textId="77777777" w:rsidR="005A0E23" w:rsidRPr="005A0E23" w:rsidRDefault="005A0E23" w:rsidP="005A0E23">
      <w:pPr>
        <w:spacing w:line="360" w:lineRule="auto"/>
        <w:rPr>
          <w:lang w:val="en-US" w:eastAsia="es-ES"/>
        </w:rPr>
      </w:pPr>
      <w:r w:rsidRPr="005A0E23">
        <w:rPr>
          <w:lang w:val="en-US" w:eastAsia="es-ES"/>
        </w:rPr>
        <w:lastRenderedPageBreak/>
        <w:t xml:space="preserve">15. Gulati A, Choudhuri R, Gupta A, Singh S, Ali SKN, Sidhu GK, et al. A Multicentric, Randomized, Controlled Phase III Study of Centhaquine (Lyfaquin®) as a Resuscitative Agent in Hypovolemic Shock Patients. Drugs. </w:t>
      </w:r>
      <w:proofErr w:type="gramStart"/>
      <w:r w:rsidRPr="005A0E23">
        <w:rPr>
          <w:lang w:val="en-US" w:eastAsia="es-ES"/>
        </w:rPr>
        <w:t>2021 ;</w:t>
      </w:r>
      <w:proofErr w:type="gramEnd"/>
      <w:r w:rsidRPr="005A0E23">
        <w:rPr>
          <w:lang w:val="en-US" w:eastAsia="es-ES"/>
        </w:rPr>
        <w:t xml:space="preserve"> 81(9):1079-100. DOI: 10.1007/s40265-021-01547-5</w:t>
      </w:r>
    </w:p>
    <w:p w14:paraId="6F6F2FFE" w14:textId="77777777" w:rsidR="005A0E23" w:rsidRPr="005A0E23" w:rsidRDefault="005A0E23" w:rsidP="005A0E23">
      <w:pPr>
        <w:spacing w:line="360" w:lineRule="auto"/>
        <w:rPr>
          <w:lang w:val="en-US" w:eastAsia="es-ES"/>
        </w:rPr>
      </w:pPr>
      <w:r w:rsidRPr="005A0E23">
        <w:rPr>
          <w:lang w:val="en-US" w:eastAsia="es-ES"/>
        </w:rPr>
        <w:t>16. Kaydu A, Orhun G, Çakar N. Relationship between arterial oxygen tension and mortality of patients in intensive care unit on mechanical ventilation support. Ulus Travma Acil Cerrahi Derg. 2019; 25(4):331-7. DOI: 10.5505/tjtes.2018.51430</w:t>
      </w:r>
    </w:p>
    <w:p w14:paraId="179117DD" w14:textId="77777777" w:rsidR="005A0E23" w:rsidRPr="005A0E23" w:rsidRDefault="005A0E23" w:rsidP="005A0E23">
      <w:pPr>
        <w:spacing w:line="360" w:lineRule="auto"/>
        <w:rPr>
          <w:lang w:eastAsia="es-ES"/>
        </w:rPr>
      </w:pPr>
      <w:r w:rsidRPr="005A0E23">
        <w:rPr>
          <w:lang w:val="en-US" w:eastAsia="es-ES"/>
        </w:rPr>
        <w:t xml:space="preserve">17. Brakenridge SC, Efron PA, Stortz JA, Ozrazgat-Baslanti T, Ghita G, Wang Z, et al. The impact of age on the innate immune response and outcomes after severe sepsis/septic shock in trauma and surgical intensive care unit patients. </w:t>
      </w:r>
      <w:r w:rsidRPr="005A0E23">
        <w:rPr>
          <w:lang w:eastAsia="es-ES"/>
        </w:rPr>
        <w:t>J Trauma Acute Care Surg. 2018; 85(2):247-55. DOI: 10.1097/TA.0000000000001921</w:t>
      </w:r>
    </w:p>
    <w:p w14:paraId="344D450A" w14:textId="77777777" w:rsidR="005A0E23" w:rsidRPr="005A0E23" w:rsidRDefault="005A0E23" w:rsidP="005A0E23">
      <w:pPr>
        <w:spacing w:line="360" w:lineRule="auto"/>
        <w:rPr>
          <w:lang w:val="en-US" w:eastAsia="es-ES"/>
        </w:rPr>
      </w:pPr>
      <w:r w:rsidRPr="005A0E23">
        <w:rPr>
          <w:lang w:eastAsia="es-ES"/>
        </w:rPr>
        <w:t xml:space="preserve">18. Ruiz C, Vega E, Barrera G, Ramos JP, Mimica X, Lisbona ML, et al. Atención de los pacientes con trauma grave durante los primeros días: evolución entre la urgencia, el pabellón y la unidad de cuidados intensivos. </w:t>
      </w:r>
      <w:r w:rsidRPr="005A0E23">
        <w:rPr>
          <w:lang w:val="en-US" w:eastAsia="es-ES"/>
        </w:rPr>
        <w:t>Rev Med Chil. 2019; 147(10):1256-65. DOI: 10.4067/s0034-98872019001001256</w:t>
      </w:r>
    </w:p>
    <w:p w14:paraId="135E5C9D" w14:textId="77777777" w:rsidR="005A0E23" w:rsidRPr="005A0E23" w:rsidRDefault="005A0E23" w:rsidP="005A0E23">
      <w:pPr>
        <w:spacing w:line="360" w:lineRule="auto"/>
        <w:rPr>
          <w:lang w:val="en-US" w:eastAsia="es-ES"/>
        </w:rPr>
      </w:pPr>
      <w:r w:rsidRPr="005A0E23">
        <w:rPr>
          <w:lang w:val="en-US" w:eastAsia="es-ES"/>
        </w:rPr>
        <w:t>19. Goswami J, Balwani MR, Kute V, Gumber M, Patel M, Godhani U. Scoring systems and outcome of chronic kidney disease patients admitted in intensive care units. Saudi J Kidney Dis Transpl. 2018; 29(2):310-7. DOI: 10.4103/1319-2442.229268</w:t>
      </w:r>
    </w:p>
    <w:p w14:paraId="2613AD8E" w14:textId="77777777" w:rsidR="005A0E23" w:rsidRPr="005A0E23" w:rsidRDefault="005A0E23" w:rsidP="005A0E23">
      <w:pPr>
        <w:spacing w:line="360" w:lineRule="auto"/>
        <w:rPr>
          <w:lang w:val="en-US" w:eastAsia="es-ES"/>
        </w:rPr>
      </w:pPr>
      <w:r w:rsidRPr="005A0E23">
        <w:rPr>
          <w:lang w:val="en-US" w:eastAsia="es-ES"/>
        </w:rPr>
        <w:t xml:space="preserve">20. He Q, Wang W, Zhu S, Wang M, Kang Y, Zhang R, et al. The epidemiology and clinical outcomes of ventilator-associated events among 20,769 mechanically ventilated patients at intensive care units: an observational study. Crit Care. 2021; 25(1):44. DOI: 10.1186/s13054-021-03484-x </w:t>
      </w:r>
    </w:p>
    <w:p w14:paraId="5BF5F51B" w14:textId="77777777" w:rsidR="005A0E23" w:rsidRPr="005A0E23" w:rsidRDefault="005A0E23" w:rsidP="005A0E23">
      <w:pPr>
        <w:spacing w:line="360" w:lineRule="auto"/>
        <w:rPr>
          <w:lang w:eastAsia="es-ES"/>
        </w:rPr>
      </w:pPr>
      <w:r w:rsidRPr="005A0E23">
        <w:rPr>
          <w:lang w:val="en-US" w:eastAsia="es-ES"/>
        </w:rPr>
        <w:t xml:space="preserve">21. Keskin K, Çetinkal G, Yıldız SS, Sığırcı S, Doğan GM, Orta Kılıçkesmez K. Clinical characteristics and intermediate-term outcomes of young patients with uncomplicated myopericarditis. </w:t>
      </w:r>
      <w:r w:rsidRPr="005A0E23">
        <w:rPr>
          <w:lang w:eastAsia="es-ES"/>
        </w:rPr>
        <w:t>Turk Kardiyol Dern Ars. 2019; 47(7):581-6. DOI: 10.5543/tkda.2019.63306</w:t>
      </w:r>
    </w:p>
    <w:p w14:paraId="05C8E275" w14:textId="77777777" w:rsidR="005A0E23" w:rsidRPr="005A0E23" w:rsidRDefault="005A0E23" w:rsidP="005A0E23">
      <w:pPr>
        <w:spacing w:line="360" w:lineRule="auto"/>
        <w:rPr>
          <w:lang w:eastAsia="es-ES"/>
        </w:rPr>
      </w:pPr>
      <w:r w:rsidRPr="005A0E23">
        <w:rPr>
          <w:lang w:eastAsia="es-ES"/>
        </w:rPr>
        <w:t>22. García Gómez A, Verde Martínez D, Fernández Castillo E, Pradere Pensado JC, Nistal Mena J. Caracterización del paciente con intervención neuroquirúrgica en cuidados intensivos. Rev Cub Med Inten Emerg. 2020 [acceso: 27/01/2023]; 19(4</w:t>
      </w:r>
      <w:proofErr w:type="gramStart"/>
      <w:r w:rsidRPr="005A0E23">
        <w:rPr>
          <w:lang w:eastAsia="es-ES"/>
        </w:rPr>
        <w:t>):e</w:t>
      </w:r>
      <w:proofErr w:type="gramEnd"/>
      <w:r w:rsidRPr="005A0E23">
        <w:rPr>
          <w:lang w:eastAsia="es-ES"/>
        </w:rPr>
        <w:t xml:space="preserve">766. Disponible en: </w:t>
      </w:r>
      <w:hyperlink r:id="rId24" w:history="1">
        <w:r w:rsidRPr="005A0E23">
          <w:rPr>
            <w:color w:val="0000FF"/>
            <w:lang w:eastAsia="es-ES"/>
          </w:rPr>
          <w:t>http://www.revmie.sld.cu/index.php/mie/article/view/766</w:t>
        </w:r>
      </w:hyperlink>
      <w:r w:rsidRPr="005A0E23">
        <w:rPr>
          <w:lang w:eastAsia="es-ES"/>
        </w:rPr>
        <w:t xml:space="preserve"> </w:t>
      </w:r>
    </w:p>
    <w:p w14:paraId="06A44739" w14:textId="77777777" w:rsidR="005A0E23" w:rsidRPr="005A0E23" w:rsidRDefault="005A0E23" w:rsidP="005A0E23">
      <w:pPr>
        <w:spacing w:line="360" w:lineRule="auto"/>
        <w:rPr>
          <w:lang w:eastAsia="es-ES"/>
        </w:rPr>
      </w:pPr>
      <w:r w:rsidRPr="005A0E23">
        <w:rPr>
          <w:lang w:eastAsia="es-ES"/>
        </w:rPr>
        <w:t xml:space="preserve">23. García Gómez G, Martínez Pérez K, Agüero Carbonell Y, Pradere Pensado JC, Leal Capdesuñer O. Caracterización de pacientes con antecedentes de alcoholismo crónico en una unidad de cuidados </w:t>
      </w:r>
      <w:r w:rsidRPr="005A0E23">
        <w:rPr>
          <w:lang w:eastAsia="es-ES"/>
        </w:rPr>
        <w:lastRenderedPageBreak/>
        <w:t>intensivos. Rev Cub Med Milit. 2020 [acceso: 27/01/2023]; 49(3</w:t>
      </w:r>
      <w:proofErr w:type="gramStart"/>
      <w:r w:rsidRPr="005A0E23">
        <w:rPr>
          <w:lang w:eastAsia="es-ES"/>
        </w:rPr>
        <w:t>):e</w:t>
      </w:r>
      <w:proofErr w:type="gramEnd"/>
      <w:r w:rsidRPr="005A0E23">
        <w:rPr>
          <w:lang w:eastAsia="es-ES"/>
        </w:rPr>
        <w:t xml:space="preserve">0200532. Disponible en: </w:t>
      </w:r>
      <w:hyperlink r:id="rId25" w:history="1">
        <w:r w:rsidRPr="005A0E23">
          <w:rPr>
            <w:color w:val="0000FF"/>
            <w:lang w:eastAsia="es-ES"/>
          </w:rPr>
          <w:t>http://www.revmedmilitar.sld.cu/index.php/mil/article/view/532</w:t>
        </w:r>
      </w:hyperlink>
      <w:r w:rsidRPr="005A0E23">
        <w:rPr>
          <w:lang w:eastAsia="es-ES"/>
        </w:rPr>
        <w:t xml:space="preserve"> </w:t>
      </w:r>
    </w:p>
    <w:p w14:paraId="674D0955" w14:textId="77777777" w:rsidR="005A0E23" w:rsidRPr="005A0E23" w:rsidRDefault="005A0E23" w:rsidP="005A0E23">
      <w:pPr>
        <w:spacing w:line="360" w:lineRule="auto"/>
        <w:rPr>
          <w:b/>
          <w:bCs/>
          <w:sz w:val="20"/>
          <w:szCs w:val="20"/>
          <w:lang w:eastAsia="es-ES"/>
        </w:rPr>
      </w:pPr>
      <w:r w:rsidRPr="005A0E23">
        <w:rPr>
          <w:lang w:eastAsia="es-ES"/>
        </w:rPr>
        <w:t>24. García Gómez A, Cárdenas Más O, Sanabria Blanco OL, Luejes García TH, Adelá RivesY. Morbilidad y mortalidad de pacientes de la cuarta edad en la unidad de cuidados intensivos. Rev Cub Med Milit. 2020 [acceso: 29/01/2022]; 49(4</w:t>
      </w:r>
      <w:proofErr w:type="gramStart"/>
      <w:r w:rsidRPr="005A0E23">
        <w:rPr>
          <w:lang w:eastAsia="es-ES"/>
        </w:rPr>
        <w:t>):e</w:t>
      </w:r>
      <w:proofErr w:type="gramEnd"/>
      <w:r w:rsidRPr="005A0E23">
        <w:rPr>
          <w:lang w:eastAsia="es-ES"/>
        </w:rPr>
        <w:t xml:space="preserve">0200768. Disponible en: </w:t>
      </w:r>
      <w:hyperlink r:id="rId26" w:history="1">
        <w:r w:rsidRPr="005A0E23">
          <w:rPr>
            <w:color w:val="0000FF"/>
            <w:lang w:eastAsia="es-ES"/>
          </w:rPr>
          <w:t>http://www.revmedmilitar.sld.cu/index.php/mil/article/view/768</w:t>
        </w:r>
      </w:hyperlink>
      <w:r w:rsidRPr="005A0E23">
        <w:rPr>
          <w:lang w:eastAsia="es-ES"/>
        </w:rPr>
        <w:t xml:space="preserve"> </w:t>
      </w:r>
    </w:p>
    <w:p w14:paraId="116BE17E" w14:textId="77777777" w:rsidR="005A0E23" w:rsidRPr="005A0E23" w:rsidRDefault="005A0E23" w:rsidP="005A0E23">
      <w:pPr>
        <w:spacing w:line="360" w:lineRule="auto"/>
        <w:jc w:val="center"/>
        <w:rPr>
          <w:b/>
          <w:bCs/>
          <w:lang w:eastAsia="es-ES"/>
        </w:rPr>
      </w:pPr>
    </w:p>
    <w:p w14:paraId="72B6498E" w14:textId="77777777" w:rsidR="005A0E23" w:rsidRPr="005A0E23" w:rsidRDefault="005A0E23" w:rsidP="005A0E23">
      <w:pPr>
        <w:spacing w:line="360" w:lineRule="auto"/>
        <w:jc w:val="center"/>
        <w:rPr>
          <w:b/>
          <w:bCs/>
          <w:lang w:eastAsia="es-ES"/>
        </w:rPr>
      </w:pPr>
    </w:p>
    <w:p w14:paraId="5630C1EC" w14:textId="77777777" w:rsidR="005A0E23" w:rsidRPr="005A0E23" w:rsidRDefault="005A0E23" w:rsidP="005A0E23">
      <w:pPr>
        <w:spacing w:line="360" w:lineRule="auto"/>
        <w:jc w:val="center"/>
        <w:rPr>
          <w:b/>
          <w:bCs/>
          <w:lang w:eastAsia="es-ES"/>
        </w:rPr>
      </w:pPr>
      <w:r w:rsidRPr="005A0E23">
        <w:rPr>
          <w:b/>
          <w:bCs/>
          <w:lang w:eastAsia="es-ES"/>
        </w:rPr>
        <w:t>Conflictos de interés</w:t>
      </w:r>
    </w:p>
    <w:p w14:paraId="278C65F5" w14:textId="77777777" w:rsidR="005A0E23" w:rsidRPr="005A0E23" w:rsidRDefault="005A0E23" w:rsidP="005A0E23">
      <w:pPr>
        <w:spacing w:line="360" w:lineRule="auto"/>
        <w:jc w:val="both"/>
        <w:rPr>
          <w:lang w:eastAsia="es-ES"/>
        </w:rPr>
      </w:pPr>
      <w:r w:rsidRPr="005A0E23">
        <w:rPr>
          <w:lang w:eastAsia="es-ES"/>
        </w:rPr>
        <w:t>Los autores declaran que no existen conflictos de interés en relación con el trabajo.</w:t>
      </w:r>
    </w:p>
    <w:p w14:paraId="50303F12" w14:textId="77777777" w:rsidR="005A0E23" w:rsidRPr="005A0E23" w:rsidRDefault="005A0E23" w:rsidP="005A0E23">
      <w:pPr>
        <w:spacing w:line="360" w:lineRule="auto"/>
        <w:jc w:val="center"/>
        <w:rPr>
          <w:b/>
          <w:lang w:eastAsia="es-ES"/>
        </w:rPr>
      </w:pPr>
    </w:p>
    <w:p w14:paraId="65F071EC" w14:textId="77777777" w:rsidR="005A0E23" w:rsidRPr="005A0E23" w:rsidRDefault="005A0E23" w:rsidP="005A0E23">
      <w:pPr>
        <w:spacing w:line="360" w:lineRule="auto"/>
        <w:jc w:val="center"/>
        <w:rPr>
          <w:lang w:eastAsia="es-ES"/>
        </w:rPr>
      </w:pPr>
      <w:r w:rsidRPr="005A0E23">
        <w:rPr>
          <w:b/>
          <w:lang w:eastAsia="es-ES"/>
        </w:rPr>
        <w:t>Contribuciones de los autores</w:t>
      </w:r>
    </w:p>
    <w:p w14:paraId="544F6983" w14:textId="77777777" w:rsidR="005A0E23" w:rsidRPr="005A0E23" w:rsidRDefault="005A0E23" w:rsidP="005A0E23">
      <w:pPr>
        <w:spacing w:line="360" w:lineRule="auto"/>
        <w:jc w:val="both"/>
        <w:rPr>
          <w:rFonts w:eastAsia="Calibri"/>
          <w:i/>
          <w:lang w:eastAsia="es-ES"/>
        </w:rPr>
      </w:pPr>
      <w:r w:rsidRPr="005A0E23">
        <w:rPr>
          <w:lang w:eastAsia="es-ES"/>
        </w:rPr>
        <w:t xml:space="preserve">Conceptualización: </w:t>
      </w:r>
      <w:r w:rsidRPr="005A0E23">
        <w:rPr>
          <w:i/>
          <w:lang w:eastAsia="es-ES"/>
        </w:rPr>
        <w:t>Alberto García Gómez</w:t>
      </w:r>
      <w:r w:rsidRPr="005A0E23">
        <w:rPr>
          <w:rFonts w:eastAsia="Calibri"/>
          <w:i/>
          <w:lang w:eastAsia="es-ES"/>
        </w:rPr>
        <w:t>.</w:t>
      </w:r>
    </w:p>
    <w:p w14:paraId="058FAD52" w14:textId="77777777" w:rsidR="005A0E23" w:rsidRPr="005A0E23" w:rsidRDefault="005A0E23" w:rsidP="005A0E23">
      <w:pPr>
        <w:spacing w:line="360" w:lineRule="auto"/>
        <w:jc w:val="both"/>
        <w:rPr>
          <w:rFonts w:eastAsia="Calibri"/>
          <w:i/>
          <w:lang w:eastAsia="es-ES"/>
        </w:rPr>
      </w:pPr>
      <w:r w:rsidRPr="005A0E23">
        <w:rPr>
          <w:lang w:val="es-ES" w:eastAsia="es-ES"/>
        </w:rPr>
        <w:t xml:space="preserve">Curación de datos: </w:t>
      </w:r>
      <w:r w:rsidRPr="005A0E23">
        <w:rPr>
          <w:i/>
          <w:lang w:val="es-ES" w:eastAsia="es-ES"/>
        </w:rPr>
        <w:t>Yoan Rafael Machado Rosales</w:t>
      </w:r>
      <w:r w:rsidRPr="005A0E23">
        <w:rPr>
          <w:rFonts w:eastAsia="Calibri"/>
          <w:i/>
          <w:lang w:eastAsia="es-ES"/>
        </w:rPr>
        <w:t>.</w:t>
      </w:r>
    </w:p>
    <w:p w14:paraId="73F8D763" w14:textId="77777777" w:rsidR="005A0E23" w:rsidRPr="005A0E23" w:rsidRDefault="005A0E23" w:rsidP="005A0E23">
      <w:pPr>
        <w:spacing w:line="360" w:lineRule="auto"/>
        <w:jc w:val="both"/>
        <w:rPr>
          <w:rFonts w:eastAsia="Calibri"/>
          <w:i/>
          <w:lang w:eastAsia="es-ES"/>
        </w:rPr>
      </w:pPr>
      <w:r w:rsidRPr="005A0E23">
        <w:rPr>
          <w:rFonts w:eastAsia="Calibri"/>
          <w:lang w:eastAsia="es-ES"/>
        </w:rPr>
        <w:t>Análisis formal:</w:t>
      </w:r>
      <w:r w:rsidRPr="005A0E23">
        <w:rPr>
          <w:lang w:eastAsia="es-ES"/>
        </w:rPr>
        <w:t xml:space="preserve"> </w:t>
      </w:r>
      <w:r w:rsidRPr="005A0E23">
        <w:rPr>
          <w:i/>
          <w:lang w:eastAsia="es-ES"/>
        </w:rPr>
        <w:t>Alberto García Gómez</w:t>
      </w:r>
      <w:r w:rsidRPr="005A0E23">
        <w:rPr>
          <w:rFonts w:eastAsia="Calibri"/>
          <w:i/>
          <w:lang w:eastAsia="es-ES"/>
        </w:rPr>
        <w:t>.</w:t>
      </w:r>
    </w:p>
    <w:p w14:paraId="2C6BDE70" w14:textId="77777777" w:rsidR="005A0E23" w:rsidRPr="005A0E23" w:rsidRDefault="005A0E23" w:rsidP="005A0E23">
      <w:pPr>
        <w:spacing w:line="360" w:lineRule="auto"/>
        <w:jc w:val="both"/>
        <w:rPr>
          <w:rFonts w:eastAsia="Calibri"/>
          <w:i/>
          <w:lang w:eastAsia="es-ES"/>
        </w:rPr>
      </w:pPr>
      <w:r w:rsidRPr="005A0E23">
        <w:rPr>
          <w:lang w:eastAsia="es-ES"/>
        </w:rPr>
        <w:t xml:space="preserve">Investigación: </w:t>
      </w:r>
      <w:r w:rsidRPr="005A0E23">
        <w:rPr>
          <w:i/>
          <w:lang w:eastAsia="es-ES"/>
        </w:rPr>
        <w:t>Ozohydhy Leal Capdesuñer</w:t>
      </w:r>
      <w:r w:rsidRPr="005A0E23">
        <w:rPr>
          <w:rFonts w:eastAsia="Calibri"/>
          <w:i/>
          <w:lang w:eastAsia="es-ES"/>
        </w:rPr>
        <w:t>.</w:t>
      </w:r>
    </w:p>
    <w:p w14:paraId="414130B3" w14:textId="77777777" w:rsidR="005A0E23" w:rsidRPr="005A0E23" w:rsidRDefault="005A0E23" w:rsidP="005A0E23">
      <w:pPr>
        <w:spacing w:line="360" w:lineRule="auto"/>
        <w:jc w:val="both"/>
        <w:rPr>
          <w:rFonts w:eastAsia="Calibri"/>
          <w:i/>
          <w:lang w:eastAsia="es-ES"/>
        </w:rPr>
      </w:pPr>
      <w:r w:rsidRPr="005A0E23">
        <w:rPr>
          <w:lang w:eastAsia="es-ES"/>
        </w:rPr>
        <w:t xml:space="preserve">Metodología: </w:t>
      </w:r>
      <w:r w:rsidRPr="005A0E23">
        <w:rPr>
          <w:i/>
          <w:lang w:eastAsia="es-ES"/>
        </w:rPr>
        <w:t>Olga Lidia Sanabria Blanco</w:t>
      </w:r>
      <w:r w:rsidRPr="005A0E23">
        <w:rPr>
          <w:rFonts w:eastAsia="Calibri"/>
          <w:i/>
          <w:lang w:eastAsia="es-ES"/>
        </w:rPr>
        <w:t xml:space="preserve">. </w:t>
      </w:r>
    </w:p>
    <w:p w14:paraId="7CF61DD6" w14:textId="77777777" w:rsidR="005A0E23" w:rsidRPr="005A0E23" w:rsidRDefault="005A0E23" w:rsidP="005A0E23">
      <w:pPr>
        <w:spacing w:line="360" w:lineRule="auto"/>
        <w:jc w:val="both"/>
        <w:rPr>
          <w:rFonts w:eastAsia="Calibri"/>
          <w:i/>
          <w:lang w:eastAsia="es-ES"/>
        </w:rPr>
      </w:pPr>
      <w:r w:rsidRPr="005A0E23">
        <w:rPr>
          <w:lang w:eastAsia="es-ES"/>
        </w:rPr>
        <w:t xml:space="preserve">Visualización: </w:t>
      </w:r>
      <w:r w:rsidRPr="005A0E23">
        <w:rPr>
          <w:i/>
          <w:lang w:eastAsia="es-ES"/>
        </w:rPr>
        <w:t>Pedro Julio García Álvarez</w:t>
      </w:r>
      <w:r w:rsidRPr="005A0E23">
        <w:rPr>
          <w:rFonts w:eastAsia="Calibri"/>
          <w:i/>
          <w:lang w:eastAsia="es-ES"/>
        </w:rPr>
        <w:t>.</w:t>
      </w:r>
    </w:p>
    <w:p w14:paraId="08E3A0A5" w14:textId="77777777" w:rsidR="005A0E23" w:rsidRPr="005A0E23" w:rsidRDefault="005A0E23" w:rsidP="005A0E23">
      <w:pPr>
        <w:spacing w:line="360" w:lineRule="auto"/>
        <w:jc w:val="both"/>
        <w:rPr>
          <w:rFonts w:eastAsia="Calibri"/>
          <w:i/>
          <w:lang w:eastAsia="es-ES"/>
        </w:rPr>
      </w:pPr>
      <w:r w:rsidRPr="005A0E23">
        <w:rPr>
          <w:lang w:eastAsia="es-ES"/>
        </w:rPr>
        <w:t xml:space="preserve">Redacción-borrador original: </w:t>
      </w:r>
      <w:r w:rsidRPr="005A0E23">
        <w:rPr>
          <w:i/>
          <w:lang w:eastAsia="es-ES"/>
        </w:rPr>
        <w:t>Eglis Fernández Castillo.</w:t>
      </w:r>
    </w:p>
    <w:p w14:paraId="1F967DD6" w14:textId="77777777" w:rsidR="005A0E23" w:rsidRPr="005A0E23" w:rsidRDefault="005A0E23" w:rsidP="005A0E23">
      <w:pPr>
        <w:spacing w:line="360" w:lineRule="auto"/>
        <w:jc w:val="both"/>
        <w:rPr>
          <w:rFonts w:eastAsia="Calibri"/>
          <w:lang w:eastAsia="es-ES"/>
        </w:rPr>
      </w:pPr>
      <w:r w:rsidRPr="005A0E23">
        <w:rPr>
          <w:lang w:eastAsia="es-ES"/>
        </w:rPr>
        <w:t xml:space="preserve">Redacción - revisión y edición: </w:t>
      </w:r>
      <w:r w:rsidRPr="005A0E23">
        <w:rPr>
          <w:i/>
          <w:lang w:eastAsia="es-ES"/>
        </w:rPr>
        <w:t>Jacqueline Nistal Mena.</w:t>
      </w:r>
      <w:r w:rsidRPr="005A0E23">
        <w:rPr>
          <w:lang w:eastAsia="es-ES"/>
        </w:rPr>
        <w:t xml:space="preserve"> </w:t>
      </w:r>
    </w:p>
    <w:p w14:paraId="6B662E71" w14:textId="77777777" w:rsidR="005A0E23" w:rsidRPr="005A0E23" w:rsidRDefault="005A0E23" w:rsidP="005A0E23">
      <w:pPr>
        <w:spacing w:line="360" w:lineRule="auto"/>
        <w:jc w:val="both"/>
        <w:rPr>
          <w:rFonts w:eastAsia="Calibri"/>
          <w:lang w:eastAsia="es-ES"/>
        </w:rPr>
      </w:pPr>
    </w:p>
    <w:p w14:paraId="7C456077" w14:textId="77777777" w:rsidR="00675476" w:rsidRPr="0055115D" w:rsidRDefault="00675476" w:rsidP="00EA1FEF">
      <w:pPr>
        <w:pStyle w:val="PDFRevista"/>
      </w:pPr>
    </w:p>
    <w:sectPr w:rsidR="00675476" w:rsidRPr="0055115D" w:rsidSect="00FD3DF8">
      <w:headerReference w:type="default" r:id="rId27"/>
      <w:footerReference w:type="even" r:id="rId28"/>
      <w:footerReference w:type="default" r:id="rId29"/>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BEBAC" w14:textId="77777777" w:rsidR="00BC2572" w:rsidRDefault="00BC2572">
      <w:r>
        <w:separator/>
      </w:r>
    </w:p>
  </w:endnote>
  <w:endnote w:type="continuationSeparator" w:id="0">
    <w:p w14:paraId="461D9A47" w14:textId="77777777" w:rsidR="00BC2572" w:rsidRDefault="00BC2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15955"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2FCFAC8"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19C5E"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33665F1B" wp14:editId="795B6400">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F0813"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7CD8A5F3" w14:textId="77777777" w:rsidR="00675476" w:rsidRPr="00AE044C" w:rsidRDefault="00BC2572" w:rsidP="00391509">
    <w:pPr>
      <w:pStyle w:val="Piedepgina"/>
      <w:ind w:right="360"/>
      <w:rPr>
        <w:sz w:val="22"/>
        <w:szCs w:val="22"/>
      </w:rPr>
    </w:pPr>
    <w:hyperlink r:id="rId1" w:history="1">
      <w:r w:rsidR="00391509" w:rsidRPr="00AE044C">
        <w:rPr>
          <w:rStyle w:val="Hipervnculo"/>
          <w:sz w:val="22"/>
          <w:szCs w:val="22"/>
        </w:rPr>
        <w:t>http://scielo.sld.cu</w:t>
      </w:r>
    </w:hyperlink>
  </w:p>
  <w:p w14:paraId="1E635962" w14:textId="77777777" w:rsidR="00391509" w:rsidRPr="00AE044C" w:rsidRDefault="00BC2572"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6468D30D" w14:textId="77777777"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Pr>
        <w:rFonts w:ascii="Verdana" w:hAnsi="Verdana"/>
        <w:noProof/>
        <w:sz w:val="18"/>
        <w:szCs w:val="18"/>
        <w:lang w:val="en-US" w:eastAsia="en-US"/>
      </w:rPr>
      <w:drawing>
        <wp:inline distT="0" distB="0" distL="0" distR="0" wp14:anchorId="421841FF" wp14:editId="37A89FFD">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10848" w14:textId="77777777" w:rsidR="00BC2572" w:rsidRDefault="00BC2572">
      <w:r>
        <w:separator/>
      </w:r>
    </w:p>
  </w:footnote>
  <w:footnote w:type="continuationSeparator" w:id="0">
    <w:p w14:paraId="72056106" w14:textId="77777777" w:rsidR="00BC2572" w:rsidRDefault="00BC2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1F2C5" w14:textId="6460247C" w:rsidR="00CC376A" w:rsidRPr="00AE044C" w:rsidRDefault="005A0E23"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4</w:t>
    </w:r>
    <w:proofErr w:type="gramStart"/>
    <w:r w:rsidR="007D2D0C" w:rsidRPr="00AE044C">
      <w:rPr>
        <w:sz w:val="22"/>
        <w:szCs w:val="22"/>
      </w:rPr>
      <w:t>):</w:t>
    </w:r>
    <w:r>
      <w:rPr>
        <w:sz w:val="22"/>
        <w:szCs w:val="22"/>
      </w:rPr>
      <w:t>e</w:t>
    </w:r>
    <w:proofErr w:type="gramEnd"/>
    <w:r>
      <w:rPr>
        <w:sz w:val="22"/>
        <w:szCs w:val="22"/>
      </w:rPr>
      <w:t>02302891</w:t>
    </w:r>
    <w:r w:rsidR="007D2D0C" w:rsidRPr="007D2D0C">
      <w:rPr>
        <w:b/>
        <w:noProof/>
        <w:color w:val="00FFFF"/>
        <w:sz w:val="22"/>
        <w:szCs w:val="22"/>
        <w:lang w:val="es-CU" w:eastAsia="en-US"/>
      </w:rPr>
      <w:t xml:space="preserve"> </w:t>
    </w:r>
    <w:r w:rsidR="007D2D0C">
      <w:rPr>
        <w:b/>
        <w:noProof/>
        <w:color w:val="00FFFF"/>
        <w:sz w:val="22"/>
        <w:szCs w:val="22"/>
        <w:lang w:val="en-US" w:eastAsia="en-US"/>
      </w:rPr>
      <w:drawing>
        <wp:anchor distT="0" distB="0" distL="114300" distR="114300" simplePos="0" relativeHeight="251663360" behindDoc="1" locked="0" layoutInCell="1" allowOverlap="1" wp14:anchorId="67D53CFC" wp14:editId="7A917FDC">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p>
  <w:p w14:paraId="676B37B8"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3AE325D7" wp14:editId="372F79F4">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BBEAD"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36E8AF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85E2EA9"/>
    <w:multiLevelType w:val="multilevel"/>
    <w:tmpl w:val="9B98BD84"/>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0A0277"/>
    <w:multiLevelType w:val="hybridMultilevel"/>
    <w:tmpl w:val="9B569A00"/>
    <w:lvl w:ilvl="0" w:tplc="8BB05DA2">
      <w:start w:val="1"/>
      <w:numFmt w:val="decimal"/>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0A44CB6"/>
    <w:multiLevelType w:val="hybridMultilevel"/>
    <w:tmpl w:val="52E81536"/>
    <w:lvl w:ilvl="0" w:tplc="0C0A000F">
      <w:start w:val="1"/>
      <w:numFmt w:val="decimal"/>
      <w:lvlText w:val="%1."/>
      <w:lvlJc w:val="left"/>
      <w:pPr>
        <w:ind w:left="502"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9C0301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6" w15:restartNumberingAfterBreak="0">
    <w:nsid w:val="57120DE8"/>
    <w:multiLevelType w:val="hybridMultilevel"/>
    <w:tmpl w:val="70EC68F8"/>
    <w:lvl w:ilvl="0" w:tplc="040A000D">
      <w:start w:val="1"/>
      <w:numFmt w:val="bullet"/>
      <w:lvlText w:val=""/>
      <w:lvlJc w:val="left"/>
      <w:pPr>
        <w:ind w:left="360" w:hanging="360"/>
      </w:pPr>
      <w:rPr>
        <w:rFonts w:ascii="Wingdings" w:hAnsi="Wingdings"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15:restartNumberingAfterBreak="0">
    <w:nsid w:val="596F48B6"/>
    <w:multiLevelType w:val="hybridMultilevel"/>
    <w:tmpl w:val="74A442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AB063D1"/>
    <w:multiLevelType w:val="multilevel"/>
    <w:tmpl w:val="2A4E637E"/>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ind w:left="1440" w:hanging="360"/>
      </w:pPr>
      <w:rPr>
        <w:rFonts w:ascii="Arial" w:hAnsi="Arial" w:cs="Arial" w:hint="default"/>
        <w:color w:val="auto"/>
        <w:sz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4F734A"/>
    <w:multiLevelType w:val="hybridMultilevel"/>
    <w:tmpl w:val="6018E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4"/>
  </w:num>
  <w:num w:numId="4">
    <w:abstractNumId w:val="0"/>
  </w:num>
  <w:num w:numId="5">
    <w:abstractNumId w:val="6"/>
  </w:num>
  <w:num w:numId="6">
    <w:abstractNumId w:val="1"/>
  </w:num>
  <w:num w:numId="7">
    <w:abstractNumId w:val="3"/>
  </w:num>
  <w:num w:numId="8">
    <w:abstractNumId w:val="7"/>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E23"/>
    <w:rsid w:val="00057F45"/>
    <w:rsid w:val="000B5361"/>
    <w:rsid w:val="000D3958"/>
    <w:rsid w:val="000F1E50"/>
    <w:rsid w:val="000F3690"/>
    <w:rsid w:val="001221D1"/>
    <w:rsid w:val="00165CB5"/>
    <w:rsid w:val="00180CE9"/>
    <w:rsid w:val="00230DD5"/>
    <w:rsid w:val="00250AE9"/>
    <w:rsid w:val="00380D64"/>
    <w:rsid w:val="00391509"/>
    <w:rsid w:val="003E03D5"/>
    <w:rsid w:val="00486BFA"/>
    <w:rsid w:val="00493701"/>
    <w:rsid w:val="004E2065"/>
    <w:rsid w:val="005508A2"/>
    <w:rsid w:val="0055115D"/>
    <w:rsid w:val="00566F71"/>
    <w:rsid w:val="005918BD"/>
    <w:rsid w:val="005A0E23"/>
    <w:rsid w:val="006173A6"/>
    <w:rsid w:val="00675476"/>
    <w:rsid w:val="007C430F"/>
    <w:rsid w:val="007D2D0C"/>
    <w:rsid w:val="007D614D"/>
    <w:rsid w:val="00915D3C"/>
    <w:rsid w:val="00960D6A"/>
    <w:rsid w:val="009A0560"/>
    <w:rsid w:val="009B0917"/>
    <w:rsid w:val="009E3FAB"/>
    <w:rsid w:val="009F0F96"/>
    <w:rsid w:val="00A23C0C"/>
    <w:rsid w:val="00A477DE"/>
    <w:rsid w:val="00A66186"/>
    <w:rsid w:val="00A71E65"/>
    <w:rsid w:val="00AE044C"/>
    <w:rsid w:val="00B31971"/>
    <w:rsid w:val="00B4380A"/>
    <w:rsid w:val="00B66ECB"/>
    <w:rsid w:val="00BC2572"/>
    <w:rsid w:val="00C7523A"/>
    <w:rsid w:val="00CC1B6E"/>
    <w:rsid w:val="00CC376A"/>
    <w:rsid w:val="00CC48A1"/>
    <w:rsid w:val="00CF50E0"/>
    <w:rsid w:val="00D85951"/>
    <w:rsid w:val="00E62606"/>
    <w:rsid w:val="00EA1FEF"/>
    <w:rsid w:val="00EC5A6B"/>
    <w:rsid w:val="00EE301D"/>
    <w:rsid w:val="00FA7CC1"/>
    <w:rsid w:val="00FD3DF8"/>
    <w:rsid w:val="00FE40CB"/>
    <w:rsid w:val="00FE4D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B5F58"/>
  <w15:docId w15:val="{02B2763B-62A7-4A1B-A74E-E51816393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uiPriority="99"/>
    <w:lsdException w:name="Body Text First Indent 2" w:semiHidden="1" w:uiPriority="99"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9"/>
    <w:qFormat/>
    <w:rsid w:val="005A0E23"/>
    <w:pPr>
      <w:keepNext/>
      <w:spacing w:line="360" w:lineRule="auto"/>
      <w:jc w:val="both"/>
      <w:outlineLvl w:val="0"/>
    </w:pPr>
    <w:rPr>
      <w:rFonts w:ascii="Arial" w:hAnsi="Arial"/>
      <w:b/>
      <w:szCs w:val="20"/>
      <w:lang w:val="x-none" w:eastAsia="x-none"/>
    </w:rPr>
  </w:style>
  <w:style w:type="paragraph" w:styleId="Ttulo2">
    <w:name w:val="heading 2"/>
    <w:basedOn w:val="Normal"/>
    <w:next w:val="Normal"/>
    <w:link w:val="Ttulo2Car"/>
    <w:qFormat/>
    <w:rsid w:val="005A0E23"/>
    <w:pPr>
      <w:keepNext/>
      <w:suppressAutoHyphens/>
      <w:outlineLvl w:val="1"/>
    </w:pPr>
    <w:rPr>
      <w:rFonts w:ascii="Arial" w:hAnsi="Arial"/>
      <w:snapToGrid w:val="0"/>
      <w:color w:val="000000"/>
      <w:szCs w:val="20"/>
      <w:lang w:eastAsia="es-ES"/>
    </w:rPr>
  </w:style>
  <w:style w:type="paragraph" w:styleId="Ttulo3">
    <w:name w:val="heading 3"/>
    <w:basedOn w:val="Normal"/>
    <w:next w:val="Normal"/>
    <w:link w:val="Ttulo3Car"/>
    <w:qFormat/>
    <w:rsid w:val="005A0E23"/>
    <w:pPr>
      <w:keepNext/>
      <w:suppressAutoHyphens/>
      <w:jc w:val="center"/>
      <w:outlineLvl w:val="2"/>
    </w:pPr>
    <w:rPr>
      <w:rFonts w:ascii="Arial" w:hAnsi="Arial"/>
      <w:snapToGrid w:val="0"/>
      <w:color w:val="000000"/>
      <w:szCs w:val="20"/>
      <w:lang w:eastAsia="es-ES"/>
    </w:rPr>
  </w:style>
  <w:style w:type="paragraph" w:styleId="Ttulo4">
    <w:name w:val="heading 4"/>
    <w:basedOn w:val="Normal"/>
    <w:next w:val="Normal"/>
    <w:link w:val="Ttulo4Car"/>
    <w:qFormat/>
    <w:rsid w:val="005A0E23"/>
    <w:pPr>
      <w:keepNext/>
      <w:outlineLvl w:val="3"/>
    </w:pPr>
    <w:rPr>
      <w:rFonts w:ascii="Arial" w:hAnsi="Arial"/>
      <w:szCs w:val="20"/>
      <w:u w:val="single"/>
      <w:lang w:eastAsia="es-ES"/>
    </w:rPr>
  </w:style>
  <w:style w:type="paragraph" w:styleId="Ttulo5">
    <w:name w:val="heading 5"/>
    <w:basedOn w:val="Normal"/>
    <w:next w:val="Normal"/>
    <w:link w:val="Ttulo5Car"/>
    <w:qFormat/>
    <w:rsid w:val="005A0E23"/>
    <w:pPr>
      <w:keepNext/>
      <w:jc w:val="center"/>
      <w:outlineLvl w:val="4"/>
    </w:pPr>
    <w:rPr>
      <w:rFonts w:ascii="Arial" w:hAnsi="Arial"/>
      <w:b/>
      <w:snapToGrid w:val="0"/>
      <w:color w:val="000000"/>
      <w:sz w:val="22"/>
      <w:szCs w:val="20"/>
      <w:lang w:eastAsia="es-ES"/>
    </w:rPr>
  </w:style>
  <w:style w:type="paragraph" w:styleId="Ttulo6">
    <w:name w:val="heading 6"/>
    <w:basedOn w:val="Normal"/>
    <w:next w:val="Normal"/>
    <w:link w:val="Ttulo6Car"/>
    <w:qFormat/>
    <w:rsid w:val="005A0E23"/>
    <w:pPr>
      <w:keepNext/>
      <w:jc w:val="center"/>
      <w:outlineLvl w:val="5"/>
    </w:pPr>
    <w:rPr>
      <w:rFonts w:ascii="Arial" w:hAnsi="Arial"/>
      <w:b/>
      <w:snapToGrid w:val="0"/>
      <w:sz w:val="22"/>
      <w:szCs w:val="20"/>
      <w:lang w:eastAsia="es-ES"/>
    </w:rPr>
  </w:style>
  <w:style w:type="paragraph" w:styleId="Ttulo7">
    <w:name w:val="heading 7"/>
    <w:basedOn w:val="Normal"/>
    <w:next w:val="Normal"/>
    <w:link w:val="Ttulo7Car"/>
    <w:qFormat/>
    <w:rsid w:val="005A0E23"/>
    <w:pPr>
      <w:keepNext/>
      <w:jc w:val="center"/>
      <w:outlineLvl w:val="6"/>
    </w:pPr>
    <w:rPr>
      <w:rFonts w:ascii="Arial" w:hAnsi="Arial"/>
      <w:b/>
      <w:snapToGrid w:val="0"/>
      <w:color w:val="000000"/>
      <w:sz w:val="20"/>
      <w:szCs w:val="20"/>
      <w:lang w:eastAsia="es-ES"/>
    </w:rPr>
  </w:style>
  <w:style w:type="paragraph" w:styleId="Ttulo8">
    <w:name w:val="heading 8"/>
    <w:basedOn w:val="Normal"/>
    <w:next w:val="Normal"/>
    <w:link w:val="Ttulo8Car"/>
    <w:qFormat/>
    <w:rsid w:val="005A0E23"/>
    <w:pPr>
      <w:keepNext/>
      <w:jc w:val="both"/>
      <w:outlineLvl w:val="7"/>
    </w:pPr>
    <w:rPr>
      <w:rFonts w:ascii="Arial" w:hAnsi="Arial"/>
      <w:snapToGrid w:val="0"/>
      <w:szCs w:val="20"/>
      <w:lang w:eastAsia="es-ES"/>
    </w:rPr>
  </w:style>
  <w:style w:type="paragraph" w:styleId="Ttulo9">
    <w:name w:val="heading 9"/>
    <w:basedOn w:val="Normal"/>
    <w:next w:val="Normal"/>
    <w:link w:val="Ttulo9Car"/>
    <w:qFormat/>
    <w:rsid w:val="005A0E23"/>
    <w:pPr>
      <w:spacing w:before="240" w:after="60"/>
      <w:outlineLvl w:val="8"/>
    </w:pPr>
    <w:rPr>
      <w:rFonts w:ascii="Arial" w:hAnsi="Arial"/>
      <w:sz w:val="22"/>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character" w:styleId="Mencinsinresolver">
    <w:name w:val="Unresolved Mention"/>
    <w:basedOn w:val="Fuentedeprrafopredeter"/>
    <w:uiPriority w:val="99"/>
    <w:semiHidden/>
    <w:unhideWhenUsed/>
    <w:rsid w:val="00A66186"/>
    <w:rPr>
      <w:color w:val="605E5C"/>
      <w:shd w:val="clear" w:color="auto" w:fill="E1DFDD"/>
    </w:rPr>
  </w:style>
  <w:style w:type="character" w:customStyle="1" w:styleId="Ttulo1Car">
    <w:name w:val="Título 1 Car"/>
    <w:basedOn w:val="Fuentedeprrafopredeter"/>
    <w:link w:val="Ttulo1"/>
    <w:uiPriority w:val="99"/>
    <w:rsid w:val="005A0E23"/>
    <w:rPr>
      <w:rFonts w:ascii="Arial" w:hAnsi="Arial"/>
      <w:b/>
      <w:sz w:val="24"/>
      <w:lang w:val="x-none" w:eastAsia="x-none"/>
    </w:rPr>
  </w:style>
  <w:style w:type="character" w:customStyle="1" w:styleId="Ttulo2Car">
    <w:name w:val="Título 2 Car"/>
    <w:basedOn w:val="Fuentedeprrafopredeter"/>
    <w:link w:val="Ttulo2"/>
    <w:rsid w:val="005A0E23"/>
    <w:rPr>
      <w:rFonts w:ascii="Arial" w:hAnsi="Arial"/>
      <w:snapToGrid w:val="0"/>
      <w:color w:val="000000"/>
      <w:sz w:val="24"/>
      <w:lang w:val="es-ES_tradnl"/>
    </w:rPr>
  </w:style>
  <w:style w:type="character" w:customStyle="1" w:styleId="Ttulo3Car">
    <w:name w:val="Título 3 Car"/>
    <w:basedOn w:val="Fuentedeprrafopredeter"/>
    <w:link w:val="Ttulo3"/>
    <w:rsid w:val="005A0E23"/>
    <w:rPr>
      <w:rFonts w:ascii="Arial" w:hAnsi="Arial"/>
      <w:snapToGrid w:val="0"/>
      <w:color w:val="000000"/>
      <w:sz w:val="24"/>
      <w:lang w:val="es-ES_tradnl"/>
    </w:rPr>
  </w:style>
  <w:style w:type="character" w:customStyle="1" w:styleId="Ttulo4Car">
    <w:name w:val="Título 4 Car"/>
    <w:basedOn w:val="Fuentedeprrafopredeter"/>
    <w:link w:val="Ttulo4"/>
    <w:rsid w:val="005A0E23"/>
    <w:rPr>
      <w:rFonts w:ascii="Arial" w:hAnsi="Arial"/>
      <w:sz w:val="24"/>
      <w:u w:val="single"/>
      <w:lang w:val="es-ES_tradnl"/>
    </w:rPr>
  </w:style>
  <w:style w:type="character" w:customStyle="1" w:styleId="Ttulo5Car">
    <w:name w:val="Título 5 Car"/>
    <w:basedOn w:val="Fuentedeprrafopredeter"/>
    <w:link w:val="Ttulo5"/>
    <w:rsid w:val="005A0E23"/>
    <w:rPr>
      <w:rFonts w:ascii="Arial" w:hAnsi="Arial"/>
      <w:b/>
      <w:snapToGrid w:val="0"/>
      <w:color w:val="000000"/>
      <w:sz w:val="22"/>
      <w:lang w:val="es-ES_tradnl"/>
    </w:rPr>
  </w:style>
  <w:style w:type="character" w:customStyle="1" w:styleId="Ttulo6Car">
    <w:name w:val="Título 6 Car"/>
    <w:basedOn w:val="Fuentedeprrafopredeter"/>
    <w:link w:val="Ttulo6"/>
    <w:rsid w:val="005A0E23"/>
    <w:rPr>
      <w:rFonts w:ascii="Arial" w:hAnsi="Arial"/>
      <w:b/>
      <w:snapToGrid w:val="0"/>
      <w:sz w:val="22"/>
      <w:lang w:val="es-ES_tradnl"/>
    </w:rPr>
  </w:style>
  <w:style w:type="character" w:customStyle="1" w:styleId="Ttulo7Car">
    <w:name w:val="Título 7 Car"/>
    <w:basedOn w:val="Fuentedeprrafopredeter"/>
    <w:link w:val="Ttulo7"/>
    <w:rsid w:val="005A0E23"/>
    <w:rPr>
      <w:rFonts w:ascii="Arial" w:hAnsi="Arial"/>
      <w:b/>
      <w:snapToGrid w:val="0"/>
      <w:color w:val="000000"/>
      <w:lang w:val="es-ES_tradnl"/>
    </w:rPr>
  </w:style>
  <w:style w:type="character" w:customStyle="1" w:styleId="Ttulo8Car">
    <w:name w:val="Título 8 Car"/>
    <w:basedOn w:val="Fuentedeprrafopredeter"/>
    <w:link w:val="Ttulo8"/>
    <w:rsid w:val="005A0E23"/>
    <w:rPr>
      <w:rFonts w:ascii="Arial" w:hAnsi="Arial"/>
      <w:snapToGrid w:val="0"/>
      <w:sz w:val="24"/>
      <w:lang w:val="es-ES_tradnl"/>
    </w:rPr>
  </w:style>
  <w:style w:type="character" w:customStyle="1" w:styleId="Ttulo9Car">
    <w:name w:val="Título 9 Car"/>
    <w:basedOn w:val="Fuentedeprrafopredeter"/>
    <w:link w:val="Ttulo9"/>
    <w:rsid w:val="005A0E23"/>
    <w:rPr>
      <w:rFonts w:ascii="Arial" w:hAnsi="Arial"/>
      <w:sz w:val="22"/>
      <w:lang w:val="es-ES_tradnl"/>
    </w:rPr>
  </w:style>
  <w:style w:type="numbering" w:customStyle="1" w:styleId="Sinlista1">
    <w:name w:val="Sin lista1"/>
    <w:next w:val="Sinlista"/>
    <w:uiPriority w:val="99"/>
    <w:semiHidden/>
    <w:unhideWhenUsed/>
    <w:rsid w:val="005A0E23"/>
  </w:style>
  <w:style w:type="paragraph" w:styleId="Textoindependiente2">
    <w:name w:val="Body Text 2"/>
    <w:basedOn w:val="Normal"/>
    <w:link w:val="Textoindependiente2Car"/>
    <w:uiPriority w:val="99"/>
    <w:semiHidden/>
    <w:rsid w:val="005A0E23"/>
    <w:rPr>
      <w:sz w:val="28"/>
      <w:szCs w:val="20"/>
      <w:lang w:eastAsia="x-none"/>
    </w:rPr>
  </w:style>
  <w:style w:type="character" w:customStyle="1" w:styleId="Textoindependiente2Car">
    <w:name w:val="Texto independiente 2 Car"/>
    <w:basedOn w:val="Fuentedeprrafopredeter"/>
    <w:link w:val="Textoindependiente2"/>
    <w:uiPriority w:val="99"/>
    <w:semiHidden/>
    <w:rsid w:val="005A0E23"/>
    <w:rPr>
      <w:sz w:val="28"/>
      <w:lang w:val="es-ES_tradnl" w:eastAsia="x-none"/>
    </w:rPr>
  </w:style>
  <w:style w:type="paragraph" w:styleId="Textoindependiente">
    <w:name w:val="Body Text"/>
    <w:basedOn w:val="Normal"/>
    <w:link w:val="TextoindependienteCar"/>
    <w:semiHidden/>
    <w:rsid w:val="005A0E23"/>
    <w:pPr>
      <w:spacing w:line="360" w:lineRule="auto"/>
      <w:jc w:val="both"/>
    </w:pPr>
    <w:rPr>
      <w:rFonts w:ascii="Arial" w:hAnsi="Arial"/>
      <w:szCs w:val="20"/>
      <w:lang w:eastAsia="es-ES"/>
    </w:rPr>
  </w:style>
  <w:style w:type="character" w:customStyle="1" w:styleId="TextoindependienteCar">
    <w:name w:val="Texto independiente Car"/>
    <w:basedOn w:val="Fuentedeprrafopredeter"/>
    <w:link w:val="Textoindependiente"/>
    <w:semiHidden/>
    <w:rsid w:val="005A0E23"/>
    <w:rPr>
      <w:rFonts w:ascii="Arial" w:hAnsi="Arial"/>
      <w:sz w:val="24"/>
      <w:lang w:val="es-ES_tradnl"/>
    </w:rPr>
  </w:style>
  <w:style w:type="paragraph" w:customStyle="1" w:styleId="Default">
    <w:name w:val="Default"/>
    <w:rsid w:val="005A0E23"/>
    <w:pPr>
      <w:autoSpaceDE w:val="0"/>
      <w:autoSpaceDN w:val="0"/>
      <w:adjustRightInd w:val="0"/>
    </w:pPr>
    <w:rPr>
      <w:rFonts w:eastAsia="Calibri"/>
      <w:color w:val="000000"/>
      <w:sz w:val="24"/>
      <w:lang w:val="es-ES_tradnl"/>
    </w:rPr>
  </w:style>
  <w:style w:type="paragraph" w:styleId="Textoindependiente3">
    <w:name w:val="Body Text 3"/>
    <w:basedOn w:val="Normal"/>
    <w:link w:val="Textoindependiente3Car"/>
    <w:semiHidden/>
    <w:rsid w:val="005A0E23"/>
    <w:pPr>
      <w:spacing w:after="120" w:line="276" w:lineRule="auto"/>
    </w:pPr>
    <w:rPr>
      <w:rFonts w:ascii="Calibri" w:eastAsia="Calibri" w:hAnsi="Calibri"/>
      <w:sz w:val="16"/>
      <w:szCs w:val="20"/>
      <w:lang w:eastAsia="es-ES"/>
    </w:rPr>
  </w:style>
  <w:style w:type="character" w:customStyle="1" w:styleId="Textoindependiente3Car">
    <w:name w:val="Texto independiente 3 Car"/>
    <w:basedOn w:val="Fuentedeprrafopredeter"/>
    <w:link w:val="Textoindependiente3"/>
    <w:semiHidden/>
    <w:rsid w:val="005A0E23"/>
    <w:rPr>
      <w:rFonts w:ascii="Calibri" w:eastAsia="Calibri" w:hAnsi="Calibri"/>
      <w:sz w:val="16"/>
      <w:lang w:val="es-ES_tradnl"/>
    </w:rPr>
  </w:style>
  <w:style w:type="paragraph" w:customStyle="1" w:styleId="H4">
    <w:name w:val="H4"/>
    <w:basedOn w:val="Normal"/>
    <w:next w:val="Normal"/>
    <w:rsid w:val="005A0E23"/>
    <w:pPr>
      <w:keepNext/>
      <w:spacing w:before="100" w:after="100"/>
      <w:outlineLvl w:val="4"/>
    </w:pPr>
    <w:rPr>
      <w:b/>
      <w:snapToGrid w:val="0"/>
      <w:szCs w:val="20"/>
      <w:lang w:eastAsia="es-ES"/>
    </w:rPr>
  </w:style>
  <w:style w:type="paragraph" w:styleId="Textonotapie">
    <w:name w:val="footnote text"/>
    <w:basedOn w:val="Normal"/>
    <w:link w:val="TextonotapieCar"/>
    <w:semiHidden/>
    <w:unhideWhenUsed/>
    <w:rsid w:val="005A0E23"/>
    <w:rPr>
      <w:sz w:val="20"/>
      <w:szCs w:val="20"/>
      <w:lang w:eastAsia="es-ES"/>
    </w:rPr>
  </w:style>
  <w:style w:type="character" w:customStyle="1" w:styleId="TextonotapieCar">
    <w:name w:val="Texto nota pie Car"/>
    <w:basedOn w:val="Fuentedeprrafopredeter"/>
    <w:link w:val="Textonotapie"/>
    <w:semiHidden/>
    <w:rsid w:val="005A0E23"/>
    <w:rPr>
      <w:lang w:val="es-ES_tradnl"/>
    </w:rPr>
  </w:style>
  <w:style w:type="character" w:styleId="Refdenotaalpie">
    <w:name w:val="footnote reference"/>
    <w:semiHidden/>
    <w:unhideWhenUsed/>
    <w:rsid w:val="005A0E23"/>
    <w:rPr>
      <w:vertAlign w:val="superscript"/>
    </w:rPr>
  </w:style>
  <w:style w:type="paragraph" w:customStyle="1" w:styleId="Estilo1">
    <w:name w:val="Estilo1"/>
    <w:basedOn w:val="Textoindependiente3"/>
    <w:qFormat/>
    <w:rsid w:val="005A0E23"/>
    <w:pPr>
      <w:spacing w:after="0" w:line="360" w:lineRule="auto"/>
      <w:jc w:val="both"/>
    </w:pPr>
    <w:rPr>
      <w:rFonts w:ascii="Arial" w:hAnsi="Arial"/>
      <w:sz w:val="24"/>
    </w:rPr>
  </w:style>
  <w:style w:type="paragraph" w:styleId="Ttulo">
    <w:name w:val="Title"/>
    <w:basedOn w:val="Normal"/>
    <w:link w:val="TtuloCar"/>
    <w:qFormat/>
    <w:rsid w:val="005A0E23"/>
    <w:pPr>
      <w:spacing w:line="360" w:lineRule="auto"/>
      <w:jc w:val="center"/>
    </w:pPr>
    <w:rPr>
      <w:rFonts w:ascii="Arial" w:hAnsi="Arial"/>
      <w:b/>
      <w:szCs w:val="20"/>
      <w:lang w:val="es-MX" w:eastAsia="es-ES"/>
    </w:rPr>
  </w:style>
  <w:style w:type="character" w:customStyle="1" w:styleId="TtuloCar">
    <w:name w:val="Título Car"/>
    <w:basedOn w:val="Fuentedeprrafopredeter"/>
    <w:link w:val="Ttulo"/>
    <w:rsid w:val="005A0E23"/>
    <w:rPr>
      <w:rFonts w:ascii="Arial" w:hAnsi="Arial"/>
      <w:b/>
      <w:sz w:val="24"/>
      <w:lang w:val="es-MX"/>
    </w:rPr>
  </w:style>
  <w:style w:type="character" w:customStyle="1" w:styleId="Estilo1Car">
    <w:name w:val="Estilo1 Car"/>
    <w:rsid w:val="005A0E23"/>
    <w:rPr>
      <w:rFonts w:ascii="Arial" w:eastAsia="Calibri" w:hAnsi="Arial"/>
      <w:noProof w:val="0"/>
      <w:sz w:val="24"/>
      <w:lang w:val="es-ES_tradnl" w:eastAsia="es-ES"/>
    </w:rPr>
  </w:style>
  <w:style w:type="paragraph" w:customStyle="1" w:styleId="H1">
    <w:name w:val="H1"/>
    <w:basedOn w:val="Normal"/>
    <w:next w:val="Normal"/>
    <w:rsid w:val="005A0E23"/>
    <w:pPr>
      <w:keepNext/>
      <w:spacing w:before="100" w:after="100"/>
      <w:outlineLvl w:val="1"/>
    </w:pPr>
    <w:rPr>
      <w:b/>
      <w:snapToGrid w:val="0"/>
      <w:kern w:val="36"/>
      <w:sz w:val="48"/>
      <w:szCs w:val="20"/>
      <w:lang w:val="es-MX" w:eastAsia="es-ES"/>
    </w:rPr>
  </w:style>
  <w:style w:type="character" w:styleId="Textoennegrita">
    <w:name w:val="Strong"/>
    <w:uiPriority w:val="22"/>
    <w:qFormat/>
    <w:rsid w:val="005A0E23"/>
    <w:rPr>
      <w:b/>
      <w:bCs/>
    </w:rPr>
  </w:style>
  <w:style w:type="character" w:styleId="AcrnimoHTML">
    <w:name w:val="HTML Acronym"/>
    <w:basedOn w:val="Fuentedeprrafopredeter"/>
    <w:uiPriority w:val="99"/>
    <w:semiHidden/>
    <w:unhideWhenUsed/>
    <w:rsid w:val="005A0E23"/>
  </w:style>
  <w:style w:type="paragraph" w:styleId="Lista">
    <w:name w:val="List"/>
    <w:basedOn w:val="Normal"/>
    <w:uiPriority w:val="99"/>
    <w:unhideWhenUsed/>
    <w:rsid w:val="005A0E23"/>
    <w:pPr>
      <w:ind w:left="283" w:hanging="283"/>
      <w:contextualSpacing/>
    </w:pPr>
    <w:rPr>
      <w:sz w:val="20"/>
      <w:szCs w:val="20"/>
      <w:lang w:eastAsia="es-ES"/>
    </w:rPr>
  </w:style>
  <w:style w:type="paragraph" w:styleId="Encabezadodemensaje">
    <w:name w:val="Message Header"/>
    <w:basedOn w:val="Normal"/>
    <w:link w:val="EncabezadodemensajeCar"/>
    <w:uiPriority w:val="99"/>
    <w:unhideWhenUsed/>
    <w:rsid w:val="005A0E2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val="x-none" w:eastAsia="x-none"/>
    </w:rPr>
  </w:style>
  <w:style w:type="character" w:customStyle="1" w:styleId="EncabezadodemensajeCar">
    <w:name w:val="Encabezado de mensaje Car"/>
    <w:basedOn w:val="Fuentedeprrafopredeter"/>
    <w:link w:val="Encabezadodemensaje"/>
    <w:uiPriority w:val="99"/>
    <w:rsid w:val="005A0E23"/>
    <w:rPr>
      <w:rFonts w:ascii="Cambria" w:hAnsi="Cambria"/>
      <w:sz w:val="24"/>
      <w:szCs w:val="24"/>
      <w:shd w:val="pct20" w:color="auto" w:fill="auto"/>
      <w:lang w:val="x-none" w:eastAsia="x-none"/>
    </w:rPr>
  </w:style>
  <w:style w:type="paragraph" w:styleId="Listaconvietas">
    <w:name w:val="List Bullet"/>
    <w:basedOn w:val="Normal"/>
    <w:uiPriority w:val="99"/>
    <w:unhideWhenUsed/>
    <w:rsid w:val="005A0E23"/>
    <w:pPr>
      <w:numPr>
        <w:numId w:val="4"/>
      </w:numPr>
      <w:contextualSpacing/>
    </w:pPr>
    <w:rPr>
      <w:sz w:val="20"/>
      <w:szCs w:val="20"/>
      <w:lang w:eastAsia="es-ES"/>
    </w:rPr>
  </w:style>
  <w:style w:type="paragraph" w:customStyle="1" w:styleId="a">
    <w:basedOn w:val="Normal"/>
    <w:next w:val="Normal"/>
    <w:uiPriority w:val="35"/>
    <w:unhideWhenUsed/>
    <w:qFormat/>
    <w:rsid w:val="005A0E23"/>
    <w:rPr>
      <w:b/>
      <w:bCs/>
      <w:sz w:val="20"/>
      <w:szCs w:val="20"/>
      <w:lang w:eastAsia="es-ES"/>
    </w:rPr>
  </w:style>
  <w:style w:type="paragraph" w:customStyle="1" w:styleId="Infodocumentosadjuntos">
    <w:name w:val="Info documentos adjuntos"/>
    <w:basedOn w:val="Normal"/>
    <w:rsid w:val="005A0E23"/>
    <w:rPr>
      <w:sz w:val="20"/>
      <w:szCs w:val="20"/>
      <w:lang w:eastAsia="es-ES"/>
    </w:rPr>
  </w:style>
  <w:style w:type="paragraph" w:styleId="Sangradetextonormal">
    <w:name w:val="Body Text Indent"/>
    <w:basedOn w:val="Normal"/>
    <w:link w:val="SangradetextonormalCar"/>
    <w:uiPriority w:val="99"/>
    <w:unhideWhenUsed/>
    <w:rsid w:val="005A0E23"/>
    <w:pPr>
      <w:spacing w:after="120"/>
      <w:ind w:left="283"/>
    </w:pPr>
    <w:rPr>
      <w:sz w:val="20"/>
      <w:szCs w:val="20"/>
      <w:lang w:eastAsia="es-ES"/>
    </w:rPr>
  </w:style>
  <w:style w:type="character" w:customStyle="1" w:styleId="SangradetextonormalCar">
    <w:name w:val="Sangría de texto normal Car"/>
    <w:basedOn w:val="Fuentedeprrafopredeter"/>
    <w:link w:val="Sangradetextonormal"/>
    <w:uiPriority w:val="99"/>
    <w:rsid w:val="005A0E23"/>
    <w:rPr>
      <w:lang w:val="es-ES_tradnl"/>
    </w:rPr>
  </w:style>
  <w:style w:type="paragraph" w:styleId="Textoindependienteprimerasangra2">
    <w:name w:val="Body Text First Indent 2"/>
    <w:basedOn w:val="Sangradetextonormal"/>
    <w:link w:val="Textoindependienteprimerasangra2Car"/>
    <w:uiPriority w:val="99"/>
    <w:unhideWhenUsed/>
    <w:rsid w:val="005A0E23"/>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5A0E23"/>
    <w:rPr>
      <w:lang w:val="es-ES_tradnl"/>
    </w:rPr>
  </w:style>
  <w:style w:type="table" w:customStyle="1" w:styleId="Tablaconcuadrcula1">
    <w:name w:val="Tabla con cuadrícula1"/>
    <w:basedOn w:val="Tablanormal"/>
    <w:next w:val="Tablaconcuadrcula"/>
    <w:uiPriority w:val="59"/>
    <w:rsid w:val="005A0E23"/>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A0E23"/>
    <w:pPr>
      <w:spacing w:after="160" w:line="259" w:lineRule="auto"/>
      <w:ind w:left="720"/>
      <w:contextualSpacing/>
    </w:pPr>
    <w:rPr>
      <w:rFonts w:ascii="Calibri" w:eastAsia="Calibri" w:hAnsi="Calibri"/>
      <w:sz w:val="22"/>
      <w:szCs w:val="22"/>
      <w:lang w:eastAsia="en-US"/>
    </w:rPr>
  </w:style>
  <w:style w:type="character" w:styleId="nfasis">
    <w:name w:val="Emphasis"/>
    <w:uiPriority w:val="20"/>
    <w:qFormat/>
    <w:rsid w:val="005A0E23"/>
    <w:rPr>
      <w:i/>
      <w:iCs/>
    </w:rPr>
  </w:style>
  <w:style w:type="character" w:customStyle="1" w:styleId="a0">
    <w:name w:val="a"/>
    <w:basedOn w:val="Fuentedeprrafopredeter"/>
    <w:rsid w:val="005A0E23"/>
  </w:style>
  <w:style w:type="paragraph" w:styleId="Lista2">
    <w:name w:val="List 2"/>
    <w:basedOn w:val="Normal"/>
    <w:uiPriority w:val="99"/>
    <w:unhideWhenUsed/>
    <w:rsid w:val="005A0E23"/>
    <w:pPr>
      <w:ind w:left="566" w:hanging="283"/>
      <w:contextualSpacing/>
    </w:pPr>
    <w:rPr>
      <w:sz w:val="20"/>
      <w:szCs w:val="20"/>
      <w:lang w:eastAsia="es-ES"/>
    </w:rPr>
  </w:style>
  <w:style w:type="paragraph" w:styleId="Saludo">
    <w:name w:val="Salutation"/>
    <w:basedOn w:val="Normal"/>
    <w:next w:val="Normal"/>
    <w:link w:val="SaludoCar"/>
    <w:uiPriority w:val="99"/>
    <w:unhideWhenUsed/>
    <w:rsid w:val="005A0E23"/>
    <w:rPr>
      <w:sz w:val="20"/>
      <w:szCs w:val="20"/>
      <w:lang w:eastAsia="x-none"/>
    </w:rPr>
  </w:style>
  <w:style w:type="character" w:customStyle="1" w:styleId="SaludoCar">
    <w:name w:val="Saludo Car"/>
    <w:basedOn w:val="Fuentedeprrafopredeter"/>
    <w:link w:val="Saludo"/>
    <w:uiPriority w:val="99"/>
    <w:rsid w:val="005A0E23"/>
    <w:rPr>
      <w:lang w:val="es-ES_tradnl" w:eastAsia="x-none"/>
    </w:rPr>
  </w:style>
  <w:style w:type="paragraph" w:customStyle="1" w:styleId="Lneadeasunto">
    <w:name w:val="Línea de asunto"/>
    <w:basedOn w:val="Normal"/>
    <w:rsid w:val="005A0E23"/>
    <w:rPr>
      <w:sz w:val="20"/>
      <w:szCs w:val="20"/>
      <w:lang w:eastAsia="es-ES"/>
    </w:rPr>
  </w:style>
  <w:style w:type="character" w:customStyle="1" w:styleId="orcid-id-https">
    <w:name w:val="orcid-id-https"/>
    <w:rsid w:val="005A0E23"/>
  </w:style>
  <w:style w:type="paragraph" w:customStyle="1" w:styleId="style3">
    <w:name w:val="style3"/>
    <w:basedOn w:val="Normal"/>
    <w:rsid w:val="005A0E23"/>
    <w:pPr>
      <w:spacing w:before="100" w:beforeAutospacing="1" w:after="100" w:afterAutospacing="1"/>
    </w:pPr>
    <w:rPr>
      <w:lang w:eastAsia="es-ES"/>
    </w:rPr>
  </w:style>
  <w:style w:type="character" w:styleId="Refdecomentario">
    <w:name w:val="annotation reference"/>
    <w:uiPriority w:val="99"/>
    <w:semiHidden/>
    <w:unhideWhenUsed/>
    <w:rsid w:val="005A0E23"/>
    <w:rPr>
      <w:sz w:val="16"/>
      <w:szCs w:val="16"/>
    </w:rPr>
  </w:style>
  <w:style w:type="paragraph" w:styleId="Textocomentario">
    <w:name w:val="annotation text"/>
    <w:basedOn w:val="Normal"/>
    <w:link w:val="TextocomentarioCar"/>
    <w:uiPriority w:val="99"/>
    <w:unhideWhenUsed/>
    <w:qFormat/>
    <w:rsid w:val="005A0E23"/>
    <w:rPr>
      <w:sz w:val="20"/>
      <w:szCs w:val="20"/>
      <w:lang w:eastAsia="x-none"/>
    </w:rPr>
  </w:style>
  <w:style w:type="character" w:customStyle="1" w:styleId="TextocomentarioCar">
    <w:name w:val="Texto comentario Car"/>
    <w:basedOn w:val="Fuentedeprrafopredeter"/>
    <w:link w:val="Textocomentario"/>
    <w:uiPriority w:val="99"/>
    <w:qFormat/>
    <w:rsid w:val="005A0E23"/>
    <w:rPr>
      <w:lang w:val="es-ES_tradnl" w:eastAsia="x-none"/>
    </w:rPr>
  </w:style>
  <w:style w:type="paragraph" w:styleId="Asuntodelcomentario">
    <w:name w:val="annotation subject"/>
    <w:basedOn w:val="Textocomentario"/>
    <w:next w:val="Textocomentario"/>
    <w:link w:val="AsuntodelcomentarioCar"/>
    <w:uiPriority w:val="99"/>
    <w:semiHidden/>
    <w:unhideWhenUsed/>
    <w:rsid w:val="005A0E23"/>
    <w:rPr>
      <w:b/>
      <w:bCs/>
    </w:rPr>
  </w:style>
  <w:style w:type="character" w:customStyle="1" w:styleId="AsuntodelcomentarioCar">
    <w:name w:val="Asunto del comentario Car"/>
    <w:basedOn w:val="TextocomentarioCar"/>
    <w:link w:val="Asuntodelcomentario"/>
    <w:uiPriority w:val="99"/>
    <w:semiHidden/>
    <w:rsid w:val="005A0E23"/>
    <w:rPr>
      <w:b/>
      <w:bCs/>
      <w:lang w:val="es-ES_tradnl" w:eastAsia="x-none"/>
    </w:rPr>
  </w:style>
  <w:style w:type="character" w:customStyle="1" w:styleId="icon">
    <w:name w:val="icon"/>
    <w:rsid w:val="005A0E23"/>
  </w:style>
  <w:style w:type="paragraph" w:styleId="HTMLconformatoprevio">
    <w:name w:val="HTML Preformatted"/>
    <w:basedOn w:val="Normal"/>
    <w:link w:val="HTMLconformatoprevioCar"/>
    <w:uiPriority w:val="99"/>
    <w:unhideWhenUsed/>
    <w:rsid w:val="005A0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conformatoprevioCar">
    <w:name w:val="HTML con formato previo Car"/>
    <w:basedOn w:val="Fuentedeprrafopredeter"/>
    <w:link w:val="HTMLconformatoprevio"/>
    <w:uiPriority w:val="99"/>
    <w:rsid w:val="005A0E23"/>
    <w:rPr>
      <w:rFonts w:ascii="Courier New" w:hAnsi="Courier New"/>
      <w:lang w:val="x-none" w:eastAsia="x-none"/>
    </w:rPr>
  </w:style>
  <w:style w:type="character" w:customStyle="1" w:styleId="y2iqfc">
    <w:name w:val="y2iqfc"/>
    <w:basedOn w:val="Fuentedeprrafopredeter"/>
    <w:rsid w:val="005A0E23"/>
  </w:style>
  <w:style w:type="paragraph" w:styleId="Revisin">
    <w:name w:val="Revision"/>
    <w:hidden/>
    <w:uiPriority w:val="99"/>
    <w:semiHidden/>
    <w:rsid w:val="005A0E23"/>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6146-6184" TargetMode="External"/><Relationship Id="rId13" Type="http://schemas.openxmlformats.org/officeDocument/2006/relationships/hyperlink" Target="https://orcid.org/0000-0001-9377-3202" TargetMode="External"/><Relationship Id="rId18" Type="http://schemas.openxmlformats.org/officeDocument/2006/relationships/hyperlink" Target="https://ec.europa.eu/eurostat/web/products-datasets/-/ilc_lvps10" TargetMode="External"/><Relationship Id="rId26" Type="http://schemas.openxmlformats.org/officeDocument/2006/relationships/hyperlink" Target="http://www.revmedmilitar.sld.cu/index.php/mil/article/view/768" TargetMode="External"/><Relationship Id="rId3" Type="http://schemas.openxmlformats.org/officeDocument/2006/relationships/settings" Target="settings.xml"/><Relationship Id="rId21" Type="http://schemas.openxmlformats.org/officeDocument/2006/relationships/hyperlink" Target="https://digital.csic.es/bitstream/10261/5120/1/Perez2006a.pdf" TargetMode="External"/><Relationship Id="rId7" Type="http://schemas.openxmlformats.org/officeDocument/2006/relationships/hyperlink" Target="https://orcid.org/0000-0001-7232-343X" TargetMode="External"/><Relationship Id="rId12" Type="http://schemas.openxmlformats.org/officeDocument/2006/relationships/hyperlink" Target="https://orcid.org/0000-0002-8752-7475" TargetMode="External"/><Relationship Id="rId17" Type="http://schemas.openxmlformats.org/officeDocument/2006/relationships/hyperlink" Target="https://www.who.int/data/stories/world-health-statistics-2021-a-visual-summary" TargetMode="External"/><Relationship Id="rId25" Type="http://schemas.openxmlformats.org/officeDocument/2006/relationships/hyperlink" Target="http://www.revmedmilitar.sld.cu/index.php/mil/article/view/532" TargetMode="External"/><Relationship Id="rId2" Type="http://schemas.openxmlformats.org/officeDocument/2006/relationships/styles" Target="styles.xml"/><Relationship Id="rId16" Type="http://schemas.openxmlformats.org/officeDocument/2006/relationships/hyperlink" Target="https://dialnet.unirioja.es/servlet/articulo?codigo=1183063" TargetMode="External"/><Relationship Id="rId20" Type="http://schemas.openxmlformats.org/officeDocument/2006/relationships/hyperlink" Target="https://files.sld.cu/dne/files/2022/10/Anuario-Estad&#237;stico-de-Salud-2021.-Ed-2022.pdf"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6146-6184" TargetMode="External"/><Relationship Id="rId24" Type="http://schemas.openxmlformats.org/officeDocument/2006/relationships/hyperlink" Target="http://www.revmie.sld.cu/index.php/mie/article/view/766" TargetMode="Externa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http://revzoilomarinello.sld.cu/index.php/zmv/article/view/2265" TargetMode="External"/><Relationship Id="rId28" Type="http://schemas.openxmlformats.org/officeDocument/2006/relationships/footer" Target="footer1.xml"/><Relationship Id="rId10" Type="http://schemas.openxmlformats.org/officeDocument/2006/relationships/hyperlink" Target="https://orcid.org/0000-0002-5248-7055" TargetMode="External"/><Relationship Id="rId19" Type="http://schemas.openxmlformats.org/officeDocument/2006/relationships/hyperlink" Target="https://www.moodle.utecv.esiaz.ipn.mx/pluginfile.php/29205/mod_resource/content/1/libro-desarrollo-humano-papalia.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rcid.org/0000-0002-7270-0503" TargetMode="External"/><Relationship Id="rId14" Type="http://schemas.openxmlformats.org/officeDocument/2006/relationships/hyperlink" Target="mailto:albertogarcia@infomed.sld.cu" TargetMode="External"/><Relationship Id="rId22" Type="http://schemas.openxmlformats.org/officeDocument/2006/relationships/hyperlink" Target="https://repositorio.unp.edu.pe/bitstream/handle/20.500.12676/2411/ENFE-IPA-LOZ-2020.pdf?sequence=1&amp;isAllowed=y" TargetMode="External"/><Relationship Id="rId27" Type="http://schemas.openxmlformats.org/officeDocument/2006/relationships/header" Target="head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E:\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9</TotalTime>
  <Pages>14</Pages>
  <Words>4225</Words>
  <Characters>23241</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27412</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RCMM</dc:creator>
  <cp:lastModifiedBy>RCMM</cp:lastModifiedBy>
  <cp:revision>5</cp:revision>
  <cp:lastPrinted>2023-11-30T17:06:00Z</cp:lastPrinted>
  <dcterms:created xsi:type="dcterms:W3CDTF">2023-11-30T17:03:00Z</dcterms:created>
  <dcterms:modified xsi:type="dcterms:W3CDTF">2023-12-04T23:38:00Z</dcterms:modified>
</cp:coreProperties>
</file>