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2C2A8" w14:textId="77777777" w:rsidR="00274060" w:rsidRPr="00274060" w:rsidRDefault="00274060" w:rsidP="00274060">
      <w:pPr>
        <w:autoSpaceDE w:val="0"/>
        <w:autoSpaceDN w:val="0"/>
        <w:adjustRightInd w:val="0"/>
        <w:spacing w:line="360" w:lineRule="auto"/>
        <w:jc w:val="right"/>
        <w:rPr>
          <w:rFonts w:eastAsia="Calibri"/>
          <w:color w:val="000000"/>
          <w:sz w:val="20"/>
          <w:szCs w:val="20"/>
          <w:lang w:val="es-ES" w:eastAsia="es-ES"/>
        </w:rPr>
      </w:pPr>
      <w:r w:rsidRPr="00274060">
        <w:rPr>
          <w:rFonts w:eastAsia="Calibri"/>
          <w:color w:val="000000"/>
          <w:sz w:val="20"/>
          <w:szCs w:val="20"/>
          <w:lang w:val="es-ES" w:eastAsia="es-ES"/>
        </w:rPr>
        <w:t>Artículo de investigación</w:t>
      </w:r>
    </w:p>
    <w:p w14:paraId="1622957A" w14:textId="77777777" w:rsidR="00274060" w:rsidRPr="00274060" w:rsidRDefault="00274060" w:rsidP="00274060">
      <w:pPr>
        <w:autoSpaceDE w:val="0"/>
        <w:autoSpaceDN w:val="0"/>
        <w:adjustRightInd w:val="0"/>
        <w:spacing w:line="360" w:lineRule="auto"/>
        <w:jc w:val="right"/>
        <w:rPr>
          <w:rFonts w:eastAsia="Calibri"/>
          <w:color w:val="000000"/>
          <w:lang w:val="es-ES" w:eastAsia="es-ES"/>
        </w:rPr>
      </w:pPr>
    </w:p>
    <w:p w14:paraId="47CD391E" w14:textId="77777777" w:rsidR="00274060" w:rsidRPr="00274060" w:rsidRDefault="00274060" w:rsidP="00274060">
      <w:pPr>
        <w:autoSpaceDE w:val="0"/>
        <w:autoSpaceDN w:val="0"/>
        <w:adjustRightInd w:val="0"/>
        <w:spacing w:line="360" w:lineRule="auto"/>
        <w:jc w:val="center"/>
        <w:rPr>
          <w:rFonts w:eastAsia="Calibri"/>
          <w:b/>
          <w:color w:val="000000"/>
          <w:sz w:val="28"/>
          <w:szCs w:val="28"/>
          <w:lang w:val="es-ES" w:eastAsia="es-ES"/>
        </w:rPr>
      </w:pPr>
      <w:r w:rsidRPr="00274060">
        <w:rPr>
          <w:rFonts w:eastAsia="Calibri"/>
          <w:b/>
          <w:color w:val="000000"/>
          <w:sz w:val="28"/>
          <w:szCs w:val="28"/>
          <w:lang w:val="es-ES" w:eastAsia="es-ES"/>
        </w:rPr>
        <w:t>Caracterización de pacientes con diagnóstico anatomopatológico de enfermedad cerebrovascular</w:t>
      </w:r>
    </w:p>
    <w:p w14:paraId="27151EE6" w14:textId="77777777" w:rsidR="00274060" w:rsidRPr="00274060" w:rsidRDefault="00274060" w:rsidP="00274060">
      <w:pPr>
        <w:autoSpaceDE w:val="0"/>
        <w:autoSpaceDN w:val="0"/>
        <w:adjustRightInd w:val="0"/>
        <w:spacing w:line="360" w:lineRule="auto"/>
        <w:jc w:val="center"/>
        <w:rPr>
          <w:sz w:val="28"/>
          <w:szCs w:val="28"/>
          <w:lang w:val="en-US" w:eastAsia="es-ES"/>
        </w:rPr>
      </w:pPr>
      <w:r w:rsidRPr="00274060">
        <w:rPr>
          <w:rFonts w:eastAsia="Calibri"/>
          <w:bCs/>
          <w:color w:val="000000"/>
          <w:sz w:val="28"/>
          <w:szCs w:val="28"/>
          <w:lang w:val="en-US" w:eastAsia="es-ES"/>
        </w:rPr>
        <w:t>Characterization of patients with an anatomopathological diagnosis of cerebrovascular disease</w:t>
      </w:r>
    </w:p>
    <w:p w14:paraId="704F1FB7" w14:textId="77777777" w:rsidR="00274060" w:rsidRPr="00274060" w:rsidRDefault="00274060" w:rsidP="00274060">
      <w:pPr>
        <w:autoSpaceDE w:val="0"/>
        <w:autoSpaceDN w:val="0"/>
        <w:adjustRightInd w:val="0"/>
        <w:spacing w:line="360" w:lineRule="auto"/>
        <w:jc w:val="both"/>
        <w:rPr>
          <w:lang w:val="en-US" w:eastAsia="es-ES"/>
        </w:rPr>
      </w:pPr>
    </w:p>
    <w:p w14:paraId="2680983B" w14:textId="77777777" w:rsidR="00274060" w:rsidRPr="00274060" w:rsidRDefault="00274060" w:rsidP="00274060">
      <w:pPr>
        <w:autoSpaceDE w:val="0"/>
        <w:autoSpaceDN w:val="0"/>
        <w:adjustRightInd w:val="0"/>
        <w:spacing w:line="360" w:lineRule="auto"/>
        <w:jc w:val="both"/>
        <w:rPr>
          <w:sz w:val="20"/>
          <w:lang w:val="es-ES" w:eastAsia="es-ES"/>
        </w:rPr>
      </w:pPr>
      <w:r w:rsidRPr="00274060">
        <w:rPr>
          <w:lang w:val="es-ES" w:eastAsia="es-ES"/>
        </w:rPr>
        <w:t>Olga Lidia Sanabria Blanco</w:t>
      </w:r>
      <w:r w:rsidRPr="00274060">
        <w:rPr>
          <w:vertAlign w:val="superscript"/>
          <w:lang w:val="es-ES" w:eastAsia="es-ES"/>
        </w:rPr>
        <w:t>1</w:t>
      </w:r>
      <w:r w:rsidRPr="00274060">
        <w:rPr>
          <w:lang w:val="es-ES" w:eastAsia="es-ES"/>
        </w:rPr>
        <w:t xml:space="preserve"> </w:t>
      </w:r>
      <w:hyperlink r:id="rId7" w:history="1">
        <w:r w:rsidRPr="00274060">
          <w:rPr>
            <w:color w:val="0000FF"/>
            <w:lang w:val="es-ES" w:eastAsia="es-ES"/>
          </w:rPr>
          <w:t>https://orcid.org/0000-0002-5248-7055</w:t>
        </w:r>
      </w:hyperlink>
    </w:p>
    <w:p w14:paraId="2E5CE6E0" w14:textId="77777777" w:rsidR="00274060" w:rsidRPr="00274060" w:rsidRDefault="00274060" w:rsidP="00274060">
      <w:pPr>
        <w:autoSpaceDE w:val="0"/>
        <w:autoSpaceDN w:val="0"/>
        <w:adjustRightInd w:val="0"/>
        <w:spacing w:line="360" w:lineRule="auto"/>
        <w:jc w:val="both"/>
        <w:rPr>
          <w:bCs/>
          <w:lang w:val="es-ES" w:eastAsia="es-ES"/>
        </w:rPr>
      </w:pPr>
      <w:r w:rsidRPr="00274060">
        <w:rPr>
          <w:bCs/>
          <w:lang w:val="es-ES" w:eastAsia="es-ES"/>
        </w:rPr>
        <w:t>Ozohydhy Leal Capdesuñer</w:t>
      </w:r>
      <w:r w:rsidRPr="00274060">
        <w:rPr>
          <w:bCs/>
          <w:vertAlign w:val="superscript"/>
          <w:lang w:val="es-ES" w:eastAsia="es-ES"/>
        </w:rPr>
        <w:t>1</w:t>
      </w:r>
      <w:r w:rsidRPr="00274060">
        <w:rPr>
          <w:rFonts w:eastAsia="Calibri"/>
          <w:lang w:val="es-ES" w:eastAsia="en-US"/>
        </w:rPr>
        <w:t xml:space="preserve">* </w:t>
      </w:r>
      <w:hyperlink r:id="rId8" w:history="1">
        <w:r w:rsidRPr="00274060">
          <w:rPr>
            <w:color w:val="0000FF"/>
            <w:lang w:val="es-ES" w:eastAsia="es-ES"/>
          </w:rPr>
          <w:t>https://orcid.org/0000-0002-7270-0503</w:t>
        </w:r>
      </w:hyperlink>
      <w:r w:rsidRPr="00274060">
        <w:rPr>
          <w:sz w:val="20"/>
          <w:lang w:val="es-ES" w:eastAsia="es-ES"/>
        </w:rPr>
        <w:t xml:space="preserve"> </w:t>
      </w:r>
    </w:p>
    <w:p w14:paraId="3D11F83E" w14:textId="77777777" w:rsidR="00274060" w:rsidRPr="00274060" w:rsidRDefault="00274060" w:rsidP="00274060">
      <w:pPr>
        <w:autoSpaceDE w:val="0"/>
        <w:autoSpaceDN w:val="0"/>
        <w:adjustRightInd w:val="0"/>
        <w:spacing w:line="360" w:lineRule="auto"/>
        <w:jc w:val="both"/>
        <w:rPr>
          <w:sz w:val="20"/>
          <w:lang w:val="es-ES" w:eastAsia="es-ES"/>
        </w:rPr>
      </w:pPr>
      <w:r w:rsidRPr="00274060">
        <w:rPr>
          <w:lang w:val="es-ES" w:eastAsia="es-ES"/>
        </w:rPr>
        <w:t>Alberto García Gómez</w:t>
      </w:r>
      <w:r w:rsidRPr="00274060">
        <w:rPr>
          <w:vertAlign w:val="superscript"/>
          <w:lang w:val="es-ES" w:eastAsia="es-ES"/>
        </w:rPr>
        <w:t>1</w:t>
      </w:r>
      <w:r w:rsidRPr="00274060">
        <w:rPr>
          <w:lang w:val="es-ES" w:eastAsia="es-ES"/>
        </w:rPr>
        <w:t xml:space="preserve"> </w:t>
      </w:r>
      <w:hyperlink r:id="rId9" w:history="1">
        <w:r w:rsidRPr="00274060">
          <w:rPr>
            <w:color w:val="0000FF"/>
            <w:lang w:val="es-ES" w:eastAsia="es-ES"/>
          </w:rPr>
          <w:t>https://orcid.org/0000-0001-7232-343X</w:t>
        </w:r>
      </w:hyperlink>
      <w:r w:rsidRPr="00274060">
        <w:rPr>
          <w:sz w:val="20"/>
          <w:lang w:val="es-ES" w:eastAsia="es-ES"/>
        </w:rPr>
        <w:t xml:space="preserve"> </w:t>
      </w:r>
    </w:p>
    <w:p w14:paraId="756D2655" w14:textId="77777777" w:rsidR="00274060" w:rsidRPr="00274060" w:rsidRDefault="00274060" w:rsidP="00274060">
      <w:pPr>
        <w:autoSpaceDE w:val="0"/>
        <w:autoSpaceDN w:val="0"/>
        <w:adjustRightInd w:val="0"/>
        <w:spacing w:line="360" w:lineRule="auto"/>
        <w:jc w:val="both"/>
        <w:rPr>
          <w:rFonts w:eastAsia="Calibri"/>
          <w:lang w:val="es-ES" w:eastAsia="es-ES"/>
        </w:rPr>
      </w:pPr>
      <w:r w:rsidRPr="00274060">
        <w:rPr>
          <w:rFonts w:eastAsia="Calibri"/>
          <w:color w:val="000000"/>
          <w:lang w:val="es-ES" w:eastAsia="es-ES"/>
        </w:rPr>
        <w:t>Pedro Julio García Álvarez</w:t>
      </w:r>
      <w:r w:rsidRPr="00274060">
        <w:rPr>
          <w:rFonts w:eastAsia="Calibri"/>
          <w:color w:val="000000"/>
          <w:vertAlign w:val="superscript"/>
          <w:lang w:val="es-ES" w:eastAsia="es-ES"/>
        </w:rPr>
        <w:t>1</w:t>
      </w:r>
      <w:r w:rsidRPr="00274060">
        <w:rPr>
          <w:rFonts w:eastAsia="Calibri"/>
          <w:color w:val="000000"/>
          <w:lang w:val="es-ES" w:eastAsia="es-ES"/>
        </w:rPr>
        <w:t xml:space="preserve"> </w:t>
      </w:r>
      <w:hyperlink r:id="rId10" w:history="1">
        <w:r w:rsidRPr="00274060">
          <w:rPr>
            <w:rFonts w:eastAsia="Calibri"/>
            <w:color w:val="0000FF"/>
            <w:lang w:val="es-ES" w:eastAsia="es-ES"/>
          </w:rPr>
          <w:t>https://orcid.org/0000-0002-6146-6184</w:t>
        </w:r>
      </w:hyperlink>
    </w:p>
    <w:p w14:paraId="7764737A" w14:textId="77777777" w:rsidR="00274060" w:rsidRPr="00274060" w:rsidRDefault="00274060" w:rsidP="00274060">
      <w:pPr>
        <w:autoSpaceDE w:val="0"/>
        <w:autoSpaceDN w:val="0"/>
        <w:adjustRightInd w:val="0"/>
        <w:spacing w:line="360" w:lineRule="auto"/>
        <w:jc w:val="both"/>
        <w:rPr>
          <w:color w:val="000000"/>
          <w:lang w:val="es-ES" w:eastAsia="es-ES"/>
        </w:rPr>
      </w:pPr>
      <w:r w:rsidRPr="00274060">
        <w:rPr>
          <w:rFonts w:eastAsia="Calibri"/>
          <w:lang w:val="es-ES" w:eastAsia="es-ES"/>
        </w:rPr>
        <w:t>Yoandra Adelá Rives</w:t>
      </w:r>
      <w:r w:rsidRPr="00274060">
        <w:rPr>
          <w:rFonts w:eastAsia="Calibri"/>
          <w:vertAlign w:val="superscript"/>
          <w:lang w:val="es-ES" w:eastAsia="es-ES"/>
        </w:rPr>
        <w:t>1</w:t>
      </w:r>
      <w:r w:rsidRPr="00274060">
        <w:rPr>
          <w:rFonts w:eastAsia="Calibri"/>
          <w:color w:val="000000"/>
          <w:lang w:val="es-ES" w:eastAsia="es-ES"/>
        </w:rPr>
        <w:t xml:space="preserve"> </w:t>
      </w:r>
      <w:hyperlink r:id="rId11" w:history="1">
        <w:r w:rsidRPr="00274060">
          <w:rPr>
            <w:color w:val="0000FF"/>
            <w:lang w:val="es-ES" w:eastAsia="es-ES"/>
          </w:rPr>
          <w:t>https://orcid.org/0000-0002-9787-4841</w:t>
        </w:r>
      </w:hyperlink>
    </w:p>
    <w:p w14:paraId="63AEFF09" w14:textId="77777777" w:rsidR="00274060" w:rsidRPr="00274060" w:rsidRDefault="00274060" w:rsidP="00274060">
      <w:pPr>
        <w:autoSpaceDE w:val="0"/>
        <w:autoSpaceDN w:val="0"/>
        <w:adjustRightInd w:val="0"/>
        <w:spacing w:line="360" w:lineRule="auto"/>
        <w:jc w:val="both"/>
        <w:rPr>
          <w:color w:val="000000"/>
          <w:lang w:val="es-ES" w:eastAsia="es-ES"/>
        </w:rPr>
      </w:pPr>
      <w:r w:rsidRPr="00274060">
        <w:rPr>
          <w:color w:val="000000"/>
          <w:lang w:val="es-ES" w:eastAsia="es-ES"/>
        </w:rPr>
        <w:t>Jacqueline Martínez Prieto</w:t>
      </w:r>
      <w:r w:rsidRPr="00274060">
        <w:rPr>
          <w:color w:val="000000"/>
          <w:vertAlign w:val="superscript"/>
          <w:lang w:val="es-ES" w:eastAsia="es-ES"/>
        </w:rPr>
        <w:t>1</w:t>
      </w:r>
      <w:r w:rsidRPr="00274060">
        <w:rPr>
          <w:color w:val="000000"/>
          <w:lang w:val="es-ES" w:eastAsia="es-ES"/>
        </w:rPr>
        <w:t xml:space="preserve"> </w:t>
      </w:r>
      <w:hyperlink r:id="rId12" w:history="1">
        <w:r w:rsidRPr="00274060">
          <w:rPr>
            <w:color w:val="0000FF"/>
            <w:lang w:val="es-ES" w:eastAsia="es-ES"/>
          </w:rPr>
          <w:t>https://orcid.org/0000-0001-6263-3194</w:t>
        </w:r>
      </w:hyperlink>
      <w:r w:rsidRPr="00274060">
        <w:rPr>
          <w:color w:val="000000"/>
          <w:lang w:val="es-ES" w:eastAsia="es-ES"/>
        </w:rPr>
        <w:t xml:space="preserve"> </w:t>
      </w:r>
    </w:p>
    <w:p w14:paraId="4B7AF5E1" w14:textId="77777777" w:rsidR="00274060" w:rsidRPr="00274060" w:rsidRDefault="00274060" w:rsidP="00274060">
      <w:pPr>
        <w:autoSpaceDE w:val="0"/>
        <w:autoSpaceDN w:val="0"/>
        <w:adjustRightInd w:val="0"/>
        <w:spacing w:line="360" w:lineRule="auto"/>
        <w:jc w:val="both"/>
        <w:rPr>
          <w:rFonts w:eastAsia="Calibri"/>
          <w:vertAlign w:val="superscript"/>
          <w:lang w:val="es-ES" w:eastAsia="en-US"/>
        </w:rPr>
      </w:pPr>
    </w:p>
    <w:p w14:paraId="47378B02" w14:textId="77777777" w:rsidR="00274060" w:rsidRPr="00274060" w:rsidRDefault="00274060" w:rsidP="00274060">
      <w:pPr>
        <w:autoSpaceDE w:val="0"/>
        <w:autoSpaceDN w:val="0"/>
        <w:adjustRightInd w:val="0"/>
        <w:spacing w:line="360" w:lineRule="auto"/>
        <w:jc w:val="both"/>
        <w:rPr>
          <w:rFonts w:eastAsia="Calibri"/>
          <w:lang w:val="es-ES" w:eastAsia="en-US"/>
        </w:rPr>
      </w:pPr>
      <w:r w:rsidRPr="00274060">
        <w:rPr>
          <w:rFonts w:eastAsia="Calibri"/>
          <w:vertAlign w:val="superscript"/>
          <w:lang w:val="es-ES" w:eastAsia="en-US"/>
        </w:rPr>
        <w:t>1</w:t>
      </w:r>
      <w:r w:rsidRPr="00274060">
        <w:rPr>
          <w:rFonts w:eastAsia="Calibri"/>
          <w:lang w:val="es-ES" w:eastAsia="en-US"/>
        </w:rPr>
        <w:t>Hospital Militar Central “Dr. Carlos J. Finlay". Unidad de Cuidados Intensivos. La Habana, Cuba.</w:t>
      </w:r>
    </w:p>
    <w:p w14:paraId="38DCB680" w14:textId="77777777" w:rsidR="00274060" w:rsidRPr="00274060" w:rsidRDefault="00274060" w:rsidP="00274060">
      <w:pPr>
        <w:autoSpaceDE w:val="0"/>
        <w:autoSpaceDN w:val="0"/>
        <w:adjustRightInd w:val="0"/>
        <w:spacing w:line="360" w:lineRule="auto"/>
        <w:jc w:val="both"/>
        <w:rPr>
          <w:bCs/>
          <w:lang w:val="es-ES" w:eastAsia="es-ES"/>
        </w:rPr>
      </w:pPr>
    </w:p>
    <w:p w14:paraId="06522020" w14:textId="77777777" w:rsidR="00274060" w:rsidRPr="00274060" w:rsidRDefault="00274060" w:rsidP="00274060">
      <w:pPr>
        <w:autoSpaceDE w:val="0"/>
        <w:autoSpaceDN w:val="0"/>
        <w:adjustRightInd w:val="0"/>
        <w:spacing w:line="360" w:lineRule="auto"/>
        <w:jc w:val="both"/>
        <w:rPr>
          <w:bCs/>
          <w:lang w:val="es-ES" w:eastAsia="es-ES"/>
        </w:rPr>
      </w:pPr>
      <w:r w:rsidRPr="00274060">
        <w:rPr>
          <w:bCs/>
          <w:lang w:val="es-ES" w:eastAsia="es-ES"/>
        </w:rPr>
        <w:t xml:space="preserve">*Autor para la correspondencia. Correo electrónico: </w:t>
      </w:r>
      <w:hyperlink r:id="rId13" w:history="1">
        <w:r w:rsidRPr="00274060">
          <w:rPr>
            <w:bCs/>
            <w:color w:val="0000FF"/>
            <w:lang w:val="es-ES" w:eastAsia="es-ES"/>
          </w:rPr>
          <w:t>ozohydhylc@infomed.sld.cu</w:t>
        </w:r>
      </w:hyperlink>
    </w:p>
    <w:p w14:paraId="17A71404" w14:textId="77777777" w:rsidR="00274060" w:rsidRPr="00274060" w:rsidRDefault="00274060" w:rsidP="00274060">
      <w:pPr>
        <w:autoSpaceDE w:val="0"/>
        <w:autoSpaceDN w:val="0"/>
        <w:adjustRightInd w:val="0"/>
        <w:spacing w:line="360" w:lineRule="auto"/>
        <w:jc w:val="both"/>
        <w:rPr>
          <w:bCs/>
          <w:lang w:val="es-ES" w:eastAsia="es-ES"/>
        </w:rPr>
      </w:pPr>
    </w:p>
    <w:p w14:paraId="7FB78D41" w14:textId="77777777" w:rsidR="00274060" w:rsidRPr="00274060" w:rsidRDefault="00274060" w:rsidP="00274060">
      <w:pPr>
        <w:autoSpaceDE w:val="0"/>
        <w:autoSpaceDN w:val="0"/>
        <w:adjustRightInd w:val="0"/>
        <w:spacing w:line="360" w:lineRule="auto"/>
        <w:jc w:val="both"/>
        <w:rPr>
          <w:b/>
          <w:bCs/>
          <w:lang w:val="es-ES" w:eastAsia="es-ES"/>
        </w:rPr>
      </w:pPr>
      <w:r w:rsidRPr="00274060">
        <w:rPr>
          <w:b/>
          <w:bCs/>
          <w:lang w:val="es-ES" w:eastAsia="es-ES"/>
        </w:rPr>
        <w:t>RESUMEN</w:t>
      </w:r>
    </w:p>
    <w:p w14:paraId="3FB2F278" w14:textId="77777777" w:rsidR="00274060" w:rsidRPr="00274060" w:rsidRDefault="00274060" w:rsidP="00274060">
      <w:pPr>
        <w:spacing w:line="360" w:lineRule="auto"/>
        <w:jc w:val="both"/>
        <w:rPr>
          <w:lang w:val="es-ES" w:eastAsia="es-ES"/>
        </w:rPr>
      </w:pPr>
      <w:r w:rsidRPr="00274060">
        <w:rPr>
          <w:b/>
          <w:bCs/>
          <w:lang w:val="es-ES" w:eastAsia="es-ES"/>
        </w:rPr>
        <w:t xml:space="preserve">Introducción: </w:t>
      </w:r>
      <w:r w:rsidRPr="00274060">
        <w:rPr>
          <w:lang w:val="es-ES" w:eastAsia="es-ES"/>
        </w:rPr>
        <w:t>En Cuba, las enfermedades cerebrovasculares (ECV) son padecimientos crónicos no trasmisibles muy frecuentes.</w:t>
      </w:r>
    </w:p>
    <w:p w14:paraId="4F0CC92C" w14:textId="77777777" w:rsidR="00274060" w:rsidRPr="00274060" w:rsidRDefault="00274060" w:rsidP="00274060">
      <w:pPr>
        <w:spacing w:line="360" w:lineRule="auto"/>
        <w:jc w:val="both"/>
        <w:rPr>
          <w:lang w:val="es-ES" w:eastAsia="es-ES"/>
        </w:rPr>
      </w:pPr>
      <w:r w:rsidRPr="00274060">
        <w:rPr>
          <w:b/>
          <w:bCs/>
          <w:lang w:val="es-ES" w:eastAsia="es-ES"/>
        </w:rPr>
        <w:t xml:space="preserve">Objetivos: </w:t>
      </w:r>
      <w:r w:rsidRPr="00274060">
        <w:rPr>
          <w:bCs/>
          <w:lang w:val="es-ES" w:eastAsia="es-ES"/>
        </w:rPr>
        <w:t>Caracterizar a pacientes d</w:t>
      </w:r>
      <w:r w:rsidRPr="00274060">
        <w:rPr>
          <w:lang w:val="es-ES" w:eastAsia="es-ES"/>
        </w:rPr>
        <w:t xml:space="preserve">e la </w:t>
      </w:r>
      <w:r w:rsidRPr="00274060">
        <w:rPr>
          <w:rFonts w:eastAsia="Calibri"/>
          <w:lang w:val="es-ES" w:eastAsia="es-ES"/>
        </w:rPr>
        <w:t>unidad de cuidados intensivos,</w:t>
      </w:r>
      <w:r w:rsidRPr="00274060">
        <w:rPr>
          <w:bCs/>
          <w:lang w:val="es-ES" w:eastAsia="es-ES"/>
        </w:rPr>
        <w:t xml:space="preserve"> con</w:t>
      </w:r>
      <w:r w:rsidRPr="00274060">
        <w:rPr>
          <w:b/>
          <w:bCs/>
          <w:lang w:val="es-ES" w:eastAsia="es-ES"/>
        </w:rPr>
        <w:t xml:space="preserve"> </w:t>
      </w:r>
      <w:r w:rsidRPr="00274060">
        <w:rPr>
          <w:rFonts w:eastAsia="Calibri"/>
          <w:lang w:val="es-ES" w:eastAsia="es-ES"/>
        </w:rPr>
        <w:t>diagnóstico anatomopatológico de ECV</w:t>
      </w:r>
      <w:r w:rsidRPr="00274060">
        <w:rPr>
          <w:lang w:val="es-ES" w:eastAsia="es-ES"/>
        </w:rPr>
        <w:t xml:space="preserve">. </w:t>
      </w:r>
    </w:p>
    <w:p w14:paraId="388E862F" w14:textId="77777777" w:rsidR="00274060" w:rsidRPr="00274060" w:rsidRDefault="00274060" w:rsidP="00274060">
      <w:pPr>
        <w:spacing w:line="360" w:lineRule="auto"/>
        <w:jc w:val="both"/>
        <w:rPr>
          <w:lang w:val="es-ES" w:eastAsia="es-ES"/>
        </w:rPr>
      </w:pPr>
      <w:r w:rsidRPr="00274060">
        <w:rPr>
          <w:b/>
          <w:bCs/>
          <w:lang w:val="es-ES" w:eastAsia="es-ES"/>
        </w:rPr>
        <w:t>Métodos:</w:t>
      </w:r>
      <w:r w:rsidRPr="00274060">
        <w:rPr>
          <w:bCs/>
          <w:lang w:val="es-ES" w:eastAsia="es-ES"/>
        </w:rPr>
        <w:t xml:space="preserve"> E</w:t>
      </w:r>
      <w:r w:rsidRPr="00274060">
        <w:rPr>
          <w:lang w:val="es-ES" w:eastAsia="es-ES"/>
        </w:rPr>
        <w:t>studio observacional, descriptivo y transversal en una muestra de 176 pacientes. V</w:t>
      </w:r>
      <w:r w:rsidRPr="00274060">
        <w:rPr>
          <w:snapToGrid w:val="0"/>
          <w:lang w:val="es-ES" w:eastAsia="en-US"/>
        </w:rPr>
        <w:t xml:space="preserve">ariables estudiadas: edad (19-39 años, 40-59 años, 60-100 años), sexo, tipo de ECV (hemorrágica, isquémica), escala </w:t>
      </w:r>
      <w:r w:rsidRPr="00274060">
        <w:rPr>
          <w:bCs/>
          <w:iCs/>
          <w:shd w:val="clear" w:color="auto" w:fill="FFFFFF"/>
          <w:lang w:val="es-ES" w:eastAsia="es-ES"/>
        </w:rPr>
        <w:t>APACHE</w:t>
      </w:r>
      <w:r w:rsidRPr="00274060">
        <w:rPr>
          <w:snapToGrid w:val="0"/>
          <w:lang w:val="es-ES" w:eastAsia="en-US"/>
        </w:rPr>
        <w:t xml:space="preserve"> II (</w:t>
      </w:r>
      <w:r w:rsidRPr="00274060">
        <w:rPr>
          <w:color w:val="000000"/>
          <w:lang w:val="es-ES" w:eastAsia="es-ES"/>
        </w:rPr>
        <w:t>≤ 15, &gt; 15 puntos</w:t>
      </w:r>
      <w:r w:rsidRPr="00274060">
        <w:rPr>
          <w:snapToGrid w:val="0"/>
          <w:lang w:val="es-ES" w:eastAsia="en-US"/>
        </w:rPr>
        <w:t>) y de coma Glasgow al ingreso (</w:t>
      </w:r>
      <w:r w:rsidRPr="00274060">
        <w:rPr>
          <w:lang w:val="es-ES"/>
        </w:rPr>
        <w:t>≤ 8, &gt; 8 puntos</w:t>
      </w:r>
      <w:r w:rsidRPr="00274060">
        <w:rPr>
          <w:snapToGrid w:val="0"/>
          <w:lang w:val="es-ES" w:eastAsia="en-US"/>
        </w:rPr>
        <w:t>), ventilación mecánica (sí, no), estadía (</w:t>
      </w:r>
      <w:r w:rsidRPr="00274060">
        <w:rPr>
          <w:color w:val="000000"/>
          <w:lang w:val="es-ES" w:eastAsia="es-ES"/>
        </w:rPr>
        <w:t>≤ 7, &gt; 7 días</w:t>
      </w:r>
      <w:r w:rsidRPr="00274060">
        <w:rPr>
          <w:snapToGrid w:val="0"/>
          <w:lang w:val="es-ES" w:eastAsia="en-US"/>
        </w:rPr>
        <w:t xml:space="preserve">) y causa directa de muerte. </w:t>
      </w:r>
      <w:r w:rsidRPr="00274060">
        <w:rPr>
          <w:lang w:val="es-ES" w:eastAsia="es-ES"/>
        </w:rPr>
        <w:t xml:space="preserve">Se calcularon las frecuencias, medidas de tendencia central, pruebas de </w:t>
      </w:r>
      <w:r w:rsidRPr="00274060">
        <w:rPr>
          <w:i/>
          <w:iCs/>
          <w:lang w:val="es-ES" w:eastAsia="es-ES"/>
        </w:rPr>
        <w:t>ji</w:t>
      </w:r>
      <w:r w:rsidRPr="00274060">
        <w:rPr>
          <w:lang w:val="es-ES" w:eastAsia="es-ES"/>
        </w:rPr>
        <w:t xml:space="preserve"> cuadrado</w:t>
      </w:r>
      <w:r w:rsidRPr="00274060">
        <w:rPr>
          <w:rFonts w:ascii="Arial" w:hAnsi="Arial"/>
          <w:lang w:val="es-ES" w:eastAsia="es-ES"/>
        </w:rPr>
        <w:t xml:space="preserve"> </w:t>
      </w:r>
      <w:r w:rsidRPr="00274060">
        <w:rPr>
          <w:lang w:val="es-ES" w:eastAsia="es-ES"/>
        </w:rPr>
        <w:t>y t de Student (nivel de significación el 5 %).</w:t>
      </w:r>
    </w:p>
    <w:p w14:paraId="4EBE93D0" w14:textId="77777777" w:rsidR="00274060" w:rsidRPr="00274060" w:rsidRDefault="00274060" w:rsidP="00274060">
      <w:pPr>
        <w:spacing w:line="360" w:lineRule="auto"/>
        <w:jc w:val="both"/>
        <w:rPr>
          <w:lang w:val="es-ES" w:eastAsia="es-ES"/>
        </w:rPr>
      </w:pPr>
      <w:r w:rsidRPr="00274060">
        <w:rPr>
          <w:b/>
          <w:bCs/>
          <w:lang w:val="es-ES" w:eastAsia="es-ES"/>
        </w:rPr>
        <w:lastRenderedPageBreak/>
        <w:t xml:space="preserve">Resultados: </w:t>
      </w:r>
      <w:r w:rsidRPr="00274060">
        <w:rPr>
          <w:bCs/>
          <w:lang w:val="es-ES" w:eastAsia="es-ES"/>
        </w:rPr>
        <w:t xml:space="preserve">Predominaron la </w:t>
      </w:r>
      <w:r w:rsidRPr="00274060">
        <w:rPr>
          <w:rFonts w:eastAsia="Calibri"/>
          <w:lang w:val="es-ES" w:eastAsia="es-ES"/>
        </w:rPr>
        <w:t>enfermedad cerebrovascular</w:t>
      </w:r>
      <w:r w:rsidRPr="00274060">
        <w:rPr>
          <w:bCs/>
          <w:lang w:val="es-ES" w:eastAsia="es-ES"/>
        </w:rPr>
        <w:t xml:space="preserve"> hemorrágica,</w:t>
      </w:r>
      <w:r w:rsidRPr="00274060">
        <w:rPr>
          <w:lang w:val="es-ES" w:eastAsia="es-ES"/>
        </w:rPr>
        <w:t xml:space="preserve"> el sexo masculino (</w:t>
      </w:r>
      <w:r w:rsidRPr="00274060">
        <w:rPr>
          <w:color w:val="000000"/>
          <w:lang w:val="es-ES" w:eastAsia="es-ES"/>
        </w:rPr>
        <w:t>52,8</w:t>
      </w:r>
      <w:r w:rsidRPr="00274060">
        <w:rPr>
          <w:lang w:val="es-ES" w:eastAsia="es-ES"/>
        </w:rPr>
        <w:t xml:space="preserve"> %) y el grupo de edad de 60-100 años (64,8 %). La edad media fue de 63,8 años. La media del valor de las escalas APACHE II y Glasgow fue de 21,6 y 6,5 puntos. El 97,6 % recibió ventilación mecánica. La estadía media fue de 7,0 días. El edema cerebral intenso constituyó la principal causa de muerte directa (79,3 %).</w:t>
      </w:r>
    </w:p>
    <w:p w14:paraId="00396B22" w14:textId="77777777" w:rsidR="00274060" w:rsidRPr="00274060" w:rsidRDefault="00274060" w:rsidP="00274060">
      <w:pPr>
        <w:autoSpaceDE w:val="0"/>
        <w:autoSpaceDN w:val="0"/>
        <w:adjustRightInd w:val="0"/>
        <w:spacing w:line="360" w:lineRule="auto"/>
        <w:jc w:val="both"/>
        <w:rPr>
          <w:lang w:val="es-ES" w:eastAsia="es-ES"/>
        </w:rPr>
      </w:pPr>
      <w:r w:rsidRPr="00274060">
        <w:rPr>
          <w:b/>
          <w:bCs/>
          <w:lang w:val="es-ES" w:eastAsia="es-ES"/>
        </w:rPr>
        <w:t>Conclusiones:</w:t>
      </w:r>
      <w:r w:rsidRPr="00274060">
        <w:rPr>
          <w:lang w:val="es-ES" w:eastAsia="es-ES"/>
        </w:rPr>
        <w:t xml:space="preserve"> Existe predominio de la ECV de tipo hemorrágica, en pacientes del sexo masculino, de </w:t>
      </w:r>
      <w:r w:rsidRPr="00274060">
        <w:rPr>
          <w:lang w:val="es-ES"/>
        </w:rPr>
        <w:t>60-100</w:t>
      </w:r>
      <w:r w:rsidRPr="00274060">
        <w:rPr>
          <w:lang w:val="es-ES" w:eastAsia="es-ES"/>
        </w:rPr>
        <w:t xml:space="preserve"> años, con APACHE II &gt; 15 puntos, Glasgow ≤ 8 puntos, ventilados, estadía ≤ 7 días y edema cerebral intenso.</w:t>
      </w:r>
      <w:r w:rsidRPr="00274060" w:rsidDel="0001200D">
        <w:rPr>
          <w:lang w:val="es-ES" w:eastAsia="es-ES"/>
        </w:rPr>
        <w:t xml:space="preserve"> </w:t>
      </w:r>
    </w:p>
    <w:p w14:paraId="35CF9F4A" w14:textId="77777777" w:rsidR="00274060" w:rsidRPr="00274060" w:rsidRDefault="00274060" w:rsidP="00274060">
      <w:pPr>
        <w:spacing w:line="360" w:lineRule="auto"/>
        <w:jc w:val="both"/>
        <w:rPr>
          <w:lang w:val="es-ES" w:eastAsia="es-ES"/>
        </w:rPr>
      </w:pPr>
      <w:r w:rsidRPr="00274060">
        <w:rPr>
          <w:b/>
          <w:lang w:val="es-ES" w:eastAsia="es-ES"/>
        </w:rPr>
        <w:t>Palabras clave:</w:t>
      </w:r>
      <w:r w:rsidRPr="00274060">
        <w:rPr>
          <w:lang w:val="es-ES" w:eastAsia="es-ES"/>
        </w:rPr>
        <w:t xml:space="preserve"> enfermedad cerebrovascular; unidad de cuidados intensivos; </w:t>
      </w:r>
      <w:r w:rsidRPr="00274060">
        <w:rPr>
          <w:snapToGrid w:val="0"/>
          <w:lang w:val="es-ES" w:eastAsia="en-US"/>
        </w:rPr>
        <w:t>autopsia</w:t>
      </w:r>
      <w:r w:rsidRPr="00274060">
        <w:rPr>
          <w:lang w:val="es-ES" w:eastAsia="es-ES"/>
        </w:rPr>
        <w:t>.</w:t>
      </w:r>
    </w:p>
    <w:p w14:paraId="791EAC9A" w14:textId="77777777" w:rsidR="00274060" w:rsidRPr="00274060" w:rsidRDefault="00274060" w:rsidP="00274060">
      <w:pPr>
        <w:spacing w:line="360" w:lineRule="auto"/>
        <w:jc w:val="both"/>
        <w:rPr>
          <w:lang w:val="es-ES" w:eastAsia="es-ES"/>
        </w:rPr>
      </w:pPr>
    </w:p>
    <w:p w14:paraId="28D08C8E" w14:textId="77777777" w:rsidR="00274060" w:rsidRPr="00274060" w:rsidRDefault="00274060" w:rsidP="00274060">
      <w:pPr>
        <w:spacing w:line="360" w:lineRule="auto"/>
        <w:jc w:val="both"/>
        <w:rPr>
          <w:b/>
          <w:lang w:val="en-US" w:eastAsia="es-ES"/>
        </w:rPr>
      </w:pPr>
      <w:r w:rsidRPr="00274060">
        <w:rPr>
          <w:b/>
          <w:lang w:val="en-US" w:eastAsia="es-ES"/>
        </w:rPr>
        <w:t>ABSTRACT</w:t>
      </w:r>
    </w:p>
    <w:p w14:paraId="63ACD9C2" w14:textId="77777777" w:rsidR="00274060" w:rsidRPr="00274060" w:rsidRDefault="00274060" w:rsidP="00274060">
      <w:pPr>
        <w:spacing w:line="360" w:lineRule="auto"/>
        <w:jc w:val="both"/>
        <w:rPr>
          <w:lang w:val="en-US" w:eastAsia="es-ES"/>
        </w:rPr>
      </w:pPr>
      <w:r w:rsidRPr="00274060">
        <w:rPr>
          <w:b/>
          <w:bCs/>
          <w:lang w:val="en-US" w:eastAsia="es-ES"/>
        </w:rPr>
        <w:t>Introduction:</w:t>
      </w:r>
      <w:r w:rsidRPr="00274060">
        <w:rPr>
          <w:lang w:val="en-US" w:eastAsia="es-ES"/>
        </w:rPr>
        <w:t xml:space="preserve"> In Cuba, cerebrovascular diseases (CVD) are very common non-communicable chronic conditions.</w:t>
      </w:r>
    </w:p>
    <w:p w14:paraId="792ACDD3" w14:textId="77777777" w:rsidR="00274060" w:rsidRPr="00274060" w:rsidRDefault="00274060" w:rsidP="00274060">
      <w:pPr>
        <w:spacing w:line="360" w:lineRule="auto"/>
        <w:jc w:val="both"/>
        <w:rPr>
          <w:lang w:val="en-US" w:eastAsia="es-ES"/>
        </w:rPr>
      </w:pPr>
      <w:r w:rsidRPr="00274060">
        <w:rPr>
          <w:b/>
          <w:bCs/>
          <w:lang w:val="en-US" w:eastAsia="es-ES"/>
        </w:rPr>
        <w:t>Objectives:</w:t>
      </w:r>
      <w:r w:rsidRPr="00274060">
        <w:rPr>
          <w:lang w:val="en-US" w:eastAsia="es-ES"/>
        </w:rPr>
        <w:t xml:space="preserve"> Characterize patients from intensive care unit with a pathological diagnosis of CVD.</w:t>
      </w:r>
    </w:p>
    <w:p w14:paraId="7A271C7F" w14:textId="77777777" w:rsidR="00274060" w:rsidRPr="00274060" w:rsidRDefault="00274060" w:rsidP="00274060">
      <w:pPr>
        <w:spacing w:line="360" w:lineRule="auto"/>
        <w:jc w:val="both"/>
        <w:rPr>
          <w:lang w:val="en-US" w:eastAsia="es-ES"/>
        </w:rPr>
      </w:pPr>
      <w:r w:rsidRPr="00274060">
        <w:rPr>
          <w:b/>
          <w:bCs/>
          <w:lang w:val="en-US" w:eastAsia="es-ES"/>
        </w:rPr>
        <w:t xml:space="preserve">Methods: </w:t>
      </w:r>
      <w:r w:rsidRPr="00274060">
        <w:rPr>
          <w:lang w:val="en-US" w:eastAsia="es-ES"/>
        </w:rPr>
        <w:t>Observational, descriptive and transversal study in a sample of 176 patients. Variables: age (19-39 years, 40-59 years, 60-100 years), sex, type of CVD (hemorrhagic, ischemic), APACHE II scale (≤ 15, &gt; 15 score) and Glasgow coma on admission (≤ 8, &gt; 8 score), mechanical ventilation (yes, no), length of stay (≤ 7, &gt; 7 days) and direct cause of death. Frequencies, measures of central tendency, chi-square and Student's t tests (significance level of 5%) were calculated.</w:t>
      </w:r>
    </w:p>
    <w:p w14:paraId="497D3649" w14:textId="77777777" w:rsidR="00274060" w:rsidRPr="00274060" w:rsidRDefault="00274060" w:rsidP="00274060">
      <w:pPr>
        <w:spacing w:line="360" w:lineRule="auto"/>
        <w:jc w:val="both"/>
        <w:rPr>
          <w:lang w:val="en-US" w:eastAsia="es-ES"/>
        </w:rPr>
      </w:pPr>
      <w:r w:rsidRPr="00274060">
        <w:rPr>
          <w:b/>
          <w:bCs/>
          <w:lang w:val="en-US" w:eastAsia="es-ES"/>
        </w:rPr>
        <w:t xml:space="preserve">Results: </w:t>
      </w:r>
      <w:r w:rsidRPr="00274060">
        <w:rPr>
          <w:lang w:val="en-US" w:eastAsia="es-ES"/>
        </w:rPr>
        <w:t>Hemorrhagic cerebrovascular disease, male sex (52.8%) and the age group of 60-100 years (64.8%) predominated. The mean age was 63.8 years. The average value of the APACHE II and Glasgow scales was 21.6 and 6.5. 97.6% received mechanical ventilation. The mean stay was 7.0 days. Severe cerebral edema was the main cause of direct death (79.3%).</w:t>
      </w:r>
    </w:p>
    <w:p w14:paraId="63987BFD" w14:textId="77777777" w:rsidR="00274060" w:rsidRPr="00274060" w:rsidRDefault="00274060" w:rsidP="00274060">
      <w:pPr>
        <w:spacing w:line="360" w:lineRule="auto"/>
        <w:jc w:val="both"/>
        <w:rPr>
          <w:lang w:val="en-US" w:eastAsia="es-ES"/>
        </w:rPr>
      </w:pPr>
      <w:r w:rsidRPr="00274060">
        <w:rPr>
          <w:b/>
          <w:bCs/>
          <w:lang w:val="en-US" w:eastAsia="es-ES"/>
        </w:rPr>
        <w:t>Conclusions:</w:t>
      </w:r>
      <w:r w:rsidRPr="00274060">
        <w:rPr>
          <w:lang w:val="en-US" w:eastAsia="es-ES"/>
        </w:rPr>
        <w:t xml:space="preserve"> There is a predominance of hemorrhagic CVD, in male patients, aged 60-100 years, APACHE II score &gt; 15, Glasgow score ≤ 8, ventilated patients, stay ≤ 7 days and intense cerebral edema.</w:t>
      </w:r>
    </w:p>
    <w:p w14:paraId="6BD98135" w14:textId="77777777" w:rsidR="00274060" w:rsidRPr="00274060" w:rsidRDefault="00274060" w:rsidP="00274060">
      <w:pPr>
        <w:spacing w:line="360" w:lineRule="auto"/>
        <w:jc w:val="both"/>
        <w:rPr>
          <w:lang w:val="en-US" w:eastAsia="es-ES"/>
        </w:rPr>
      </w:pPr>
      <w:r w:rsidRPr="00274060">
        <w:rPr>
          <w:b/>
          <w:bCs/>
          <w:lang w:val="en-US" w:eastAsia="es-ES"/>
        </w:rPr>
        <w:t>Keywords:</w:t>
      </w:r>
      <w:r w:rsidRPr="00274060">
        <w:rPr>
          <w:lang w:val="en-US" w:eastAsia="es-ES"/>
        </w:rPr>
        <w:t xml:space="preserve"> cerebrovascular diseases; intensive care unit; diagnosis; </w:t>
      </w:r>
      <w:r w:rsidRPr="00274060">
        <w:rPr>
          <w:snapToGrid w:val="0"/>
          <w:lang w:val="en-US" w:eastAsia="en-US"/>
        </w:rPr>
        <w:t>autopsy</w:t>
      </w:r>
      <w:r w:rsidRPr="00274060">
        <w:rPr>
          <w:lang w:val="en-US" w:eastAsia="es-ES"/>
        </w:rPr>
        <w:t>.</w:t>
      </w:r>
    </w:p>
    <w:p w14:paraId="123EC877" w14:textId="77777777" w:rsidR="00274060" w:rsidRPr="00274060" w:rsidRDefault="00274060" w:rsidP="00274060">
      <w:pPr>
        <w:spacing w:line="360" w:lineRule="auto"/>
        <w:jc w:val="both"/>
        <w:rPr>
          <w:lang w:val="en-US" w:eastAsia="es-ES"/>
        </w:rPr>
      </w:pPr>
    </w:p>
    <w:p w14:paraId="0D9D3A9A" w14:textId="77777777" w:rsidR="00274060" w:rsidRPr="00274060" w:rsidRDefault="00274060" w:rsidP="00274060">
      <w:pPr>
        <w:spacing w:line="360" w:lineRule="auto"/>
        <w:jc w:val="both"/>
        <w:rPr>
          <w:lang w:val="en-US" w:eastAsia="es-ES"/>
        </w:rPr>
      </w:pPr>
    </w:p>
    <w:p w14:paraId="63DDD05A" w14:textId="77777777" w:rsidR="00274060" w:rsidRPr="00274060" w:rsidRDefault="00274060" w:rsidP="00274060">
      <w:pPr>
        <w:spacing w:line="360" w:lineRule="auto"/>
        <w:jc w:val="both"/>
        <w:rPr>
          <w:lang w:val="es-ES" w:eastAsia="es-ES"/>
        </w:rPr>
      </w:pPr>
      <w:r w:rsidRPr="00274060">
        <w:rPr>
          <w:lang w:val="es-ES" w:eastAsia="es-ES"/>
        </w:rPr>
        <w:lastRenderedPageBreak/>
        <w:t>Recibido: 07/03/2023</w:t>
      </w:r>
    </w:p>
    <w:p w14:paraId="4F8F058E" w14:textId="77777777" w:rsidR="00274060" w:rsidRPr="00274060" w:rsidRDefault="00274060" w:rsidP="00274060">
      <w:pPr>
        <w:spacing w:line="360" w:lineRule="auto"/>
        <w:jc w:val="both"/>
        <w:rPr>
          <w:lang w:val="es-ES" w:eastAsia="es-ES"/>
        </w:rPr>
      </w:pPr>
      <w:r w:rsidRPr="00274060">
        <w:rPr>
          <w:lang w:val="es-ES" w:eastAsia="es-ES"/>
        </w:rPr>
        <w:t>Aprobado: 23/09/2023</w:t>
      </w:r>
    </w:p>
    <w:p w14:paraId="3CD4F1E7" w14:textId="77777777" w:rsidR="00274060" w:rsidRPr="00274060" w:rsidRDefault="00274060" w:rsidP="00274060">
      <w:pPr>
        <w:autoSpaceDE w:val="0"/>
        <w:autoSpaceDN w:val="0"/>
        <w:adjustRightInd w:val="0"/>
        <w:spacing w:line="360" w:lineRule="auto"/>
        <w:jc w:val="both"/>
        <w:rPr>
          <w:b/>
          <w:snapToGrid w:val="0"/>
          <w:lang w:val="es-ES" w:eastAsia="es-ES"/>
        </w:rPr>
      </w:pPr>
    </w:p>
    <w:p w14:paraId="5050F22D" w14:textId="77777777" w:rsidR="00274060" w:rsidRPr="00274060" w:rsidRDefault="00274060" w:rsidP="00274060">
      <w:pPr>
        <w:autoSpaceDE w:val="0"/>
        <w:autoSpaceDN w:val="0"/>
        <w:adjustRightInd w:val="0"/>
        <w:spacing w:line="360" w:lineRule="auto"/>
        <w:jc w:val="center"/>
        <w:rPr>
          <w:b/>
          <w:snapToGrid w:val="0"/>
          <w:lang w:val="es-ES" w:eastAsia="es-ES"/>
        </w:rPr>
      </w:pPr>
    </w:p>
    <w:p w14:paraId="4C677839" w14:textId="77777777" w:rsidR="00274060" w:rsidRPr="00274060" w:rsidRDefault="00274060" w:rsidP="00274060">
      <w:pPr>
        <w:autoSpaceDE w:val="0"/>
        <w:autoSpaceDN w:val="0"/>
        <w:adjustRightInd w:val="0"/>
        <w:spacing w:line="360" w:lineRule="auto"/>
        <w:jc w:val="center"/>
        <w:rPr>
          <w:b/>
          <w:snapToGrid w:val="0"/>
          <w:sz w:val="32"/>
          <w:szCs w:val="32"/>
          <w:lang w:val="es-ES" w:eastAsia="es-ES"/>
        </w:rPr>
      </w:pPr>
      <w:r w:rsidRPr="00274060">
        <w:rPr>
          <w:b/>
          <w:snapToGrid w:val="0"/>
          <w:sz w:val="32"/>
          <w:szCs w:val="32"/>
          <w:lang w:val="es-ES" w:eastAsia="es-ES"/>
        </w:rPr>
        <w:t>INTRODUCCIÓN</w:t>
      </w:r>
    </w:p>
    <w:p w14:paraId="387BEE4F" w14:textId="77777777" w:rsidR="00274060" w:rsidRPr="00274060" w:rsidRDefault="00274060" w:rsidP="00274060">
      <w:pPr>
        <w:spacing w:line="360" w:lineRule="auto"/>
        <w:jc w:val="both"/>
        <w:rPr>
          <w:rFonts w:eastAsia="Calibri"/>
          <w:lang w:val="es-ES" w:eastAsia="es-ES"/>
        </w:rPr>
      </w:pPr>
      <w:r w:rsidRPr="00274060">
        <w:rPr>
          <w:rFonts w:eastAsia="Calibri"/>
          <w:lang w:val="es-ES" w:eastAsia="es-ES"/>
        </w:rPr>
        <w:t>Las enfermedades cerebrovasculares (ECV) constituyen en Cuba uno de los padecimientos crónicos no trasmisibles más frecuentes. Tienen una prevalencia de 6,8 por 1000 habitantes; representan la tercera causa de muerte, después de las enfermedades del corazón y los tumores malignos, con 10 980 fallecimientos en el año 2020.</w:t>
      </w:r>
      <w:r w:rsidRPr="00274060">
        <w:rPr>
          <w:rFonts w:eastAsia="Calibri"/>
          <w:vertAlign w:val="superscript"/>
          <w:lang w:val="es-ES" w:eastAsia="es-ES"/>
        </w:rPr>
        <w:t>(1)</w:t>
      </w:r>
      <w:r w:rsidRPr="00274060">
        <w:rPr>
          <w:rFonts w:eastAsia="Calibri"/>
          <w:color w:val="FF0000"/>
          <w:lang w:val="es-ES" w:eastAsia="es-ES"/>
        </w:rPr>
        <w:t xml:space="preserve"> </w:t>
      </w:r>
    </w:p>
    <w:p w14:paraId="0572311B" w14:textId="77777777" w:rsidR="00274060" w:rsidRPr="00274060" w:rsidRDefault="00274060" w:rsidP="00274060">
      <w:pPr>
        <w:spacing w:line="360" w:lineRule="auto"/>
        <w:jc w:val="both"/>
        <w:rPr>
          <w:color w:val="FF0000"/>
          <w:lang w:val="es-ES" w:eastAsia="es-ES"/>
        </w:rPr>
      </w:pPr>
      <w:r w:rsidRPr="00274060">
        <w:rPr>
          <w:lang w:val="es-ES" w:eastAsia="es-ES"/>
        </w:rPr>
        <w:t>Las ECV se deben, en parte, a factores ambientales que pueden ser modificables. Al controlar algunos de esos factores, se reduce el riesgo de tener y morir por una de ellas. La hipertensión arterial es el principal, seguido por el sedentarismo, el alto consumo de radicales provenientes del tabaco, frituras o grasas hidrogenadas, lipoproteínas de baja densidad elevadas (incluido el aumento de triglicéridos), consumo excesivo de alcohol o de drogas, padecer problemas cardíacos como la fibrilación auricular, u otras afecciones no cardíacas ni vasculares al inicio, como diabetes mellitus, estrés o la enfermedad celíaca; que pueden provocar, si no se tratan, una ECV, en especial personas jóvenes y niños.</w:t>
      </w:r>
      <w:r w:rsidRPr="00274060">
        <w:rPr>
          <w:vertAlign w:val="superscript"/>
          <w:lang w:val="es-ES" w:eastAsia="es-ES"/>
        </w:rPr>
        <w:t>(2,3,4,5)</w:t>
      </w:r>
      <w:r w:rsidRPr="00274060">
        <w:rPr>
          <w:lang w:val="es-ES" w:eastAsia="es-ES"/>
        </w:rPr>
        <w:t xml:space="preserve"> </w:t>
      </w:r>
    </w:p>
    <w:p w14:paraId="08D29B93" w14:textId="77777777" w:rsidR="00274060" w:rsidRPr="00274060" w:rsidRDefault="00274060" w:rsidP="00274060">
      <w:pPr>
        <w:shd w:val="clear" w:color="auto" w:fill="FFFFFF"/>
        <w:tabs>
          <w:tab w:val="left" w:pos="3750"/>
        </w:tabs>
        <w:spacing w:line="360" w:lineRule="auto"/>
        <w:jc w:val="both"/>
        <w:rPr>
          <w:vertAlign w:val="superscript"/>
          <w:lang w:val="es-ES" w:eastAsia="es-ES"/>
        </w:rPr>
      </w:pPr>
      <w:r w:rsidRPr="00274060">
        <w:rPr>
          <w:lang w:val="es-ES" w:eastAsia="es-ES"/>
        </w:rPr>
        <w:t>La edad es otro factor de riesgo. La incidencia de la ECV aumenta a partir de los 60-65 años, aunque puede aparecer a cualquier edad; un 0,5 % de todas se producen en personas menores de 20 años. En los últimos 20 años hay un aumento de un 25 % del número de casos de ECV entre las personas de 20 a 64 años.</w:t>
      </w:r>
      <w:r w:rsidRPr="00274060">
        <w:rPr>
          <w:vertAlign w:val="superscript"/>
          <w:lang w:val="es-ES" w:eastAsia="es-ES"/>
        </w:rPr>
        <w:t>(2,3,6,7,8)</w:t>
      </w:r>
      <w:r w:rsidRPr="00274060">
        <w:rPr>
          <w:color w:val="FF0000"/>
          <w:lang w:val="es-ES" w:eastAsia="es-ES"/>
        </w:rPr>
        <w:t xml:space="preserve"> </w:t>
      </w:r>
    </w:p>
    <w:p w14:paraId="12A703D0" w14:textId="77777777" w:rsidR="00274060" w:rsidRPr="00274060" w:rsidRDefault="00274060" w:rsidP="00274060">
      <w:pPr>
        <w:shd w:val="clear" w:color="auto" w:fill="FFFFFF"/>
        <w:tabs>
          <w:tab w:val="left" w:pos="3750"/>
        </w:tabs>
        <w:spacing w:line="360" w:lineRule="auto"/>
        <w:jc w:val="both"/>
        <w:rPr>
          <w:color w:val="FF0000"/>
          <w:lang w:val="es-ES" w:eastAsia="es-ES"/>
        </w:rPr>
      </w:pPr>
      <w:r w:rsidRPr="00274060">
        <w:rPr>
          <w:lang w:val="es-ES" w:eastAsia="es-ES"/>
        </w:rPr>
        <w:t>Los pacientes con ECV requieren hospitalización; muchos tienen estadías hospitalarias prolongadas y representan elevados gastos para los sistemas de salud. Además, un número considerable necesita de cuidados intensivos; quedan con secuelas que, a su vez, incrementan los gastos antes señalados.</w:t>
      </w:r>
      <w:r w:rsidRPr="00274060">
        <w:rPr>
          <w:vertAlign w:val="superscript"/>
          <w:lang w:val="es-ES" w:eastAsia="es-ES"/>
        </w:rPr>
        <w:t xml:space="preserve">(8,9) </w:t>
      </w:r>
    </w:p>
    <w:p w14:paraId="2C49F8E3" w14:textId="77777777" w:rsidR="00274060" w:rsidRPr="00274060" w:rsidRDefault="00274060" w:rsidP="00274060">
      <w:pPr>
        <w:spacing w:line="360" w:lineRule="auto"/>
        <w:jc w:val="both"/>
        <w:rPr>
          <w:rFonts w:ascii="Arial" w:eastAsia="Calibri" w:hAnsi="Arial"/>
          <w:lang w:val="es-ES" w:eastAsia="es-ES"/>
        </w:rPr>
      </w:pPr>
      <w:r w:rsidRPr="00274060">
        <w:rPr>
          <w:lang w:val="es-ES" w:eastAsia="es-ES"/>
        </w:rPr>
        <w:t>El objetivo de este estudio es caracterizar a pacientes de la unidad de cuidados, con diagnóstico anatomopatológico de ECV.</w:t>
      </w:r>
    </w:p>
    <w:p w14:paraId="2CDDEA64" w14:textId="77777777" w:rsidR="00274060" w:rsidRPr="00274060" w:rsidRDefault="00274060" w:rsidP="00274060">
      <w:pPr>
        <w:spacing w:line="360" w:lineRule="auto"/>
        <w:jc w:val="both"/>
        <w:rPr>
          <w:b/>
          <w:lang w:val="es-ES" w:eastAsia="en-US"/>
        </w:rPr>
      </w:pPr>
    </w:p>
    <w:p w14:paraId="5875D492" w14:textId="77777777" w:rsidR="00274060" w:rsidRPr="00274060" w:rsidRDefault="00274060" w:rsidP="00274060">
      <w:pPr>
        <w:spacing w:line="360" w:lineRule="auto"/>
        <w:jc w:val="center"/>
        <w:rPr>
          <w:b/>
          <w:lang w:val="es-ES" w:eastAsia="en-US"/>
        </w:rPr>
      </w:pPr>
    </w:p>
    <w:p w14:paraId="1348C14B" w14:textId="77777777" w:rsidR="0023145B" w:rsidRDefault="0023145B">
      <w:pPr>
        <w:rPr>
          <w:b/>
          <w:sz w:val="32"/>
          <w:szCs w:val="32"/>
          <w:lang w:val="es-ES" w:eastAsia="en-US"/>
        </w:rPr>
      </w:pPr>
      <w:r>
        <w:rPr>
          <w:b/>
          <w:sz w:val="32"/>
          <w:szCs w:val="32"/>
          <w:lang w:val="es-ES" w:eastAsia="en-US"/>
        </w:rPr>
        <w:br w:type="page"/>
      </w:r>
    </w:p>
    <w:p w14:paraId="3B68C180" w14:textId="369BD50A" w:rsidR="00274060" w:rsidRPr="00274060" w:rsidRDefault="00274060" w:rsidP="00274060">
      <w:pPr>
        <w:spacing w:line="360" w:lineRule="auto"/>
        <w:jc w:val="center"/>
        <w:rPr>
          <w:b/>
          <w:sz w:val="32"/>
          <w:szCs w:val="32"/>
          <w:lang w:val="es-ES" w:eastAsia="en-US"/>
        </w:rPr>
      </w:pPr>
      <w:r w:rsidRPr="00274060">
        <w:rPr>
          <w:b/>
          <w:sz w:val="32"/>
          <w:szCs w:val="32"/>
          <w:lang w:val="es-ES" w:eastAsia="en-US"/>
        </w:rPr>
        <w:lastRenderedPageBreak/>
        <w:t>MÉTODOS</w:t>
      </w:r>
    </w:p>
    <w:p w14:paraId="3CD42AE2" w14:textId="77777777" w:rsidR="00274060" w:rsidRPr="00274060" w:rsidRDefault="00274060" w:rsidP="00274060">
      <w:pPr>
        <w:spacing w:line="360" w:lineRule="auto"/>
        <w:jc w:val="center"/>
        <w:rPr>
          <w:b/>
          <w:sz w:val="28"/>
          <w:szCs w:val="28"/>
          <w:lang w:val="es-ES" w:eastAsia="en-US"/>
        </w:rPr>
      </w:pPr>
      <w:r w:rsidRPr="00274060">
        <w:rPr>
          <w:b/>
          <w:sz w:val="28"/>
          <w:szCs w:val="28"/>
          <w:lang w:val="es-ES" w:eastAsia="en-US"/>
        </w:rPr>
        <w:t>Diseño</w:t>
      </w:r>
    </w:p>
    <w:p w14:paraId="327E02B5" w14:textId="77777777" w:rsidR="00274060" w:rsidRPr="00274060" w:rsidRDefault="00274060" w:rsidP="00274060">
      <w:pPr>
        <w:spacing w:line="360" w:lineRule="auto"/>
        <w:jc w:val="both"/>
        <w:rPr>
          <w:lang w:val="es-ES" w:eastAsia="x-none"/>
        </w:rPr>
      </w:pPr>
      <w:r w:rsidRPr="00274060">
        <w:rPr>
          <w:lang w:val="es-ES" w:eastAsia="x-none"/>
        </w:rPr>
        <w:t xml:space="preserve">Se realizó un estudio observacional, descriptivo y transversal. Se utilizó la base de datos del Servicio Unidad de Cuidados Intensivos (UCI), del Hospital Militar Central “Dr. “Carlos J. Finlay”, en el periodo de enero del 2011 a diciembre del 2022. </w:t>
      </w:r>
    </w:p>
    <w:p w14:paraId="273AB518" w14:textId="77777777" w:rsidR="00274060" w:rsidRPr="00274060" w:rsidRDefault="00274060" w:rsidP="00274060">
      <w:pPr>
        <w:spacing w:line="360" w:lineRule="auto"/>
        <w:jc w:val="center"/>
        <w:rPr>
          <w:b/>
          <w:sz w:val="28"/>
          <w:szCs w:val="28"/>
          <w:lang w:val="es-ES" w:eastAsia="x-none"/>
        </w:rPr>
      </w:pPr>
      <w:r w:rsidRPr="00274060">
        <w:rPr>
          <w:b/>
          <w:sz w:val="28"/>
          <w:szCs w:val="28"/>
          <w:lang w:val="es-ES" w:eastAsia="x-none"/>
        </w:rPr>
        <w:t>Sujetos</w:t>
      </w:r>
    </w:p>
    <w:p w14:paraId="12421D4F" w14:textId="77777777" w:rsidR="00274060" w:rsidRPr="00274060" w:rsidRDefault="00274060" w:rsidP="00274060">
      <w:pPr>
        <w:spacing w:line="360" w:lineRule="auto"/>
        <w:jc w:val="both"/>
        <w:rPr>
          <w:lang w:val="es-ES" w:eastAsia="x-none"/>
        </w:rPr>
      </w:pPr>
      <w:r w:rsidRPr="00274060">
        <w:rPr>
          <w:lang w:val="es-ES" w:eastAsia="x-none"/>
        </w:rPr>
        <w:t>De 503 pacientes con ECV, se escogieron de forma consecutiva desde la fecha de inicial, los fallecidos por ECV, con necropsia realizada. Se excluyeron los que tenían información incompleta en la base de datos. Se obtuvo una muestra de 176 pacientes.</w:t>
      </w:r>
    </w:p>
    <w:p w14:paraId="0D6B0D09" w14:textId="77777777" w:rsidR="00274060" w:rsidRPr="00274060" w:rsidRDefault="00274060" w:rsidP="00274060">
      <w:pPr>
        <w:spacing w:line="360" w:lineRule="auto"/>
        <w:jc w:val="center"/>
        <w:rPr>
          <w:b/>
          <w:sz w:val="28"/>
          <w:szCs w:val="28"/>
          <w:lang w:val="es-ES" w:eastAsia="x-none"/>
        </w:rPr>
      </w:pPr>
      <w:r w:rsidRPr="00274060">
        <w:rPr>
          <w:b/>
          <w:sz w:val="28"/>
          <w:szCs w:val="28"/>
          <w:lang w:val="es-ES" w:eastAsia="x-none"/>
        </w:rPr>
        <w:t>Variables</w:t>
      </w:r>
    </w:p>
    <w:p w14:paraId="5EDFC19F" w14:textId="77777777" w:rsidR="00274060" w:rsidRPr="00274060" w:rsidRDefault="00274060" w:rsidP="00274060">
      <w:pPr>
        <w:spacing w:line="360" w:lineRule="auto"/>
        <w:jc w:val="both"/>
        <w:rPr>
          <w:snapToGrid w:val="0"/>
          <w:lang w:val="es-ES" w:eastAsia="en-US"/>
        </w:rPr>
      </w:pPr>
      <w:r w:rsidRPr="00274060">
        <w:rPr>
          <w:snapToGrid w:val="0"/>
          <w:lang w:val="es-ES" w:eastAsia="en-US"/>
        </w:rPr>
        <w:t xml:space="preserve">Fueron estudiadas las siguientes variables: edad (19-39 años, 40-59 años, 60-100 años), sexo, tipo de ECV (hemorrágica, isquémica), valor de las escalas </w:t>
      </w:r>
      <w:r w:rsidRPr="00274060">
        <w:rPr>
          <w:bCs/>
          <w:iCs/>
          <w:shd w:val="clear" w:color="auto" w:fill="FFFFFF"/>
          <w:lang w:val="es-ES" w:eastAsia="x-none"/>
        </w:rPr>
        <w:t>APACHE</w:t>
      </w:r>
      <w:r w:rsidRPr="00274060">
        <w:rPr>
          <w:snapToGrid w:val="0"/>
          <w:lang w:val="es-ES" w:eastAsia="en-US"/>
        </w:rPr>
        <w:t xml:space="preserve"> II (</w:t>
      </w:r>
      <w:r w:rsidRPr="00274060">
        <w:rPr>
          <w:color w:val="000000"/>
          <w:lang w:val="es-ES" w:eastAsia="x-none"/>
        </w:rPr>
        <w:t>≤ 15, &gt; 15 puntos</w:t>
      </w:r>
      <w:r w:rsidRPr="00274060">
        <w:rPr>
          <w:snapToGrid w:val="0"/>
          <w:lang w:val="es-ES" w:eastAsia="en-US"/>
        </w:rPr>
        <w:t>) y de coma Glasgow al ingreso (</w:t>
      </w:r>
      <w:r w:rsidRPr="00274060">
        <w:rPr>
          <w:lang w:val="es-ES"/>
        </w:rPr>
        <w:t>≤ 8, &gt; 8 puntos</w:t>
      </w:r>
      <w:r w:rsidRPr="00274060">
        <w:rPr>
          <w:snapToGrid w:val="0"/>
          <w:lang w:val="es-ES" w:eastAsia="en-US"/>
        </w:rPr>
        <w:t>), ventilación mecánica (VM: sí, no), estadía (</w:t>
      </w:r>
      <w:r w:rsidRPr="00274060">
        <w:rPr>
          <w:color w:val="000000"/>
          <w:lang w:val="es-ES" w:eastAsia="x-none"/>
        </w:rPr>
        <w:t>≤ 7, &gt; 7 días</w:t>
      </w:r>
      <w:r w:rsidRPr="00274060">
        <w:rPr>
          <w:snapToGrid w:val="0"/>
          <w:lang w:val="es-ES" w:eastAsia="en-US"/>
        </w:rPr>
        <w:t>) y causa directa de muerte (</w:t>
      </w:r>
      <w:r w:rsidRPr="00274060">
        <w:rPr>
          <w:lang w:val="es-ES" w:eastAsia="x-none"/>
        </w:rPr>
        <w:t>según el informe de la autopsia</w:t>
      </w:r>
      <w:r w:rsidRPr="00274060">
        <w:rPr>
          <w:snapToGrid w:val="0"/>
          <w:lang w:val="es-ES" w:eastAsia="en-US"/>
        </w:rPr>
        <w:t>).</w:t>
      </w:r>
    </w:p>
    <w:p w14:paraId="4913E92C" w14:textId="77777777" w:rsidR="00274060" w:rsidRPr="00274060" w:rsidRDefault="00274060" w:rsidP="00274060">
      <w:pPr>
        <w:spacing w:line="360" w:lineRule="auto"/>
        <w:jc w:val="center"/>
        <w:rPr>
          <w:b/>
          <w:snapToGrid w:val="0"/>
          <w:sz w:val="28"/>
          <w:szCs w:val="28"/>
          <w:lang w:val="es-ES" w:eastAsia="en-US"/>
        </w:rPr>
      </w:pPr>
      <w:r w:rsidRPr="00274060">
        <w:rPr>
          <w:b/>
          <w:snapToGrid w:val="0"/>
          <w:sz w:val="28"/>
          <w:szCs w:val="28"/>
          <w:lang w:val="es-ES" w:eastAsia="en-US"/>
        </w:rPr>
        <w:t>Procedimientos y procesamiento</w:t>
      </w:r>
    </w:p>
    <w:p w14:paraId="1BE512DB" w14:textId="7FA23F3A" w:rsidR="00274060" w:rsidRPr="00274060" w:rsidRDefault="00274060" w:rsidP="00274060">
      <w:pPr>
        <w:spacing w:line="360" w:lineRule="auto"/>
        <w:jc w:val="both"/>
        <w:rPr>
          <w:lang w:val="es-ES" w:eastAsia="x-none"/>
        </w:rPr>
      </w:pPr>
      <w:r w:rsidRPr="00274060">
        <w:rPr>
          <w:lang w:val="es-ES" w:eastAsia="x-none"/>
        </w:rPr>
        <w:t xml:space="preserve">En el </w:t>
      </w:r>
      <w:r w:rsidRPr="00274060">
        <w:rPr>
          <w:lang w:val="es-ES" w:eastAsia="es-CR"/>
        </w:rPr>
        <w:t>programa Microsoft Excel se conformó</w:t>
      </w:r>
      <w:r w:rsidRPr="00274060">
        <w:rPr>
          <w:lang w:val="es-ES" w:eastAsia="x-none"/>
        </w:rPr>
        <w:t xml:space="preserve"> una base de datos, con los sujetos y las variables. El paquete estadístico Statistica </w:t>
      </w:r>
      <w:r w:rsidRPr="00274060">
        <w:rPr>
          <w:lang w:val="es-ES" w:eastAsia="es-CR"/>
        </w:rPr>
        <w:t>se usó</w:t>
      </w:r>
      <w:r w:rsidRPr="00274060">
        <w:rPr>
          <w:lang w:val="es-ES" w:eastAsia="x-none"/>
        </w:rPr>
        <w:t xml:space="preserve"> para hacer el análisis univariado; se hallaron distribuciones de frecuencias absolutas y relativas en las variables </w:t>
      </w:r>
      <w:r w:rsidR="00710AE7" w:rsidRPr="00274060">
        <w:rPr>
          <w:lang w:val="es-ES" w:eastAsia="x-none"/>
        </w:rPr>
        <w:t>cualitativas; medidas</w:t>
      </w:r>
      <w:r w:rsidRPr="00274060">
        <w:rPr>
          <w:lang w:val="es-ES" w:eastAsia="x-none"/>
        </w:rPr>
        <w:t xml:space="preserve"> de tendencia central (media aritmética, mediana, razón) en las cuantitativas.</w:t>
      </w:r>
    </w:p>
    <w:p w14:paraId="3E11152E" w14:textId="77777777" w:rsidR="00274060" w:rsidRPr="00274060" w:rsidRDefault="00274060" w:rsidP="00274060">
      <w:pPr>
        <w:spacing w:line="360" w:lineRule="auto"/>
        <w:jc w:val="both"/>
        <w:rPr>
          <w:lang w:val="es-ES" w:eastAsia="x-none"/>
        </w:rPr>
      </w:pPr>
      <w:r w:rsidRPr="00274060">
        <w:rPr>
          <w:lang w:val="es-ES" w:eastAsia="x-none"/>
        </w:rPr>
        <w:t xml:space="preserve">Además, se realizó un análisis estadístico bivariado para establecer relación entre 2 variables, mediante la prueba </w:t>
      </w:r>
      <w:r w:rsidRPr="00274060">
        <w:rPr>
          <w:i/>
          <w:iCs/>
          <w:lang w:val="es-ES" w:eastAsia="x-none"/>
        </w:rPr>
        <w:t>ji</w:t>
      </w:r>
      <w:r w:rsidRPr="00274060">
        <w:rPr>
          <w:lang w:val="es-ES" w:eastAsia="x-none"/>
        </w:rPr>
        <w:t xml:space="preserve"> cuadrado (</w:t>
      </w:r>
      <w:r w:rsidRPr="00274060">
        <w:rPr>
          <w:snapToGrid w:val="0"/>
          <w:lang w:val="es-ES" w:eastAsia="en-US"/>
        </w:rPr>
        <w:t>edad, sexo, tipo de ECV, APACHE II, Glasgow, VM, estadía y causas directa de muerte</w:t>
      </w:r>
      <w:r w:rsidRPr="00274060">
        <w:rPr>
          <w:lang w:val="es-ES" w:eastAsia="x-none"/>
        </w:rPr>
        <w:t>) y se compararon las medias mediante la prueba t de Student (edad,</w:t>
      </w:r>
      <w:r w:rsidRPr="00274060">
        <w:rPr>
          <w:snapToGrid w:val="0"/>
          <w:lang w:val="es-ES" w:eastAsia="en-US"/>
        </w:rPr>
        <w:t xml:space="preserve"> Glasgow, APACHE II y estadía</w:t>
      </w:r>
      <w:r w:rsidRPr="00274060">
        <w:rPr>
          <w:lang w:val="es-ES" w:eastAsia="x-none"/>
        </w:rPr>
        <w:t>). En ambos análisis se consideró un nivel de significación del 5 %.</w:t>
      </w:r>
    </w:p>
    <w:p w14:paraId="30665357" w14:textId="77777777" w:rsidR="00274060" w:rsidRPr="00274060" w:rsidRDefault="00274060" w:rsidP="00274060">
      <w:pPr>
        <w:spacing w:line="360" w:lineRule="auto"/>
        <w:jc w:val="both"/>
        <w:rPr>
          <w:lang w:val="es-ES" w:eastAsia="x-none"/>
        </w:rPr>
      </w:pPr>
      <w:r w:rsidRPr="00274060">
        <w:rPr>
          <w:lang w:val="es-ES" w:eastAsia="x-none"/>
        </w:rPr>
        <w:t xml:space="preserve">La cuantificación del riesgo se hizo por el riesgo relativo, mediante el </w:t>
      </w:r>
      <w:r w:rsidRPr="00274060">
        <w:rPr>
          <w:i/>
          <w:iCs/>
          <w:lang w:val="es-ES" w:eastAsia="x-none"/>
        </w:rPr>
        <w:t>odd ratio</w:t>
      </w:r>
      <w:r w:rsidRPr="00274060">
        <w:rPr>
          <w:lang w:val="es-ES" w:eastAsia="x-none"/>
        </w:rPr>
        <w:t xml:space="preserve"> (OR), con un intervalo de confianza (IC) del 95 %, calculado por el método de Woolf.</w:t>
      </w:r>
    </w:p>
    <w:p w14:paraId="2A9AEDCD" w14:textId="77777777" w:rsidR="00710AE7" w:rsidRDefault="00710AE7">
      <w:pPr>
        <w:rPr>
          <w:b/>
          <w:lang w:val="es-ES" w:eastAsia="x-none"/>
        </w:rPr>
      </w:pPr>
      <w:r>
        <w:rPr>
          <w:b/>
          <w:lang w:val="es-ES" w:eastAsia="x-none"/>
        </w:rPr>
        <w:br w:type="page"/>
      </w:r>
    </w:p>
    <w:p w14:paraId="6097EAF9" w14:textId="0E609759" w:rsidR="00274060" w:rsidRPr="00274060" w:rsidRDefault="00274060" w:rsidP="00274060">
      <w:pPr>
        <w:spacing w:line="360" w:lineRule="auto"/>
        <w:jc w:val="center"/>
        <w:rPr>
          <w:b/>
          <w:sz w:val="28"/>
          <w:szCs w:val="28"/>
          <w:lang w:val="es-ES" w:eastAsia="x-none"/>
        </w:rPr>
      </w:pPr>
      <w:r w:rsidRPr="00274060">
        <w:rPr>
          <w:b/>
          <w:sz w:val="28"/>
          <w:szCs w:val="28"/>
          <w:lang w:val="es-ES" w:eastAsia="x-none"/>
        </w:rPr>
        <w:lastRenderedPageBreak/>
        <w:t>Aspectos éticos</w:t>
      </w:r>
    </w:p>
    <w:p w14:paraId="3F1E3F67" w14:textId="77777777" w:rsidR="00274060" w:rsidRPr="00274060" w:rsidRDefault="00274060" w:rsidP="00274060">
      <w:pPr>
        <w:spacing w:line="360" w:lineRule="auto"/>
        <w:jc w:val="both"/>
        <w:rPr>
          <w:lang w:val="es-ES" w:eastAsia="x-none"/>
        </w:rPr>
      </w:pPr>
      <w:r w:rsidRPr="00274060">
        <w:rPr>
          <w:lang w:val="es-ES" w:eastAsia="x-none"/>
        </w:rPr>
        <w:t>La investigación fue aprobada por el consejo científico del Hospital Militar Central “Dr. Carlos J. Finlay”. Al ser un estudio retrospectivo, con revisión de una base de datos, no se solicitó consentimiento informado, pues no se recogió el nombre de los pacientes, para mantener su privacidad.</w:t>
      </w:r>
      <w:r w:rsidRPr="00274060" w:rsidDel="00870695">
        <w:rPr>
          <w:lang w:val="es-ES" w:eastAsia="x-none"/>
        </w:rPr>
        <w:t xml:space="preserve"> </w:t>
      </w:r>
    </w:p>
    <w:p w14:paraId="0673304F" w14:textId="77777777" w:rsidR="00274060" w:rsidRPr="00274060" w:rsidRDefault="00274060" w:rsidP="00274060">
      <w:pPr>
        <w:spacing w:line="360" w:lineRule="auto"/>
        <w:jc w:val="both"/>
        <w:rPr>
          <w:b/>
          <w:lang w:val="es-ES" w:eastAsia="es-ES"/>
        </w:rPr>
      </w:pPr>
    </w:p>
    <w:p w14:paraId="0C10EAAB" w14:textId="77777777" w:rsidR="00274060" w:rsidRPr="00274060" w:rsidRDefault="00274060" w:rsidP="00274060">
      <w:pPr>
        <w:spacing w:line="360" w:lineRule="auto"/>
        <w:jc w:val="center"/>
        <w:rPr>
          <w:b/>
          <w:lang w:val="es-ES" w:eastAsia="es-ES"/>
        </w:rPr>
      </w:pPr>
    </w:p>
    <w:p w14:paraId="00075CCB" w14:textId="77777777" w:rsidR="00274060" w:rsidRPr="00274060" w:rsidRDefault="00274060" w:rsidP="00274060">
      <w:pPr>
        <w:spacing w:line="360" w:lineRule="auto"/>
        <w:jc w:val="center"/>
        <w:rPr>
          <w:b/>
          <w:sz w:val="32"/>
          <w:szCs w:val="32"/>
          <w:lang w:val="es-ES" w:eastAsia="es-ES"/>
        </w:rPr>
      </w:pPr>
      <w:r w:rsidRPr="00274060">
        <w:rPr>
          <w:b/>
          <w:sz w:val="32"/>
          <w:szCs w:val="32"/>
          <w:lang w:val="es-ES" w:eastAsia="es-ES"/>
        </w:rPr>
        <w:t>RESULTADOS</w:t>
      </w:r>
    </w:p>
    <w:p w14:paraId="357F93D7" w14:textId="77777777" w:rsidR="00274060" w:rsidRPr="00274060" w:rsidRDefault="00274060" w:rsidP="00274060">
      <w:pPr>
        <w:spacing w:line="360" w:lineRule="auto"/>
        <w:jc w:val="both"/>
        <w:rPr>
          <w:lang w:val="es-ES" w:eastAsia="es-ES"/>
        </w:rPr>
      </w:pPr>
      <w:r w:rsidRPr="00274060">
        <w:rPr>
          <w:lang w:val="es-ES" w:eastAsia="es-ES"/>
        </w:rPr>
        <w:t>En la tabla 1 se aprecia que el 67,04 % de los pacientes presentaron ECV de tipo hemorrágico, según el diagnóstico anatomopatológico.</w:t>
      </w:r>
    </w:p>
    <w:p w14:paraId="7A576C81" w14:textId="77777777" w:rsidR="00274060" w:rsidRPr="00274060" w:rsidRDefault="00274060" w:rsidP="00274060">
      <w:pPr>
        <w:autoSpaceDE w:val="0"/>
        <w:autoSpaceDN w:val="0"/>
        <w:adjustRightInd w:val="0"/>
        <w:spacing w:line="360" w:lineRule="auto"/>
        <w:jc w:val="center"/>
        <w:rPr>
          <w:b/>
          <w:sz w:val="18"/>
          <w:szCs w:val="18"/>
          <w:lang w:val="es-ES" w:eastAsia="es-ES"/>
        </w:rPr>
      </w:pPr>
    </w:p>
    <w:p w14:paraId="06EA90B2" w14:textId="77777777" w:rsidR="00274060" w:rsidRPr="00274060" w:rsidRDefault="00274060" w:rsidP="00274060">
      <w:pPr>
        <w:autoSpaceDE w:val="0"/>
        <w:autoSpaceDN w:val="0"/>
        <w:adjustRightInd w:val="0"/>
        <w:spacing w:line="360" w:lineRule="auto"/>
        <w:jc w:val="center"/>
        <w:rPr>
          <w:bCs/>
          <w:sz w:val="22"/>
          <w:szCs w:val="22"/>
          <w:lang w:val="es-ES" w:eastAsia="es-ES"/>
        </w:rPr>
      </w:pPr>
      <w:r w:rsidRPr="00274060">
        <w:rPr>
          <w:b/>
          <w:sz w:val="22"/>
          <w:szCs w:val="22"/>
          <w:lang w:val="es-ES" w:eastAsia="es-ES"/>
        </w:rPr>
        <w:t>Tabla 1 -</w:t>
      </w:r>
      <w:r w:rsidRPr="00274060">
        <w:rPr>
          <w:sz w:val="22"/>
          <w:szCs w:val="22"/>
          <w:lang w:val="es-ES" w:eastAsia="es-ES"/>
        </w:rPr>
        <w:t xml:space="preserve"> </w:t>
      </w:r>
      <w:r w:rsidRPr="00274060">
        <w:rPr>
          <w:bCs/>
          <w:sz w:val="22"/>
          <w:szCs w:val="22"/>
          <w:lang w:val="es-ES" w:eastAsia="es-ES"/>
        </w:rPr>
        <w:t>Características demográficas y clínicas según tipo de ECV</w:t>
      </w:r>
    </w:p>
    <w:p w14:paraId="4EE49553" w14:textId="6C27250A" w:rsidR="00FA1168" w:rsidRDefault="00FA1168" w:rsidP="00274060">
      <w:pPr>
        <w:jc w:val="center"/>
        <w:rPr>
          <w:sz w:val="16"/>
          <w:szCs w:val="16"/>
          <w:lang w:val="es-ES" w:eastAsia="es-ES"/>
        </w:rPr>
      </w:pPr>
      <w:r w:rsidRPr="00DC0737">
        <w:rPr>
          <w:noProof/>
          <w:lang w:val="es-ES"/>
        </w:rPr>
        <w:drawing>
          <wp:inline distT="0" distB="0" distL="0" distR="0" wp14:anchorId="14402753" wp14:editId="2FB91A28">
            <wp:extent cx="3880889" cy="4356100"/>
            <wp:effectExtent l="0" t="0" r="5715" b="6350"/>
            <wp:docPr id="18199826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6570" cy="4362476"/>
                    </a:xfrm>
                    <a:prstGeom prst="rect">
                      <a:avLst/>
                    </a:prstGeom>
                    <a:noFill/>
                    <a:ln>
                      <a:noFill/>
                    </a:ln>
                  </pic:spPr>
                </pic:pic>
              </a:graphicData>
            </a:graphic>
          </wp:inline>
        </w:drawing>
      </w:r>
    </w:p>
    <w:p w14:paraId="36D34F84" w14:textId="4849B654" w:rsidR="00274060" w:rsidRPr="00274060" w:rsidRDefault="00274060" w:rsidP="00274060">
      <w:pPr>
        <w:jc w:val="center"/>
        <w:rPr>
          <w:sz w:val="16"/>
          <w:szCs w:val="16"/>
          <w:lang w:val="es-ES" w:eastAsia="es-ES"/>
        </w:rPr>
      </w:pPr>
      <w:r w:rsidRPr="00274060">
        <w:rPr>
          <w:sz w:val="16"/>
          <w:szCs w:val="16"/>
          <w:lang w:val="es-ES" w:eastAsia="es-ES"/>
        </w:rPr>
        <w:t>* % en base a la fila. ** % en base a la columna.</w:t>
      </w:r>
    </w:p>
    <w:p w14:paraId="639E431B" w14:textId="77777777" w:rsidR="00274060" w:rsidRPr="00274060" w:rsidRDefault="00274060" w:rsidP="00274060">
      <w:pPr>
        <w:spacing w:line="360" w:lineRule="auto"/>
        <w:jc w:val="both"/>
        <w:rPr>
          <w:lang w:val="es-ES" w:eastAsia="es-ES"/>
        </w:rPr>
      </w:pPr>
    </w:p>
    <w:p w14:paraId="4BE9F205" w14:textId="77777777" w:rsidR="00274060" w:rsidRPr="00274060" w:rsidRDefault="00274060" w:rsidP="00274060">
      <w:pPr>
        <w:spacing w:line="360" w:lineRule="auto"/>
        <w:jc w:val="both"/>
        <w:rPr>
          <w:lang w:val="es-ES" w:eastAsia="es-ES"/>
        </w:rPr>
      </w:pPr>
      <w:r w:rsidRPr="00274060">
        <w:rPr>
          <w:lang w:val="es-ES" w:eastAsia="es-ES"/>
        </w:rPr>
        <w:t>La comparación entre las medias de edad fue muy significativa. La mediana de la edad fue de 64,5 años; en la ECV hemorrágica de 62, mientras en la isquémica de 71,5. El grupo de edad predominante fue de 60 a 100 años. Al comparar grupos de edades y tipo de ECV hubo relación estadística (</w:t>
      </w:r>
      <w:r w:rsidRPr="00274060">
        <w:rPr>
          <w:lang w:val="es-ES" w:eastAsia="es-ES"/>
        </w:rPr>
        <w:sym w:font="Symbol" w:char="F063"/>
      </w:r>
      <w:r w:rsidRPr="00274060">
        <w:rPr>
          <w:vertAlign w:val="superscript"/>
          <w:lang w:val="es-ES" w:eastAsia="es-ES"/>
        </w:rPr>
        <w:t>2</w:t>
      </w:r>
      <w:r w:rsidRPr="00274060">
        <w:rPr>
          <w:lang w:val="es-ES" w:eastAsia="es-ES"/>
        </w:rPr>
        <w:t>= 9,52;</w:t>
      </w:r>
      <w:r w:rsidRPr="00274060">
        <w:rPr>
          <w:b/>
          <w:lang w:val="es-ES" w:eastAsia="es-ES"/>
        </w:rPr>
        <w:t xml:space="preserve"> </w:t>
      </w:r>
      <w:r w:rsidRPr="00274060">
        <w:rPr>
          <w:lang w:val="es-ES" w:eastAsia="es-ES"/>
        </w:rPr>
        <w:t>p= 0,002). De los 62 pacientes de hasta 59 años, un 80,6 % presentó ECV de tipo hemorrágica y fue menor el porcentaje en los de 60 y más años. En ambos grupos se observa que a medida que aumenta la edad es mayor el número de pacientes con ECV.</w:t>
      </w:r>
    </w:p>
    <w:p w14:paraId="68F693EA" w14:textId="77777777" w:rsidR="00274060" w:rsidRPr="00274060" w:rsidRDefault="00274060" w:rsidP="00274060">
      <w:pPr>
        <w:autoSpaceDE w:val="0"/>
        <w:autoSpaceDN w:val="0"/>
        <w:adjustRightInd w:val="0"/>
        <w:spacing w:line="360" w:lineRule="auto"/>
        <w:jc w:val="both"/>
        <w:rPr>
          <w:bCs/>
          <w:lang w:val="es-ES" w:eastAsia="es-ES"/>
        </w:rPr>
      </w:pPr>
      <w:r w:rsidRPr="00274060">
        <w:rPr>
          <w:lang w:val="es-ES" w:eastAsia="es-ES"/>
        </w:rPr>
        <w:t xml:space="preserve">La proporción sexo masculino/femenino fue de 1,12:1,0. </w:t>
      </w:r>
      <w:r w:rsidRPr="00274060">
        <w:rPr>
          <w:bCs/>
          <w:lang w:val="es-ES" w:eastAsia="es-ES"/>
        </w:rPr>
        <w:t>Hubo predominio del sexo masculino; en ambos sexos fue mayor el número de ECV de tipo hemorrágica, pero sin relación estadística significativa (</w:t>
      </w:r>
      <w:r w:rsidRPr="00274060">
        <w:rPr>
          <w:lang w:val="es-ES" w:eastAsia="es-ES"/>
        </w:rPr>
        <w:sym w:font="Symbol" w:char="F063"/>
      </w:r>
      <w:r w:rsidRPr="00274060">
        <w:rPr>
          <w:vertAlign w:val="superscript"/>
          <w:lang w:val="es-ES" w:eastAsia="es-ES"/>
        </w:rPr>
        <w:t>2</w:t>
      </w:r>
      <w:r w:rsidRPr="00274060">
        <w:rPr>
          <w:lang w:val="es-ES" w:eastAsia="es-ES"/>
        </w:rPr>
        <w:t>= 1,34; OR= 1,57; IC 95%: 0,80-3,07;</w:t>
      </w:r>
      <w:r w:rsidRPr="00274060">
        <w:rPr>
          <w:b/>
          <w:lang w:val="es-ES" w:eastAsia="es-ES"/>
        </w:rPr>
        <w:t xml:space="preserve"> </w:t>
      </w:r>
      <w:r w:rsidRPr="00274060">
        <w:rPr>
          <w:lang w:val="es-ES" w:eastAsia="es-ES"/>
        </w:rPr>
        <w:t>p= 0,24</w:t>
      </w:r>
      <w:r w:rsidRPr="00274060">
        <w:rPr>
          <w:bCs/>
          <w:lang w:val="es-ES" w:eastAsia="es-ES"/>
        </w:rPr>
        <w:t>).</w:t>
      </w:r>
    </w:p>
    <w:p w14:paraId="569559A3" w14:textId="07FA8FD0" w:rsidR="00274060" w:rsidRPr="00274060" w:rsidRDefault="00274060" w:rsidP="00274060">
      <w:pPr>
        <w:spacing w:line="360" w:lineRule="auto"/>
        <w:jc w:val="both"/>
        <w:rPr>
          <w:lang w:val="es-ES" w:eastAsia="es-ES"/>
        </w:rPr>
      </w:pPr>
      <w:r w:rsidRPr="00274060">
        <w:rPr>
          <w:lang w:val="es-ES" w:eastAsia="es-ES"/>
        </w:rPr>
        <w:t>El valor de la mediana en la escala de coma de Glasgow al ingreso fue de 6 puntos; en la hemorrágica 6; mientras en la isquémica de 7. No se presentó significación estadística al comparar las medias. Hubo más pacientes en el grupo de 8 puntos o menos y en ambos grupos se observaron más enfermos con ECV hemorrágica; sin relación estadística entre las variables (</w:t>
      </w:r>
      <w:r w:rsidRPr="00274060">
        <w:rPr>
          <w:lang w:val="es-ES" w:eastAsia="es-ES"/>
        </w:rPr>
        <w:sym w:font="Symbol" w:char="F063"/>
      </w:r>
      <w:r w:rsidRPr="00274060">
        <w:rPr>
          <w:vertAlign w:val="superscript"/>
          <w:lang w:val="es-ES" w:eastAsia="es-ES"/>
        </w:rPr>
        <w:t>2</w:t>
      </w:r>
      <w:r w:rsidRPr="00274060">
        <w:rPr>
          <w:lang w:val="es-ES" w:eastAsia="es-ES"/>
        </w:rPr>
        <w:t>= 0,59; OR= 1,45; IC 95%: 0,67-3,13;</w:t>
      </w:r>
      <w:r w:rsidRPr="00274060">
        <w:rPr>
          <w:b/>
          <w:lang w:val="es-ES" w:eastAsia="es-ES"/>
        </w:rPr>
        <w:t xml:space="preserve"> </w:t>
      </w:r>
      <w:r w:rsidRPr="00274060">
        <w:rPr>
          <w:lang w:val="es-ES" w:eastAsia="es-ES"/>
        </w:rPr>
        <w:t>p=</w:t>
      </w:r>
      <w:r w:rsidR="002D060D">
        <w:rPr>
          <w:lang w:val="es-ES" w:eastAsia="es-ES"/>
        </w:rPr>
        <w:t> </w:t>
      </w:r>
      <w:r w:rsidRPr="00274060">
        <w:rPr>
          <w:lang w:val="es-ES" w:eastAsia="es-ES"/>
        </w:rPr>
        <w:t>0,44).</w:t>
      </w:r>
      <w:r w:rsidRPr="00274060">
        <w:rPr>
          <w:highlight w:val="yellow"/>
          <w:lang w:val="es-ES" w:eastAsia="es-ES"/>
        </w:rPr>
        <w:t xml:space="preserve"> </w:t>
      </w:r>
    </w:p>
    <w:p w14:paraId="3A9CB60E" w14:textId="77777777" w:rsidR="00274060" w:rsidRPr="00274060" w:rsidRDefault="00274060" w:rsidP="00274060">
      <w:pPr>
        <w:spacing w:line="360" w:lineRule="auto"/>
        <w:jc w:val="both"/>
        <w:rPr>
          <w:lang w:val="es-ES" w:eastAsia="es-ES"/>
        </w:rPr>
      </w:pPr>
      <w:r w:rsidRPr="00274060">
        <w:rPr>
          <w:lang w:val="es-ES" w:eastAsia="es-ES"/>
        </w:rPr>
        <w:t>El valor de la mediana en la escala APACHE II, así como en la ECV hemorrágica e isquémica, fue de 22 puntos. No se determinó significación estadística en la comparación de medias. Hubo un número más elevado de pacientes con más de 15 puntos de valor del APACHE II, en el que se detectó más pacientes con ECV hemorrágica, al igual en quienes presentaron 15 puntos o menos, sin relación estadística entre las variables (</w:t>
      </w:r>
      <w:r w:rsidRPr="00274060">
        <w:rPr>
          <w:lang w:val="es-ES" w:eastAsia="es-ES"/>
        </w:rPr>
        <w:sym w:font="Symbol" w:char="F063"/>
      </w:r>
      <w:r w:rsidRPr="00274060">
        <w:rPr>
          <w:vertAlign w:val="superscript"/>
          <w:lang w:val="es-ES" w:eastAsia="es-ES"/>
        </w:rPr>
        <w:t>2</w:t>
      </w:r>
      <w:r w:rsidRPr="00274060">
        <w:rPr>
          <w:lang w:val="es-ES" w:eastAsia="es-ES"/>
        </w:rPr>
        <w:t xml:space="preserve">= 0,76; OR= 0,55; IC 95%: 1,19-1,58; p= 0, 38). </w:t>
      </w:r>
    </w:p>
    <w:p w14:paraId="290109E2" w14:textId="77777777" w:rsidR="00274060" w:rsidRPr="00274060" w:rsidRDefault="00274060" w:rsidP="00274060">
      <w:pPr>
        <w:spacing w:line="360" w:lineRule="auto"/>
        <w:jc w:val="both"/>
        <w:rPr>
          <w:lang w:val="es-ES" w:eastAsia="es-ES"/>
        </w:rPr>
      </w:pPr>
      <w:r w:rsidRPr="00274060">
        <w:rPr>
          <w:lang w:val="es-ES" w:eastAsia="es-ES"/>
        </w:rPr>
        <w:t>Los pacientes con VM fueron mayoría, con un número más elevado en los de tipo hemorrágico (</w:t>
      </w:r>
      <w:r w:rsidRPr="00274060">
        <w:rPr>
          <w:lang w:val="es-ES" w:eastAsia="es-ES"/>
        </w:rPr>
        <w:sym w:font="Symbol" w:char="F063"/>
      </w:r>
      <w:r w:rsidRPr="00274060">
        <w:rPr>
          <w:vertAlign w:val="superscript"/>
          <w:lang w:val="es-ES" w:eastAsia="es-ES"/>
        </w:rPr>
        <w:t>2</w:t>
      </w:r>
      <w:r w:rsidRPr="00274060">
        <w:rPr>
          <w:lang w:val="es-ES" w:eastAsia="es-ES"/>
        </w:rPr>
        <w:t>= 1,98; OR= 7,21; IC 95%: 0,73-71,16; p= 0,15).</w:t>
      </w:r>
    </w:p>
    <w:p w14:paraId="27E4F1EE" w14:textId="77777777" w:rsidR="00274060" w:rsidRPr="00274060" w:rsidRDefault="00274060" w:rsidP="00274060">
      <w:pPr>
        <w:spacing w:line="360" w:lineRule="auto"/>
        <w:jc w:val="both"/>
        <w:rPr>
          <w:lang w:val="es-ES" w:eastAsia="es-ES"/>
        </w:rPr>
      </w:pPr>
      <w:r w:rsidRPr="00274060">
        <w:rPr>
          <w:lang w:val="es-ES" w:eastAsia="es-ES"/>
        </w:rPr>
        <w:t>La mediana de la estadía en la serie fue de 4 días; en la hemorrágica de 4 y en la isquémica de 5. No hubo asociación estadística en la comparación de las medias. Los pacientes con estadía de 7 o menos días representaron mayoría, aunque en los 2 grupos hubo predominio de la ECV hemorrágica, pero más marcado en los que presentaron estadía de 7 o menos días; la asociación de las variables no fue significativa (</w:t>
      </w:r>
      <w:r w:rsidRPr="00274060">
        <w:rPr>
          <w:lang w:val="es-ES" w:eastAsia="es-ES"/>
        </w:rPr>
        <w:sym w:font="Symbol" w:char="F063"/>
      </w:r>
      <w:r w:rsidRPr="00274060">
        <w:rPr>
          <w:vertAlign w:val="superscript"/>
          <w:lang w:val="es-ES" w:eastAsia="es-ES"/>
        </w:rPr>
        <w:t>2</w:t>
      </w:r>
      <w:r w:rsidRPr="00274060">
        <w:rPr>
          <w:lang w:val="es-ES" w:eastAsia="es-ES"/>
        </w:rPr>
        <w:t xml:space="preserve">= 1,43; OR= 1,64; IC 95%: 0,81-3,32; p= 0,23). </w:t>
      </w:r>
    </w:p>
    <w:p w14:paraId="1521EE3D" w14:textId="77777777" w:rsidR="00274060" w:rsidRPr="00274060" w:rsidRDefault="00274060" w:rsidP="00274060">
      <w:pPr>
        <w:spacing w:line="360" w:lineRule="auto"/>
        <w:jc w:val="both"/>
        <w:rPr>
          <w:lang w:val="es-ES" w:eastAsia="es-ES"/>
        </w:rPr>
      </w:pPr>
      <w:r w:rsidRPr="00274060">
        <w:rPr>
          <w:lang w:val="es-ES" w:eastAsia="es-ES"/>
        </w:rPr>
        <w:lastRenderedPageBreak/>
        <w:t>En la tabla 2 se muestran las causas directas de muerte, según el informe anatomopatológico. La principal causa directa de muerte fue el edema cerebral intenso; más importante en la ECV hemorrágica. Después se ubicaron el tromboembolismo pulmonar y la bronconeumonía bacteriana; pero esta última con mayor porcentaje en la isquémica.</w:t>
      </w:r>
    </w:p>
    <w:p w14:paraId="51BD452B" w14:textId="77777777" w:rsidR="00274060" w:rsidRPr="00274060" w:rsidRDefault="00274060" w:rsidP="00274060">
      <w:pPr>
        <w:autoSpaceDE w:val="0"/>
        <w:autoSpaceDN w:val="0"/>
        <w:adjustRightInd w:val="0"/>
        <w:spacing w:line="360" w:lineRule="auto"/>
        <w:jc w:val="both"/>
        <w:rPr>
          <w:lang w:val="es-ES" w:eastAsia="es-ES"/>
        </w:rPr>
      </w:pPr>
    </w:p>
    <w:p w14:paraId="65136680" w14:textId="77777777" w:rsidR="00274060" w:rsidRPr="00274060" w:rsidRDefault="00274060" w:rsidP="00274060">
      <w:pPr>
        <w:autoSpaceDE w:val="0"/>
        <w:autoSpaceDN w:val="0"/>
        <w:adjustRightInd w:val="0"/>
        <w:spacing w:line="360" w:lineRule="auto"/>
        <w:jc w:val="center"/>
        <w:rPr>
          <w:sz w:val="22"/>
          <w:szCs w:val="22"/>
          <w:lang w:val="es-ES" w:eastAsia="es-ES"/>
        </w:rPr>
      </w:pPr>
      <w:r w:rsidRPr="00274060">
        <w:rPr>
          <w:b/>
          <w:bCs/>
          <w:sz w:val="22"/>
          <w:szCs w:val="22"/>
          <w:lang w:val="es-ES" w:eastAsia="es-ES"/>
        </w:rPr>
        <w:t xml:space="preserve">Tabla 2 - </w:t>
      </w:r>
      <w:r w:rsidRPr="00274060">
        <w:rPr>
          <w:bCs/>
          <w:sz w:val="22"/>
          <w:szCs w:val="22"/>
          <w:lang w:val="es-ES" w:eastAsia="es-ES"/>
        </w:rPr>
        <w:t>Distribución según causa directa de muerte y tipo de ECV</w:t>
      </w:r>
    </w:p>
    <w:tbl>
      <w:tblPr>
        <w:tblW w:w="6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47"/>
        <w:gridCol w:w="1415"/>
        <w:gridCol w:w="1339"/>
        <w:gridCol w:w="1150"/>
      </w:tblGrid>
      <w:tr w:rsidR="00274060" w:rsidRPr="00274060" w14:paraId="7E1DEA79" w14:textId="77777777" w:rsidTr="00757F55">
        <w:trPr>
          <w:trHeight w:val="300"/>
          <w:jc w:val="center"/>
        </w:trPr>
        <w:tc>
          <w:tcPr>
            <w:tcW w:w="2447" w:type="dxa"/>
            <w:shd w:val="clear" w:color="auto" w:fill="auto"/>
            <w:noWrap/>
            <w:vAlign w:val="center"/>
            <w:hideMark/>
          </w:tcPr>
          <w:p w14:paraId="34501B36" w14:textId="77777777" w:rsidR="00274060" w:rsidRPr="00274060" w:rsidRDefault="00274060" w:rsidP="00274060">
            <w:pPr>
              <w:rPr>
                <w:b/>
                <w:sz w:val="18"/>
                <w:szCs w:val="18"/>
                <w:lang w:val="es-ES"/>
              </w:rPr>
            </w:pPr>
            <w:r w:rsidRPr="00274060">
              <w:rPr>
                <w:b/>
                <w:sz w:val="18"/>
                <w:szCs w:val="18"/>
                <w:lang w:val="es-ES"/>
              </w:rPr>
              <w:t>Causa directa de muerte</w:t>
            </w:r>
          </w:p>
        </w:tc>
        <w:tc>
          <w:tcPr>
            <w:tcW w:w="1415" w:type="dxa"/>
            <w:shd w:val="clear" w:color="auto" w:fill="auto"/>
            <w:noWrap/>
            <w:vAlign w:val="center"/>
            <w:hideMark/>
          </w:tcPr>
          <w:p w14:paraId="0030B0E0" w14:textId="77777777" w:rsidR="00274060" w:rsidRPr="00274060" w:rsidRDefault="00274060" w:rsidP="00274060">
            <w:pPr>
              <w:jc w:val="center"/>
              <w:rPr>
                <w:b/>
                <w:sz w:val="18"/>
                <w:szCs w:val="18"/>
                <w:lang w:val="es-ES"/>
              </w:rPr>
            </w:pPr>
            <w:r w:rsidRPr="00274060">
              <w:rPr>
                <w:b/>
                <w:sz w:val="18"/>
                <w:szCs w:val="18"/>
                <w:lang w:val="es-ES"/>
              </w:rPr>
              <w:t>Hemorrágica</w:t>
            </w:r>
          </w:p>
          <w:p w14:paraId="66FE3513" w14:textId="77777777" w:rsidR="00274060" w:rsidRPr="00274060" w:rsidRDefault="00274060" w:rsidP="00274060">
            <w:pPr>
              <w:jc w:val="center"/>
              <w:rPr>
                <w:b/>
                <w:sz w:val="18"/>
                <w:szCs w:val="18"/>
                <w:lang w:val="es-ES"/>
              </w:rPr>
            </w:pPr>
            <w:r w:rsidRPr="00274060">
              <w:rPr>
                <w:b/>
                <w:sz w:val="18"/>
                <w:szCs w:val="18"/>
                <w:lang w:val="es-ES"/>
              </w:rPr>
              <w:t>n (%*)</w:t>
            </w:r>
          </w:p>
        </w:tc>
        <w:tc>
          <w:tcPr>
            <w:tcW w:w="1339" w:type="dxa"/>
            <w:shd w:val="clear" w:color="auto" w:fill="auto"/>
            <w:noWrap/>
            <w:vAlign w:val="center"/>
            <w:hideMark/>
          </w:tcPr>
          <w:p w14:paraId="4147007B" w14:textId="77777777" w:rsidR="00274060" w:rsidRPr="00274060" w:rsidRDefault="00274060" w:rsidP="00274060">
            <w:pPr>
              <w:jc w:val="center"/>
              <w:rPr>
                <w:b/>
                <w:sz w:val="18"/>
                <w:szCs w:val="18"/>
                <w:lang w:val="es-ES"/>
              </w:rPr>
            </w:pPr>
            <w:r w:rsidRPr="00274060">
              <w:rPr>
                <w:b/>
                <w:sz w:val="18"/>
                <w:szCs w:val="18"/>
                <w:lang w:val="es-ES"/>
              </w:rPr>
              <w:t>Isquémica</w:t>
            </w:r>
          </w:p>
          <w:p w14:paraId="5BEA4A18" w14:textId="77777777" w:rsidR="00274060" w:rsidRPr="00274060" w:rsidRDefault="00274060" w:rsidP="00274060">
            <w:pPr>
              <w:jc w:val="center"/>
              <w:rPr>
                <w:b/>
                <w:sz w:val="18"/>
                <w:szCs w:val="18"/>
                <w:lang w:val="es-ES"/>
              </w:rPr>
            </w:pPr>
            <w:r w:rsidRPr="00274060">
              <w:rPr>
                <w:b/>
                <w:sz w:val="18"/>
                <w:szCs w:val="18"/>
                <w:lang w:val="es-ES"/>
              </w:rPr>
              <w:t>n (%*)</w:t>
            </w:r>
          </w:p>
        </w:tc>
        <w:tc>
          <w:tcPr>
            <w:tcW w:w="1150" w:type="dxa"/>
            <w:shd w:val="clear" w:color="auto" w:fill="auto"/>
            <w:noWrap/>
            <w:vAlign w:val="center"/>
            <w:hideMark/>
          </w:tcPr>
          <w:p w14:paraId="46296BA3" w14:textId="77777777" w:rsidR="00274060" w:rsidRPr="00274060" w:rsidRDefault="00274060" w:rsidP="00274060">
            <w:pPr>
              <w:jc w:val="center"/>
              <w:rPr>
                <w:b/>
                <w:sz w:val="18"/>
                <w:szCs w:val="18"/>
                <w:lang w:val="es-ES"/>
              </w:rPr>
            </w:pPr>
            <w:r w:rsidRPr="00274060">
              <w:rPr>
                <w:b/>
                <w:sz w:val="18"/>
                <w:szCs w:val="18"/>
                <w:lang w:val="es-ES"/>
              </w:rPr>
              <w:t>Total</w:t>
            </w:r>
          </w:p>
          <w:p w14:paraId="3E131BCA" w14:textId="77777777" w:rsidR="00274060" w:rsidRPr="00274060" w:rsidRDefault="00274060" w:rsidP="00274060">
            <w:pPr>
              <w:jc w:val="center"/>
              <w:rPr>
                <w:b/>
                <w:sz w:val="18"/>
                <w:szCs w:val="18"/>
                <w:lang w:val="es-ES"/>
              </w:rPr>
            </w:pPr>
            <w:r w:rsidRPr="00274060">
              <w:rPr>
                <w:b/>
                <w:sz w:val="18"/>
                <w:szCs w:val="18"/>
                <w:lang w:val="es-ES"/>
              </w:rPr>
              <w:t>n (%**)</w:t>
            </w:r>
          </w:p>
        </w:tc>
      </w:tr>
      <w:tr w:rsidR="00274060" w:rsidRPr="00274060" w14:paraId="59C84A73" w14:textId="77777777" w:rsidTr="00757F55">
        <w:trPr>
          <w:trHeight w:val="300"/>
          <w:jc w:val="center"/>
        </w:trPr>
        <w:tc>
          <w:tcPr>
            <w:tcW w:w="2447" w:type="dxa"/>
            <w:shd w:val="clear" w:color="auto" w:fill="auto"/>
            <w:noWrap/>
            <w:vAlign w:val="center"/>
            <w:hideMark/>
          </w:tcPr>
          <w:p w14:paraId="5CB918D8" w14:textId="77777777" w:rsidR="00274060" w:rsidRPr="00274060" w:rsidRDefault="00274060" w:rsidP="00274060">
            <w:pPr>
              <w:jc w:val="both"/>
              <w:rPr>
                <w:sz w:val="18"/>
                <w:szCs w:val="18"/>
                <w:lang w:val="es-ES"/>
              </w:rPr>
            </w:pPr>
            <w:r w:rsidRPr="00274060">
              <w:rPr>
                <w:sz w:val="18"/>
                <w:szCs w:val="18"/>
                <w:lang w:val="es-ES"/>
              </w:rPr>
              <w:t>Edema cerebral intenso</w:t>
            </w:r>
          </w:p>
        </w:tc>
        <w:tc>
          <w:tcPr>
            <w:tcW w:w="1415" w:type="dxa"/>
            <w:shd w:val="clear" w:color="auto" w:fill="auto"/>
            <w:noWrap/>
            <w:vAlign w:val="center"/>
            <w:hideMark/>
          </w:tcPr>
          <w:p w14:paraId="43FAFE18"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97 (70,0)</w:t>
            </w:r>
          </w:p>
        </w:tc>
        <w:tc>
          <w:tcPr>
            <w:tcW w:w="1339" w:type="dxa"/>
            <w:shd w:val="clear" w:color="auto" w:fill="auto"/>
            <w:noWrap/>
            <w:vAlign w:val="center"/>
            <w:hideMark/>
          </w:tcPr>
          <w:p w14:paraId="0EF2C094"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43 (30,0)</w:t>
            </w:r>
          </w:p>
        </w:tc>
        <w:tc>
          <w:tcPr>
            <w:tcW w:w="1150" w:type="dxa"/>
            <w:shd w:val="clear" w:color="auto" w:fill="auto"/>
            <w:noWrap/>
            <w:vAlign w:val="center"/>
            <w:hideMark/>
          </w:tcPr>
          <w:p w14:paraId="11D2A9C9"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140 (79,5)</w:t>
            </w:r>
          </w:p>
        </w:tc>
      </w:tr>
      <w:tr w:rsidR="00274060" w:rsidRPr="00274060" w14:paraId="65678CD6" w14:textId="77777777" w:rsidTr="00757F55">
        <w:trPr>
          <w:trHeight w:val="300"/>
          <w:jc w:val="center"/>
        </w:trPr>
        <w:tc>
          <w:tcPr>
            <w:tcW w:w="2447" w:type="dxa"/>
            <w:shd w:val="clear" w:color="auto" w:fill="auto"/>
            <w:noWrap/>
            <w:vAlign w:val="center"/>
            <w:hideMark/>
          </w:tcPr>
          <w:p w14:paraId="73DD1416" w14:textId="77777777" w:rsidR="00274060" w:rsidRPr="00274060" w:rsidRDefault="00274060" w:rsidP="00274060">
            <w:pPr>
              <w:jc w:val="both"/>
              <w:rPr>
                <w:sz w:val="18"/>
                <w:szCs w:val="18"/>
                <w:highlight w:val="yellow"/>
                <w:lang w:val="es-ES"/>
              </w:rPr>
            </w:pPr>
            <w:r w:rsidRPr="00274060">
              <w:rPr>
                <w:sz w:val="18"/>
                <w:szCs w:val="18"/>
                <w:lang w:val="es-ES" w:eastAsia="es-ES"/>
              </w:rPr>
              <w:t>Tromboembolismo pulmonar</w:t>
            </w:r>
          </w:p>
        </w:tc>
        <w:tc>
          <w:tcPr>
            <w:tcW w:w="1415" w:type="dxa"/>
            <w:shd w:val="clear" w:color="auto" w:fill="auto"/>
            <w:noWrap/>
            <w:vAlign w:val="center"/>
            <w:hideMark/>
          </w:tcPr>
          <w:p w14:paraId="035888EE"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18 (64,3)</w:t>
            </w:r>
          </w:p>
        </w:tc>
        <w:tc>
          <w:tcPr>
            <w:tcW w:w="1339" w:type="dxa"/>
            <w:shd w:val="clear" w:color="auto" w:fill="auto"/>
            <w:noWrap/>
            <w:vAlign w:val="center"/>
            <w:hideMark/>
          </w:tcPr>
          <w:p w14:paraId="7689CC87"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10 (35,7)</w:t>
            </w:r>
          </w:p>
        </w:tc>
        <w:tc>
          <w:tcPr>
            <w:tcW w:w="1150" w:type="dxa"/>
            <w:shd w:val="clear" w:color="auto" w:fill="auto"/>
            <w:noWrap/>
            <w:vAlign w:val="center"/>
            <w:hideMark/>
          </w:tcPr>
          <w:p w14:paraId="1F784E7B"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28 (15,9)</w:t>
            </w:r>
          </w:p>
        </w:tc>
      </w:tr>
      <w:tr w:rsidR="00274060" w:rsidRPr="00274060" w14:paraId="5D827123" w14:textId="77777777" w:rsidTr="00757F55">
        <w:trPr>
          <w:trHeight w:val="300"/>
          <w:jc w:val="center"/>
        </w:trPr>
        <w:tc>
          <w:tcPr>
            <w:tcW w:w="2447" w:type="dxa"/>
            <w:shd w:val="clear" w:color="auto" w:fill="auto"/>
            <w:noWrap/>
            <w:vAlign w:val="center"/>
            <w:hideMark/>
          </w:tcPr>
          <w:p w14:paraId="5092EADF" w14:textId="77777777" w:rsidR="00274060" w:rsidRPr="00274060" w:rsidRDefault="00274060" w:rsidP="00274060">
            <w:pPr>
              <w:jc w:val="both"/>
              <w:rPr>
                <w:sz w:val="18"/>
                <w:szCs w:val="18"/>
                <w:lang w:val="es-ES"/>
              </w:rPr>
            </w:pPr>
            <w:r w:rsidRPr="00274060">
              <w:rPr>
                <w:sz w:val="18"/>
                <w:szCs w:val="18"/>
                <w:lang w:val="es-ES" w:eastAsia="es-ES"/>
              </w:rPr>
              <w:t>Bronconeumonía bacteriana</w:t>
            </w:r>
          </w:p>
        </w:tc>
        <w:tc>
          <w:tcPr>
            <w:tcW w:w="1415" w:type="dxa"/>
            <w:shd w:val="clear" w:color="auto" w:fill="auto"/>
            <w:noWrap/>
            <w:vAlign w:val="center"/>
            <w:hideMark/>
          </w:tcPr>
          <w:p w14:paraId="2F4953E4"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2 (33,4)</w:t>
            </w:r>
          </w:p>
        </w:tc>
        <w:tc>
          <w:tcPr>
            <w:tcW w:w="1339" w:type="dxa"/>
            <w:shd w:val="clear" w:color="auto" w:fill="auto"/>
            <w:noWrap/>
            <w:vAlign w:val="center"/>
            <w:hideMark/>
          </w:tcPr>
          <w:p w14:paraId="2B24145E"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4 (66,6)</w:t>
            </w:r>
          </w:p>
        </w:tc>
        <w:tc>
          <w:tcPr>
            <w:tcW w:w="1150" w:type="dxa"/>
            <w:shd w:val="clear" w:color="auto" w:fill="auto"/>
            <w:noWrap/>
            <w:vAlign w:val="center"/>
            <w:hideMark/>
          </w:tcPr>
          <w:p w14:paraId="222E1904"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6 (3,4)</w:t>
            </w:r>
          </w:p>
        </w:tc>
      </w:tr>
      <w:tr w:rsidR="00274060" w:rsidRPr="00274060" w14:paraId="15D6745A" w14:textId="77777777" w:rsidTr="00757F55">
        <w:trPr>
          <w:trHeight w:val="300"/>
          <w:jc w:val="center"/>
        </w:trPr>
        <w:tc>
          <w:tcPr>
            <w:tcW w:w="2447" w:type="dxa"/>
            <w:shd w:val="clear" w:color="auto" w:fill="auto"/>
            <w:noWrap/>
            <w:vAlign w:val="center"/>
            <w:hideMark/>
          </w:tcPr>
          <w:p w14:paraId="703B3EE1" w14:textId="77777777" w:rsidR="00274060" w:rsidRPr="00274060" w:rsidRDefault="00274060" w:rsidP="00274060">
            <w:pPr>
              <w:jc w:val="both"/>
              <w:rPr>
                <w:sz w:val="18"/>
                <w:szCs w:val="18"/>
                <w:lang w:val="es-ES"/>
              </w:rPr>
            </w:pPr>
            <w:r w:rsidRPr="00274060">
              <w:rPr>
                <w:sz w:val="18"/>
                <w:szCs w:val="18"/>
                <w:lang w:val="es-ES"/>
              </w:rPr>
              <w:t>Choque mixto</w:t>
            </w:r>
          </w:p>
        </w:tc>
        <w:tc>
          <w:tcPr>
            <w:tcW w:w="1415" w:type="dxa"/>
            <w:shd w:val="clear" w:color="auto" w:fill="auto"/>
            <w:noWrap/>
            <w:vAlign w:val="center"/>
            <w:hideMark/>
          </w:tcPr>
          <w:p w14:paraId="2BE81E8C"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1 (100)</w:t>
            </w:r>
          </w:p>
        </w:tc>
        <w:tc>
          <w:tcPr>
            <w:tcW w:w="1339" w:type="dxa"/>
            <w:shd w:val="clear" w:color="auto" w:fill="auto"/>
            <w:noWrap/>
            <w:vAlign w:val="center"/>
            <w:hideMark/>
          </w:tcPr>
          <w:p w14:paraId="02E8AE6A"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0 (0,0)</w:t>
            </w:r>
          </w:p>
        </w:tc>
        <w:tc>
          <w:tcPr>
            <w:tcW w:w="1150" w:type="dxa"/>
            <w:shd w:val="clear" w:color="auto" w:fill="auto"/>
            <w:noWrap/>
            <w:vAlign w:val="center"/>
            <w:hideMark/>
          </w:tcPr>
          <w:p w14:paraId="3377CBE9"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1 (0,6)</w:t>
            </w:r>
          </w:p>
        </w:tc>
      </w:tr>
      <w:tr w:rsidR="00274060" w:rsidRPr="00274060" w14:paraId="49FC39FB" w14:textId="77777777" w:rsidTr="00757F55">
        <w:trPr>
          <w:trHeight w:val="300"/>
          <w:jc w:val="center"/>
        </w:trPr>
        <w:tc>
          <w:tcPr>
            <w:tcW w:w="2447" w:type="dxa"/>
            <w:shd w:val="clear" w:color="auto" w:fill="auto"/>
            <w:noWrap/>
            <w:vAlign w:val="center"/>
          </w:tcPr>
          <w:p w14:paraId="5F3A6ED8" w14:textId="77777777" w:rsidR="00274060" w:rsidRPr="00274060" w:rsidRDefault="00274060" w:rsidP="00274060">
            <w:pPr>
              <w:jc w:val="both"/>
              <w:rPr>
                <w:sz w:val="18"/>
                <w:szCs w:val="18"/>
                <w:lang w:val="es-ES"/>
              </w:rPr>
            </w:pPr>
            <w:r w:rsidRPr="00274060">
              <w:rPr>
                <w:sz w:val="18"/>
                <w:szCs w:val="18"/>
                <w:lang w:val="es-ES" w:eastAsia="es-ES"/>
              </w:rPr>
              <w:t>Daño múltiple de órganos</w:t>
            </w:r>
          </w:p>
        </w:tc>
        <w:tc>
          <w:tcPr>
            <w:tcW w:w="1415" w:type="dxa"/>
            <w:shd w:val="clear" w:color="auto" w:fill="auto"/>
            <w:noWrap/>
            <w:vAlign w:val="center"/>
          </w:tcPr>
          <w:p w14:paraId="5FBB3F9D"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0 (0,0)</w:t>
            </w:r>
          </w:p>
        </w:tc>
        <w:tc>
          <w:tcPr>
            <w:tcW w:w="1339" w:type="dxa"/>
            <w:shd w:val="clear" w:color="auto" w:fill="auto"/>
            <w:noWrap/>
            <w:vAlign w:val="center"/>
          </w:tcPr>
          <w:p w14:paraId="2D846080"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1(100)</w:t>
            </w:r>
          </w:p>
        </w:tc>
        <w:tc>
          <w:tcPr>
            <w:tcW w:w="1150" w:type="dxa"/>
            <w:shd w:val="clear" w:color="auto" w:fill="auto"/>
            <w:noWrap/>
            <w:vAlign w:val="center"/>
          </w:tcPr>
          <w:p w14:paraId="4A76C8A5"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1 (0,6)</w:t>
            </w:r>
          </w:p>
        </w:tc>
      </w:tr>
      <w:tr w:rsidR="00274060" w:rsidRPr="00274060" w14:paraId="2666514D" w14:textId="77777777" w:rsidTr="00757F55">
        <w:trPr>
          <w:trHeight w:val="300"/>
          <w:jc w:val="center"/>
        </w:trPr>
        <w:tc>
          <w:tcPr>
            <w:tcW w:w="2447" w:type="dxa"/>
            <w:shd w:val="clear" w:color="auto" w:fill="auto"/>
            <w:noWrap/>
            <w:vAlign w:val="center"/>
          </w:tcPr>
          <w:p w14:paraId="6C493C6E" w14:textId="77777777" w:rsidR="00274060" w:rsidRPr="00274060" w:rsidRDefault="00274060" w:rsidP="00274060">
            <w:pPr>
              <w:jc w:val="both"/>
              <w:rPr>
                <w:sz w:val="18"/>
                <w:szCs w:val="18"/>
                <w:lang w:val="es-ES"/>
              </w:rPr>
            </w:pPr>
            <w:r w:rsidRPr="00274060">
              <w:rPr>
                <w:sz w:val="18"/>
                <w:szCs w:val="18"/>
                <w:lang w:val="es-ES"/>
              </w:rPr>
              <w:t>Total</w:t>
            </w:r>
          </w:p>
        </w:tc>
        <w:tc>
          <w:tcPr>
            <w:tcW w:w="1415" w:type="dxa"/>
            <w:shd w:val="clear" w:color="auto" w:fill="auto"/>
            <w:noWrap/>
            <w:vAlign w:val="center"/>
          </w:tcPr>
          <w:p w14:paraId="50A03787"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118 (69,5)</w:t>
            </w:r>
          </w:p>
        </w:tc>
        <w:tc>
          <w:tcPr>
            <w:tcW w:w="1339" w:type="dxa"/>
            <w:shd w:val="clear" w:color="auto" w:fill="auto"/>
            <w:noWrap/>
            <w:vAlign w:val="center"/>
          </w:tcPr>
          <w:p w14:paraId="2D7F21B7"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58 (30,5)</w:t>
            </w:r>
          </w:p>
        </w:tc>
        <w:tc>
          <w:tcPr>
            <w:tcW w:w="1150" w:type="dxa"/>
            <w:shd w:val="clear" w:color="auto" w:fill="auto"/>
            <w:noWrap/>
            <w:vAlign w:val="center"/>
          </w:tcPr>
          <w:p w14:paraId="013D43FF" w14:textId="77777777" w:rsidR="00274060" w:rsidRPr="00274060" w:rsidRDefault="00274060" w:rsidP="00274060">
            <w:pPr>
              <w:jc w:val="center"/>
              <w:rPr>
                <w:color w:val="000000"/>
                <w:sz w:val="18"/>
                <w:szCs w:val="18"/>
                <w:lang w:val="es-ES" w:eastAsia="es-ES"/>
              </w:rPr>
            </w:pPr>
            <w:r w:rsidRPr="00274060">
              <w:rPr>
                <w:color w:val="000000"/>
                <w:sz w:val="18"/>
                <w:szCs w:val="18"/>
                <w:lang w:val="es-ES" w:eastAsia="es-ES"/>
              </w:rPr>
              <w:t>176 (100)</w:t>
            </w:r>
          </w:p>
        </w:tc>
      </w:tr>
    </w:tbl>
    <w:p w14:paraId="3E49AB46" w14:textId="77777777" w:rsidR="00274060" w:rsidRPr="00274060" w:rsidRDefault="00274060" w:rsidP="00274060">
      <w:pPr>
        <w:jc w:val="center"/>
        <w:rPr>
          <w:sz w:val="16"/>
          <w:szCs w:val="16"/>
          <w:lang w:val="es-ES" w:eastAsia="es-ES"/>
        </w:rPr>
      </w:pPr>
      <w:r w:rsidRPr="00274060">
        <w:rPr>
          <w:sz w:val="16"/>
          <w:szCs w:val="16"/>
          <w:lang w:val="es-ES" w:eastAsia="es-ES"/>
        </w:rPr>
        <w:sym w:font="Symbol" w:char="F063"/>
      </w:r>
      <w:r w:rsidRPr="00274060">
        <w:rPr>
          <w:sz w:val="16"/>
          <w:szCs w:val="16"/>
          <w:vertAlign w:val="superscript"/>
          <w:lang w:val="es-ES" w:eastAsia="es-ES"/>
        </w:rPr>
        <w:t>2</w:t>
      </w:r>
      <w:r w:rsidRPr="00274060">
        <w:rPr>
          <w:sz w:val="16"/>
          <w:szCs w:val="16"/>
          <w:lang w:val="es-ES" w:eastAsia="es-ES"/>
        </w:rPr>
        <w:t>= 3,10; p= 0,37. * % en base a la fila. **% en base a la columna.</w:t>
      </w:r>
    </w:p>
    <w:p w14:paraId="2B3C7988" w14:textId="77777777" w:rsidR="00274060" w:rsidRPr="00274060" w:rsidRDefault="00274060" w:rsidP="00274060">
      <w:pPr>
        <w:spacing w:line="360" w:lineRule="auto"/>
        <w:jc w:val="center"/>
        <w:rPr>
          <w:lang w:val="es-ES" w:eastAsia="es-ES"/>
        </w:rPr>
      </w:pPr>
    </w:p>
    <w:p w14:paraId="4A0F1126" w14:textId="77777777" w:rsidR="00274060" w:rsidRPr="00274060" w:rsidRDefault="00274060" w:rsidP="00274060">
      <w:pPr>
        <w:autoSpaceDE w:val="0"/>
        <w:autoSpaceDN w:val="0"/>
        <w:adjustRightInd w:val="0"/>
        <w:spacing w:line="360" w:lineRule="auto"/>
        <w:jc w:val="center"/>
        <w:rPr>
          <w:b/>
          <w:lang w:val="es-ES" w:eastAsia="es-ES"/>
        </w:rPr>
      </w:pPr>
    </w:p>
    <w:p w14:paraId="3F11C83B" w14:textId="77777777" w:rsidR="00274060" w:rsidRPr="00274060" w:rsidRDefault="00274060" w:rsidP="00274060">
      <w:pPr>
        <w:autoSpaceDE w:val="0"/>
        <w:autoSpaceDN w:val="0"/>
        <w:adjustRightInd w:val="0"/>
        <w:spacing w:line="360" w:lineRule="auto"/>
        <w:jc w:val="center"/>
        <w:rPr>
          <w:b/>
          <w:sz w:val="32"/>
          <w:szCs w:val="32"/>
          <w:lang w:val="es-ES" w:eastAsia="es-ES"/>
        </w:rPr>
      </w:pPr>
      <w:r w:rsidRPr="00274060">
        <w:rPr>
          <w:b/>
          <w:sz w:val="32"/>
          <w:szCs w:val="32"/>
          <w:lang w:val="es-ES" w:eastAsia="es-ES"/>
        </w:rPr>
        <w:t>DISCUSIÓN</w:t>
      </w:r>
    </w:p>
    <w:p w14:paraId="283B48B7" w14:textId="77777777" w:rsidR="00274060" w:rsidRPr="00274060" w:rsidRDefault="00274060" w:rsidP="00274060">
      <w:pPr>
        <w:autoSpaceDE w:val="0"/>
        <w:autoSpaceDN w:val="0"/>
        <w:adjustRightInd w:val="0"/>
        <w:spacing w:line="360" w:lineRule="auto"/>
        <w:jc w:val="both"/>
        <w:rPr>
          <w:b/>
          <w:bCs/>
          <w:lang w:val="es-ES" w:eastAsia="es-ES"/>
        </w:rPr>
      </w:pPr>
      <w:r w:rsidRPr="00274060">
        <w:rPr>
          <w:lang w:val="es-ES" w:eastAsia="es-ES"/>
        </w:rPr>
        <w:t>El predominio de la ECV de tipo hemorrágica, por diagnóstico anatomopatológico, no se corresponde con la mayoría de las series revisadas, lo cual se puede explicar porque se trata de fallecidos y en la ECV hemorrágica, es en la que se aprecia mayor mortalidad.</w:t>
      </w:r>
      <w:r w:rsidRPr="00274060">
        <w:rPr>
          <w:b/>
          <w:bCs/>
          <w:lang w:val="es-ES" w:eastAsia="es-ES"/>
        </w:rPr>
        <w:t xml:space="preserve"> </w:t>
      </w:r>
    </w:p>
    <w:p w14:paraId="056160B0" w14:textId="77777777" w:rsidR="00274060" w:rsidRPr="00274060" w:rsidRDefault="00274060" w:rsidP="00274060">
      <w:pPr>
        <w:spacing w:line="360" w:lineRule="auto"/>
        <w:jc w:val="both"/>
        <w:rPr>
          <w:color w:val="FF0000"/>
          <w:lang w:val="es-ES" w:eastAsia="es-ES"/>
        </w:rPr>
      </w:pPr>
      <w:r w:rsidRPr="00274060">
        <w:rPr>
          <w:lang w:val="es-ES" w:eastAsia="es-ES"/>
        </w:rPr>
        <w:t>Un trabajo</w:t>
      </w:r>
      <w:r w:rsidRPr="00274060">
        <w:rPr>
          <w:vertAlign w:val="superscript"/>
          <w:lang w:val="es-ES" w:eastAsia="es-ES"/>
        </w:rPr>
        <w:t xml:space="preserve"> </w:t>
      </w:r>
      <w:r w:rsidRPr="00274060">
        <w:rPr>
          <w:lang w:val="es-ES" w:eastAsia="es-ES"/>
        </w:rPr>
        <w:t>de</w:t>
      </w:r>
      <w:r w:rsidRPr="00274060">
        <w:rPr>
          <w:vertAlign w:val="superscript"/>
          <w:lang w:val="es-ES" w:eastAsia="es-ES"/>
        </w:rPr>
        <w:t xml:space="preserve"> </w:t>
      </w:r>
      <w:r w:rsidRPr="00274060">
        <w:rPr>
          <w:i/>
          <w:lang w:val="es-ES" w:eastAsia="es-ES"/>
        </w:rPr>
        <w:t>Dabilgou A</w:t>
      </w:r>
      <w:r w:rsidRPr="00274060">
        <w:rPr>
          <w:lang w:val="es-ES" w:eastAsia="es-ES"/>
        </w:rPr>
        <w:t xml:space="preserve"> y otros,</w:t>
      </w:r>
      <w:r w:rsidRPr="00274060">
        <w:rPr>
          <w:vertAlign w:val="superscript"/>
          <w:lang w:val="es-ES" w:eastAsia="es-ES"/>
        </w:rPr>
        <w:t xml:space="preserve">(10) </w:t>
      </w:r>
      <w:r w:rsidRPr="00274060">
        <w:rPr>
          <w:lang w:val="es-ES" w:eastAsia="es-ES"/>
        </w:rPr>
        <w:t>de 6 meses, mostró un 66,5 % del tipo isquémico,</w:t>
      </w:r>
      <w:r w:rsidRPr="00274060">
        <w:rPr>
          <w:vertAlign w:val="superscript"/>
          <w:lang w:val="es-ES" w:eastAsia="es-ES"/>
        </w:rPr>
        <w:t xml:space="preserve"> </w:t>
      </w:r>
      <w:r w:rsidRPr="00274060">
        <w:rPr>
          <w:lang w:val="es-ES" w:eastAsia="es-ES"/>
        </w:rPr>
        <w:t>porcentaje que es el doble al del presente estudio.</w:t>
      </w:r>
      <w:r w:rsidRPr="00274060">
        <w:rPr>
          <w:color w:val="FF0000"/>
          <w:vertAlign w:val="superscript"/>
          <w:lang w:val="es-ES" w:eastAsia="es-ES"/>
        </w:rPr>
        <w:t xml:space="preserve"> </w:t>
      </w:r>
    </w:p>
    <w:p w14:paraId="03C6E901" w14:textId="77777777" w:rsidR="00274060" w:rsidRPr="00274060" w:rsidRDefault="00274060" w:rsidP="00274060">
      <w:pPr>
        <w:shd w:val="clear" w:color="auto" w:fill="FFFFFF"/>
        <w:tabs>
          <w:tab w:val="left" w:pos="3750"/>
        </w:tabs>
        <w:spacing w:line="360" w:lineRule="auto"/>
        <w:jc w:val="both"/>
        <w:rPr>
          <w:shd w:val="clear" w:color="auto" w:fill="FFFFFF"/>
          <w:lang w:val="es-ES" w:eastAsia="es-ES"/>
        </w:rPr>
      </w:pPr>
      <w:r w:rsidRPr="00274060">
        <w:rPr>
          <w:lang w:val="es-ES" w:eastAsia="es-ES"/>
        </w:rPr>
        <w:t>En un artículo</w:t>
      </w:r>
      <w:r w:rsidRPr="00274060">
        <w:rPr>
          <w:vertAlign w:val="superscript"/>
          <w:lang w:val="es-ES" w:eastAsia="es-ES"/>
        </w:rPr>
        <w:t>(11)</w:t>
      </w:r>
      <w:r w:rsidRPr="00274060">
        <w:rPr>
          <w:lang w:val="es-ES" w:eastAsia="es-ES"/>
        </w:rPr>
        <w:t xml:space="preserve"> sobre factores pronósticos de mortalidad en pacientes graves con enfermedades neurológicas agudas no traumáticas, en pacientes con ECV, el </w:t>
      </w:r>
      <w:r w:rsidRPr="00274060">
        <w:rPr>
          <w:shd w:val="clear" w:color="auto" w:fill="FFFFFF"/>
          <w:lang w:val="es-ES" w:eastAsia="es-ES"/>
        </w:rPr>
        <w:t>59,6 % la presentó de tipo isquémico</w:t>
      </w:r>
      <w:r w:rsidRPr="00274060">
        <w:rPr>
          <w:lang w:val="es-ES" w:eastAsia="es-ES"/>
        </w:rPr>
        <w:t xml:space="preserve"> y también en otro, sobre factores modificables asociados a la letalidad hospitalaria del ictus</w:t>
      </w:r>
      <w:r w:rsidRPr="00274060">
        <w:rPr>
          <w:shd w:val="clear" w:color="auto" w:fill="FFFFFF"/>
          <w:vertAlign w:val="superscript"/>
          <w:lang w:val="es-ES" w:eastAsia="es-ES"/>
        </w:rPr>
        <w:t>(12)</w:t>
      </w:r>
      <w:r w:rsidRPr="00274060">
        <w:rPr>
          <w:lang w:val="es-ES" w:eastAsia="es-ES"/>
        </w:rPr>
        <w:t xml:space="preserve"> hubo un 75,0 % de tipo isquémico,</w:t>
      </w:r>
      <w:r w:rsidRPr="00274060">
        <w:rPr>
          <w:shd w:val="clear" w:color="auto" w:fill="FFFFFF"/>
          <w:vertAlign w:val="superscript"/>
          <w:lang w:val="es-ES" w:eastAsia="es-ES"/>
        </w:rPr>
        <w:t xml:space="preserve"> </w:t>
      </w:r>
      <w:r w:rsidRPr="00274060">
        <w:rPr>
          <w:shd w:val="clear" w:color="auto" w:fill="FFFFFF"/>
          <w:lang w:val="es-ES" w:eastAsia="es-ES"/>
        </w:rPr>
        <w:t>superiores al del presente estudio.</w:t>
      </w:r>
    </w:p>
    <w:p w14:paraId="00E56D29" w14:textId="77777777" w:rsidR="00274060" w:rsidRPr="00274060" w:rsidRDefault="00274060" w:rsidP="00274060">
      <w:pPr>
        <w:shd w:val="clear" w:color="auto" w:fill="FFFFFF"/>
        <w:tabs>
          <w:tab w:val="left" w:pos="3750"/>
        </w:tabs>
        <w:spacing w:line="360" w:lineRule="auto"/>
        <w:jc w:val="both"/>
        <w:rPr>
          <w:lang w:val="es-ES" w:eastAsia="es-ES"/>
        </w:rPr>
      </w:pPr>
      <w:r w:rsidRPr="00274060">
        <w:rPr>
          <w:lang w:val="es-ES" w:eastAsia="es-ES"/>
        </w:rPr>
        <w:t>El sexo es un factor de riesgo de ECV; es más común en los hombres que en las mujeres,</w:t>
      </w:r>
      <w:r w:rsidRPr="00274060">
        <w:rPr>
          <w:vertAlign w:val="superscript"/>
          <w:lang w:val="es-ES" w:eastAsia="es-ES"/>
        </w:rPr>
        <w:t xml:space="preserve">(13) </w:t>
      </w:r>
      <w:r w:rsidRPr="00274060">
        <w:rPr>
          <w:lang w:val="es-ES" w:eastAsia="es-ES"/>
        </w:rPr>
        <w:t>como se obtuvo en el presente trabajo. Sin embargo, de los artículos revisados solo se observa en uno,</w:t>
      </w:r>
      <w:r w:rsidRPr="00274060">
        <w:rPr>
          <w:color w:val="00B0F0"/>
          <w:lang w:val="es-ES" w:eastAsia="es-ES"/>
        </w:rPr>
        <w:t xml:space="preserve"> </w:t>
      </w:r>
      <w:r w:rsidRPr="00274060">
        <w:rPr>
          <w:lang w:val="es-ES" w:eastAsia="es-ES"/>
        </w:rPr>
        <w:t>más pacientes del sexo femenino; fue realizado en Carolina del Norte:</w:t>
      </w:r>
      <w:r w:rsidRPr="00274060">
        <w:rPr>
          <w:bCs/>
          <w:vertAlign w:val="superscript"/>
          <w:lang w:val="es-ES" w:eastAsia="es-ES"/>
        </w:rPr>
        <w:t xml:space="preserve">(14) </w:t>
      </w:r>
      <w:r w:rsidRPr="00274060">
        <w:rPr>
          <w:bCs/>
          <w:lang w:val="es-ES" w:eastAsia="es-ES"/>
        </w:rPr>
        <w:t>d</w:t>
      </w:r>
      <w:r w:rsidRPr="00274060">
        <w:rPr>
          <w:lang w:val="es-ES" w:eastAsia="es-ES"/>
        </w:rPr>
        <w:t xml:space="preserve">e 2262 pacientes con ECV de tipo </w:t>
      </w:r>
      <w:r w:rsidRPr="00274060">
        <w:rPr>
          <w:lang w:val="es-ES" w:eastAsia="es-ES"/>
        </w:rPr>
        <w:lastRenderedPageBreak/>
        <w:t>isquémico, el 52,0 % es de ese sexo; mientras, en otros 2, de Burkina Faso</w:t>
      </w:r>
      <w:r w:rsidRPr="00274060">
        <w:rPr>
          <w:vertAlign w:val="superscript"/>
          <w:lang w:val="es-ES" w:eastAsia="es-ES"/>
        </w:rPr>
        <w:t>(10)</w:t>
      </w:r>
      <w:r w:rsidRPr="00274060">
        <w:rPr>
          <w:lang w:val="es-ES" w:eastAsia="es-ES"/>
        </w:rPr>
        <w:t xml:space="preserve"> y Sri Lanka,</w:t>
      </w:r>
      <w:r w:rsidRPr="00274060">
        <w:rPr>
          <w:vertAlign w:val="superscript"/>
          <w:lang w:val="es-ES" w:eastAsia="es-ES"/>
        </w:rPr>
        <w:t>(15)</w:t>
      </w:r>
      <w:r w:rsidRPr="00274060">
        <w:rPr>
          <w:lang w:val="es-ES" w:eastAsia="es-ES"/>
        </w:rPr>
        <w:t xml:space="preserve">  fue el sexo masculino, con un 72,7 % y 69,0 %.</w:t>
      </w:r>
    </w:p>
    <w:p w14:paraId="7C996E4B" w14:textId="77777777" w:rsidR="00274060" w:rsidRPr="00274060" w:rsidRDefault="00274060" w:rsidP="00274060">
      <w:pPr>
        <w:shd w:val="clear" w:color="auto" w:fill="FFFFFF"/>
        <w:tabs>
          <w:tab w:val="left" w:pos="3750"/>
        </w:tabs>
        <w:spacing w:line="360" w:lineRule="auto"/>
        <w:jc w:val="both"/>
        <w:rPr>
          <w:shd w:val="clear" w:color="auto" w:fill="FFFFFF"/>
          <w:vertAlign w:val="superscript"/>
          <w:lang w:val="es-ES" w:eastAsia="es-ES"/>
        </w:rPr>
      </w:pPr>
      <w:r w:rsidRPr="00274060">
        <w:rPr>
          <w:lang w:val="es-ES" w:eastAsia="es-ES"/>
        </w:rPr>
        <w:t>Un estudio en Serbia,</w:t>
      </w:r>
      <w:r w:rsidRPr="00274060">
        <w:rPr>
          <w:vertAlign w:val="superscript"/>
          <w:lang w:val="es-ES" w:eastAsia="es-ES"/>
        </w:rPr>
        <w:t>(16)</w:t>
      </w:r>
      <w:r w:rsidRPr="00274060">
        <w:rPr>
          <w:lang w:val="es-ES" w:eastAsia="es-ES"/>
        </w:rPr>
        <w:t xml:space="preserve"> de cohorte observacional, que analiza las características clínicas de pacientes con ECV isquémica vacunados contra el SARS-CoV-2; los hombres representaron el 58,6 %. De la misma forma, una serie de pacientes en Moscú,</w:t>
      </w:r>
      <w:r w:rsidRPr="00274060">
        <w:rPr>
          <w:vertAlign w:val="superscript"/>
          <w:lang w:val="es-ES" w:eastAsia="es-ES"/>
        </w:rPr>
        <w:t>(17)</w:t>
      </w:r>
      <w:r w:rsidRPr="00274060">
        <w:rPr>
          <w:lang w:val="es-ES" w:eastAsia="es-ES"/>
        </w:rPr>
        <w:t xml:space="preserve"> pero con ECV hemorrágico, los cuales representaron el 54,3 %. </w:t>
      </w:r>
    </w:p>
    <w:p w14:paraId="2529407D" w14:textId="77777777" w:rsidR="00274060" w:rsidRPr="00274060" w:rsidRDefault="00274060" w:rsidP="00274060">
      <w:pPr>
        <w:autoSpaceDE w:val="0"/>
        <w:autoSpaceDN w:val="0"/>
        <w:adjustRightInd w:val="0"/>
        <w:spacing w:line="360" w:lineRule="auto"/>
        <w:jc w:val="both"/>
        <w:rPr>
          <w:lang w:val="es-ES" w:eastAsia="es-ES"/>
        </w:rPr>
      </w:pPr>
      <w:r w:rsidRPr="00274060">
        <w:rPr>
          <w:lang w:val="es-ES" w:eastAsia="es-ES"/>
        </w:rPr>
        <w:t>La prevalencia elevada de fibrilación auricular en pacientes con ECV isquémica se demuestra en un trabajo en Lituania,</w:t>
      </w:r>
      <w:r w:rsidRPr="00274060">
        <w:rPr>
          <w:vertAlign w:val="superscript"/>
          <w:lang w:val="es-ES" w:eastAsia="es-ES"/>
        </w:rPr>
        <w:t>(18)</w:t>
      </w:r>
      <w:r w:rsidRPr="00274060">
        <w:rPr>
          <w:color w:val="FF0000"/>
          <w:lang w:val="es-ES" w:eastAsia="es-ES"/>
        </w:rPr>
        <w:t xml:space="preserve"> </w:t>
      </w:r>
      <w:r w:rsidRPr="00274060">
        <w:rPr>
          <w:lang w:val="es-ES" w:eastAsia="es-ES"/>
        </w:rPr>
        <w:t>que fue más elevado el número de hombres con un 55,0 %. Lo mismo pasó en una investigación</w:t>
      </w:r>
      <w:r w:rsidRPr="00274060">
        <w:rPr>
          <w:vertAlign w:val="superscript"/>
          <w:lang w:val="es-ES" w:eastAsia="es-ES"/>
        </w:rPr>
        <w:t>(19)</w:t>
      </w:r>
      <w:r w:rsidRPr="00274060">
        <w:rPr>
          <w:color w:val="FF0000"/>
          <w:lang w:val="es-ES" w:eastAsia="es-ES"/>
        </w:rPr>
        <w:t xml:space="preserve"> </w:t>
      </w:r>
      <w:r w:rsidRPr="00274060">
        <w:rPr>
          <w:lang w:val="es-ES" w:eastAsia="es-ES"/>
        </w:rPr>
        <w:t>en Japón; de un total de 15 860 pacientes con ECV isquémica, el 58,2 % fueron hombres.</w:t>
      </w:r>
      <w:r w:rsidRPr="00274060">
        <w:rPr>
          <w:color w:val="FF0000"/>
          <w:lang w:val="es-ES" w:eastAsia="es-ES"/>
        </w:rPr>
        <w:t xml:space="preserve"> </w:t>
      </w:r>
    </w:p>
    <w:p w14:paraId="3A9BC990" w14:textId="04D57398" w:rsidR="00274060" w:rsidRPr="00274060" w:rsidRDefault="00274060" w:rsidP="00274060">
      <w:pPr>
        <w:shd w:val="clear" w:color="auto" w:fill="FFFFFF"/>
        <w:tabs>
          <w:tab w:val="left" w:pos="3750"/>
        </w:tabs>
        <w:spacing w:line="360" w:lineRule="auto"/>
        <w:jc w:val="both"/>
        <w:rPr>
          <w:lang w:val="es-ES" w:eastAsia="es-ES"/>
        </w:rPr>
      </w:pPr>
      <w:r w:rsidRPr="00274060">
        <w:rPr>
          <w:lang w:val="es-ES" w:eastAsia="es-ES"/>
        </w:rPr>
        <w:t>De Cuba se revisaron 2 trabajos, en los que fueron mayoría el sexo masculino. En el trabajo</w:t>
      </w:r>
      <w:r w:rsidRPr="00274060">
        <w:rPr>
          <w:vertAlign w:val="superscript"/>
          <w:lang w:val="es-ES" w:eastAsia="es-ES"/>
        </w:rPr>
        <w:t xml:space="preserve">(12) </w:t>
      </w:r>
      <w:r w:rsidRPr="00274060">
        <w:rPr>
          <w:lang w:val="es-ES" w:eastAsia="es-ES"/>
        </w:rPr>
        <w:t>realizado en el Hospital Militar Central “Dr. Luis Díaz Soto”, hubo mayor número de hombres con un 56,0 %, mientras un estudio</w:t>
      </w:r>
      <w:r w:rsidRPr="00274060">
        <w:rPr>
          <w:vertAlign w:val="superscript"/>
          <w:lang w:val="es-ES" w:eastAsia="es-ES"/>
        </w:rPr>
        <w:t>(20)</w:t>
      </w:r>
      <w:r w:rsidRPr="00274060">
        <w:rPr>
          <w:lang w:val="es-ES" w:eastAsia="es-ES"/>
        </w:rPr>
        <w:t xml:space="preserve"> de 517 pacientes fallecidos con diagnóstico de ECV, en el  Hospital General Universitario </w:t>
      </w:r>
      <w:r w:rsidR="00122031">
        <w:rPr>
          <w:lang w:val="es-ES" w:eastAsia="es-ES"/>
        </w:rPr>
        <w:t>“</w:t>
      </w:r>
      <w:r w:rsidRPr="00274060">
        <w:rPr>
          <w:lang w:val="es-ES" w:eastAsia="es-ES"/>
        </w:rPr>
        <w:t>Dr. Gustavo Aldereguía Lima”, también hubo predominio del sexo masculino (55,3 % de los casos). En ambos sexos fue más elevado el por ciento las ECV isquémicas, pero mayor en el femenino (68,8 % vs. 57,3 %).</w:t>
      </w:r>
    </w:p>
    <w:p w14:paraId="05905E1A" w14:textId="77777777" w:rsidR="00274060" w:rsidRPr="00274060" w:rsidRDefault="00274060" w:rsidP="00274060">
      <w:pPr>
        <w:spacing w:line="360" w:lineRule="auto"/>
        <w:jc w:val="both"/>
        <w:rPr>
          <w:lang w:val="es-ES" w:eastAsia="es-ES"/>
        </w:rPr>
      </w:pPr>
      <w:r w:rsidRPr="00274060">
        <w:rPr>
          <w:lang w:val="es-ES" w:eastAsia="es-ES"/>
        </w:rPr>
        <w:t>La edad es otro de los principales factores de riesgo. El riesgo relativo de desarrollar ECV hemorrágica se duplica por cada 10 años de incremento de la edad.</w:t>
      </w:r>
      <w:r w:rsidRPr="00274060">
        <w:rPr>
          <w:vertAlign w:val="superscript"/>
          <w:lang w:val="es-ES" w:eastAsia="es-ES"/>
        </w:rPr>
        <w:t>(13)</w:t>
      </w:r>
      <w:r w:rsidRPr="00274060">
        <w:rPr>
          <w:lang w:val="es-ES" w:eastAsia="es-ES"/>
        </w:rPr>
        <w:t xml:space="preserve"> También se observó en este estudio, aumento de la ECV con el aumento de la edad. En una revisión sistemática,</w:t>
      </w:r>
      <w:r w:rsidRPr="00274060">
        <w:rPr>
          <w:vertAlign w:val="superscript"/>
          <w:lang w:val="es-ES" w:eastAsia="es-ES"/>
        </w:rPr>
        <w:t>(13)</w:t>
      </w:r>
      <w:r w:rsidRPr="00274060">
        <w:rPr>
          <w:lang w:val="es-ES" w:eastAsia="es-ES"/>
        </w:rPr>
        <w:t xml:space="preserve"> se compara la edad media de pacientes con ECV en países de ingresos bajos y medios, con países de altos ingresos; la edad media de la población en los 3 grupos de países fue de 64,4 años, en los países de ingresos medios y bajos fue significativamente más joven que en los de altos ingresos (63,1 vs. 68,6 años). Basados en el tipo de ECV, la edad media en la isquémica fue de 67,5 y de 61,6 en la hemorrágica. Al comparar con los resultados de este trabajo se observa que la media se corresponde con la de países de ingresos bajos y medios; lo mismo ocurre con el tipo de ECV. </w:t>
      </w:r>
    </w:p>
    <w:p w14:paraId="0E76B52F" w14:textId="77777777" w:rsidR="00274060" w:rsidRPr="00274060" w:rsidRDefault="00274060" w:rsidP="00274060">
      <w:pPr>
        <w:spacing w:line="360" w:lineRule="auto"/>
        <w:jc w:val="both"/>
        <w:rPr>
          <w:lang w:val="es-ES" w:eastAsia="x-none"/>
        </w:rPr>
      </w:pPr>
      <w:r w:rsidRPr="00274060">
        <w:rPr>
          <w:lang w:val="es-ES" w:eastAsia="es-ES"/>
        </w:rPr>
        <w:t xml:space="preserve">En el trabajo de </w:t>
      </w:r>
      <w:r w:rsidRPr="00274060">
        <w:rPr>
          <w:i/>
          <w:lang w:val="es-ES" w:eastAsia="es-ES"/>
        </w:rPr>
        <w:t>Bushnell</w:t>
      </w:r>
      <w:r w:rsidRPr="00274060">
        <w:rPr>
          <w:lang w:val="es-ES" w:eastAsia="es-ES"/>
        </w:rPr>
        <w:t xml:space="preserve"> y otros</w:t>
      </w:r>
      <w:r w:rsidRPr="00274060">
        <w:rPr>
          <w:lang w:val="es-ES" w:eastAsia="x-none"/>
        </w:rPr>
        <w:t>,</w:t>
      </w:r>
      <w:r w:rsidRPr="00274060">
        <w:rPr>
          <w:vertAlign w:val="superscript"/>
          <w:lang w:val="es-ES" w:eastAsia="es-ES"/>
        </w:rPr>
        <w:t>(14)</w:t>
      </w:r>
      <w:r w:rsidRPr="00274060">
        <w:rPr>
          <w:lang w:val="es-ES" w:eastAsia="x-none"/>
        </w:rPr>
        <w:t xml:space="preserve"> los pacientes con ECV isquémica, fueron divididos en 2 grupos de intervención y no intervención terapéutica; la edad media de cada uno fue de 74,9 y 73,9 años.</w:t>
      </w:r>
      <w:r w:rsidRPr="00274060">
        <w:rPr>
          <w:lang w:val="es-ES" w:eastAsia="es-ES"/>
        </w:rPr>
        <w:t xml:space="preserve"> Ambos fueron superiores al del presente trabajo.</w:t>
      </w:r>
    </w:p>
    <w:p w14:paraId="7B118637" w14:textId="77777777" w:rsidR="00274060" w:rsidRPr="00274060" w:rsidRDefault="00274060" w:rsidP="00274060">
      <w:pPr>
        <w:autoSpaceDE w:val="0"/>
        <w:autoSpaceDN w:val="0"/>
        <w:adjustRightInd w:val="0"/>
        <w:spacing w:line="360" w:lineRule="auto"/>
        <w:jc w:val="both"/>
        <w:rPr>
          <w:lang w:val="es-ES" w:eastAsia="es-ES"/>
        </w:rPr>
      </w:pPr>
      <w:r w:rsidRPr="00274060">
        <w:rPr>
          <w:lang w:val="es-ES" w:eastAsia="es-ES"/>
        </w:rPr>
        <w:lastRenderedPageBreak/>
        <w:t xml:space="preserve">En la investigación de </w:t>
      </w:r>
      <w:r w:rsidRPr="00274060">
        <w:rPr>
          <w:i/>
          <w:lang w:val="es-ES" w:eastAsia="es-ES"/>
        </w:rPr>
        <w:t>Herath</w:t>
      </w:r>
      <w:r w:rsidRPr="00274060">
        <w:rPr>
          <w:lang w:val="es-ES" w:eastAsia="es-ES"/>
        </w:rPr>
        <w:t xml:space="preserve"> y otros,</w:t>
      </w:r>
      <w:r w:rsidRPr="00274060">
        <w:rPr>
          <w:vertAlign w:val="superscript"/>
          <w:lang w:val="es-ES" w:eastAsia="es-ES"/>
        </w:rPr>
        <w:t>(15)</w:t>
      </w:r>
      <w:r w:rsidRPr="00274060">
        <w:rPr>
          <w:lang w:val="es-ES" w:eastAsia="es-ES"/>
        </w:rPr>
        <w:t xml:space="preserve"> en pacientes con ECV isquémica trombolizados; la edad media fue de 60,0 ± 12,2 años, inferior al del presente, lo que puede atribuirse a una esperanza de vida menor en el país donde se realizó el estudio. </w:t>
      </w:r>
    </w:p>
    <w:p w14:paraId="6A56EA62" w14:textId="323B6ECC" w:rsidR="00274060" w:rsidRPr="00274060" w:rsidRDefault="00274060" w:rsidP="00274060">
      <w:pPr>
        <w:autoSpaceDE w:val="0"/>
        <w:autoSpaceDN w:val="0"/>
        <w:adjustRightInd w:val="0"/>
        <w:spacing w:line="360" w:lineRule="auto"/>
        <w:jc w:val="both"/>
        <w:rPr>
          <w:lang w:val="es-ES" w:eastAsia="es-ES"/>
        </w:rPr>
      </w:pPr>
      <w:r w:rsidRPr="00274060">
        <w:rPr>
          <w:lang w:val="es-ES" w:eastAsia="es-ES"/>
        </w:rPr>
        <w:t xml:space="preserve">La edad media de la serie de enfermos de </w:t>
      </w:r>
      <w:r w:rsidRPr="00274060">
        <w:rPr>
          <w:i/>
          <w:lang w:val="es-ES" w:eastAsia="es-ES"/>
        </w:rPr>
        <w:t>Dabilgou A</w:t>
      </w:r>
      <w:r w:rsidRPr="00274060">
        <w:rPr>
          <w:lang w:val="es-ES" w:eastAsia="es-ES"/>
        </w:rPr>
        <w:t xml:space="preserve"> y otros</w:t>
      </w:r>
      <w:r w:rsidRPr="00274060">
        <w:rPr>
          <w:vertAlign w:val="superscript"/>
          <w:lang w:val="es-ES" w:eastAsia="es-ES"/>
        </w:rPr>
        <w:t>(10)</w:t>
      </w:r>
      <w:r w:rsidRPr="00274060">
        <w:rPr>
          <w:lang w:val="es-ES" w:eastAsia="es-ES"/>
        </w:rPr>
        <w:t xml:space="preserve"> estuvo en 68,5 ± 11,3 años en la ECV isquémica y mayor en la hemorrágica (73,8 ± 8,5), resultados contrarios a los del presente trabajo. La edad media en el estudio realizado en Serbia</w:t>
      </w:r>
      <w:r w:rsidRPr="00274060">
        <w:rPr>
          <w:vertAlign w:val="superscript"/>
          <w:lang w:val="es-ES" w:eastAsia="es-ES"/>
        </w:rPr>
        <w:t>(16)</w:t>
      </w:r>
      <w:r w:rsidRPr="00274060">
        <w:rPr>
          <w:lang w:val="es-ES" w:eastAsia="es-ES"/>
        </w:rPr>
        <w:t xml:space="preserve"> fue de 71 ± 9,31 años; en Rusia,</w:t>
      </w:r>
      <w:r w:rsidRPr="00274060">
        <w:rPr>
          <w:vertAlign w:val="superscript"/>
          <w:lang w:val="es-ES" w:eastAsia="es-ES"/>
        </w:rPr>
        <w:t>(17)</w:t>
      </w:r>
      <w:r w:rsidRPr="00274060">
        <w:rPr>
          <w:lang w:val="es-ES" w:eastAsia="es-ES"/>
        </w:rPr>
        <w:t xml:space="preserve"> de 60,9 ± 13,6 años y en Lituania,</w:t>
      </w:r>
      <w:r w:rsidRPr="00274060">
        <w:rPr>
          <w:vertAlign w:val="superscript"/>
          <w:lang w:val="es-ES" w:eastAsia="es-ES"/>
        </w:rPr>
        <w:t>(18)</w:t>
      </w:r>
      <w:r w:rsidRPr="00274060">
        <w:rPr>
          <w:lang w:val="es-ES" w:eastAsia="es-ES"/>
        </w:rPr>
        <w:t xml:space="preserve"> de 71,4 ± 11,9 años; mientras en Japón</w:t>
      </w:r>
      <w:r w:rsidRPr="00274060">
        <w:rPr>
          <w:vertAlign w:val="superscript"/>
          <w:lang w:val="es-ES" w:eastAsia="es-ES"/>
        </w:rPr>
        <w:t xml:space="preserve">(19) </w:t>
      </w:r>
      <w:r w:rsidRPr="00274060">
        <w:rPr>
          <w:lang w:val="es-ES" w:eastAsia="es-ES"/>
        </w:rPr>
        <w:t>la media, en 15 860 enfermos, estuvo en 73,5</w:t>
      </w:r>
      <w:r w:rsidR="00D0755D">
        <w:rPr>
          <w:lang w:val="es-ES" w:eastAsia="es-ES"/>
        </w:rPr>
        <w:t> </w:t>
      </w:r>
      <w:r w:rsidRPr="00274060">
        <w:rPr>
          <w:lang w:val="es-ES" w:eastAsia="es-ES"/>
        </w:rPr>
        <w:t>±</w:t>
      </w:r>
      <w:r w:rsidR="00D0755D">
        <w:rPr>
          <w:lang w:val="es-ES" w:eastAsia="es-ES"/>
        </w:rPr>
        <w:t> </w:t>
      </w:r>
      <w:r w:rsidRPr="00274060">
        <w:rPr>
          <w:lang w:val="es-ES" w:eastAsia="es-ES"/>
        </w:rPr>
        <w:t>12,4 años. Excepto el de Rusia,</w:t>
      </w:r>
      <w:r w:rsidRPr="00274060">
        <w:rPr>
          <w:vertAlign w:val="superscript"/>
          <w:lang w:val="es-ES" w:eastAsia="es-ES"/>
        </w:rPr>
        <w:t>(17)</w:t>
      </w:r>
      <w:r w:rsidRPr="00274060">
        <w:rPr>
          <w:lang w:val="es-ES" w:eastAsia="es-ES"/>
        </w:rPr>
        <w:t xml:space="preserve"> todas las edades medias son más elevadas.</w:t>
      </w:r>
    </w:p>
    <w:p w14:paraId="236A9BED" w14:textId="77777777" w:rsidR="00274060" w:rsidRPr="00274060" w:rsidRDefault="00274060" w:rsidP="00274060">
      <w:pPr>
        <w:autoSpaceDE w:val="0"/>
        <w:autoSpaceDN w:val="0"/>
        <w:adjustRightInd w:val="0"/>
        <w:spacing w:line="360" w:lineRule="auto"/>
        <w:jc w:val="both"/>
        <w:rPr>
          <w:lang w:val="es-ES" w:eastAsia="es-ES"/>
        </w:rPr>
      </w:pPr>
      <w:r w:rsidRPr="00274060">
        <w:rPr>
          <w:lang w:val="es-ES" w:eastAsia="es-ES"/>
        </w:rPr>
        <w:t>En Latinoamérica, se revisaron trabajos del Perú y Cuba. En el primero</w:t>
      </w:r>
      <w:r w:rsidRPr="00274060">
        <w:rPr>
          <w:vertAlign w:val="superscript"/>
          <w:lang w:val="es-ES" w:eastAsia="es-ES"/>
        </w:rPr>
        <w:t>(21)</w:t>
      </w:r>
      <w:r w:rsidRPr="00274060">
        <w:rPr>
          <w:lang w:val="es-ES" w:eastAsia="es-ES"/>
        </w:rPr>
        <w:t xml:space="preserve"> el grupo etario principal es de 71 a 80 años, con un 37,8 % y por encima de 60 años constituyeron el 73,6 %. En Cuba se revisaron 2 estudios, el del Hospital Militar Central “Dr. Luis Díaz Soto”,</w:t>
      </w:r>
      <w:r w:rsidRPr="00274060">
        <w:rPr>
          <w:vertAlign w:val="superscript"/>
          <w:lang w:val="es-ES" w:eastAsia="es-ES"/>
        </w:rPr>
        <w:t>(12)</w:t>
      </w:r>
      <w:r w:rsidRPr="00274060">
        <w:rPr>
          <w:lang w:val="es-ES" w:eastAsia="es-ES"/>
        </w:rPr>
        <w:t xml:space="preserve"> en el cual la media fue de 66,3 años, y en Cienfuegos,</w:t>
      </w:r>
      <w:r w:rsidRPr="00274060">
        <w:rPr>
          <w:vertAlign w:val="superscript"/>
          <w:lang w:val="es-ES" w:eastAsia="es-ES"/>
        </w:rPr>
        <w:t>(20)</w:t>
      </w:r>
      <w:r w:rsidRPr="00274060">
        <w:rPr>
          <w:lang w:val="es-ES" w:eastAsia="es-ES"/>
        </w:rPr>
        <w:t xml:space="preserve"> que la ECV predominó en el grupo etario 80 a 89 años, con un 31,1 %, en las hemorrágicas en el grupo de 70 a 79 (26,8 %) y en las isquémicas, de 80 a 89 años (37,8 %). </w:t>
      </w:r>
    </w:p>
    <w:p w14:paraId="4BECA345" w14:textId="77777777" w:rsidR="00274060" w:rsidRPr="00274060" w:rsidRDefault="00274060" w:rsidP="00274060">
      <w:pPr>
        <w:autoSpaceDE w:val="0"/>
        <w:autoSpaceDN w:val="0"/>
        <w:adjustRightInd w:val="0"/>
        <w:spacing w:line="360" w:lineRule="auto"/>
        <w:jc w:val="both"/>
        <w:rPr>
          <w:lang w:val="es-ES" w:eastAsia="es-ES"/>
        </w:rPr>
      </w:pPr>
      <w:r w:rsidRPr="00274060">
        <w:rPr>
          <w:lang w:val="es-ES" w:eastAsia="es-ES"/>
        </w:rPr>
        <w:t>La escala de coma de Glasgow descrita para traumatismos craneoencefálicos ha demostrado utilidad en pacientes con ECV. Los artículos analizados muestran una media del valor en esta escala mayor al del presente estudio, excepto uno en pacientes con ECV hemorrágica, lo cual puede estar en relación con la magnitud del evento cerebrovascular de los pacientes recibidos en la UCI, pues estos son fallecidos; lo mismo aconteció con el porcentaje de pacientes y grupo de valor del Glasgow.</w:t>
      </w:r>
    </w:p>
    <w:p w14:paraId="5040758B" w14:textId="77777777" w:rsidR="00274060" w:rsidRPr="00274060" w:rsidRDefault="00274060" w:rsidP="00274060">
      <w:pPr>
        <w:shd w:val="clear" w:color="auto" w:fill="FFFFFF"/>
        <w:spacing w:line="360" w:lineRule="auto"/>
        <w:jc w:val="both"/>
        <w:rPr>
          <w:lang w:val="es-ES" w:eastAsia="es-ES"/>
        </w:rPr>
      </w:pPr>
      <w:r w:rsidRPr="00274060">
        <w:rPr>
          <w:lang w:val="es-ES" w:eastAsia="es-ES"/>
        </w:rPr>
        <w:t>En los pacientes ingresados en Burkina Faso,</w:t>
      </w:r>
      <w:r w:rsidRPr="00274060">
        <w:rPr>
          <w:vertAlign w:val="superscript"/>
          <w:lang w:val="es-ES" w:eastAsia="es-ES"/>
        </w:rPr>
        <w:t>(10)</w:t>
      </w:r>
      <w:r w:rsidRPr="00274060">
        <w:rPr>
          <w:lang w:val="es-ES" w:eastAsia="es-ES"/>
        </w:rPr>
        <w:t xml:space="preserve"> un 13,6 % se encontraba en coma, aunque no especifican la puntuación de Glasgow, se corresponde con 8 puntos o menos. </w:t>
      </w:r>
    </w:p>
    <w:p w14:paraId="53EA296A" w14:textId="77777777" w:rsidR="00274060" w:rsidRPr="00274060" w:rsidRDefault="00274060" w:rsidP="00274060">
      <w:pPr>
        <w:shd w:val="clear" w:color="auto" w:fill="FFFFFF"/>
        <w:spacing w:line="360" w:lineRule="auto"/>
        <w:jc w:val="both"/>
        <w:rPr>
          <w:color w:val="FF0000"/>
          <w:lang w:val="es-ES" w:eastAsia="es-ES"/>
        </w:rPr>
      </w:pPr>
      <w:r w:rsidRPr="00274060">
        <w:rPr>
          <w:lang w:val="es-ES" w:eastAsia="es-ES"/>
        </w:rPr>
        <w:t>En una tesis realizada en Perú,</w:t>
      </w:r>
      <w:r w:rsidRPr="00274060">
        <w:rPr>
          <w:vertAlign w:val="superscript"/>
          <w:lang w:val="es-ES" w:eastAsia="es-ES"/>
        </w:rPr>
        <w:t>(21)</w:t>
      </w:r>
      <w:r w:rsidRPr="00274060">
        <w:rPr>
          <w:lang w:val="es-ES" w:eastAsia="es-ES"/>
        </w:rPr>
        <w:t xml:space="preserve"> en pacientes con ECV isquémica, en el 56,8 % se observa alteración de la consciencia y el </w:t>
      </w:r>
      <w:r w:rsidRPr="00274060">
        <w:rPr>
          <w:shd w:val="clear" w:color="auto" w:fill="FFFFFF"/>
          <w:lang w:val="es-ES" w:eastAsia="es-ES"/>
        </w:rPr>
        <w:t>25 % tuvo coma, equivalente a un Glasgow de 8 puntos o menos.</w:t>
      </w:r>
      <w:r w:rsidRPr="00274060">
        <w:rPr>
          <w:lang w:val="es-ES" w:eastAsia="es-ES"/>
        </w:rPr>
        <w:t xml:space="preserve"> </w:t>
      </w:r>
    </w:p>
    <w:p w14:paraId="5943B221" w14:textId="77777777" w:rsidR="00274060" w:rsidRPr="00274060" w:rsidRDefault="00274060" w:rsidP="00274060">
      <w:pPr>
        <w:spacing w:line="360" w:lineRule="auto"/>
        <w:jc w:val="both"/>
        <w:rPr>
          <w:lang w:val="es-ES" w:eastAsia="es-ES"/>
        </w:rPr>
      </w:pPr>
      <w:r w:rsidRPr="00274060">
        <w:rPr>
          <w:lang w:val="es-ES" w:eastAsia="es-ES"/>
        </w:rPr>
        <w:t>En el trabajo</w:t>
      </w:r>
      <w:r w:rsidRPr="00274060">
        <w:rPr>
          <w:color w:val="FF0000"/>
          <w:lang w:val="es-ES" w:eastAsia="es-ES"/>
        </w:rPr>
        <w:t xml:space="preserve"> </w:t>
      </w:r>
      <w:r w:rsidRPr="00274060">
        <w:rPr>
          <w:lang w:val="es-ES" w:eastAsia="es-ES"/>
        </w:rPr>
        <w:t xml:space="preserve">de </w:t>
      </w:r>
      <w:r w:rsidRPr="00274060">
        <w:rPr>
          <w:i/>
          <w:lang w:val="es-ES" w:eastAsia="es-ES"/>
        </w:rPr>
        <w:t xml:space="preserve">Hernández Ruiz A </w:t>
      </w:r>
      <w:r w:rsidRPr="00274060">
        <w:rPr>
          <w:lang w:val="es-ES" w:eastAsia="es-ES"/>
        </w:rPr>
        <w:t>y otros,</w:t>
      </w:r>
      <w:r w:rsidRPr="00274060">
        <w:rPr>
          <w:vertAlign w:val="superscript"/>
          <w:lang w:val="es-ES" w:eastAsia="es-ES"/>
        </w:rPr>
        <w:t>(11)</w:t>
      </w:r>
      <w:r w:rsidRPr="00274060">
        <w:rPr>
          <w:lang w:val="es-ES" w:eastAsia="es-ES"/>
        </w:rPr>
        <w:t xml:space="preserve"> </w:t>
      </w:r>
      <w:r w:rsidRPr="00274060">
        <w:rPr>
          <w:shd w:val="clear" w:color="auto" w:fill="FFFFFF"/>
          <w:lang w:val="es-ES" w:eastAsia="es-ES"/>
        </w:rPr>
        <w:t>el 63,1 %</w:t>
      </w:r>
      <w:r w:rsidRPr="00274060">
        <w:rPr>
          <w:lang w:val="es-ES" w:eastAsia="es-ES"/>
        </w:rPr>
        <w:t xml:space="preserve"> de los pacientes tuvo 8 puntos o menos; valores que se corresponden con esta investigación.</w:t>
      </w:r>
    </w:p>
    <w:p w14:paraId="1515880A" w14:textId="77777777" w:rsidR="00274060" w:rsidRPr="00274060" w:rsidRDefault="00274060" w:rsidP="00274060">
      <w:pPr>
        <w:spacing w:line="360" w:lineRule="auto"/>
        <w:jc w:val="both"/>
        <w:rPr>
          <w:lang w:val="es-ES" w:eastAsia="es-ES"/>
        </w:rPr>
      </w:pPr>
      <w:r w:rsidRPr="00274060">
        <w:rPr>
          <w:lang w:val="es-ES" w:eastAsia="es-ES"/>
        </w:rPr>
        <w:t>En cuanto a la escala del APACHE II, en las 2 series revisadas se encontró que predominan valores inferiores a los del presente trabajo. Una explicación pudiera ser que los pacientes con ECV ingresados en el servicio, fueron en su mayoría de la tercera edad, con múltiples comorbilidades y valor en la escala de Glasgow de 8 puntos o menos.</w:t>
      </w:r>
    </w:p>
    <w:p w14:paraId="76109842" w14:textId="77777777" w:rsidR="00274060" w:rsidRPr="00274060" w:rsidRDefault="00274060" w:rsidP="00274060">
      <w:pPr>
        <w:spacing w:line="360" w:lineRule="auto"/>
        <w:jc w:val="both"/>
        <w:rPr>
          <w:lang w:val="es-ES" w:eastAsia="es-ES"/>
        </w:rPr>
      </w:pPr>
      <w:r w:rsidRPr="00274060">
        <w:rPr>
          <w:lang w:val="es-ES" w:eastAsia="es-ES"/>
        </w:rPr>
        <w:lastRenderedPageBreak/>
        <w:t xml:space="preserve">En la serie de </w:t>
      </w:r>
      <w:r w:rsidRPr="00274060">
        <w:rPr>
          <w:i/>
          <w:lang w:val="es-ES" w:eastAsia="es-ES"/>
        </w:rPr>
        <w:t xml:space="preserve">Hernández Ruiz </w:t>
      </w:r>
      <w:r w:rsidRPr="00274060">
        <w:rPr>
          <w:lang w:val="es-ES" w:eastAsia="es-ES"/>
        </w:rPr>
        <w:t>y otros,</w:t>
      </w:r>
      <w:r w:rsidRPr="00274060">
        <w:rPr>
          <w:vertAlign w:val="superscript"/>
          <w:lang w:val="es-ES" w:eastAsia="es-ES"/>
        </w:rPr>
        <w:t>(11)</w:t>
      </w:r>
      <w:r w:rsidRPr="00274060">
        <w:rPr>
          <w:lang w:val="es-ES" w:eastAsia="es-ES"/>
        </w:rPr>
        <w:t xml:space="preserve"> 75,4 % de los pacientes tuvieron 14 puntos o menos en la escala APACHE II y en la de </w:t>
      </w:r>
      <w:r w:rsidRPr="00274060">
        <w:rPr>
          <w:i/>
          <w:lang w:val="es-ES" w:eastAsia="es-ES"/>
        </w:rPr>
        <w:t>Vila García</w:t>
      </w:r>
      <w:r w:rsidRPr="00274060">
        <w:rPr>
          <w:lang w:val="es-ES" w:eastAsia="es-ES"/>
        </w:rPr>
        <w:t>,</w:t>
      </w:r>
      <w:r w:rsidRPr="00274060">
        <w:rPr>
          <w:vertAlign w:val="superscript"/>
          <w:lang w:val="es-ES" w:eastAsia="es-ES"/>
        </w:rPr>
        <w:t xml:space="preserve">(12) </w:t>
      </w:r>
      <w:r w:rsidRPr="00274060">
        <w:rPr>
          <w:lang w:val="es-ES" w:eastAsia="es-ES"/>
        </w:rPr>
        <w:t xml:space="preserve">la media fue de 13,3 puntos. </w:t>
      </w:r>
    </w:p>
    <w:p w14:paraId="75AE17C1" w14:textId="77777777" w:rsidR="00274060" w:rsidRPr="00274060" w:rsidRDefault="00274060" w:rsidP="00274060">
      <w:pPr>
        <w:spacing w:line="360" w:lineRule="auto"/>
        <w:jc w:val="both"/>
        <w:rPr>
          <w:color w:val="FF0000"/>
          <w:lang w:val="es-ES" w:eastAsia="es-ES"/>
        </w:rPr>
      </w:pPr>
      <w:r w:rsidRPr="00274060">
        <w:rPr>
          <w:lang w:val="es-ES" w:eastAsia="es-ES"/>
        </w:rPr>
        <w:t>En cuanto a la VM es el procedimiento terapéutico más utilizado en pacientes con afectación de la conciencia, por lo cual su elevada utilización en este trabajo, mayor al de los otros estudios. Una investigación en Manzanillo,</w:t>
      </w:r>
      <w:r w:rsidRPr="00274060">
        <w:rPr>
          <w:vertAlign w:val="superscript"/>
          <w:lang w:val="es-ES" w:eastAsia="es-ES"/>
        </w:rPr>
        <w:t xml:space="preserve">(22) </w:t>
      </w:r>
      <w:r w:rsidRPr="00274060">
        <w:rPr>
          <w:lang w:val="es-ES" w:eastAsia="es-ES"/>
        </w:rPr>
        <w:t>sobre pacientes con VM, el grupo con ECV fue el que más recibió este procedimiento. En el Hospital Militar Central “Dr. Luis Díaz Soto”,</w:t>
      </w:r>
      <w:r w:rsidRPr="00274060">
        <w:rPr>
          <w:vertAlign w:val="superscript"/>
          <w:lang w:val="es-ES" w:eastAsia="es-ES"/>
        </w:rPr>
        <w:t>(12)</w:t>
      </w:r>
      <w:r w:rsidRPr="00274060">
        <w:rPr>
          <w:color w:val="FF0000"/>
          <w:lang w:val="es-ES" w:eastAsia="es-ES"/>
        </w:rPr>
        <w:t xml:space="preserve"> </w:t>
      </w:r>
      <w:r w:rsidRPr="00274060">
        <w:rPr>
          <w:lang w:val="es-ES" w:eastAsia="es-ES"/>
        </w:rPr>
        <w:t>se utilizó la VM en el 13,2 % del total de pacientes y en los fallecidos fue utilizada en un 27,1 %.</w:t>
      </w:r>
      <w:r w:rsidRPr="00274060">
        <w:rPr>
          <w:color w:val="FF0000"/>
          <w:lang w:val="es-ES" w:eastAsia="es-ES"/>
        </w:rPr>
        <w:t xml:space="preserve"> </w:t>
      </w:r>
    </w:p>
    <w:p w14:paraId="32D24A04" w14:textId="77777777" w:rsidR="00274060" w:rsidRPr="00274060" w:rsidRDefault="00274060" w:rsidP="00274060">
      <w:pPr>
        <w:spacing w:line="360" w:lineRule="auto"/>
        <w:jc w:val="both"/>
        <w:rPr>
          <w:lang w:val="es-ES" w:eastAsia="es-ES"/>
        </w:rPr>
      </w:pPr>
      <w:r w:rsidRPr="00274060">
        <w:rPr>
          <w:bCs/>
          <w:lang w:val="es-ES" w:eastAsia="es-ES"/>
        </w:rPr>
        <w:t>En cuanto a la estadía en la UCI, algunos trabajos</w:t>
      </w:r>
      <w:r w:rsidRPr="00274060">
        <w:rPr>
          <w:bCs/>
          <w:vertAlign w:val="superscript"/>
          <w:lang w:val="es-ES" w:eastAsia="es-ES"/>
        </w:rPr>
        <w:t xml:space="preserve">(14,17,20,23) </w:t>
      </w:r>
      <w:r w:rsidRPr="00274060">
        <w:rPr>
          <w:bCs/>
          <w:lang w:val="es-ES" w:eastAsia="es-ES"/>
        </w:rPr>
        <w:t>muestran que fue inferior al de esta serie y otras más prolongadas.</w:t>
      </w:r>
      <w:r w:rsidRPr="00274060">
        <w:rPr>
          <w:lang w:val="es-ES" w:eastAsia="es-ES"/>
        </w:rPr>
        <w:t xml:space="preserve"> </w:t>
      </w:r>
    </w:p>
    <w:p w14:paraId="486E3B84" w14:textId="77777777" w:rsidR="00274060" w:rsidRPr="00274060" w:rsidRDefault="00274060" w:rsidP="00274060">
      <w:pPr>
        <w:spacing w:line="360" w:lineRule="auto"/>
        <w:jc w:val="both"/>
        <w:rPr>
          <w:color w:val="FF0000"/>
          <w:lang w:val="es-ES" w:eastAsia="es-ES"/>
        </w:rPr>
      </w:pPr>
      <w:r w:rsidRPr="00274060">
        <w:rPr>
          <w:lang w:val="es-ES" w:eastAsia="es-ES"/>
        </w:rPr>
        <w:t>El estudio de Carolina del Norte</w:t>
      </w:r>
      <w:r w:rsidRPr="00274060">
        <w:rPr>
          <w:vertAlign w:val="superscript"/>
          <w:lang w:val="es-ES" w:eastAsia="es-ES"/>
        </w:rPr>
        <w:t>(14)</w:t>
      </w:r>
      <w:r w:rsidRPr="00274060">
        <w:rPr>
          <w:lang w:val="es-ES" w:eastAsia="es-ES"/>
        </w:rPr>
        <w:t xml:space="preserve"> tuvo una mediana de estadía de 2 días; en el trabajo realizado en Rusia</w:t>
      </w:r>
      <w:r w:rsidRPr="00274060">
        <w:rPr>
          <w:vertAlign w:val="superscript"/>
          <w:lang w:val="es-ES" w:eastAsia="es-ES"/>
        </w:rPr>
        <w:t>(17)</w:t>
      </w:r>
      <w:r w:rsidRPr="00274060">
        <w:rPr>
          <w:lang w:val="es-ES" w:eastAsia="es-ES"/>
        </w:rPr>
        <w:t xml:space="preserve"> con pacientes que presentaron ECV hemorrágica, hubo un 60,3 % con estadía inferior a las 24 horas.</w:t>
      </w:r>
    </w:p>
    <w:p w14:paraId="47EE1C68" w14:textId="77777777" w:rsidR="00274060" w:rsidRPr="00274060" w:rsidRDefault="00274060" w:rsidP="00274060">
      <w:pPr>
        <w:shd w:val="clear" w:color="auto" w:fill="FFFFFF"/>
        <w:spacing w:line="360" w:lineRule="auto"/>
        <w:jc w:val="both"/>
        <w:rPr>
          <w:lang w:val="es-ES" w:eastAsia="es-ES"/>
        </w:rPr>
      </w:pPr>
      <w:r w:rsidRPr="00274060">
        <w:rPr>
          <w:lang w:val="es-ES" w:eastAsia="es-ES"/>
        </w:rPr>
        <w:t>Otro estudio de Cienfuegos</w:t>
      </w:r>
      <w:r w:rsidRPr="00274060">
        <w:rPr>
          <w:vertAlign w:val="superscript"/>
          <w:lang w:val="es-ES" w:eastAsia="es-ES"/>
        </w:rPr>
        <w:t>(20)</w:t>
      </w:r>
      <w:r w:rsidRPr="00274060">
        <w:rPr>
          <w:lang w:val="es-ES" w:eastAsia="es-ES"/>
        </w:rPr>
        <w:t xml:space="preserve"> halló una estadía de ≤ 7 días en los enfermos con ECV hemorrágica del 79,9 % y en la ECV isquémica el 72,4 %. </w:t>
      </w:r>
    </w:p>
    <w:p w14:paraId="14C49960" w14:textId="77777777" w:rsidR="00274060" w:rsidRPr="00274060" w:rsidRDefault="00274060" w:rsidP="00274060">
      <w:pPr>
        <w:spacing w:line="360" w:lineRule="auto"/>
        <w:jc w:val="both"/>
        <w:rPr>
          <w:lang w:val="es-ES" w:eastAsia="es-ES"/>
        </w:rPr>
      </w:pPr>
      <w:r w:rsidRPr="00274060">
        <w:rPr>
          <w:lang w:val="es-ES" w:eastAsia="es-ES"/>
        </w:rPr>
        <w:t>En Holguín,</w:t>
      </w:r>
      <w:r w:rsidRPr="00274060">
        <w:rPr>
          <w:vertAlign w:val="superscript"/>
          <w:lang w:val="es-ES" w:eastAsia="es-ES"/>
        </w:rPr>
        <w:t>(23)</w:t>
      </w:r>
      <w:r w:rsidRPr="00274060">
        <w:rPr>
          <w:color w:val="FF0000"/>
          <w:lang w:val="es-ES" w:eastAsia="es-ES"/>
        </w:rPr>
        <w:t xml:space="preserve"> </w:t>
      </w:r>
      <w:r w:rsidRPr="00274060">
        <w:rPr>
          <w:lang w:val="es-ES" w:eastAsia="es-ES"/>
        </w:rPr>
        <w:t>en una investigación con todos los pacientes fallecidos con el diagnóstico clínico, tomográfico y necrológico de ECV; en relación con la estadía, el predominio de fallecidos estuvo después de los 7 días, seguido de los de menos de 72 h y, por último los de 4 a 7 días.</w:t>
      </w:r>
      <w:r w:rsidRPr="00274060">
        <w:rPr>
          <w:color w:val="FF0000"/>
          <w:lang w:val="es-ES" w:eastAsia="es-ES"/>
        </w:rPr>
        <w:t xml:space="preserve"> </w:t>
      </w:r>
    </w:p>
    <w:p w14:paraId="553CB850" w14:textId="77777777" w:rsidR="00274060" w:rsidRPr="00274060" w:rsidRDefault="00274060" w:rsidP="00274060">
      <w:pPr>
        <w:tabs>
          <w:tab w:val="left" w:pos="3750"/>
        </w:tabs>
        <w:spacing w:line="360" w:lineRule="auto"/>
        <w:jc w:val="both"/>
        <w:rPr>
          <w:b/>
          <w:bCs/>
          <w:lang w:val="es-ES" w:eastAsia="es-ES"/>
        </w:rPr>
      </w:pPr>
      <w:r w:rsidRPr="00274060">
        <w:rPr>
          <w:shd w:val="clear" w:color="auto" w:fill="FFFFFF"/>
          <w:lang w:val="es-ES" w:eastAsia="es-ES"/>
        </w:rPr>
        <w:t>La causa más importante de muerte en la ECV es la hernia transtentorial, seguida por la neumonía, embolismo pulmonar y la sepsis.</w:t>
      </w:r>
      <w:r w:rsidRPr="00274060">
        <w:rPr>
          <w:shd w:val="clear" w:color="auto" w:fill="FFFFFF"/>
          <w:vertAlign w:val="superscript"/>
          <w:lang w:val="es-ES" w:eastAsia="es-ES"/>
        </w:rPr>
        <w:t xml:space="preserve">(24) </w:t>
      </w:r>
      <w:r w:rsidRPr="00274060">
        <w:rPr>
          <w:shd w:val="clear" w:color="auto" w:fill="FFFFFF"/>
          <w:lang w:val="es-ES" w:eastAsia="es-ES"/>
        </w:rPr>
        <w:t xml:space="preserve">En la serie de </w:t>
      </w:r>
      <w:r w:rsidRPr="00274060">
        <w:rPr>
          <w:lang w:val="es-ES" w:eastAsia="es-ES"/>
        </w:rPr>
        <w:t>Holguín,</w:t>
      </w:r>
      <w:r w:rsidRPr="00274060">
        <w:rPr>
          <w:vertAlign w:val="superscript"/>
          <w:lang w:val="es-ES" w:eastAsia="es-ES"/>
        </w:rPr>
        <w:t>(23)</w:t>
      </w:r>
      <w:r w:rsidRPr="00274060">
        <w:rPr>
          <w:lang w:val="es-ES" w:eastAsia="es-ES"/>
        </w:rPr>
        <w:t xml:space="preserve"> el edema cerebral intenso, la hipertensión endocraneana refractaria, el fallo múltiple de órganos, la insuficiencia respiratoria aguda y el tromboembolismo pulmonar fueron las 5 principales causas directas de muerte.</w:t>
      </w:r>
      <w:r w:rsidRPr="00274060">
        <w:rPr>
          <w:vertAlign w:val="superscript"/>
          <w:lang w:val="es-ES" w:eastAsia="es-ES"/>
        </w:rPr>
        <w:t xml:space="preserve"> </w:t>
      </w:r>
    </w:p>
    <w:p w14:paraId="1577B6FF" w14:textId="77777777" w:rsidR="00274060" w:rsidRPr="00274060" w:rsidRDefault="00274060" w:rsidP="00274060">
      <w:pPr>
        <w:spacing w:line="360" w:lineRule="auto"/>
        <w:jc w:val="both"/>
        <w:rPr>
          <w:lang w:val="es-ES" w:eastAsia="es-ES"/>
        </w:rPr>
      </w:pPr>
      <w:r w:rsidRPr="00274060">
        <w:rPr>
          <w:lang w:val="es-ES" w:eastAsia="es-ES"/>
        </w:rPr>
        <w:t>La investigación de Cienfuegos</w:t>
      </w:r>
      <w:r w:rsidRPr="00274060">
        <w:rPr>
          <w:vertAlign w:val="superscript"/>
          <w:lang w:val="es-ES" w:eastAsia="es-ES"/>
        </w:rPr>
        <w:t>(20)</w:t>
      </w:r>
      <w:r w:rsidRPr="00274060">
        <w:rPr>
          <w:lang w:val="es-ES" w:eastAsia="es-ES"/>
        </w:rPr>
        <w:t xml:space="preserve"> muestra en los pacientes fallecidos por ECV hemorrágica, a la neumonía/bronconeumonía (10,8 %) y el tromboembolismo pulmonar (2,6 %), como principales causas de muerte, al igual que en los isquémicos, pero con porcentajes mayores con 38,1 % y 3,4 % respectivamente.</w:t>
      </w:r>
      <w:r w:rsidRPr="00274060">
        <w:rPr>
          <w:vertAlign w:val="superscript"/>
          <w:lang w:val="es-ES" w:eastAsia="es-ES"/>
        </w:rPr>
        <w:t xml:space="preserve"> </w:t>
      </w:r>
    </w:p>
    <w:p w14:paraId="2CB417A0" w14:textId="77777777" w:rsidR="00274060" w:rsidRPr="00274060" w:rsidRDefault="00274060" w:rsidP="00274060">
      <w:pPr>
        <w:autoSpaceDE w:val="0"/>
        <w:autoSpaceDN w:val="0"/>
        <w:adjustRightInd w:val="0"/>
        <w:spacing w:line="360" w:lineRule="auto"/>
        <w:jc w:val="both"/>
        <w:rPr>
          <w:lang w:val="es-ES" w:eastAsia="es-ES"/>
        </w:rPr>
      </w:pPr>
      <w:r w:rsidRPr="00274060">
        <w:rPr>
          <w:lang w:val="es-ES" w:eastAsia="es-ES"/>
        </w:rPr>
        <w:t xml:space="preserve">Se concluye que existe predominio de la ECV de tipo hemorrágica, en pacientes del sexo masculino, de </w:t>
      </w:r>
      <w:r w:rsidRPr="00274060">
        <w:rPr>
          <w:lang w:val="es-ES"/>
        </w:rPr>
        <w:t>60-100</w:t>
      </w:r>
      <w:r w:rsidRPr="00274060">
        <w:rPr>
          <w:lang w:val="es-ES" w:eastAsia="es-ES"/>
        </w:rPr>
        <w:t xml:space="preserve"> años, con APACHE II &gt; 15 puntos, Glasgow ≤ 8 puntos, ventilados, estadía ≤ 7 días y edema cerebral intenso.</w:t>
      </w:r>
      <w:r w:rsidRPr="00274060" w:rsidDel="0001200D">
        <w:rPr>
          <w:lang w:val="es-ES" w:eastAsia="es-ES"/>
        </w:rPr>
        <w:t xml:space="preserve"> </w:t>
      </w:r>
      <w:r w:rsidRPr="00274060">
        <w:rPr>
          <w:lang w:val="es-ES" w:eastAsia="es-ES"/>
        </w:rPr>
        <w:t xml:space="preserve"> </w:t>
      </w:r>
    </w:p>
    <w:p w14:paraId="13FB1771" w14:textId="77777777" w:rsidR="00274060" w:rsidRPr="00274060" w:rsidRDefault="00274060" w:rsidP="00274060">
      <w:pPr>
        <w:autoSpaceDE w:val="0"/>
        <w:autoSpaceDN w:val="0"/>
        <w:adjustRightInd w:val="0"/>
        <w:spacing w:line="360" w:lineRule="auto"/>
        <w:jc w:val="both"/>
        <w:rPr>
          <w:lang w:val="es-ES" w:eastAsia="es-ES"/>
        </w:rPr>
      </w:pPr>
    </w:p>
    <w:p w14:paraId="22BEF403" w14:textId="77777777" w:rsidR="00274060" w:rsidRPr="00274060" w:rsidRDefault="00274060" w:rsidP="00274060">
      <w:pPr>
        <w:autoSpaceDE w:val="0"/>
        <w:autoSpaceDN w:val="0"/>
        <w:adjustRightInd w:val="0"/>
        <w:spacing w:line="360" w:lineRule="auto"/>
        <w:jc w:val="both"/>
        <w:rPr>
          <w:lang w:val="es-ES" w:eastAsia="es-ES"/>
        </w:rPr>
      </w:pPr>
    </w:p>
    <w:p w14:paraId="12A3E624" w14:textId="77777777" w:rsidR="00274060" w:rsidRPr="00274060" w:rsidRDefault="00274060" w:rsidP="00274060">
      <w:pPr>
        <w:spacing w:line="360" w:lineRule="auto"/>
        <w:jc w:val="center"/>
        <w:rPr>
          <w:b/>
          <w:snapToGrid w:val="0"/>
          <w:sz w:val="32"/>
          <w:szCs w:val="32"/>
          <w:lang w:val="es-ES" w:eastAsia="en-US"/>
        </w:rPr>
      </w:pPr>
      <w:r w:rsidRPr="00274060">
        <w:rPr>
          <w:b/>
          <w:snapToGrid w:val="0"/>
          <w:sz w:val="32"/>
          <w:szCs w:val="32"/>
          <w:lang w:val="es-ES" w:eastAsia="en-US"/>
        </w:rPr>
        <w:t>REFERENCIAS BIBLIOGRÁFICAS</w:t>
      </w:r>
    </w:p>
    <w:p w14:paraId="34C0BEC2" w14:textId="77777777" w:rsidR="00274060" w:rsidRPr="00274060" w:rsidRDefault="00274060" w:rsidP="00274060">
      <w:pPr>
        <w:tabs>
          <w:tab w:val="left" w:pos="426"/>
          <w:tab w:val="left" w:pos="709"/>
        </w:tabs>
        <w:spacing w:line="360" w:lineRule="auto"/>
        <w:rPr>
          <w:lang w:val="es-ES" w:eastAsia="es-ES"/>
        </w:rPr>
      </w:pPr>
      <w:r w:rsidRPr="00274060">
        <w:rPr>
          <w:lang w:val="es-ES" w:eastAsia="es-ES"/>
        </w:rPr>
        <w:t>1. Ministerio de Salud Pública. Dirección de Registros médicos y estadísticas de Salud. Anuario estadístico de salud 2021. La Habana: Editorial Ciencias Médicas; 2022. [acceso: 27/03/2021]. p: 44-98. Disponible en:</w:t>
      </w:r>
    </w:p>
    <w:p w14:paraId="6162DD7C" w14:textId="77777777" w:rsidR="00274060" w:rsidRPr="00274060" w:rsidRDefault="00274060" w:rsidP="00274060">
      <w:pPr>
        <w:tabs>
          <w:tab w:val="left" w:pos="426"/>
          <w:tab w:val="left" w:pos="709"/>
        </w:tabs>
        <w:spacing w:line="360" w:lineRule="auto"/>
        <w:rPr>
          <w:lang w:val="es-ES" w:eastAsia="es-ES"/>
        </w:rPr>
      </w:pPr>
      <w:r w:rsidRPr="00274060">
        <w:rPr>
          <w:lang w:val="es-ES" w:eastAsia="es-ES"/>
        </w:rPr>
        <w:t xml:space="preserve"> </w:t>
      </w:r>
      <w:hyperlink r:id="rId15" w:history="1">
        <w:r w:rsidRPr="00274060">
          <w:rPr>
            <w:color w:val="0000FF"/>
            <w:lang w:val="es-ES" w:eastAsia="es-ES"/>
          </w:rPr>
          <w:t>https://files.sld.cu/dne/files/2022/10/Anuario-Estadístico-de-Salud-2021.-Ed-2022.pdf</w:t>
        </w:r>
      </w:hyperlink>
      <w:r w:rsidRPr="00274060">
        <w:rPr>
          <w:lang w:val="es-ES" w:eastAsia="es-ES"/>
        </w:rPr>
        <w:t xml:space="preserve"> </w:t>
      </w:r>
    </w:p>
    <w:p w14:paraId="28D7C30D" w14:textId="77777777" w:rsidR="00274060" w:rsidRPr="00274060" w:rsidRDefault="00274060" w:rsidP="00274060">
      <w:pPr>
        <w:tabs>
          <w:tab w:val="left" w:pos="426"/>
          <w:tab w:val="left" w:pos="709"/>
        </w:tabs>
        <w:spacing w:line="360" w:lineRule="auto"/>
        <w:rPr>
          <w:lang w:val="en-US" w:eastAsia="es-ES"/>
        </w:rPr>
      </w:pPr>
      <w:r w:rsidRPr="00274060">
        <w:rPr>
          <w:lang w:val="en-US" w:eastAsia="es-ES"/>
        </w:rPr>
        <w:t>2. Rahbar MH, Medrano M, Diaz Garelli F, Gonzalez Villaman C, Saroukhani S, Kim S, et al. Younger age of stroke in low-middle income countries is related to healthcare access and quality. Annals Clin Transl Neurol. 2022; 9(3): 415-27. DOI: 10.1002/acn3.51507</w:t>
      </w:r>
    </w:p>
    <w:p w14:paraId="78629DDD" w14:textId="77777777" w:rsidR="00274060" w:rsidRPr="00274060" w:rsidRDefault="00274060" w:rsidP="00274060">
      <w:pPr>
        <w:tabs>
          <w:tab w:val="left" w:pos="426"/>
          <w:tab w:val="left" w:pos="709"/>
        </w:tabs>
        <w:spacing w:line="360" w:lineRule="auto"/>
        <w:rPr>
          <w:lang w:val="en-US" w:eastAsia="es-ES"/>
        </w:rPr>
      </w:pPr>
      <w:r w:rsidRPr="00274060">
        <w:rPr>
          <w:lang w:val="en-US" w:eastAsia="es-ES"/>
        </w:rPr>
        <w:t>3. Jacob MA, Ekker MS, Allach Y, Cai M, Aarnio K, Arauz A, et al. Global Differences in Risk Factors, Etiology, and Outcome of Ischemic Stroke in Young Adults-A Worldwide Meta-analysis: The GOAL Initiative. Neurology. 2022; 98(6):e573-e588. DOI: 10.1212/WNL.0000000000013195</w:t>
      </w:r>
    </w:p>
    <w:p w14:paraId="7A4F26CF" w14:textId="77777777" w:rsidR="00274060" w:rsidRPr="00274060" w:rsidRDefault="00274060" w:rsidP="00274060">
      <w:pPr>
        <w:tabs>
          <w:tab w:val="left" w:pos="426"/>
          <w:tab w:val="left" w:pos="709"/>
        </w:tabs>
        <w:spacing w:line="360" w:lineRule="auto"/>
        <w:rPr>
          <w:lang w:val="en-US" w:eastAsia="es-ES"/>
        </w:rPr>
      </w:pPr>
      <w:r w:rsidRPr="00274060">
        <w:rPr>
          <w:lang w:val="en-US" w:eastAsia="es-ES"/>
        </w:rPr>
        <w:t>4. Kleindorfer DO, Towfighi A, Chaturvedi S, Cockroft KM, Gutierrez J, Lombardi-Hill D, et al. 2021 Guideline for the Prevention of Stroke in Patients With Stroke and Transient Ischemic Attack: A Guideline From the American Heart Association/American Stroke Association. Stroke. 2021; 52(7):e364-e467. DOI: 10.1161/STR.0000000000000375</w:t>
      </w:r>
    </w:p>
    <w:p w14:paraId="4990D965" w14:textId="77777777" w:rsidR="00274060" w:rsidRPr="00274060" w:rsidRDefault="00274060" w:rsidP="00274060">
      <w:pPr>
        <w:tabs>
          <w:tab w:val="left" w:pos="426"/>
          <w:tab w:val="left" w:pos="709"/>
        </w:tabs>
        <w:spacing w:line="360" w:lineRule="auto"/>
        <w:rPr>
          <w:lang w:val="en-US" w:eastAsia="es-ES"/>
        </w:rPr>
      </w:pPr>
      <w:r w:rsidRPr="00274060">
        <w:rPr>
          <w:lang w:val="en-US" w:eastAsia="es-ES"/>
        </w:rPr>
        <w:t>5. Qin C, Yang S, Chu YH, Zhang H, Pang XW, Chen L, et al. Signaling pathways involved in ischemic stroke: molecular mechanisms and therapeutic interventions. Signal Transduct Target Ther. 2022; 7(1):215. DOI:10.1038/s41392-022-01064-1</w:t>
      </w:r>
    </w:p>
    <w:p w14:paraId="54F0DDD1" w14:textId="77777777" w:rsidR="00274060" w:rsidRPr="00274060" w:rsidRDefault="00274060" w:rsidP="00274060">
      <w:pPr>
        <w:tabs>
          <w:tab w:val="left" w:pos="426"/>
          <w:tab w:val="left" w:pos="709"/>
        </w:tabs>
        <w:spacing w:line="360" w:lineRule="auto"/>
        <w:rPr>
          <w:lang w:val="en-US" w:eastAsia="es-ES"/>
        </w:rPr>
      </w:pPr>
      <w:r w:rsidRPr="00274060">
        <w:rPr>
          <w:lang w:val="en-US" w:eastAsia="es-ES"/>
        </w:rPr>
        <w:t>6. Béjot Y, Duloquin G, Thomas Q, Mohr S, Garnier L, Graber M, et al. Temporal Trends in the Incidence of Ischemic Stroke in Young Adults: Dijon Stroke Registry. Neuroepidemiology. 2021; 55(3):239-44. DOI: 10.1159/000516054.</w:t>
      </w:r>
    </w:p>
    <w:p w14:paraId="377A8ADF" w14:textId="77777777" w:rsidR="00274060" w:rsidRPr="00274060" w:rsidRDefault="00274060" w:rsidP="00274060">
      <w:pPr>
        <w:tabs>
          <w:tab w:val="left" w:pos="426"/>
          <w:tab w:val="left" w:pos="709"/>
        </w:tabs>
        <w:spacing w:line="360" w:lineRule="auto"/>
        <w:rPr>
          <w:lang w:val="es-ES" w:eastAsia="es-ES"/>
        </w:rPr>
      </w:pPr>
      <w:r w:rsidRPr="00274060">
        <w:rPr>
          <w:lang w:val="en-US" w:eastAsia="es-ES"/>
        </w:rPr>
        <w:t xml:space="preserve">7. Feigin VL. Anthology of stroke epidemiology in the 20th and 21st centuries: Assessing the past, the present, and envisioning the future. </w:t>
      </w:r>
      <w:r w:rsidRPr="00274060">
        <w:rPr>
          <w:lang w:val="es-ES" w:eastAsia="es-ES"/>
        </w:rPr>
        <w:t>Int J Stroke. 2019; 14(3):223-37. DOI: 10.1177/1747493019832996.</w:t>
      </w:r>
    </w:p>
    <w:p w14:paraId="732E4EB9" w14:textId="77777777" w:rsidR="00274060" w:rsidRPr="00274060" w:rsidRDefault="00274060" w:rsidP="00274060">
      <w:pPr>
        <w:tabs>
          <w:tab w:val="left" w:pos="426"/>
          <w:tab w:val="left" w:pos="709"/>
        </w:tabs>
        <w:spacing w:line="360" w:lineRule="auto"/>
        <w:rPr>
          <w:lang w:val="en-US" w:eastAsia="es-ES"/>
        </w:rPr>
      </w:pPr>
      <w:r w:rsidRPr="00274060">
        <w:rPr>
          <w:lang w:val="es-ES" w:eastAsia="es-ES"/>
        </w:rPr>
        <w:lastRenderedPageBreak/>
        <w:t xml:space="preserve">8. Pucciarelli G, Rebora P, Arisido MW, Ausili D, Simeone S, Vellone E, et al.  </w:t>
      </w:r>
      <w:r w:rsidRPr="00274060">
        <w:rPr>
          <w:lang w:val="en-US" w:eastAsia="es-ES"/>
        </w:rPr>
        <w:t>Direct Cost Related to Stroke: A Longitudinal Analysis of Survivors After Discharge From a Rehabilitation Hospital. J Cardiovasc Nurs. 2020; 35(1):86-94. DOI: 10.1097/JCN.0000000000000620</w:t>
      </w:r>
    </w:p>
    <w:p w14:paraId="528EF482" w14:textId="77777777" w:rsidR="00274060" w:rsidRPr="00274060" w:rsidRDefault="00274060" w:rsidP="00274060">
      <w:pPr>
        <w:tabs>
          <w:tab w:val="left" w:pos="426"/>
          <w:tab w:val="left" w:pos="709"/>
        </w:tabs>
        <w:spacing w:line="360" w:lineRule="auto"/>
        <w:rPr>
          <w:lang w:val="en-US" w:eastAsia="es-ES"/>
        </w:rPr>
      </w:pPr>
      <w:r w:rsidRPr="00274060">
        <w:rPr>
          <w:lang w:val="en-US" w:eastAsia="es-ES"/>
        </w:rPr>
        <w:t>9. Wang X, Liang M, Zeng F, Wang Y, Yang Y, Nie F, et al. Predictive role of modifiable factors in stroke: an umbrella review. BMJ Open. 2022; 12(6):e056680. DOI: 10.1136/bmjopen-2021-056680</w:t>
      </w:r>
    </w:p>
    <w:p w14:paraId="51470F3E" w14:textId="77777777" w:rsidR="00274060" w:rsidRPr="00274060" w:rsidRDefault="00274060" w:rsidP="00274060">
      <w:pPr>
        <w:tabs>
          <w:tab w:val="left" w:pos="426"/>
          <w:tab w:val="left" w:pos="709"/>
        </w:tabs>
        <w:spacing w:line="360" w:lineRule="auto"/>
        <w:rPr>
          <w:lang w:val="es-ES" w:eastAsia="es-ES"/>
        </w:rPr>
      </w:pPr>
      <w:r w:rsidRPr="00274060">
        <w:rPr>
          <w:lang w:val="en-US" w:eastAsia="es-ES"/>
        </w:rPr>
        <w:t xml:space="preserve">10. Dabilgou AA, Dravé A, Kyelem JMA, Zoungrana R, Napon C, Millogo A, et al. Frequency of recurrent stroke in Burkina Faso: an observational hospital based study of 6 months. </w:t>
      </w:r>
      <w:r w:rsidRPr="00274060">
        <w:rPr>
          <w:lang w:val="es-ES" w:eastAsia="es-ES"/>
        </w:rPr>
        <w:t>Pan Afr Med J. 2021; 40:108. DOI: 10.11604/pamj.2021.40.108.23098</w:t>
      </w:r>
    </w:p>
    <w:p w14:paraId="2E20AC92" w14:textId="77777777" w:rsidR="00274060" w:rsidRPr="00274060" w:rsidRDefault="00274060" w:rsidP="00274060">
      <w:pPr>
        <w:tabs>
          <w:tab w:val="left" w:pos="426"/>
          <w:tab w:val="left" w:pos="709"/>
        </w:tabs>
        <w:spacing w:line="360" w:lineRule="auto"/>
        <w:rPr>
          <w:lang w:val="es-ES" w:eastAsia="es-ES"/>
        </w:rPr>
      </w:pPr>
      <w:r w:rsidRPr="00274060">
        <w:rPr>
          <w:lang w:val="es-ES" w:eastAsia="es-ES"/>
        </w:rPr>
        <w:t>11. Hernández Ruiz A, Le’Clerc Nicolás J, González González M, Poyo Indra JD, Viñas Rodríguez D. Factores pronósticos de mortalidad en pacientes graves con enfermedades neurológicas agudas no traumáticas. AMC. 2020 [acceso: 04/11/2022]; 24(6): e7570. Disponible en:</w:t>
      </w:r>
    </w:p>
    <w:p w14:paraId="368917DC" w14:textId="77777777" w:rsidR="00274060" w:rsidRPr="00274060" w:rsidRDefault="00274060" w:rsidP="00274060">
      <w:pPr>
        <w:tabs>
          <w:tab w:val="left" w:pos="426"/>
          <w:tab w:val="left" w:pos="709"/>
        </w:tabs>
        <w:spacing w:line="360" w:lineRule="auto"/>
        <w:rPr>
          <w:lang w:val="es-ES" w:eastAsia="es-ES"/>
        </w:rPr>
      </w:pPr>
      <w:hyperlink r:id="rId16" w:history="1">
        <w:r w:rsidRPr="00274060">
          <w:rPr>
            <w:color w:val="0000FF"/>
            <w:lang w:val="es-ES" w:eastAsia="es-ES"/>
          </w:rPr>
          <w:t>http://scielo.sld.cu/scielo.php?script=sci_arttext&amp;pid=S1025-02552020000600005&amp;lng=es</w:t>
        </w:r>
      </w:hyperlink>
      <w:r w:rsidRPr="00274060">
        <w:rPr>
          <w:lang w:val="es-ES" w:eastAsia="es-ES"/>
        </w:rPr>
        <w:t xml:space="preserve"> </w:t>
      </w:r>
    </w:p>
    <w:p w14:paraId="44651CF3" w14:textId="77777777" w:rsidR="00274060" w:rsidRPr="00274060" w:rsidRDefault="00274060" w:rsidP="00274060">
      <w:pPr>
        <w:tabs>
          <w:tab w:val="left" w:pos="426"/>
          <w:tab w:val="left" w:pos="709"/>
        </w:tabs>
        <w:spacing w:line="360" w:lineRule="auto"/>
        <w:rPr>
          <w:lang w:val="es-ES" w:eastAsia="es-ES"/>
        </w:rPr>
      </w:pPr>
      <w:r w:rsidRPr="00274060">
        <w:rPr>
          <w:lang w:val="es-ES" w:eastAsia="es-ES"/>
        </w:rPr>
        <w:t xml:space="preserve">12. Vila García LO, Hernández Pedroso W, Castillo López B, Ramos Ravelo D, Lemes Rodríguez A, Santana Sánchez R. Caracterización de los factores modificables asociados a la letalidad hospitalaria del ictus. Rev Cub Med Mil. 2017 [acceso: 04/11/2022]; 46(2):163-76. Disponible en: </w:t>
      </w:r>
    </w:p>
    <w:p w14:paraId="761481CC" w14:textId="77777777" w:rsidR="00274060" w:rsidRPr="00274060" w:rsidRDefault="00274060" w:rsidP="00274060">
      <w:pPr>
        <w:tabs>
          <w:tab w:val="left" w:pos="426"/>
          <w:tab w:val="left" w:pos="709"/>
        </w:tabs>
        <w:spacing w:line="360" w:lineRule="auto"/>
        <w:rPr>
          <w:lang w:val="es-ES" w:eastAsia="es-ES"/>
        </w:rPr>
      </w:pPr>
      <w:hyperlink r:id="rId17" w:history="1">
        <w:r w:rsidRPr="00274060">
          <w:rPr>
            <w:color w:val="0000FF"/>
            <w:lang w:val="es-ES" w:eastAsia="es-ES"/>
          </w:rPr>
          <w:t>http://scielo.sld.cu/scielo.php?script=sci_arttext&amp;pid=S0138-65572017000200007&amp;lng=es</w:t>
        </w:r>
      </w:hyperlink>
      <w:r w:rsidRPr="00274060">
        <w:rPr>
          <w:lang w:val="es-ES" w:eastAsia="es-ES"/>
        </w:rPr>
        <w:t xml:space="preserve"> </w:t>
      </w:r>
    </w:p>
    <w:p w14:paraId="0BC4620E" w14:textId="77777777" w:rsidR="00274060" w:rsidRPr="00274060" w:rsidRDefault="00274060" w:rsidP="00274060">
      <w:pPr>
        <w:tabs>
          <w:tab w:val="left" w:pos="426"/>
          <w:tab w:val="left" w:pos="709"/>
        </w:tabs>
        <w:spacing w:line="360" w:lineRule="auto"/>
        <w:rPr>
          <w:lang w:val="en-US" w:eastAsia="es-ES"/>
        </w:rPr>
      </w:pPr>
      <w:r w:rsidRPr="00274060">
        <w:rPr>
          <w:lang w:val="es-ES" w:eastAsia="es-ES"/>
        </w:rPr>
        <w:t xml:space="preserve">13. Giralt Steinhauer E, Jiménez Balado J, Fernández Pérez I, Rey Álvarez L, Rodríguez Campello A, Ois Á, Cuadrado Godia E, et al. </w:t>
      </w:r>
      <w:r w:rsidRPr="00274060">
        <w:rPr>
          <w:lang w:val="en-US" w:eastAsia="es-ES"/>
        </w:rPr>
        <w:t>Genetics and Epigenetics of Spontaneous Intracerebral Hemorrhage. Int J Mol Sci. 2022; 23(12):6479. DOI: 10.3390/ijms23126479</w:t>
      </w:r>
    </w:p>
    <w:p w14:paraId="07F258C7" w14:textId="77777777" w:rsidR="00274060" w:rsidRPr="00274060" w:rsidRDefault="00274060" w:rsidP="00274060">
      <w:pPr>
        <w:tabs>
          <w:tab w:val="left" w:pos="426"/>
          <w:tab w:val="left" w:pos="709"/>
        </w:tabs>
        <w:spacing w:line="360" w:lineRule="auto"/>
        <w:rPr>
          <w:lang w:val="en-US" w:eastAsia="es-ES"/>
        </w:rPr>
      </w:pPr>
      <w:r w:rsidRPr="00274060">
        <w:rPr>
          <w:lang w:val="en-US" w:eastAsia="es-ES"/>
        </w:rPr>
        <w:t>14. Bushnell CD, Kucharska Newton AM, Jones SB, Psioda MA, Johnson AM, Daras LC, et al. Hospital Readmissions and Mortality Among Fee-for-Service Medicare Patients With Minor Stroke or Transient Ischemic Attack: Findings From the COMPASS Cluster-Randomized Pragmatic Trial. J Am Heart Assoc. 2021; 10:e023394. DOI: 10.1161/JAHA.121.023394</w:t>
      </w:r>
    </w:p>
    <w:p w14:paraId="77448BC7" w14:textId="77777777" w:rsidR="00274060" w:rsidRPr="00274060" w:rsidRDefault="00274060" w:rsidP="00274060">
      <w:pPr>
        <w:tabs>
          <w:tab w:val="left" w:pos="426"/>
          <w:tab w:val="left" w:pos="709"/>
        </w:tabs>
        <w:spacing w:line="360" w:lineRule="auto"/>
        <w:rPr>
          <w:lang w:val="en-US" w:eastAsia="es-ES"/>
        </w:rPr>
      </w:pPr>
      <w:r w:rsidRPr="00274060">
        <w:rPr>
          <w:lang w:val="en-US" w:eastAsia="es-ES"/>
        </w:rPr>
        <w:t>15. Herath HMMTB, Rodrigo C, Alahakoon AMBD, Ambawatte SB, Senanayake S, Senanayake B, et al. Outcomes of stroke patients undergoing thrombolysis in Sri Lanka; an observational prospective study from a low-middle income country. BMC Neurol. 2021; 21(1):434. DOI: 10.1186/s12883-021-02475-3</w:t>
      </w:r>
    </w:p>
    <w:p w14:paraId="1BB3480F" w14:textId="77777777" w:rsidR="00274060" w:rsidRPr="00274060" w:rsidRDefault="00274060" w:rsidP="00274060">
      <w:pPr>
        <w:tabs>
          <w:tab w:val="left" w:pos="426"/>
          <w:tab w:val="left" w:pos="709"/>
        </w:tabs>
        <w:spacing w:line="360" w:lineRule="auto"/>
        <w:rPr>
          <w:lang w:val="en-US" w:eastAsia="es-ES"/>
        </w:rPr>
      </w:pPr>
      <w:r w:rsidRPr="00274060">
        <w:rPr>
          <w:lang w:val="en-US" w:eastAsia="es-ES"/>
        </w:rPr>
        <w:lastRenderedPageBreak/>
        <w:t>16. Stamenković M, Radmilo L, Jovićević M, Rabi-Žikić T, Žarkov M, Ružička-Kaloci S, et al. Clinical Characteristics of Patients with Acute Ischemic Stroke Previously Vaccinated Against COVID-19. J Stroke Cerebrovasc Dis. 2022; 31(6):106483. DOI: 10.1016/j.jstrokecerebrovasdis.2022.106483</w:t>
      </w:r>
    </w:p>
    <w:p w14:paraId="47E0172E" w14:textId="77777777" w:rsidR="00274060" w:rsidRPr="00274060" w:rsidRDefault="00274060" w:rsidP="00274060">
      <w:pPr>
        <w:tabs>
          <w:tab w:val="left" w:pos="426"/>
          <w:tab w:val="left" w:pos="709"/>
        </w:tabs>
        <w:spacing w:line="360" w:lineRule="auto"/>
        <w:rPr>
          <w:lang w:val="en-US" w:eastAsia="es-ES"/>
        </w:rPr>
      </w:pPr>
      <w:r w:rsidRPr="00274060">
        <w:rPr>
          <w:lang w:val="en-US" w:eastAsia="es-ES"/>
        </w:rPr>
        <w:t>17. Silina EV, Rumyantceva SA, Stupin VA, Parfenov VA, Bolevich SB. Early predictive blood markers of hemorrhagic stroke - influence of cytoflavin therapy. Can J Physiol Pharmacol. 2021; 99(1):72-9. DOI: 10.1139/cjpp-2020-0277</w:t>
      </w:r>
    </w:p>
    <w:p w14:paraId="7AE60E3C" w14:textId="77777777" w:rsidR="00274060" w:rsidRPr="00274060" w:rsidRDefault="00274060" w:rsidP="00274060">
      <w:pPr>
        <w:tabs>
          <w:tab w:val="left" w:pos="426"/>
          <w:tab w:val="left" w:pos="709"/>
        </w:tabs>
        <w:spacing w:line="360" w:lineRule="auto"/>
        <w:rPr>
          <w:lang w:val="en-US" w:eastAsia="es-ES"/>
        </w:rPr>
      </w:pPr>
      <w:r w:rsidRPr="00274060">
        <w:rPr>
          <w:lang w:val="en-US" w:eastAsia="es-ES"/>
        </w:rPr>
        <w:t>18. Masiliūnas R, Dapkutė A, Grigaitė J, Lapė J, Valančius D, Bacevičius J, et al. High Prevalence of Atrial Fibrillation in a Lithuanian Stroke Patient Cohort. Medicina (Kaunas). 2022; 58(6):800. DOI: 10.3390/medicina58060800</w:t>
      </w:r>
    </w:p>
    <w:p w14:paraId="66BCFB6C" w14:textId="77777777" w:rsidR="00274060" w:rsidRPr="00274060" w:rsidRDefault="00274060" w:rsidP="00274060">
      <w:pPr>
        <w:tabs>
          <w:tab w:val="left" w:pos="426"/>
          <w:tab w:val="left" w:pos="709"/>
        </w:tabs>
        <w:spacing w:line="360" w:lineRule="auto"/>
        <w:rPr>
          <w:lang w:val="es-ES" w:eastAsia="es-ES"/>
        </w:rPr>
      </w:pPr>
      <w:r w:rsidRPr="00274060">
        <w:rPr>
          <w:lang w:val="en-US" w:eastAsia="es-ES"/>
        </w:rPr>
        <w:t xml:space="preserve">19. Ohya Y, Matsuo R, Sato N, Irie F, Nakamura K, Wakisaka Y, Investigators for Fukuoka Stroke Registry. Causes of ischemic stroke in young adults versus non-young adults: A multicenter hospital-based observational study. </w:t>
      </w:r>
      <w:r w:rsidRPr="00274060">
        <w:rPr>
          <w:lang w:val="es-ES" w:eastAsia="es-ES"/>
        </w:rPr>
        <w:t>PLoSOne. 2022; 17(7):e0268481. DOI: 10.1371/journal.pone.0268481</w:t>
      </w:r>
    </w:p>
    <w:p w14:paraId="7B06402A" w14:textId="77777777" w:rsidR="00274060" w:rsidRPr="00274060" w:rsidRDefault="00274060" w:rsidP="00274060">
      <w:pPr>
        <w:tabs>
          <w:tab w:val="left" w:pos="426"/>
          <w:tab w:val="left" w:pos="709"/>
        </w:tabs>
        <w:spacing w:line="360" w:lineRule="auto"/>
        <w:rPr>
          <w:lang w:val="es-ES" w:eastAsia="es-ES"/>
        </w:rPr>
      </w:pPr>
      <w:r w:rsidRPr="00274060">
        <w:rPr>
          <w:lang w:val="es-ES" w:eastAsia="es-ES"/>
        </w:rPr>
        <w:t>20. Pérez Ponce LJ, Barletta Farías RC, Iturralde González LO, Castro Vega G, Santana Guerra DR, León Estela RM. Caracterización clínica de pacientes fallecidos por enfermedad cerebrovascular. Rev Finlay. 2019 [acceso: 04/11/2022]; 9(3):161-71. Disponible en:</w:t>
      </w:r>
    </w:p>
    <w:p w14:paraId="39D8749C" w14:textId="77777777" w:rsidR="00274060" w:rsidRPr="00274060" w:rsidRDefault="00274060" w:rsidP="00274060">
      <w:pPr>
        <w:tabs>
          <w:tab w:val="left" w:pos="426"/>
          <w:tab w:val="left" w:pos="709"/>
        </w:tabs>
        <w:spacing w:line="360" w:lineRule="auto"/>
        <w:rPr>
          <w:lang w:val="es-ES" w:eastAsia="es-ES"/>
        </w:rPr>
      </w:pPr>
      <w:hyperlink r:id="rId18" w:history="1">
        <w:r w:rsidRPr="00274060">
          <w:rPr>
            <w:color w:val="0000FF"/>
            <w:lang w:val="es-ES" w:eastAsia="es-ES"/>
          </w:rPr>
          <w:t>http://scielo.sld.cu/scielo.php?script=sci_arttext&amp;pid=S222124342019000300161&amp;lng=es</w:t>
        </w:r>
      </w:hyperlink>
      <w:r w:rsidRPr="00274060">
        <w:rPr>
          <w:lang w:val="es-ES" w:eastAsia="es-ES"/>
        </w:rPr>
        <w:t xml:space="preserve"> </w:t>
      </w:r>
    </w:p>
    <w:p w14:paraId="3FFE4722" w14:textId="77777777" w:rsidR="00274060" w:rsidRPr="00274060" w:rsidRDefault="00274060" w:rsidP="00274060">
      <w:pPr>
        <w:tabs>
          <w:tab w:val="left" w:pos="426"/>
          <w:tab w:val="left" w:pos="709"/>
        </w:tabs>
        <w:spacing w:line="360" w:lineRule="auto"/>
        <w:rPr>
          <w:lang w:val="es-ES" w:eastAsia="es-ES"/>
        </w:rPr>
      </w:pPr>
      <w:r w:rsidRPr="00274060">
        <w:rPr>
          <w:lang w:val="es-ES" w:eastAsia="es-ES"/>
        </w:rPr>
        <w:t>21. Torres Serrano KR. Características clínicas, epidemiológicas y de neuroimagen en infarto cerebral maligno extenso y su asociación a mortalidad en pacientes hospitalizados en servicio de medicina y emergencia del Hospital Hipólito Unanue Tacna 2017-2019 [Tesis de médico cirujano]. Perú: Universidad Nacional Jorge Basadre Grohmann; 2021. [acceso: 04/11/2022]. Disponible en:</w:t>
      </w:r>
    </w:p>
    <w:p w14:paraId="18FBC19D" w14:textId="77777777" w:rsidR="00274060" w:rsidRPr="00274060" w:rsidRDefault="00274060" w:rsidP="00274060">
      <w:pPr>
        <w:tabs>
          <w:tab w:val="left" w:pos="426"/>
          <w:tab w:val="left" w:pos="709"/>
        </w:tabs>
        <w:spacing w:line="360" w:lineRule="auto"/>
        <w:rPr>
          <w:lang w:val="es-ES" w:eastAsia="es-ES"/>
        </w:rPr>
      </w:pPr>
      <w:hyperlink r:id="rId19" w:history="1">
        <w:r w:rsidRPr="00274060">
          <w:rPr>
            <w:color w:val="0000FF"/>
            <w:lang w:val="es-ES" w:eastAsia="es-ES"/>
          </w:rPr>
          <w:t>http://repositorio.unjbg.edu.pe/bitstream/handle/UNJBG/4288/1960_2021_torres_serrano_kr_facs_medicina_humana.pdf?sequence=1&amp;isAllowed=y</w:t>
        </w:r>
      </w:hyperlink>
      <w:r w:rsidRPr="00274060">
        <w:rPr>
          <w:lang w:val="es-ES" w:eastAsia="es-ES"/>
        </w:rPr>
        <w:t xml:space="preserve"> </w:t>
      </w:r>
    </w:p>
    <w:p w14:paraId="0D3F6AD9" w14:textId="77777777" w:rsidR="00274060" w:rsidRPr="00274060" w:rsidRDefault="00274060" w:rsidP="00274060">
      <w:pPr>
        <w:tabs>
          <w:tab w:val="left" w:pos="426"/>
          <w:tab w:val="left" w:pos="709"/>
        </w:tabs>
        <w:spacing w:line="360" w:lineRule="auto"/>
        <w:rPr>
          <w:lang w:val="es-ES" w:eastAsia="es-ES"/>
        </w:rPr>
      </w:pPr>
      <w:r w:rsidRPr="00274060">
        <w:rPr>
          <w:lang w:val="es-ES" w:eastAsia="es-ES"/>
        </w:rPr>
        <w:t xml:space="preserve">22. Martínez Llópiz YI, García Cañete IM. Morbilidad y mortalidad en pacientes con ventilación mecánica invasiva en la Unidad de Cuidados Intensivos del Hospital "Celia Sánchez Manduley". MEDISAN. 2017 [acceso: 04/11/2022]; 21(6): 664-71. Disponible en: </w:t>
      </w:r>
      <w:hyperlink r:id="rId20" w:history="1">
        <w:r w:rsidRPr="00274060">
          <w:rPr>
            <w:color w:val="0000FF"/>
            <w:lang w:val="es-ES" w:eastAsia="es-ES"/>
          </w:rPr>
          <w:t>http://scielo.sld.cu/scielo.php?script=sci_arttext&amp;pid=S1029-30192017000600004&amp;lng=es</w:t>
        </w:r>
      </w:hyperlink>
      <w:r w:rsidRPr="00274060">
        <w:rPr>
          <w:lang w:val="es-ES" w:eastAsia="es-ES"/>
        </w:rPr>
        <w:t xml:space="preserve"> </w:t>
      </w:r>
    </w:p>
    <w:p w14:paraId="54F2ACE5" w14:textId="77777777" w:rsidR="00274060" w:rsidRPr="00274060" w:rsidRDefault="00274060" w:rsidP="00274060">
      <w:pPr>
        <w:tabs>
          <w:tab w:val="left" w:pos="426"/>
          <w:tab w:val="left" w:pos="709"/>
        </w:tabs>
        <w:spacing w:line="360" w:lineRule="auto"/>
        <w:rPr>
          <w:lang w:val="es-ES" w:eastAsia="es-ES"/>
        </w:rPr>
      </w:pPr>
      <w:r w:rsidRPr="00274060">
        <w:rPr>
          <w:lang w:val="es-ES" w:eastAsia="es-ES"/>
        </w:rPr>
        <w:lastRenderedPageBreak/>
        <w:t>23. Ramírez Ramírez G, Garrido Tapia EJ, Manso López AM, Graña Mir JL, Martínez Vega A. Mortalidad por accidentes cerebrovasculares en el Hospital Clínico Quirúrgico Lucía Íñiguez Landín, Holguín, Cuba, 2012-2017. CCM. 2019 [acceso: 04/11/2022]; 23(1):159-74. Disponible en:</w:t>
      </w:r>
    </w:p>
    <w:p w14:paraId="7CDFB184" w14:textId="77777777" w:rsidR="00274060" w:rsidRPr="00274060" w:rsidRDefault="00274060" w:rsidP="00274060">
      <w:pPr>
        <w:tabs>
          <w:tab w:val="left" w:pos="426"/>
          <w:tab w:val="left" w:pos="709"/>
        </w:tabs>
        <w:spacing w:line="360" w:lineRule="auto"/>
        <w:rPr>
          <w:lang w:val="es-ES" w:eastAsia="es-ES"/>
        </w:rPr>
      </w:pPr>
      <w:hyperlink r:id="rId21" w:history="1">
        <w:r w:rsidRPr="00274060">
          <w:rPr>
            <w:color w:val="0000FF"/>
            <w:lang w:val="es-ES" w:eastAsia="es-ES"/>
          </w:rPr>
          <w:t>http://scielo.sld.cu/scielo.php?script=sci_arttext&amp;pid=S156043812019000100159&amp;lng=es</w:t>
        </w:r>
      </w:hyperlink>
      <w:r w:rsidRPr="00274060">
        <w:rPr>
          <w:lang w:val="es-ES" w:eastAsia="es-ES"/>
        </w:rPr>
        <w:t xml:space="preserve"> </w:t>
      </w:r>
    </w:p>
    <w:p w14:paraId="2CAA1D79" w14:textId="77777777" w:rsidR="00274060" w:rsidRPr="00274060" w:rsidRDefault="00274060" w:rsidP="00274060">
      <w:pPr>
        <w:tabs>
          <w:tab w:val="left" w:pos="426"/>
          <w:tab w:val="left" w:pos="709"/>
        </w:tabs>
        <w:spacing w:line="360" w:lineRule="auto"/>
        <w:rPr>
          <w:lang w:val="es-ES" w:eastAsia="es-ES"/>
        </w:rPr>
      </w:pPr>
      <w:r w:rsidRPr="00274060">
        <w:rPr>
          <w:lang w:val="es-ES" w:eastAsia="es-ES"/>
        </w:rPr>
        <w:t>24. Garrote M, Lovesio C, Jure L. Accidentes cerebrovasculares isquémicos. En: Lovesio C, editor. Medicina Intensiva. Séptima edición. Ciudad autónoma de Buenos Aires: Corpus Libros Médicos y Científicos; 2017. p. 1663-724.</w:t>
      </w:r>
    </w:p>
    <w:p w14:paraId="15398300" w14:textId="77777777" w:rsidR="00274060" w:rsidRPr="00274060" w:rsidRDefault="00274060" w:rsidP="00274060">
      <w:pPr>
        <w:spacing w:line="360" w:lineRule="auto"/>
        <w:jc w:val="center"/>
        <w:rPr>
          <w:b/>
          <w:bCs/>
          <w:lang w:val="es-ES" w:eastAsia="es-ES"/>
        </w:rPr>
      </w:pPr>
    </w:p>
    <w:p w14:paraId="5A635AE2" w14:textId="77777777" w:rsidR="00274060" w:rsidRPr="00274060" w:rsidRDefault="00274060" w:rsidP="00274060">
      <w:pPr>
        <w:spacing w:line="360" w:lineRule="auto"/>
        <w:jc w:val="center"/>
        <w:rPr>
          <w:b/>
          <w:bCs/>
          <w:lang w:val="es-ES" w:eastAsia="es-ES"/>
        </w:rPr>
      </w:pPr>
    </w:p>
    <w:p w14:paraId="30A27FAC" w14:textId="77777777" w:rsidR="00274060" w:rsidRPr="00274060" w:rsidRDefault="00274060" w:rsidP="00274060">
      <w:pPr>
        <w:spacing w:line="360" w:lineRule="auto"/>
        <w:jc w:val="center"/>
        <w:rPr>
          <w:b/>
          <w:bCs/>
          <w:lang w:val="es-ES" w:eastAsia="es-ES"/>
        </w:rPr>
      </w:pPr>
      <w:r w:rsidRPr="00274060">
        <w:rPr>
          <w:b/>
          <w:bCs/>
          <w:lang w:val="es-ES" w:eastAsia="es-ES"/>
        </w:rPr>
        <w:t>Conflictos de interés</w:t>
      </w:r>
    </w:p>
    <w:p w14:paraId="6508AEB7" w14:textId="77777777" w:rsidR="00274060" w:rsidRPr="00274060" w:rsidRDefault="00274060" w:rsidP="00274060">
      <w:pPr>
        <w:spacing w:line="360" w:lineRule="auto"/>
        <w:jc w:val="both"/>
        <w:rPr>
          <w:lang w:val="es-ES" w:eastAsia="es-ES"/>
        </w:rPr>
      </w:pPr>
      <w:r w:rsidRPr="00274060">
        <w:rPr>
          <w:lang w:val="es-ES" w:eastAsia="es-ES"/>
        </w:rPr>
        <w:t>Los autores declaran que no existen conflictos de interés en relación con el trabajo.</w:t>
      </w:r>
    </w:p>
    <w:p w14:paraId="19239C64" w14:textId="77777777" w:rsidR="00274060" w:rsidRPr="00274060" w:rsidRDefault="00274060" w:rsidP="00274060">
      <w:pPr>
        <w:spacing w:line="360" w:lineRule="auto"/>
        <w:jc w:val="center"/>
        <w:rPr>
          <w:b/>
          <w:lang w:val="es-ES" w:eastAsia="es-ES"/>
        </w:rPr>
      </w:pPr>
    </w:p>
    <w:p w14:paraId="0633701D" w14:textId="77777777" w:rsidR="00274060" w:rsidRPr="00274060" w:rsidRDefault="00274060" w:rsidP="00274060">
      <w:pPr>
        <w:spacing w:line="360" w:lineRule="auto"/>
        <w:jc w:val="center"/>
        <w:rPr>
          <w:lang w:val="es-ES" w:eastAsia="es-ES"/>
        </w:rPr>
      </w:pPr>
      <w:r w:rsidRPr="00274060">
        <w:rPr>
          <w:b/>
          <w:lang w:val="es-ES" w:eastAsia="es-ES"/>
        </w:rPr>
        <w:t>Contribuciones de los autores</w:t>
      </w:r>
    </w:p>
    <w:p w14:paraId="7E60BC75" w14:textId="77777777" w:rsidR="00274060" w:rsidRPr="00274060" w:rsidRDefault="00274060" w:rsidP="00274060">
      <w:pPr>
        <w:spacing w:line="360" w:lineRule="auto"/>
        <w:jc w:val="both"/>
        <w:rPr>
          <w:rFonts w:eastAsia="Calibri"/>
          <w:i/>
          <w:color w:val="000000"/>
          <w:lang w:val="es-ES" w:eastAsia="es-ES"/>
        </w:rPr>
      </w:pPr>
      <w:r w:rsidRPr="00274060">
        <w:rPr>
          <w:lang w:val="es-ES" w:eastAsia="es-ES"/>
        </w:rPr>
        <w:t xml:space="preserve">Conceptualización: </w:t>
      </w:r>
      <w:r w:rsidRPr="00274060">
        <w:rPr>
          <w:i/>
          <w:lang w:val="es-ES" w:eastAsia="es-ES"/>
        </w:rPr>
        <w:t>Olga Lidia Sanabria Blanco</w:t>
      </w:r>
      <w:r w:rsidRPr="00274060">
        <w:rPr>
          <w:rFonts w:eastAsia="Calibri"/>
          <w:i/>
          <w:color w:val="000000"/>
          <w:lang w:val="es-ES" w:eastAsia="es-ES"/>
        </w:rPr>
        <w:t>.</w:t>
      </w:r>
    </w:p>
    <w:p w14:paraId="602ACFFC" w14:textId="77777777" w:rsidR="00274060" w:rsidRPr="00274060" w:rsidRDefault="00274060" w:rsidP="00274060">
      <w:pPr>
        <w:spacing w:line="360" w:lineRule="auto"/>
        <w:jc w:val="both"/>
        <w:rPr>
          <w:rFonts w:eastAsia="Calibri"/>
          <w:i/>
          <w:color w:val="000000"/>
          <w:lang w:val="es-ES" w:eastAsia="es-ES"/>
        </w:rPr>
      </w:pPr>
      <w:r w:rsidRPr="00274060">
        <w:rPr>
          <w:lang w:val="es-ES" w:eastAsia="es-ES"/>
        </w:rPr>
        <w:t xml:space="preserve">Curación de datos: </w:t>
      </w:r>
      <w:r w:rsidRPr="00274060">
        <w:rPr>
          <w:bCs/>
          <w:i/>
          <w:lang w:val="es-ES" w:eastAsia="es-ES"/>
        </w:rPr>
        <w:t>Ozohydhy Leal Capdesuñer</w:t>
      </w:r>
      <w:r w:rsidRPr="00274060">
        <w:rPr>
          <w:rFonts w:eastAsia="Calibri"/>
          <w:i/>
          <w:color w:val="000000"/>
          <w:lang w:val="es-ES" w:eastAsia="es-ES"/>
        </w:rPr>
        <w:t>.</w:t>
      </w:r>
    </w:p>
    <w:p w14:paraId="6579DD92" w14:textId="77777777" w:rsidR="00274060" w:rsidRPr="00274060" w:rsidRDefault="00274060" w:rsidP="00274060">
      <w:pPr>
        <w:spacing w:line="360" w:lineRule="auto"/>
        <w:jc w:val="both"/>
        <w:rPr>
          <w:rFonts w:eastAsia="Calibri"/>
          <w:i/>
          <w:color w:val="000000"/>
          <w:lang w:val="es-ES" w:eastAsia="es-ES"/>
        </w:rPr>
      </w:pPr>
      <w:r w:rsidRPr="00274060">
        <w:rPr>
          <w:rFonts w:eastAsia="Calibri"/>
          <w:color w:val="000000"/>
          <w:lang w:val="es-ES" w:eastAsia="es-ES"/>
        </w:rPr>
        <w:t xml:space="preserve">Análisis formal: </w:t>
      </w:r>
      <w:r w:rsidRPr="00274060">
        <w:rPr>
          <w:i/>
          <w:lang w:val="es-ES" w:eastAsia="es-ES"/>
        </w:rPr>
        <w:t>Alberto García Gómez</w:t>
      </w:r>
      <w:r w:rsidRPr="00274060">
        <w:rPr>
          <w:rFonts w:eastAsia="Calibri"/>
          <w:i/>
          <w:color w:val="000000"/>
          <w:lang w:val="es-ES" w:eastAsia="es-ES"/>
        </w:rPr>
        <w:t>.</w:t>
      </w:r>
    </w:p>
    <w:p w14:paraId="0F3620E1" w14:textId="77777777" w:rsidR="00274060" w:rsidRPr="00274060" w:rsidRDefault="00274060" w:rsidP="00274060">
      <w:pPr>
        <w:spacing w:line="360" w:lineRule="auto"/>
        <w:jc w:val="both"/>
        <w:rPr>
          <w:rFonts w:eastAsia="Calibri"/>
          <w:i/>
          <w:color w:val="000000"/>
          <w:lang w:val="es-ES" w:eastAsia="es-ES"/>
        </w:rPr>
      </w:pPr>
      <w:r w:rsidRPr="00274060">
        <w:rPr>
          <w:lang w:val="es-ES" w:eastAsia="es-ES"/>
        </w:rPr>
        <w:t xml:space="preserve">Investigación: </w:t>
      </w:r>
      <w:r w:rsidRPr="00274060">
        <w:rPr>
          <w:i/>
          <w:lang w:val="es-ES" w:eastAsia="es-ES"/>
        </w:rPr>
        <w:t>Olga Lidia Sanabria Blanco</w:t>
      </w:r>
      <w:r w:rsidRPr="00274060">
        <w:rPr>
          <w:rFonts w:eastAsia="Calibri"/>
          <w:i/>
          <w:color w:val="000000"/>
          <w:lang w:val="es-ES" w:eastAsia="es-ES"/>
        </w:rPr>
        <w:t>.</w:t>
      </w:r>
    </w:p>
    <w:p w14:paraId="2A980E5D" w14:textId="77777777" w:rsidR="00274060" w:rsidRPr="00274060" w:rsidRDefault="00274060" w:rsidP="00274060">
      <w:pPr>
        <w:spacing w:line="360" w:lineRule="auto"/>
        <w:jc w:val="both"/>
        <w:rPr>
          <w:rFonts w:eastAsia="Calibri"/>
          <w:i/>
          <w:color w:val="000000"/>
          <w:lang w:val="es-ES" w:eastAsia="es-ES"/>
        </w:rPr>
      </w:pPr>
      <w:r w:rsidRPr="00274060">
        <w:rPr>
          <w:lang w:val="es-ES" w:eastAsia="es-ES"/>
        </w:rPr>
        <w:t xml:space="preserve">Metodología: </w:t>
      </w:r>
      <w:r w:rsidRPr="00274060">
        <w:rPr>
          <w:i/>
          <w:lang w:val="es-ES" w:eastAsia="es-ES"/>
        </w:rPr>
        <w:t>Alberto García Gómez</w:t>
      </w:r>
      <w:r w:rsidRPr="00274060">
        <w:rPr>
          <w:rFonts w:eastAsia="Calibri"/>
          <w:i/>
          <w:color w:val="000000"/>
          <w:lang w:val="es-ES" w:eastAsia="es-ES"/>
        </w:rPr>
        <w:t xml:space="preserve">. </w:t>
      </w:r>
    </w:p>
    <w:p w14:paraId="266BC939" w14:textId="77777777" w:rsidR="00274060" w:rsidRPr="00274060" w:rsidRDefault="00274060" w:rsidP="00274060">
      <w:pPr>
        <w:spacing w:line="360" w:lineRule="auto"/>
        <w:jc w:val="both"/>
        <w:rPr>
          <w:rFonts w:eastAsia="Calibri"/>
          <w:i/>
          <w:color w:val="000000"/>
          <w:lang w:val="es-ES" w:eastAsia="es-ES"/>
        </w:rPr>
      </w:pPr>
      <w:r w:rsidRPr="00274060">
        <w:rPr>
          <w:lang w:val="es-ES" w:eastAsia="es-ES"/>
        </w:rPr>
        <w:t xml:space="preserve">Visualización: </w:t>
      </w:r>
      <w:r w:rsidRPr="00274060">
        <w:rPr>
          <w:i/>
          <w:lang w:val="es-ES" w:eastAsia="es-ES"/>
        </w:rPr>
        <w:t>Pedro Julio García Álvarez</w:t>
      </w:r>
      <w:r w:rsidRPr="00274060">
        <w:rPr>
          <w:rFonts w:eastAsia="Calibri"/>
          <w:i/>
          <w:color w:val="000000"/>
          <w:lang w:val="es-ES" w:eastAsia="es-ES"/>
        </w:rPr>
        <w:t>.</w:t>
      </w:r>
    </w:p>
    <w:p w14:paraId="10135578" w14:textId="77777777" w:rsidR="00274060" w:rsidRPr="00274060" w:rsidRDefault="00274060" w:rsidP="00274060">
      <w:pPr>
        <w:spacing w:line="360" w:lineRule="auto"/>
        <w:jc w:val="both"/>
        <w:rPr>
          <w:rFonts w:eastAsia="Calibri"/>
          <w:i/>
          <w:color w:val="000000"/>
          <w:lang w:val="es-ES" w:eastAsia="es-ES"/>
        </w:rPr>
      </w:pPr>
      <w:r w:rsidRPr="00274060">
        <w:rPr>
          <w:lang w:val="es-ES" w:eastAsia="es-ES"/>
        </w:rPr>
        <w:t xml:space="preserve">Redacción-borrador original: </w:t>
      </w:r>
      <w:r w:rsidRPr="00274060">
        <w:rPr>
          <w:i/>
          <w:lang w:val="es-ES" w:eastAsia="es-ES"/>
        </w:rPr>
        <w:t>Jacqueline Martínez Prieto.</w:t>
      </w:r>
    </w:p>
    <w:p w14:paraId="50C29431" w14:textId="77777777" w:rsidR="00274060" w:rsidRPr="00274060" w:rsidRDefault="00274060" w:rsidP="00274060">
      <w:pPr>
        <w:spacing w:line="360" w:lineRule="auto"/>
        <w:jc w:val="both"/>
        <w:rPr>
          <w:rFonts w:eastAsia="Calibri"/>
          <w:color w:val="000000"/>
          <w:lang w:val="es-ES" w:eastAsia="es-ES"/>
        </w:rPr>
      </w:pPr>
      <w:r w:rsidRPr="00274060">
        <w:rPr>
          <w:lang w:val="es-ES" w:eastAsia="es-ES"/>
        </w:rPr>
        <w:t xml:space="preserve">Redacción - revisión y edición: </w:t>
      </w:r>
      <w:r w:rsidRPr="00274060">
        <w:rPr>
          <w:i/>
          <w:lang w:val="es-ES" w:eastAsia="es-ES"/>
        </w:rPr>
        <w:t>Yoandra Adelá Rives.</w:t>
      </w:r>
      <w:r w:rsidRPr="00274060">
        <w:rPr>
          <w:lang w:val="es-ES" w:eastAsia="es-ES"/>
        </w:rPr>
        <w:t xml:space="preserve"> </w:t>
      </w:r>
    </w:p>
    <w:p w14:paraId="63C7195F" w14:textId="77777777" w:rsidR="00675476" w:rsidRPr="00274060" w:rsidRDefault="00675476" w:rsidP="00EA1FEF">
      <w:pPr>
        <w:pStyle w:val="PDFRevista"/>
        <w:rPr>
          <w:lang w:val="es-ES"/>
        </w:rPr>
      </w:pPr>
    </w:p>
    <w:sectPr w:rsidR="00675476" w:rsidRPr="00274060"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83067" w14:textId="77777777" w:rsidR="00414AEB" w:rsidRDefault="00414AEB">
      <w:r>
        <w:separator/>
      </w:r>
    </w:p>
  </w:endnote>
  <w:endnote w:type="continuationSeparator" w:id="0">
    <w:p w14:paraId="771D8E65" w14:textId="77777777" w:rsidR="00414AEB" w:rsidRDefault="0041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FF1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3635D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5406" w14:textId="6796AD2C" w:rsidR="000F3690" w:rsidRPr="00AE044C" w:rsidRDefault="0027406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0A3B924" wp14:editId="77F405FD">
              <wp:simplePos x="0" y="0"/>
              <wp:positionH relativeFrom="column">
                <wp:posOffset>3810</wp:posOffset>
              </wp:positionH>
              <wp:positionV relativeFrom="paragraph">
                <wp:posOffset>50165</wp:posOffset>
              </wp:positionV>
              <wp:extent cx="6286500" cy="19050"/>
              <wp:effectExtent l="19050" t="19050" r="0" b="0"/>
              <wp:wrapNone/>
              <wp:docPr id="155022501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46DCC7"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86B66C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B53097C"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5B9F9311" w14:textId="7439DF5D"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274060" w:rsidRPr="00274060">
      <w:rPr>
        <w:rFonts w:ascii="Verdana" w:hAnsi="Verdana"/>
        <w:noProof/>
        <w:sz w:val="18"/>
        <w:szCs w:val="18"/>
        <w:lang w:val="en-US" w:eastAsia="en-US"/>
      </w:rPr>
      <w:drawing>
        <wp:inline distT="0" distB="0" distL="0" distR="0" wp14:anchorId="240245C3" wp14:editId="2C347A05">
          <wp:extent cx="641350" cy="14986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094E" w14:textId="77777777" w:rsidR="00414AEB" w:rsidRDefault="00414AEB">
      <w:r>
        <w:separator/>
      </w:r>
    </w:p>
  </w:footnote>
  <w:footnote w:type="continuationSeparator" w:id="0">
    <w:p w14:paraId="78146E11" w14:textId="77777777" w:rsidR="00414AEB" w:rsidRDefault="0041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6C67" w14:textId="6838C27F" w:rsidR="00CC376A" w:rsidRPr="00AE044C" w:rsidRDefault="00274060"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e02302904</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85CDE39" wp14:editId="5826EC01">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E8B40" w14:textId="6C5D957E" w:rsidR="00A477DE" w:rsidRDefault="00274060">
    <w:r>
      <w:rPr>
        <w:noProof/>
      </w:rPr>
      <mc:AlternateContent>
        <mc:Choice Requires="wps">
          <w:drawing>
            <wp:anchor distT="0" distB="0" distL="114300" distR="114300" simplePos="0" relativeHeight="251654144" behindDoc="0" locked="0" layoutInCell="1" allowOverlap="1" wp14:anchorId="0DC60468" wp14:editId="343B9205">
              <wp:simplePos x="0" y="0"/>
              <wp:positionH relativeFrom="column">
                <wp:posOffset>635</wp:posOffset>
              </wp:positionH>
              <wp:positionV relativeFrom="paragraph">
                <wp:posOffset>42545</wp:posOffset>
              </wp:positionV>
              <wp:extent cx="6307455" cy="28575"/>
              <wp:effectExtent l="19050" t="19050" r="17145" b="9525"/>
              <wp:wrapNone/>
              <wp:docPr id="1632004225"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AEC0EC"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6820"/>
    <w:multiLevelType w:val="multilevel"/>
    <w:tmpl w:val="50308FF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67B4A0C"/>
    <w:multiLevelType w:val="multilevel"/>
    <w:tmpl w:val="ED06C18A"/>
    <w:lvl w:ilvl="0">
      <w:start w:val="2"/>
      <w:numFmt w:val="bullet"/>
      <w:lvlText w:val="-"/>
      <w:lvlJc w:val="left"/>
      <w:pPr>
        <w:tabs>
          <w:tab w:val="num" w:pos="340"/>
        </w:tabs>
        <w:ind w:left="340" w:hanging="340"/>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A7270"/>
    <w:multiLevelType w:val="hybridMultilevel"/>
    <w:tmpl w:val="03C88D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021DE9"/>
    <w:multiLevelType w:val="multilevel"/>
    <w:tmpl w:val="F7948680"/>
    <w:lvl w:ilvl="0">
      <w:start w:val="1"/>
      <w:numFmt w:val="decimal"/>
      <w:lvlText w:val="%1."/>
      <w:lvlJc w:val="left"/>
      <w:pPr>
        <w:tabs>
          <w:tab w:val="num" w:pos="340"/>
        </w:tabs>
        <w:ind w:left="340" w:hanging="340"/>
      </w:pPr>
      <w:rPr>
        <w:rFonts w:hint="default"/>
      </w:rPr>
    </w:lvl>
    <w:lvl w:ilvl="1">
      <w:start w:val="1"/>
      <w:numFmt w:val="decimal"/>
      <w:lvlText w:val="%2."/>
      <w:lvlJc w:val="left"/>
      <w:pPr>
        <w:tabs>
          <w:tab w:val="num" w:pos="1440"/>
        </w:tabs>
        <w:ind w:left="1440" w:hanging="360"/>
      </w:pPr>
      <w:rPr>
        <w:rFonts w:ascii="Arial" w:hAnsi="Arial" w:hint="default"/>
        <w:b w:val="0"/>
        <w:i w:val="0"/>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CB62BDD"/>
    <w:multiLevelType w:val="hybridMultilevel"/>
    <w:tmpl w:val="F8B4CD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E5737A4"/>
    <w:multiLevelType w:val="hybridMultilevel"/>
    <w:tmpl w:val="7D28E90E"/>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0A0277"/>
    <w:multiLevelType w:val="hybridMultilevel"/>
    <w:tmpl w:val="9B569A00"/>
    <w:lvl w:ilvl="0" w:tplc="8BB05DA2">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4003F2"/>
    <w:multiLevelType w:val="hybridMultilevel"/>
    <w:tmpl w:val="204A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E0DE2"/>
    <w:multiLevelType w:val="multilevel"/>
    <w:tmpl w:val="BA46AE12"/>
    <w:lvl w:ilvl="0">
      <w:start w:val="3"/>
      <w:numFmt w:val="decimal"/>
      <w:lvlText w:val="%1."/>
      <w:lvlJc w:val="left"/>
      <w:pPr>
        <w:tabs>
          <w:tab w:val="num" w:pos="340"/>
        </w:tabs>
        <w:ind w:left="340" w:hanging="340"/>
      </w:pPr>
      <w:rPr>
        <w:rFonts w:ascii="Arial" w:hAnsi="Arial" w:hint="default"/>
        <w:b/>
        <w:i w:val="0"/>
        <w:sz w:val="24"/>
        <w:szCs w:val="24"/>
      </w:rPr>
    </w:lvl>
    <w:lvl w:ilvl="1">
      <w:start w:val="2"/>
      <w:numFmt w:val="bullet"/>
      <w:lvlText w:val="-"/>
      <w:lvlJc w:val="left"/>
      <w:pPr>
        <w:tabs>
          <w:tab w:val="num" w:pos="340"/>
        </w:tabs>
        <w:ind w:left="340" w:hanging="340"/>
      </w:pPr>
      <w:rPr>
        <w:rFonts w:ascii="Arial" w:eastAsia="Times New Roman" w:hAnsi="Arial" w:hint="default"/>
        <w:b/>
        <w:i w:val="0"/>
        <w:sz w:val="24"/>
        <w:szCs w:val="24"/>
      </w:r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9" w15:restartNumberingAfterBreak="0">
    <w:nsid w:val="237D23B7"/>
    <w:multiLevelType w:val="multilevel"/>
    <w:tmpl w:val="4016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B3257"/>
    <w:multiLevelType w:val="hybridMultilevel"/>
    <w:tmpl w:val="D878F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20C76"/>
    <w:multiLevelType w:val="hybridMultilevel"/>
    <w:tmpl w:val="997A7B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9C0301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5F5FC4"/>
    <w:multiLevelType w:val="multilevel"/>
    <w:tmpl w:val="6CB0F67A"/>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1420"/>
        </w:tabs>
        <w:ind w:left="1420" w:hanging="340"/>
      </w:pPr>
      <w:rPr>
        <w:rFonts w:ascii="Wingdings 2" w:hAnsi="Wingdings 2"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B637554"/>
    <w:multiLevelType w:val="multilevel"/>
    <w:tmpl w:val="D422A5B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D9D5DC3"/>
    <w:multiLevelType w:val="multilevel"/>
    <w:tmpl w:val="E97266F6"/>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E656925"/>
    <w:multiLevelType w:val="hybridMultilevel"/>
    <w:tmpl w:val="907A063C"/>
    <w:lvl w:ilvl="0" w:tplc="8752E1FE">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04735B0"/>
    <w:multiLevelType w:val="multilevel"/>
    <w:tmpl w:val="CAA0FDF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AA0682"/>
    <w:multiLevelType w:val="hybridMultilevel"/>
    <w:tmpl w:val="3D4E2E3E"/>
    <w:lvl w:ilvl="0" w:tplc="60A0456C">
      <w:start w:val="1"/>
      <w:numFmt w:val="decimal"/>
      <w:lvlText w:val="%1."/>
      <w:lvlJc w:val="left"/>
      <w:pPr>
        <w:ind w:left="785" w:hanging="360"/>
      </w:pPr>
      <w:rPr>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0" w15:restartNumberingAfterBreak="0">
    <w:nsid w:val="4B24669D"/>
    <w:multiLevelType w:val="hybridMultilevel"/>
    <w:tmpl w:val="DB80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C55824"/>
    <w:multiLevelType w:val="hybridMultilevel"/>
    <w:tmpl w:val="019ADC6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3FA7431"/>
    <w:multiLevelType w:val="hybridMultilevel"/>
    <w:tmpl w:val="77208928"/>
    <w:lvl w:ilvl="0" w:tplc="8A02D6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6F66BC"/>
    <w:multiLevelType w:val="hybridMultilevel"/>
    <w:tmpl w:val="1CB2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E1B90"/>
    <w:multiLevelType w:val="hybridMultilevel"/>
    <w:tmpl w:val="22CE98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B063D1"/>
    <w:multiLevelType w:val="multilevel"/>
    <w:tmpl w:val="2A4E637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440" w:hanging="360"/>
      </w:pPr>
      <w:rPr>
        <w:rFonts w:ascii="Arial" w:hAnsi="Arial" w:cs="Arial" w:hint="default"/>
        <w:color w:val="auto"/>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77C79"/>
    <w:multiLevelType w:val="hybridMultilevel"/>
    <w:tmpl w:val="FCD2984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7" w15:restartNumberingAfterBreak="0">
    <w:nsid w:val="622E3CD7"/>
    <w:multiLevelType w:val="hybridMultilevel"/>
    <w:tmpl w:val="50C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B90FA1"/>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D5211BF"/>
    <w:multiLevelType w:val="multilevel"/>
    <w:tmpl w:val="36BAE326"/>
    <w:lvl w:ilvl="0">
      <w:start w:val="1"/>
      <w:numFmt w:val="decimal"/>
      <w:lvlText w:val="%1."/>
      <w:lvlJc w:val="left"/>
      <w:pPr>
        <w:tabs>
          <w:tab w:val="num" w:pos="340"/>
        </w:tabs>
        <w:ind w:left="340" w:hanging="340"/>
      </w:pPr>
      <w:rPr>
        <w:rFonts w:ascii="Arial" w:hAnsi="Arial" w:cs="Arial" w:hint="default"/>
      </w:rPr>
    </w:lvl>
    <w:lvl w:ilvl="1">
      <w:start w:val="1"/>
      <w:numFmt w:val="decimal"/>
      <w:lvlText w:val="%2."/>
      <w:lvlJc w:val="left"/>
      <w:pPr>
        <w:tabs>
          <w:tab w:val="num" w:pos="1440"/>
        </w:tabs>
        <w:ind w:left="1440" w:hanging="360"/>
      </w:pPr>
      <w:rPr>
        <w:rFonts w:ascii="Arial" w:hAnsi="Arial" w:hint="default"/>
        <w:b w:val="0"/>
        <w:i w:val="0"/>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90291865">
    <w:abstractNumId w:val="19"/>
  </w:num>
  <w:num w:numId="2" w16cid:durableId="1713768511">
    <w:abstractNumId w:val="3"/>
  </w:num>
  <w:num w:numId="3" w16cid:durableId="457450857">
    <w:abstractNumId w:val="25"/>
  </w:num>
  <w:num w:numId="4" w16cid:durableId="1814524305">
    <w:abstractNumId w:val="17"/>
  </w:num>
  <w:num w:numId="5" w16cid:durableId="613096291">
    <w:abstractNumId w:val="14"/>
  </w:num>
  <w:num w:numId="6" w16cid:durableId="1553694169">
    <w:abstractNumId w:val="15"/>
  </w:num>
  <w:num w:numId="7" w16cid:durableId="1408186180">
    <w:abstractNumId w:val="8"/>
  </w:num>
  <w:num w:numId="8" w16cid:durableId="1703479249">
    <w:abstractNumId w:val="13"/>
  </w:num>
  <w:num w:numId="9" w16cid:durableId="222831907">
    <w:abstractNumId w:val="1"/>
  </w:num>
  <w:num w:numId="10" w16cid:durableId="1638879623">
    <w:abstractNumId w:val="28"/>
  </w:num>
  <w:num w:numId="11" w16cid:durableId="1735854112">
    <w:abstractNumId w:val="12"/>
  </w:num>
  <w:num w:numId="12" w16cid:durableId="1466583595">
    <w:abstractNumId w:val="9"/>
  </w:num>
  <w:num w:numId="13" w16cid:durableId="645167540">
    <w:abstractNumId w:val="0"/>
  </w:num>
  <w:num w:numId="14" w16cid:durableId="919100848">
    <w:abstractNumId w:val="29"/>
  </w:num>
  <w:num w:numId="15" w16cid:durableId="43450878">
    <w:abstractNumId w:val="10"/>
  </w:num>
  <w:num w:numId="16" w16cid:durableId="392628761">
    <w:abstractNumId w:val="20"/>
  </w:num>
  <w:num w:numId="17" w16cid:durableId="313411342">
    <w:abstractNumId w:val="7"/>
  </w:num>
  <w:num w:numId="18" w16cid:durableId="449519331">
    <w:abstractNumId w:val="23"/>
  </w:num>
  <w:num w:numId="19" w16cid:durableId="459963003">
    <w:abstractNumId w:val="27"/>
  </w:num>
  <w:num w:numId="20" w16cid:durableId="29961749">
    <w:abstractNumId w:val="18"/>
  </w:num>
  <w:num w:numId="21" w16cid:durableId="347367600">
    <w:abstractNumId w:val="26"/>
  </w:num>
  <w:num w:numId="22" w16cid:durableId="3946551">
    <w:abstractNumId w:val="24"/>
  </w:num>
  <w:num w:numId="23" w16cid:durableId="1350915564">
    <w:abstractNumId w:val="4"/>
  </w:num>
  <w:num w:numId="24" w16cid:durableId="2115321669">
    <w:abstractNumId w:val="2"/>
  </w:num>
  <w:num w:numId="25" w16cid:durableId="208225">
    <w:abstractNumId w:val="21"/>
  </w:num>
  <w:num w:numId="26" w16cid:durableId="310258984">
    <w:abstractNumId w:val="11"/>
  </w:num>
  <w:num w:numId="27" w16cid:durableId="90013160">
    <w:abstractNumId w:val="16"/>
  </w:num>
  <w:num w:numId="28" w16cid:durableId="1974166195">
    <w:abstractNumId w:val="22"/>
  </w:num>
  <w:num w:numId="29" w16cid:durableId="724643894">
    <w:abstractNumId w:val="6"/>
  </w:num>
  <w:num w:numId="30" w16cid:durableId="1241252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60"/>
    <w:rsid w:val="00057F45"/>
    <w:rsid w:val="000D3958"/>
    <w:rsid w:val="000F3690"/>
    <w:rsid w:val="00122031"/>
    <w:rsid w:val="001221D1"/>
    <w:rsid w:val="00165CB5"/>
    <w:rsid w:val="00180CE9"/>
    <w:rsid w:val="00230DD5"/>
    <w:rsid w:val="0023145B"/>
    <w:rsid w:val="00250AE9"/>
    <w:rsid w:val="00274060"/>
    <w:rsid w:val="002D060D"/>
    <w:rsid w:val="00380D64"/>
    <w:rsid w:val="00391509"/>
    <w:rsid w:val="003E03D5"/>
    <w:rsid w:val="00414AEB"/>
    <w:rsid w:val="00486BFA"/>
    <w:rsid w:val="00493701"/>
    <w:rsid w:val="004E2065"/>
    <w:rsid w:val="005508A2"/>
    <w:rsid w:val="0055115D"/>
    <w:rsid w:val="00566F71"/>
    <w:rsid w:val="005918BD"/>
    <w:rsid w:val="006173A6"/>
    <w:rsid w:val="00675476"/>
    <w:rsid w:val="006D79D8"/>
    <w:rsid w:val="00710AE7"/>
    <w:rsid w:val="007A5748"/>
    <w:rsid w:val="007C430F"/>
    <w:rsid w:val="007D2D0C"/>
    <w:rsid w:val="007D614D"/>
    <w:rsid w:val="00915D3C"/>
    <w:rsid w:val="00960D6A"/>
    <w:rsid w:val="009A0560"/>
    <w:rsid w:val="009B0917"/>
    <w:rsid w:val="009F0F96"/>
    <w:rsid w:val="009F65C2"/>
    <w:rsid w:val="00A23C0C"/>
    <w:rsid w:val="00A477DE"/>
    <w:rsid w:val="00A66186"/>
    <w:rsid w:val="00A71E65"/>
    <w:rsid w:val="00AE044C"/>
    <w:rsid w:val="00B221A0"/>
    <w:rsid w:val="00B31971"/>
    <w:rsid w:val="00B4380A"/>
    <w:rsid w:val="00B66ECB"/>
    <w:rsid w:val="00C4048B"/>
    <w:rsid w:val="00C7523A"/>
    <w:rsid w:val="00CC1B6E"/>
    <w:rsid w:val="00CC376A"/>
    <w:rsid w:val="00CC48A1"/>
    <w:rsid w:val="00CF50E0"/>
    <w:rsid w:val="00D0755D"/>
    <w:rsid w:val="00D85951"/>
    <w:rsid w:val="00E62606"/>
    <w:rsid w:val="00EA1FEF"/>
    <w:rsid w:val="00EC5A6B"/>
    <w:rsid w:val="00EE301D"/>
    <w:rsid w:val="00FA1168"/>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C4E3E"/>
  <w15:docId w15:val="{476ADCB3-E191-45B2-B652-1B11D1FF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9"/>
    <w:qFormat/>
    <w:rsid w:val="00274060"/>
    <w:pPr>
      <w:keepNext/>
      <w:spacing w:line="360" w:lineRule="auto"/>
      <w:jc w:val="both"/>
      <w:outlineLvl w:val="0"/>
    </w:pPr>
    <w:rPr>
      <w:rFonts w:ascii="Arial" w:hAnsi="Arial"/>
      <w:b/>
      <w:szCs w:val="20"/>
      <w:lang w:val="x-none" w:eastAsia="x-none"/>
    </w:rPr>
  </w:style>
  <w:style w:type="paragraph" w:styleId="Ttulo2">
    <w:name w:val="heading 2"/>
    <w:basedOn w:val="Normal"/>
    <w:next w:val="Normal"/>
    <w:link w:val="Ttulo2Car"/>
    <w:qFormat/>
    <w:rsid w:val="00274060"/>
    <w:pPr>
      <w:keepNext/>
      <w:suppressAutoHyphens/>
      <w:outlineLvl w:val="1"/>
    </w:pPr>
    <w:rPr>
      <w:rFonts w:ascii="Arial" w:hAnsi="Arial"/>
      <w:snapToGrid w:val="0"/>
      <w:color w:val="000000"/>
      <w:szCs w:val="20"/>
      <w:lang w:eastAsia="es-ES"/>
    </w:rPr>
  </w:style>
  <w:style w:type="paragraph" w:styleId="Ttulo3">
    <w:name w:val="heading 3"/>
    <w:basedOn w:val="Normal"/>
    <w:next w:val="Normal"/>
    <w:link w:val="Ttulo3Car"/>
    <w:qFormat/>
    <w:rsid w:val="00274060"/>
    <w:pPr>
      <w:keepNext/>
      <w:suppressAutoHyphens/>
      <w:jc w:val="center"/>
      <w:outlineLvl w:val="2"/>
    </w:pPr>
    <w:rPr>
      <w:rFonts w:ascii="Arial" w:hAnsi="Arial"/>
      <w:snapToGrid w:val="0"/>
      <w:color w:val="000000"/>
      <w:szCs w:val="20"/>
      <w:lang w:eastAsia="es-ES"/>
    </w:rPr>
  </w:style>
  <w:style w:type="paragraph" w:styleId="Ttulo4">
    <w:name w:val="heading 4"/>
    <w:basedOn w:val="Normal"/>
    <w:next w:val="Normal"/>
    <w:link w:val="Ttulo4Car"/>
    <w:qFormat/>
    <w:rsid w:val="00274060"/>
    <w:pPr>
      <w:keepNext/>
      <w:outlineLvl w:val="3"/>
    </w:pPr>
    <w:rPr>
      <w:rFonts w:ascii="Arial" w:hAnsi="Arial"/>
      <w:szCs w:val="20"/>
      <w:u w:val="single"/>
      <w:lang w:eastAsia="es-ES"/>
    </w:rPr>
  </w:style>
  <w:style w:type="paragraph" w:styleId="Ttulo5">
    <w:name w:val="heading 5"/>
    <w:basedOn w:val="Normal"/>
    <w:next w:val="Normal"/>
    <w:link w:val="Ttulo5Car"/>
    <w:qFormat/>
    <w:rsid w:val="00274060"/>
    <w:pPr>
      <w:keepNext/>
      <w:jc w:val="center"/>
      <w:outlineLvl w:val="4"/>
    </w:pPr>
    <w:rPr>
      <w:rFonts w:ascii="Arial" w:hAnsi="Arial"/>
      <w:b/>
      <w:snapToGrid w:val="0"/>
      <w:color w:val="000000"/>
      <w:sz w:val="22"/>
      <w:szCs w:val="20"/>
      <w:lang w:eastAsia="es-ES"/>
    </w:rPr>
  </w:style>
  <w:style w:type="paragraph" w:styleId="Ttulo6">
    <w:name w:val="heading 6"/>
    <w:basedOn w:val="Normal"/>
    <w:next w:val="Normal"/>
    <w:link w:val="Ttulo6Car"/>
    <w:qFormat/>
    <w:rsid w:val="00274060"/>
    <w:pPr>
      <w:keepNext/>
      <w:jc w:val="center"/>
      <w:outlineLvl w:val="5"/>
    </w:pPr>
    <w:rPr>
      <w:rFonts w:ascii="Arial" w:hAnsi="Arial"/>
      <w:b/>
      <w:snapToGrid w:val="0"/>
      <w:sz w:val="22"/>
      <w:szCs w:val="20"/>
      <w:lang w:eastAsia="es-ES"/>
    </w:rPr>
  </w:style>
  <w:style w:type="paragraph" w:styleId="Ttulo7">
    <w:name w:val="heading 7"/>
    <w:basedOn w:val="Normal"/>
    <w:next w:val="Normal"/>
    <w:link w:val="Ttulo7Car"/>
    <w:qFormat/>
    <w:rsid w:val="00274060"/>
    <w:pPr>
      <w:keepNext/>
      <w:jc w:val="center"/>
      <w:outlineLvl w:val="6"/>
    </w:pPr>
    <w:rPr>
      <w:rFonts w:ascii="Arial" w:hAnsi="Arial"/>
      <w:b/>
      <w:snapToGrid w:val="0"/>
      <w:color w:val="000000"/>
      <w:sz w:val="20"/>
      <w:szCs w:val="20"/>
      <w:lang w:eastAsia="es-ES"/>
    </w:rPr>
  </w:style>
  <w:style w:type="paragraph" w:styleId="Ttulo8">
    <w:name w:val="heading 8"/>
    <w:basedOn w:val="Normal"/>
    <w:next w:val="Normal"/>
    <w:link w:val="Ttulo8Car"/>
    <w:qFormat/>
    <w:rsid w:val="00274060"/>
    <w:pPr>
      <w:keepNext/>
      <w:jc w:val="both"/>
      <w:outlineLvl w:val="7"/>
    </w:pPr>
    <w:rPr>
      <w:rFonts w:ascii="Arial" w:hAnsi="Arial"/>
      <w:snapToGrid w:val="0"/>
      <w:szCs w:val="20"/>
      <w:lang w:eastAsia="es-ES"/>
    </w:rPr>
  </w:style>
  <w:style w:type="paragraph" w:styleId="Ttulo9">
    <w:name w:val="heading 9"/>
    <w:basedOn w:val="Normal"/>
    <w:next w:val="Normal"/>
    <w:link w:val="Ttulo9Car"/>
    <w:qFormat/>
    <w:rsid w:val="00274060"/>
    <w:pPr>
      <w:spacing w:before="240" w:after="60"/>
      <w:outlineLvl w:val="8"/>
    </w:pPr>
    <w:rPr>
      <w:rFonts w:ascii="Arial" w:hAnsi="Arial"/>
      <w:sz w:val="2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character" w:customStyle="1" w:styleId="Ttulo1Car">
    <w:name w:val="Título 1 Car"/>
    <w:basedOn w:val="Fuentedeprrafopredeter"/>
    <w:link w:val="Ttulo1"/>
    <w:uiPriority w:val="99"/>
    <w:rsid w:val="00274060"/>
    <w:rPr>
      <w:rFonts w:ascii="Arial" w:hAnsi="Arial"/>
      <w:b/>
      <w:sz w:val="24"/>
      <w:lang w:val="x-none" w:eastAsia="x-none"/>
    </w:rPr>
  </w:style>
  <w:style w:type="character" w:customStyle="1" w:styleId="Ttulo2Car">
    <w:name w:val="Título 2 Car"/>
    <w:basedOn w:val="Fuentedeprrafopredeter"/>
    <w:link w:val="Ttulo2"/>
    <w:rsid w:val="00274060"/>
    <w:rPr>
      <w:rFonts w:ascii="Arial" w:hAnsi="Arial"/>
      <w:snapToGrid w:val="0"/>
      <w:color w:val="000000"/>
      <w:sz w:val="24"/>
      <w:lang w:val="es-ES_tradnl" w:eastAsia="es-ES"/>
    </w:rPr>
  </w:style>
  <w:style w:type="character" w:customStyle="1" w:styleId="Ttulo3Car">
    <w:name w:val="Título 3 Car"/>
    <w:basedOn w:val="Fuentedeprrafopredeter"/>
    <w:link w:val="Ttulo3"/>
    <w:rsid w:val="00274060"/>
    <w:rPr>
      <w:rFonts w:ascii="Arial" w:hAnsi="Arial"/>
      <w:snapToGrid w:val="0"/>
      <w:color w:val="000000"/>
      <w:sz w:val="24"/>
      <w:lang w:val="es-ES_tradnl" w:eastAsia="es-ES"/>
    </w:rPr>
  </w:style>
  <w:style w:type="character" w:customStyle="1" w:styleId="Ttulo4Car">
    <w:name w:val="Título 4 Car"/>
    <w:basedOn w:val="Fuentedeprrafopredeter"/>
    <w:link w:val="Ttulo4"/>
    <w:rsid w:val="00274060"/>
    <w:rPr>
      <w:rFonts w:ascii="Arial" w:hAnsi="Arial"/>
      <w:sz w:val="24"/>
      <w:u w:val="single"/>
      <w:lang w:val="es-ES_tradnl" w:eastAsia="es-ES"/>
    </w:rPr>
  </w:style>
  <w:style w:type="character" w:customStyle="1" w:styleId="Ttulo5Car">
    <w:name w:val="Título 5 Car"/>
    <w:basedOn w:val="Fuentedeprrafopredeter"/>
    <w:link w:val="Ttulo5"/>
    <w:rsid w:val="00274060"/>
    <w:rPr>
      <w:rFonts w:ascii="Arial" w:hAnsi="Arial"/>
      <w:b/>
      <w:snapToGrid w:val="0"/>
      <w:color w:val="000000"/>
      <w:sz w:val="22"/>
      <w:lang w:val="es-ES_tradnl" w:eastAsia="es-ES"/>
    </w:rPr>
  </w:style>
  <w:style w:type="character" w:customStyle="1" w:styleId="Ttulo6Car">
    <w:name w:val="Título 6 Car"/>
    <w:basedOn w:val="Fuentedeprrafopredeter"/>
    <w:link w:val="Ttulo6"/>
    <w:rsid w:val="00274060"/>
    <w:rPr>
      <w:rFonts w:ascii="Arial" w:hAnsi="Arial"/>
      <w:b/>
      <w:snapToGrid w:val="0"/>
      <w:sz w:val="22"/>
      <w:lang w:val="es-ES_tradnl" w:eastAsia="es-ES"/>
    </w:rPr>
  </w:style>
  <w:style w:type="character" w:customStyle="1" w:styleId="Ttulo7Car">
    <w:name w:val="Título 7 Car"/>
    <w:basedOn w:val="Fuentedeprrafopredeter"/>
    <w:link w:val="Ttulo7"/>
    <w:rsid w:val="00274060"/>
    <w:rPr>
      <w:rFonts w:ascii="Arial" w:hAnsi="Arial"/>
      <w:b/>
      <w:snapToGrid w:val="0"/>
      <w:color w:val="000000"/>
      <w:lang w:val="es-ES_tradnl" w:eastAsia="es-ES"/>
    </w:rPr>
  </w:style>
  <w:style w:type="character" w:customStyle="1" w:styleId="Ttulo8Car">
    <w:name w:val="Título 8 Car"/>
    <w:basedOn w:val="Fuentedeprrafopredeter"/>
    <w:link w:val="Ttulo8"/>
    <w:rsid w:val="00274060"/>
    <w:rPr>
      <w:rFonts w:ascii="Arial" w:hAnsi="Arial"/>
      <w:snapToGrid w:val="0"/>
      <w:sz w:val="24"/>
      <w:lang w:val="es-ES_tradnl" w:eastAsia="es-ES"/>
    </w:rPr>
  </w:style>
  <w:style w:type="character" w:customStyle="1" w:styleId="Ttulo9Car">
    <w:name w:val="Título 9 Car"/>
    <w:basedOn w:val="Fuentedeprrafopredeter"/>
    <w:link w:val="Ttulo9"/>
    <w:rsid w:val="00274060"/>
    <w:rPr>
      <w:rFonts w:ascii="Arial" w:hAnsi="Arial"/>
      <w:sz w:val="22"/>
      <w:lang w:val="es-ES_tradnl" w:eastAsia="es-ES"/>
    </w:rPr>
  </w:style>
  <w:style w:type="numbering" w:customStyle="1" w:styleId="Sinlista1">
    <w:name w:val="Sin lista1"/>
    <w:next w:val="Sinlista"/>
    <w:uiPriority w:val="99"/>
    <w:semiHidden/>
    <w:unhideWhenUsed/>
    <w:rsid w:val="00274060"/>
  </w:style>
  <w:style w:type="paragraph" w:styleId="Textoindependiente2">
    <w:name w:val="Body Text 2"/>
    <w:basedOn w:val="Normal"/>
    <w:link w:val="Textoindependiente2Car"/>
    <w:uiPriority w:val="99"/>
    <w:semiHidden/>
    <w:rsid w:val="00274060"/>
    <w:rPr>
      <w:sz w:val="28"/>
      <w:szCs w:val="20"/>
      <w:lang w:eastAsia="x-none"/>
    </w:rPr>
  </w:style>
  <w:style w:type="character" w:customStyle="1" w:styleId="Textoindependiente2Car">
    <w:name w:val="Texto independiente 2 Car"/>
    <w:basedOn w:val="Fuentedeprrafopredeter"/>
    <w:link w:val="Textoindependiente2"/>
    <w:uiPriority w:val="99"/>
    <w:semiHidden/>
    <w:rsid w:val="00274060"/>
    <w:rPr>
      <w:sz w:val="28"/>
      <w:lang w:val="es-ES_tradnl" w:eastAsia="x-none"/>
    </w:rPr>
  </w:style>
  <w:style w:type="paragraph" w:styleId="Textoindependiente">
    <w:name w:val="Body Text"/>
    <w:basedOn w:val="Normal"/>
    <w:link w:val="TextoindependienteCar"/>
    <w:semiHidden/>
    <w:rsid w:val="00274060"/>
    <w:pPr>
      <w:spacing w:line="360" w:lineRule="auto"/>
      <w:jc w:val="both"/>
    </w:pPr>
    <w:rPr>
      <w:rFonts w:ascii="Arial" w:hAnsi="Arial"/>
      <w:szCs w:val="20"/>
      <w:lang w:eastAsia="es-ES"/>
    </w:rPr>
  </w:style>
  <w:style w:type="character" w:customStyle="1" w:styleId="TextoindependienteCar">
    <w:name w:val="Texto independiente Car"/>
    <w:basedOn w:val="Fuentedeprrafopredeter"/>
    <w:link w:val="Textoindependiente"/>
    <w:semiHidden/>
    <w:rsid w:val="00274060"/>
    <w:rPr>
      <w:rFonts w:ascii="Arial" w:hAnsi="Arial"/>
      <w:sz w:val="24"/>
      <w:lang w:val="es-ES_tradnl" w:eastAsia="es-ES"/>
    </w:rPr>
  </w:style>
  <w:style w:type="paragraph" w:customStyle="1" w:styleId="Default">
    <w:name w:val="Default"/>
    <w:rsid w:val="00274060"/>
    <w:pPr>
      <w:autoSpaceDE w:val="0"/>
      <w:autoSpaceDN w:val="0"/>
      <w:adjustRightInd w:val="0"/>
    </w:pPr>
    <w:rPr>
      <w:rFonts w:eastAsia="Calibri"/>
      <w:color w:val="000000"/>
      <w:sz w:val="24"/>
      <w:lang w:val="es-ES_tradnl" w:eastAsia="es-ES"/>
    </w:rPr>
  </w:style>
  <w:style w:type="paragraph" w:styleId="Textoindependiente3">
    <w:name w:val="Body Text 3"/>
    <w:basedOn w:val="Normal"/>
    <w:link w:val="Textoindependiente3Car"/>
    <w:semiHidden/>
    <w:rsid w:val="00274060"/>
    <w:pPr>
      <w:spacing w:after="120" w:line="276" w:lineRule="auto"/>
    </w:pPr>
    <w:rPr>
      <w:rFonts w:ascii="Calibri" w:eastAsia="Calibri" w:hAnsi="Calibri"/>
      <w:sz w:val="16"/>
      <w:szCs w:val="20"/>
      <w:lang w:eastAsia="es-ES"/>
    </w:rPr>
  </w:style>
  <w:style w:type="character" w:customStyle="1" w:styleId="Textoindependiente3Car">
    <w:name w:val="Texto independiente 3 Car"/>
    <w:basedOn w:val="Fuentedeprrafopredeter"/>
    <w:link w:val="Textoindependiente3"/>
    <w:semiHidden/>
    <w:rsid w:val="00274060"/>
    <w:rPr>
      <w:rFonts w:ascii="Calibri" w:eastAsia="Calibri" w:hAnsi="Calibri"/>
      <w:sz w:val="16"/>
      <w:lang w:val="es-ES_tradnl" w:eastAsia="es-ES"/>
    </w:rPr>
  </w:style>
  <w:style w:type="paragraph" w:customStyle="1" w:styleId="H4">
    <w:name w:val="H4"/>
    <w:basedOn w:val="Normal"/>
    <w:next w:val="Normal"/>
    <w:rsid w:val="00274060"/>
    <w:pPr>
      <w:keepNext/>
      <w:spacing w:before="100" w:after="100"/>
      <w:outlineLvl w:val="4"/>
    </w:pPr>
    <w:rPr>
      <w:b/>
      <w:snapToGrid w:val="0"/>
      <w:szCs w:val="20"/>
      <w:lang w:eastAsia="es-ES"/>
    </w:rPr>
  </w:style>
  <w:style w:type="paragraph" w:styleId="Textonotapie">
    <w:name w:val="footnote text"/>
    <w:basedOn w:val="Normal"/>
    <w:link w:val="TextonotapieCar"/>
    <w:semiHidden/>
    <w:unhideWhenUsed/>
    <w:rsid w:val="00274060"/>
    <w:rPr>
      <w:sz w:val="20"/>
      <w:szCs w:val="20"/>
      <w:lang w:eastAsia="es-ES"/>
    </w:rPr>
  </w:style>
  <w:style w:type="character" w:customStyle="1" w:styleId="TextonotapieCar">
    <w:name w:val="Texto nota pie Car"/>
    <w:basedOn w:val="Fuentedeprrafopredeter"/>
    <w:link w:val="Textonotapie"/>
    <w:semiHidden/>
    <w:rsid w:val="00274060"/>
    <w:rPr>
      <w:lang w:val="es-ES_tradnl" w:eastAsia="es-ES"/>
    </w:rPr>
  </w:style>
  <w:style w:type="character" w:styleId="Refdenotaalpie">
    <w:name w:val="footnote reference"/>
    <w:semiHidden/>
    <w:unhideWhenUsed/>
    <w:rsid w:val="00274060"/>
    <w:rPr>
      <w:vertAlign w:val="superscript"/>
    </w:rPr>
  </w:style>
  <w:style w:type="paragraph" w:customStyle="1" w:styleId="Estilo1">
    <w:name w:val="Estilo1"/>
    <w:basedOn w:val="Textoindependiente3"/>
    <w:qFormat/>
    <w:rsid w:val="00274060"/>
    <w:pPr>
      <w:spacing w:after="0" w:line="360" w:lineRule="auto"/>
      <w:jc w:val="both"/>
    </w:pPr>
    <w:rPr>
      <w:rFonts w:ascii="Arial" w:hAnsi="Arial"/>
      <w:sz w:val="24"/>
    </w:rPr>
  </w:style>
  <w:style w:type="paragraph" w:styleId="Ttulo">
    <w:name w:val="Title"/>
    <w:basedOn w:val="Normal"/>
    <w:link w:val="TtuloCar"/>
    <w:qFormat/>
    <w:rsid w:val="00274060"/>
    <w:pPr>
      <w:spacing w:line="360" w:lineRule="auto"/>
      <w:jc w:val="center"/>
    </w:pPr>
    <w:rPr>
      <w:rFonts w:ascii="Arial" w:hAnsi="Arial"/>
      <w:b/>
      <w:szCs w:val="20"/>
      <w:lang w:val="es-MX" w:eastAsia="es-ES"/>
    </w:rPr>
  </w:style>
  <w:style w:type="character" w:customStyle="1" w:styleId="TtuloCar">
    <w:name w:val="Título Car"/>
    <w:basedOn w:val="Fuentedeprrafopredeter"/>
    <w:link w:val="Ttulo"/>
    <w:rsid w:val="00274060"/>
    <w:rPr>
      <w:rFonts w:ascii="Arial" w:hAnsi="Arial"/>
      <w:b/>
      <w:sz w:val="24"/>
      <w:lang w:val="es-MX" w:eastAsia="es-ES"/>
    </w:rPr>
  </w:style>
  <w:style w:type="character" w:customStyle="1" w:styleId="Estilo1Car">
    <w:name w:val="Estilo1 Car"/>
    <w:rsid w:val="00274060"/>
    <w:rPr>
      <w:rFonts w:ascii="Arial" w:eastAsia="Calibri" w:hAnsi="Arial"/>
      <w:noProof w:val="0"/>
      <w:sz w:val="24"/>
      <w:lang w:val="es-ES_tradnl" w:eastAsia="es-ES"/>
    </w:rPr>
  </w:style>
  <w:style w:type="paragraph" w:customStyle="1" w:styleId="H1">
    <w:name w:val="H1"/>
    <w:basedOn w:val="Normal"/>
    <w:next w:val="Normal"/>
    <w:rsid w:val="00274060"/>
    <w:pPr>
      <w:keepNext/>
      <w:spacing w:before="100" w:after="100"/>
      <w:outlineLvl w:val="1"/>
    </w:pPr>
    <w:rPr>
      <w:b/>
      <w:snapToGrid w:val="0"/>
      <w:kern w:val="36"/>
      <w:sz w:val="48"/>
      <w:szCs w:val="20"/>
      <w:lang w:val="es-MX" w:eastAsia="es-ES"/>
    </w:rPr>
  </w:style>
  <w:style w:type="character" w:styleId="Textoennegrita">
    <w:name w:val="Strong"/>
    <w:uiPriority w:val="22"/>
    <w:qFormat/>
    <w:rsid w:val="00274060"/>
    <w:rPr>
      <w:b/>
      <w:bCs/>
    </w:rPr>
  </w:style>
  <w:style w:type="character" w:styleId="AcrnimoHTML">
    <w:name w:val="HTML Acronym"/>
    <w:basedOn w:val="Fuentedeprrafopredeter"/>
    <w:uiPriority w:val="99"/>
    <w:semiHidden/>
    <w:unhideWhenUsed/>
    <w:rsid w:val="00274060"/>
  </w:style>
  <w:style w:type="character" w:customStyle="1" w:styleId="reference-text">
    <w:name w:val="reference-text"/>
    <w:rsid w:val="00274060"/>
  </w:style>
  <w:style w:type="paragraph" w:styleId="Prrafodelista">
    <w:name w:val="List Paragraph"/>
    <w:basedOn w:val="Normal"/>
    <w:uiPriority w:val="34"/>
    <w:qFormat/>
    <w:rsid w:val="00274060"/>
    <w:pPr>
      <w:ind w:left="708"/>
    </w:pPr>
    <w:rPr>
      <w:sz w:val="20"/>
      <w:szCs w:val="20"/>
      <w:lang w:eastAsia="es-ES"/>
    </w:rPr>
  </w:style>
  <w:style w:type="table" w:customStyle="1" w:styleId="Tablaconcuadrcula1">
    <w:name w:val="Tabla con cuadrícula1"/>
    <w:basedOn w:val="Tablanormal"/>
    <w:next w:val="Tablaconcuadrcula"/>
    <w:uiPriority w:val="59"/>
    <w:rsid w:val="002740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16ptNegritaCentrado">
    <w:name w:val="Estilo 16 pt Negrita Centrado"/>
    <w:basedOn w:val="Normal"/>
    <w:rsid w:val="00274060"/>
    <w:pPr>
      <w:jc w:val="center"/>
    </w:pPr>
    <w:rPr>
      <w:b/>
      <w:bCs/>
      <w:sz w:val="32"/>
      <w:szCs w:val="20"/>
      <w:lang w:eastAsia="es-ES"/>
    </w:rPr>
  </w:style>
  <w:style w:type="character" w:customStyle="1" w:styleId="orcid-id-https">
    <w:name w:val="orcid-id-https"/>
    <w:rsid w:val="00274060"/>
  </w:style>
  <w:style w:type="character" w:customStyle="1" w:styleId="bold">
    <w:name w:val="bold"/>
    <w:rsid w:val="00274060"/>
  </w:style>
  <w:style w:type="paragraph" w:customStyle="1" w:styleId="style3">
    <w:name w:val="style3"/>
    <w:basedOn w:val="Normal"/>
    <w:rsid w:val="00274060"/>
    <w:pPr>
      <w:spacing w:before="100" w:beforeAutospacing="1" w:after="100" w:afterAutospacing="1"/>
    </w:pPr>
    <w:rPr>
      <w:lang w:eastAsia="es-ES"/>
    </w:rPr>
  </w:style>
  <w:style w:type="character" w:styleId="Refdecomentario">
    <w:name w:val="annotation reference"/>
    <w:uiPriority w:val="99"/>
    <w:semiHidden/>
    <w:unhideWhenUsed/>
    <w:rsid w:val="00274060"/>
    <w:rPr>
      <w:sz w:val="16"/>
      <w:szCs w:val="16"/>
    </w:rPr>
  </w:style>
  <w:style w:type="paragraph" w:styleId="Textocomentario">
    <w:name w:val="annotation text"/>
    <w:basedOn w:val="Normal"/>
    <w:link w:val="TextocomentarioCar"/>
    <w:uiPriority w:val="99"/>
    <w:unhideWhenUsed/>
    <w:qFormat/>
    <w:rsid w:val="00274060"/>
    <w:rPr>
      <w:sz w:val="20"/>
      <w:szCs w:val="20"/>
      <w:lang w:eastAsia="es-ES"/>
    </w:rPr>
  </w:style>
  <w:style w:type="character" w:customStyle="1" w:styleId="TextocomentarioCar">
    <w:name w:val="Texto comentario Car"/>
    <w:basedOn w:val="Fuentedeprrafopredeter"/>
    <w:link w:val="Textocomentario"/>
    <w:uiPriority w:val="99"/>
    <w:qFormat/>
    <w:rsid w:val="00274060"/>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274060"/>
    <w:rPr>
      <w:b/>
      <w:bCs/>
      <w:lang w:val="x-none" w:eastAsia="x-none"/>
    </w:rPr>
  </w:style>
  <w:style w:type="character" w:customStyle="1" w:styleId="AsuntodelcomentarioCar">
    <w:name w:val="Asunto del comentario Car"/>
    <w:basedOn w:val="TextocomentarioCar"/>
    <w:link w:val="Asuntodelcomentario"/>
    <w:uiPriority w:val="99"/>
    <w:semiHidden/>
    <w:rsid w:val="00274060"/>
    <w:rPr>
      <w:b/>
      <w:bCs/>
      <w:lang w:val="x-none" w:eastAsia="x-none"/>
    </w:rPr>
  </w:style>
  <w:style w:type="character" w:styleId="nfasis">
    <w:name w:val="Emphasis"/>
    <w:uiPriority w:val="20"/>
    <w:qFormat/>
    <w:rsid w:val="00274060"/>
    <w:rPr>
      <w:i/>
      <w:iCs/>
    </w:rPr>
  </w:style>
  <w:style w:type="paragraph" w:styleId="Revisin">
    <w:name w:val="Revision"/>
    <w:hidden/>
    <w:uiPriority w:val="99"/>
    <w:semiHidden/>
    <w:rsid w:val="00274060"/>
    <w:rPr>
      <w:lang w:val="es-ES_tradnl" w:eastAsia="es-ES"/>
    </w:rPr>
  </w:style>
  <w:style w:type="character" w:customStyle="1" w:styleId="Hipervnculovisitado1">
    <w:name w:val="Hipervínculo visitado1"/>
    <w:uiPriority w:val="99"/>
    <w:semiHidden/>
    <w:unhideWhenUsed/>
    <w:rsid w:val="00274060"/>
    <w:rPr>
      <w:color w:val="954F72"/>
      <w:u w:val="single"/>
    </w:rPr>
  </w:style>
  <w:style w:type="character" w:styleId="Hipervnculovisitado">
    <w:name w:val="FollowedHyperlink"/>
    <w:basedOn w:val="Fuentedeprrafopredeter"/>
    <w:semiHidden/>
    <w:unhideWhenUsed/>
    <w:rsid w:val="002740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270-0503" TargetMode="External"/><Relationship Id="rId13" Type="http://schemas.openxmlformats.org/officeDocument/2006/relationships/hyperlink" Target="mailto:ozohydhylc@infomed.sld.cu" TargetMode="External"/><Relationship Id="rId18" Type="http://schemas.openxmlformats.org/officeDocument/2006/relationships/hyperlink" Target="http://scielo.sld.cu/scielo.php?script=sci_arttext&amp;pid=S222124342019000300161&amp;lng=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ielo.sld.cu/scielo.php?script=sci_arttext&amp;pid=S156043812019000100159&amp;lng=es" TargetMode="External"/><Relationship Id="rId7" Type="http://schemas.openxmlformats.org/officeDocument/2006/relationships/hyperlink" Target="https://orcid.org/0000-0002-5248-7055" TargetMode="External"/><Relationship Id="rId12" Type="http://schemas.openxmlformats.org/officeDocument/2006/relationships/hyperlink" Target="https://orcid.org/0000-0001-6263-3194" TargetMode="External"/><Relationship Id="rId17" Type="http://schemas.openxmlformats.org/officeDocument/2006/relationships/hyperlink" Target="http://scielo.sld.cu/scielo.php?script=sci_arttext&amp;pid=S0138-65572017000200007&amp;lng=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ielo.sld.cu/scielo.php?script=sci_arttext&amp;pid=S1025-02552020000600005&amp;lng=es" TargetMode="External"/><Relationship Id="rId20" Type="http://schemas.openxmlformats.org/officeDocument/2006/relationships/hyperlink" Target="http://scielo.sld.cu/scielo.php?script=sci_arttext&amp;pid=S1029-30192017000600004&amp;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9787-4841"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files.sld.cu/dne/files/2022/10/Anuario-Estad&#237;stico-de-Salud-2021.-Ed-2022.pdf" TargetMode="External"/><Relationship Id="rId23" Type="http://schemas.openxmlformats.org/officeDocument/2006/relationships/footer" Target="footer1.xml"/><Relationship Id="rId10" Type="http://schemas.openxmlformats.org/officeDocument/2006/relationships/hyperlink" Target="https://orcid.org/0000-0002-6146-6184" TargetMode="External"/><Relationship Id="rId19" Type="http://schemas.openxmlformats.org/officeDocument/2006/relationships/hyperlink" Target="http://repositorio.unjbg.edu.pe/bitstream/handle/UNJBG/4288/1960_2021_torres_serrano_kr_facs_medicina_humana.pdf?sequence=1&amp;isAllowed=y" TargetMode="External"/><Relationship Id="rId4" Type="http://schemas.openxmlformats.org/officeDocument/2006/relationships/webSettings" Target="webSettings.xml"/><Relationship Id="rId9" Type="http://schemas.openxmlformats.org/officeDocument/2006/relationships/hyperlink" Target="https://orcid.org/0000-0001-7232-343X" TargetMode="External"/><Relationship Id="rId14" Type="http://schemas.openxmlformats.org/officeDocument/2006/relationships/image" Target="media/image1.png"/><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17</TotalTime>
  <Pages>14</Pages>
  <Words>4165</Words>
  <Characters>23744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27854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12</cp:revision>
  <cp:lastPrinted>2023-10-26T22:51:00Z</cp:lastPrinted>
  <dcterms:created xsi:type="dcterms:W3CDTF">2023-10-26T22:35:00Z</dcterms:created>
  <dcterms:modified xsi:type="dcterms:W3CDTF">2023-10-26T22:53:00Z</dcterms:modified>
</cp:coreProperties>
</file>