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BC46" w14:textId="77777777" w:rsidR="00647A8E" w:rsidRPr="00647A8E" w:rsidRDefault="00647A8E" w:rsidP="00647A8E">
      <w:pPr>
        <w:spacing w:line="360" w:lineRule="auto"/>
        <w:jc w:val="right"/>
        <w:rPr>
          <w:rFonts w:eastAsia="Calibri"/>
          <w:bCs/>
          <w:sz w:val="20"/>
          <w:szCs w:val="20"/>
          <w:lang w:val="es-ES" w:eastAsia="en-US"/>
        </w:rPr>
      </w:pPr>
      <w:r w:rsidRPr="00647A8E">
        <w:rPr>
          <w:rFonts w:eastAsia="Calibri"/>
          <w:bCs/>
          <w:sz w:val="20"/>
          <w:szCs w:val="20"/>
          <w:lang w:val="es-ES" w:eastAsia="en-US"/>
        </w:rPr>
        <w:t>Artículo de investigación</w:t>
      </w:r>
    </w:p>
    <w:p w14:paraId="2C9EC1EA" w14:textId="77777777" w:rsidR="00647A8E" w:rsidRPr="00647A8E" w:rsidRDefault="00647A8E" w:rsidP="00647A8E">
      <w:pPr>
        <w:spacing w:line="360" w:lineRule="auto"/>
        <w:jc w:val="both"/>
        <w:rPr>
          <w:rFonts w:eastAsia="Calibri"/>
          <w:b/>
          <w:bCs/>
          <w:lang w:val="es-ES" w:eastAsia="en-US"/>
        </w:rPr>
      </w:pPr>
    </w:p>
    <w:p w14:paraId="61820AD8" w14:textId="77777777" w:rsidR="00647A8E" w:rsidRPr="00647A8E" w:rsidRDefault="00647A8E" w:rsidP="00647A8E">
      <w:pPr>
        <w:spacing w:line="360" w:lineRule="auto"/>
        <w:jc w:val="center"/>
        <w:rPr>
          <w:rFonts w:eastAsia="Calibri"/>
          <w:b/>
          <w:bCs/>
          <w:sz w:val="28"/>
          <w:szCs w:val="28"/>
          <w:lang w:val="es-CU" w:eastAsia="en-US"/>
        </w:rPr>
      </w:pPr>
      <w:r w:rsidRPr="00647A8E">
        <w:rPr>
          <w:rFonts w:eastAsia="Calibri"/>
          <w:b/>
          <w:bCs/>
          <w:sz w:val="28"/>
          <w:szCs w:val="28"/>
          <w:lang w:val="es-CU" w:eastAsia="en-US"/>
        </w:rPr>
        <w:t>Caracterización de los adolescentes participantes en el ensayo clínico con la vacuna Abdala</w:t>
      </w:r>
    </w:p>
    <w:p w14:paraId="54E6DC54" w14:textId="77777777" w:rsidR="00647A8E" w:rsidRPr="00647A8E" w:rsidRDefault="00647A8E" w:rsidP="00647A8E">
      <w:pPr>
        <w:spacing w:line="360" w:lineRule="auto"/>
        <w:jc w:val="center"/>
        <w:rPr>
          <w:rFonts w:eastAsia="Calibri"/>
          <w:bCs/>
          <w:sz w:val="28"/>
          <w:szCs w:val="28"/>
          <w:lang w:val="en-US" w:eastAsia="en-US"/>
        </w:rPr>
      </w:pPr>
      <w:bookmarkStart w:id="0" w:name="_Hlk141102565"/>
      <w:r w:rsidRPr="00647A8E">
        <w:rPr>
          <w:rFonts w:eastAsia="Calibri"/>
          <w:bCs/>
          <w:sz w:val="28"/>
          <w:szCs w:val="28"/>
          <w:lang w:val="en-US" w:eastAsia="en-US"/>
        </w:rPr>
        <w:t>Characterization of participants adolescents in the clinical trial with Abdala vaccine</w:t>
      </w:r>
    </w:p>
    <w:p w14:paraId="379F76E1" w14:textId="77777777" w:rsidR="00647A8E" w:rsidRPr="00647A8E" w:rsidRDefault="00647A8E" w:rsidP="00647A8E">
      <w:pPr>
        <w:spacing w:line="360" w:lineRule="auto"/>
        <w:jc w:val="center"/>
        <w:rPr>
          <w:rFonts w:eastAsia="Calibri"/>
          <w:bCs/>
          <w:sz w:val="28"/>
          <w:szCs w:val="28"/>
          <w:lang w:val="en-US" w:eastAsia="en-US"/>
        </w:rPr>
      </w:pPr>
    </w:p>
    <w:p w14:paraId="7BA072F2"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Laura Elena </w:t>
      </w:r>
      <w:proofErr w:type="spellStart"/>
      <w:r w:rsidRPr="00647A8E">
        <w:rPr>
          <w:rFonts w:eastAsia="Calibri"/>
          <w:lang w:val="es-ES" w:eastAsia="en-US"/>
        </w:rPr>
        <w:t>Alvaré</w:t>
      </w:r>
      <w:proofErr w:type="spellEnd"/>
      <w:r w:rsidRPr="00647A8E">
        <w:rPr>
          <w:rFonts w:eastAsia="Calibri"/>
          <w:lang w:val="es-ES" w:eastAsia="en-US"/>
        </w:rPr>
        <w:t xml:space="preserve"> </w:t>
      </w:r>
      <w:proofErr w:type="spellStart"/>
      <w:r w:rsidRPr="00647A8E">
        <w:rPr>
          <w:rFonts w:eastAsia="Calibri"/>
          <w:lang w:val="es-ES" w:eastAsia="en-US"/>
        </w:rPr>
        <w:t>Alvaré</w:t>
      </w:r>
      <w:r w:rsidRPr="00647A8E">
        <w:rPr>
          <w:rFonts w:eastAsia="Calibri"/>
          <w:vertAlign w:val="superscript"/>
          <w:lang w:val="es-ES" w:eastAsia="en-US"/>
        </w:rPr>
        <w:t>1</w:t>
      </w:r>
      <w:proofErr w:type="spellEnd"/>
      <w:r w:rsidRPr="00647A8E">
        <w:rPr>
          <w:rFonts w:eastAsia="Calibri"/>
          <w:lang w:val="es-ES" w:eastAsia="en-US"/>
        </w:rPr>
        <w:t xml:space="preserve">* </w:t>
      </w:r>
      <w:hyperlink r:id="rId7" w:history="1">
        <w:r w:rsidRPr="00647A8E">
          <w:rPr>
            <w:rFonts w:eastAsia="Calibri"/>
            <w:color w:val="0563C1"/>
            <w:lang w:val="es-ES" w:eastAsia="en-US"/>
          </w:rPr>
          <w:t>https://orcid.org/0000-0002-4196-7176</w:t>
        </w:r>
      </w:hyperlink>
    </w:p>
    <w:p w14:paraId="5566AC9E"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Alena </w:t>
      </w:r>
      <w:proofErr w:type="spellStart"/>
      <w:r w:rsidRPr="00647A8E">
        <w:rPr>
          <w:rFonts w:eastAsia="Calibri"/>
          <w:lang w:val="es-ES" w:eastAsia="en-US"/>
        </w:rPr>
        <w:t>Salvato</w:t>
      </w:r>
      <w:proofErr w:type="spellEnd"/>
      <w:r w:rsidRPr="00647A8E">
        <w:rPr>
          <w:rFonts w:eastAsia="Calibri"/>
          <w:lang w:val="es-ES" w:eastAsia="en-US"/>
        </w:rPr>
        <w:t xml:space="preserve"> </w:t>
      </w:r>
      <w:proofErr w:type="spellStart"/>
      <w:r w:rsidRPr="00647A8E">
        <w:rPr>
          <w:rFonts w:eastAsia="Calibri"/>
          <w:lang w:val="es-ES" w:eastAsia="en-US"/>
        </w:rPr>
        <w:t>Dueñas</w:t>
      </w:r>
      <w:r w:rsidRPr="00647A8E">
        <w:rPr>
          <w:rFonts w:eastAsia="Calibri"/>
          <w:vertAlign w:val="superscript"/>
          <w:lang w:val="es-ES" w:eastAsia="en-US"/>
        </w:rPr>
        <w:t>1</w:t>
      </w:r>
      <w:proofErr w:type="spellEnd"/>
      <w:r w:rsidRPr="00647A8E">
        <w:rPr>
          <w:rFonts w:eastAsia="Calibri"/>
          <w:vertAlign w:val="superscript"/>
          <w:lang w:val="es-ES" w:eastAsia="en-US"/>
        </w:rPr>
        <w:t xml:space="preserve"> </w:t>
      </w:r>
      <w:hyperlink r:id="rId8" w:history="1">
        <w:r w:rsidRPr="00647A8E">
          <w:rPr>
            <w:rFonts w:eastAsia="Calibri"/>
            <w:color w:val="0563C1"/>
            <w:lang w:val="es-ES" w:eastAsia="en-US"/>
          </w:rPr>
          <w:t>https://orcid.org/0000-0002-7556-7314</w:t>
        </w:r>
      </w:hyperlink>
    </w:p>
    <w:p w14:paraId="5EF9093B"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lang w:val="es-ES" w:eastAsia="en-US"/>
        </w:rPr>
        <w:t>Danusia</w:t>
      </w:r>
      <w:proofErr w:type="spellEnd"/>
      <w:r w:rsidRPr="00647A8E">
        <w:rPr>
          <w:rFonts w:eastAsia="Calibri"/>
          <w:lang w:val="es-ES" w:eastAsia="en-US"/>
        </w:rPr>
        <w:t xml:space="preserve"> Felipe </w:t>
      </w:r>
      <w:proofErr w:type="spellStart"/>
      <w:r w:rsidRPr="00647A8E">
        <w:rPr>
          <w:rFonts w:eastAsia="Calibri"/>
          <w:lang w:val="es-ES" w:eastAsia="en-US"/>
        </w:rPr>
        <w:t>Mallea</w:t>
      </w:r>
      <w:r w:rsidRPr="00647A8E">
        <w:rPr>
          <w:rFonts w:eastAsia="Calibri"/>
          <w:b/>
          <w:bCs/>
          <w:vertAlign w:val="superscript"/>
          <w:lang w:val="es-ES" w:eastAsia="en-US"/>
        </w:rPr>
        <w:t>1</w:t>
      </w:r>
      <w:proofErr w:type="spellEnd"/>
      <w:r w:rsidRPr="00647A8E">
        <w:rPr>
          <w:rFonts w:eastAsia="Calibri"/>
          <w:b/>
          <w:bCs/>
          <w:vertAlign w:val="superscript"/>
          <w:lang w:val="es-ES" w:eastAsia="en-US"/>
        </w:rPr>
        <w:t xml:space="preserve"> </w:t>
      </w:r>
      <w:hyperlink r:id="rId9" w:history="1">
        <w:r w:rsidRPr="00647A8E">
          <w:rPr>
            <w:rFonts w:eastAsia="Calibri"/>
            <w:color w:val="0563C1"/>
            <w:lang w:val="es-ES" w:eastAsia="en-US"/>
          </w:rPr>
          <w:t>https://orcid.org/0000-0001-6653-4871</w:t>
        </w:r>
      </w:hyperlink>
    </w:p>
    <w:p w14:paraId="12E4027D"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lang w:val="es-ES" w:eastAsia="en-US"/>
        </w:rPr>
        <w:t>Mairaly</w:t>
      </w:r>
      <w:proofErr w:type="spellEnd"/>
      <w:r w:rsidRPr="00647A8E">
        <w:rPr>
          <w:rFonts w:eastAsia="Calibri"/>
          <w:lang w:val="es-ES" w:eastAsia="en-US"/>
        </w:rPr>
        <w:t xml:space="preserve"> Porta </w:t>
      </w:r>
      <w:proofErr w:type="spellStart"/>
      <w:r w:rsidRPr="00647A8E">
        <w:rPr>
          <w:rFonts w:eastAsia="Calibri"/>
          <w:lang w:val="es-ES" w:eastAsia="en-US"/>
        </w:rPr>
        <w:t>Diaz</w:t>
      </w:r>
      <w:r w:rsidRPr="00647A8E">
        <w:rPr>
          <w:rFonts w:eastAsia="Calibri"/>
          <w:vertAlign w:val="superscript"/>
          <w:lang w:val="es-ES" w:eastAsia="en-US"/>
        </w:rPr>
        <w:t>1</w:t>
      </w:r>
      <w:proofErr w:type="spellEnd"/>
      <w:r w:rsidRPr="00647A8E">
        <w:rPr>
          <w:rFonts w:eastAsia="Calibri"/>
          <w:vertAlign w:val="superscript"/>
          <w:lang w:val="es-ES" w:eastAsia="en-US"/>
        </w:rPr>
        <w:t xml:space="preserve"> </w:t>
      </w:r>
      <w:hyperlink r:id="rId10" w:history="1">
        <w:r w:rsidRPr="00647A8E">
          <w:rPr>
            <w:rFonts w:eastAsia="Calibri"/>
            <w:color w:val="0563C1"/>
            <w:lang w:val="es-ES" w:eastAsia="en-US"/>
          </w:rPr>
          <w:t>https://orcid.org/0000-0003-4053-2325</w:t>
        </w:r>
      </w:hyperlink>
    </w:p>
    <w:p w14:paraId="50403805"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Berta Lidia Acevedo </w:t>
      </w:r>
      <w:bookmarkStart w:id="1" w:name="_Hlk127873144"/>
      <w:proofErr w:type="spellStart"/>
      <w:r w:rsidRPr="00647A8E">
        <w:rPr>
          <w:rFonts w:eastAsia="Calibri"/>
          <w:lang w:val="es-ES" w:eastAsia="en-US"/>
        </w:rPr>
        <w:t>Castro</w:t>
      </w:r>
      <w:r w:rsidRPr="00647A8E">
        <w:rPr>
          <w:rFonts w:eastAsia="Calibri"/>
          <w:vertAlign w:val="superscript"/>
          <w:lang w:val="es-ES" w:eastAsia="en-US"/>
        </w:rPr>
        <w:t>2</w:t>
      </w:r>
      <w:proofErr w:type="spellEnd"/>
      <w:r w:rsidRPr="00647A8E">
        <w:rPr>
          <w:rFonts w:eastAsia="Calibri"/>
          <w:vertAlign w:val="superscript"/>
          <w:lang w:val="es-ES" w:eastAsia="en-US"/>
        </w:rPr>
        <w:t xml:space="preserve"> </w:t>
      </w:r>
      <w:hyperlink r:id="rId11" w:history="1">
        <w:r w:rsidRPr="00647A8E">
          <w:rPr>
            <w:rFonts w:eastAsia="Calibri"/>
            <w:color w:val="0563C1"/>
            <w:lang w:val="es-ES" w:eastAsia="en-US"/>
          </w:rPr>
          <w:t>https://orcid.org/0000-0001-5179-310</w:t>
        </w:r>
      </w:hyperlink>
    </w:p>
    <w:p w14:paraId="4AB20403" w14:textId="77777777" w:rsidR="00647A8E" w:rsidRPr="00647A8E" w:rsidRDefault="00647A8E" w:rsidP="00647A8E">
      <w:pPr>
        <w:spacing w:line="360" w:lineRule="auto"/>
        <w:jc w:val="both"/>
        <w:rPr>
          <w:color w:val="222222"/>
          <w:lang w:val="es-ES" w:eastAsia="es-ES"/>
        </w:rPr>
      </w:pPr>
      <w:bookmarkStart w:id="2" w:name="_Hlk128692776"/>
      <w:r w:rsidRPr="00647A8E">
        <w:rPr>
          <w:color w:val="222222"/>
          <w:lang w:val="es-ES" w:eastAsia="es-ES"/>
        </w:rPr>
        <w:t xml:space="preserve">Joel Manuel Quintana </w:t>
      </w:r>
      <w:proofErr w:type="spellStart"/>
      <w:r w:rsidRPr="00647A8E">
        <w:rPr>
          <w:color w:val="222222"/>
          <w:lang w:val="es-ES" w:eastAsia="es-ES"/>
        </w:rPr>
        <w:t>Guerra</w:t>
      </w:r>
      <w:r w:rsidRPr="00647A8E">
        <w:rPr>
          <w:color w:val="222222"/>
          <w:vertAlign w:val="superscript"/>
          <w:lang w:val="es-ES" w:eastAsia="es-ES"/>
        </w:rPr>
        <w:t>3</w:t>
      </w:r>
      <w:proofErr w:type="spellEnd"/>
      <w:r w:rsidRPr="00647A8E">
        <w:rPr>
          <w:color w:val="222222"/>
          <w:lang w:val="es-ES" w:eastAsia="es-ES"/>
        </w:rPr>
        <w:t> </w:t>
      </w:r>
      <w:bookmarkEnd w:id="2"/>
      <w:r w:rsidRPr="00647A8E">
        <w:rPr>
          <w:color w:val="222222"/>
          <w:lang w:val="es-ES" w:eastAsia="es-ES"/>
        </w:rPr>
        <w:fldChar w:fldCharType="begin"/>
      </w:r>
      <w:r w:rsidRPr="00647A8E">
        <w:rPr>
          <w:color w:val="222222"/>
          <w:lang w:val="es-ES" w:eastAsia="es-ES"/>
        </w:rPr>
        <w:instrText>HYPERLINK "https://orcid.org/0000-0002-8271-5469"</w:instrText>
      </w:r>
      <w:r w:rsidRPr="00647A8E">
        <w:rPr>
          <w:color w:val="222222"/>
          <w:lang w:val="es-ES" w:eastAsia="es-ES"/>
        </w:rPr>
      </w:r>
      <w:r w:rsidRPr="00647A8E">
        <w:rPr>
          <w:color w:val="222222"/>
          <w:lang w:val="es-ES" w:eastAsia="es-ES"/>
        </w:rPr>
        <w:fldChar w:fldCharType="separate"/>
      </w:r>
      <w:r w:rsidRPr="00647A8E">
        <w:rPr>
          <w:color w:val="0563C1"/>
          <w:lang w:val="es-ES" w:eastAsia="es-ES"/>
        </w:rPr>
        <w:t>https://orcid.org/0000-0002-8271-5469</w:t>
      </w:r>
      <w:r w:rsidRPr="00647A8E">
        <w:rPr>
          <w:color w:val="222222"/>
          <w:lang w:val="es-ES" w:eastAsia="es-ES"/>
        </w:rPr>
        <w:fldChar w:fldCharType="end"/>
      </w:r>
      <w:r w:rsidRPr="00647A8E">
        <w:rPr>
          <w:color w:val="222222"/>
          <w:lang w:val="es-ES" w:eastAsia="es-ES"/>
        </w:rPr>
        <w:t xml:space="preserve">  </w:t>
      </w:r>
    </w:p>
    <w:p w14:paraId="2A50CC05" w14:textId="77777777" w:rsidR="00647A8E" w:rsidRPr="00647A8E" w:rsidRDefault="00647A8E" w:rsidP="00647A8E">
      <w:pPr>
        <w:spacing w:line="360" w:lineRule="auto"/>
        <w:jc w:val="both"/>
        <w:rPr>
          <w:color w:val="222222"/>
          <w:lang w:val="es-ES" w:eastAsia="es-ES"/>
        </w:rPr>
      </w:pPr>
      <w:bookmarkStart w:id="3" w:name="_Hlk128693205"/>
      <w:bookmarkEnd w:id="1"/>
      <w:r w:rsidRPr="00647A8E">
        <w:rPr>
          <w:color w:val="222222"/>
          <w:lang w:val="es-ES" w:eastAsia="es-ES"/>
        </w:rPr>
        <w:t xml:space="preserve">Karen Urrutia </w:t>
      </w:r>
      <w:proofErr w:type="spellStart"/>
      <w:r w:rsidRPr="00647A8E">
        <w:rPr>
          <w:color w:val="222222"/>
          <w:lang w:val="es-ES" w:eastAsia="es-ES"/>
        </w:rPr>
        <w:t>Pérez</w:t>
      </w:r>
      <w:r w:rsidRPr="00647A8E">
        <w:rPr>
          <w:color w:val="222222"/>
          <w:vertAlign w:val="superscript"/>
          <w:lang w:val="es-ES" w:eastAsia="es-ES"/>
        </w:rPr>
        <w:t>3</w:t>
      </w:r>
      <w:bookmarkStart w:id="4" w:name="_Hlk127725971"/>
      <w:proofErr w:type="spellEnd"/>
      <w:r w:rsidRPr="00647A8E">
        <w:rPr>
          <w:color w:val="222222"/>
          <w:vertAlign w:val="superscript"/>
          <w:lang w:val="es-ES" w:eastAsia="es-ES"/>
        </w:rPr>
        <w:t xml:space="preserve"> </w:t>
      </w:r>
      <w:bookmarkEnd w:id="4"/>
      <w:r w:rsidRPr="00647A8E">
        <w:rPr>
          <w:rFonts w:eastAsia="Calibri"/>
          <w:lang w:val="es-ES" w:eastAsia="en-US"/>
        </w:rPr>
        <w:fldChar w:fldCharType="begin"/>
      </w:r>
      <w:r w:rsidRPr="00647A8E">
        <w:rPr>
          <w:rFonts w:eastAsia="Calibri"/>
          <w:lang w:val="es-ES" w:eastAsia="en-US"/>
        </w:rPr>
        <w:instrText>HYPERLINK "https://orcid.org/</w:instrText>
      </w:r>
      <w:r w:rsidRPr="00647A8E">
        <w:rPr>
          <w:color w:val="222222"/>
          <w:lang w:val="es-ES" w:eastAsia="es-ES"/>
        </w:rPr>
        <w:instrText>0000-0002-5011-6736</w:instrText>
      </w:r>
      <w:r w:rsidRPr="00647A8E">
        <w:rPr>
          <w:rFonts w:eastAsia="Calibri"/>
          <w:lang w:val="es-ES" w:eastAsia="en-US"/>
        </w:rPr>
        <w:instrText>"</w:instrText>
      </w:r>
      <w:r w:rsidRPr="00647A8E">
        <w:rPr>
          <w:rFonts w:eastAsia="Calibri"/>
          <w:lang w:val="es-ES" w:eastAsia="en-US"/>
        </w:rPr>
      </w:r>
      <w:r w:rsidRPr="00647A8E">
        <w:rPr>
          <w:rFonts w:eastAsia="Calibri"/>
          <w:lang w:val="es-ES" w:eastAsia="en-US"/>
        </w:rPr>
        <w:fldChar w:fldCharType="separate"/>
      </w:r>
      <w:r w:rsidRPr="00647A8E">
        <w:rPr>
          <w:rFonts w:eastAsia="Calibri"/>
          <w:color w:val="0563C1"/>
          <w:lang w:val="es-ES" w:eastAsia="en-US"/>
        </w:rPr>
        <w:t>https://orcid.org/</w:t>
      </w:r>
      <w:r w:rsidRPr="00647A8E">
        <w:rPr>
          <w:color w:val="0563C1"/>
          <w:lang w:val="es-ES" w:eastAsia="es-ES"/>
        </w:rPr>
        <w:t>0000-0002-5011-6736</w:t>
      </w:r>
      <w:r w:rsidRPr="00647A8E">
        <w:rPr>
          <w:rFonts w:eastAsia="Calibri"/>
          <w:lang w:val="es-ES" w:eastAsia="en-US"/>
        </w:rPr>
        <w:fldChar w:fldCharType="end"/>
      </w:r>
      <w:r w:rsidRPr="00647A8E">
        <w:rPr>
          <w:color w:val="222222"/>
          <w:lang w:val="es-ES" w:eastAsia="es-ES"/>
        </w:rPr>
        <w:t xml:space="preserve">  </w:t>
      </w:r>
    </w:p>
    <w:p w14:paraId="78AFA8FD" w14:textId="77777777" w:rsidR="00647A8E" w:rsidRPr="00647A8E" w:rsidRDefault="00647A8E" w:rsidP="00647A8E">
      <w:pPr>
        <w:spacing w:line="360" w:lineRule="auto"/>
        <w:jc w:val="both"/>
        <w:rPr>
          <w:color w:val="222222"/>
          <w:lang w:val="es-ES" w:eastAsia="es-ES"/>
        </w:rPr>
      </w:pPr>
      <w:proofErr w:type="spellStart"/>
      <w:r w:rsidRPr="00647A8E">
        <w:rPr>
          <w:color w:val="222222"/>
          <w:lang w:val="es-ES" w:eastAsia="es-ES"/>
        </w:rPr>
        <w:t>Klaudia</w:t>
      </w:r>
      <w:proofErr w:type="spellEnd"/>
      <w:r w:rsidRPr="00647A8E">
        <w:rPr>
          <w:color w:val="222222"/>
          <w:lang w:val="es-ES" w:eastAsia="es-ES"/>
        </w:rPr>
        <w:t xml:space="preserve"> Urrutia </w:t>
      </w:r>
      <w:proofErr w:type="spellStart"/>
      <w:r w:rsidRPr="00647A8E">
        <w:rPr>
          <w:color w:val="222222"/>
          <w:lang w:val="es-ES" w:eastAsia="es-ES"/>
        </w:rPr>
        <w:t>Pérez</w:t>
      </w:r>
      <w:r w:rsidRPr="00647A8E">
        <w:rPr>
          <w:color w:val="222222"/>
          <w:vertAlign w:val="superscript"/>
          <w:lang w:val="es-ES" w:eastAsia="es-ES"/>
        </w:rPr>
        <w:t>3</w:t>
      </w:r>
      <w:proofErr w:type="spellEnd"/>
      <w:r w:rsidRPr="00647A8E">
        <w:rPr>
          <w:color w:val="222222"/>
          <w:lang w:val="es-ES" w:eastAsia="es-ES"/>
        </w:rPr>
        <w:t> </w:t>
      </w:r>
      <w:hyperlink r:id="rId12" w:history="1">
        <w:r w:rsidRPr="00647A8E">
          <w:rPr>
            <w:rFonts w:eastAsia="Calibri"/>
            <w:color w:val="0563C1"/>
            <w:lang w:val="es-ES" w:eastAsia="en-US"/>
          </w:rPr>
          <w:t>https://orcid.org/</w:t>
        </w:r>
        <w:r w:rsidRPr="00647A8E">
          <w:rPr>
            <w:color w:val="0563C1"/>
            <w:lang w:val="es-ES" w:eastAsia="es-ES"/>
          </w:rPr>
          <w:t>0000-0001-5344-4201</w:t>
        </w:r>
      </w:hyperlink>
      <w:r w:rsidRPr="00647A8E">
        <w:rPr>
          <w:color w:val="222222"/>
          <w:lang w:val="es-ES" w:eastAsia="es-ES"/>
        </w:rPr>
        <w:t xml:space="preserve"> </w:t>
      </w:r>
    </w:p>
    <w:p w14:paraId="05F2F590" w14:textId="77777777" w:rsidR="00647A8E" w:rsidRPr="00647A8E" w:rsidRDefault="00647A8E" w:rsidP="00647A8E">
      <w:pPr>
        <w:spacing w:line="360" w:lineRule="auto"/>
        <w:jc w:val="both"/>
        <w:rPr>
          <w:color w:val="222222"/>
          <w:lang w:val="es-ES" w:eastAsia="es-ES"/>
        </w:rPr>
      </w:pPr>
      <w:proofErr w:type="spellStart"/>
      <w:r w:rsidRPr="00647A8E">
        <w:rPr>
          <w:color w:val="222222"/>
          <w:lang w:val="es-ES" w:eastAsia="es-ES"/>
        </w:rPr>
        <w:t>Yenima</w:t>
      </w:r>
      <w:proofErr w:type="spellEnd"/>
      <w:r w:rsidRPr="00647A8E">
        <w:rPr>
          <w:color w:val="222222"/>
          <w:lang w:val="es-ES" w:eastAsia="es-ES"/>
        </w:rPr>
        <w:t xml:space="preserve"> Martin </w:t>
      </w:r>
      <w:bookmarkStart w:id="5" w:name="_Hlk127726337"/>
      <w:proofErr w:type="spellStart"/>
      <w:r w:rsidRPr="00647A8E">
        <w:rPr>
          <w:color w:val="222222"/>
          <w:lang w:val="es-ES" w:eastAsia="es-ES"/>
        </w:rPr>
        <w:t>Bauta</w:t>
      </w:r>
      <w:r w:rsidRPr="00647A8E">
        <w:rPr>
          <w:color w:val="222222"/>
          <w:vertAlign w:val="superscript"/>
          <w:lang w:val="es-ES" w:eastAsia="es-ES"/>
        </w:rPr>
        <w:t>3</w:t>
      </w:r>
      <w:bookmarkStart w:id="6" w:name="_Hlk127726482"/>
      <w:proofErr w:type="spellEnd"/>
      <w:r w:rsidRPr="00647A8E">
        <w:rPr>
          <w:color w:val="222222"/>
          <w:vertAlign w:val="superscript"/>
          <w:lang w:val="es-ES" w:eastAsia="es-ES"/>
        </w:rPr>
        <w:t xml:space="preserve"> </w:t>
      </w:r>
      <w:hyperlink r:id="rId13" w:history="1">
        <w:r w:rsidRPr="00647A8E">
          <w:rPr>
            <w:rFonts w:eastAsia="Calibri"/>
            <w:color w:val="0563C1"/>
            <w:lang w:val="es-ES" w:eastAsia="en-US"/>
          </w:rPr>
          <w:t>https://orcid.org/</w:t>
        </w:r>
        <w:r w:rsidRPr="00647A8E">
          <w:rPr>
            <w:color w:val="0563C1"/>
            <w:lang w:val="es-ES" w:eastAsia="es-ES"/>
          </w:rPr>
          <w:t>0000-0002-8673-9425</w:t>
        </w:r>
      </w:hyperlink>
      <w:r w:rsidRPr="00647A8E">
        <w:rPr>
          <w:color w:val="222222"/>
          <w:lang w:val="es-ES" w:eastAsia="es-ES"/>
        </w:rPr>
        <w:t xml:space="preserve"> </w:t>
      </w:r>
    </w:p>
    <w:bookmarkEnd w:id="6"/>
    <w:p w14:paraId="54C34E55" w14:textId="77777777" w:rsidR="00647A8E" w:rsidRPr="00647A8E" w:rsidRDefault="00647A8E" w:rsidP="00647A8E">
      <w:pPr>
        <w:spacing w:line="360" w:lineRule="auto"/>
        <w:jc w:val="both"/>
        <w:rPr>
          <w:color w:val="222222"/>
          <w:lang w:val="es-ES" w:eastAsia="es-ES"/>
        </w:rPr>
      </w:pPr>
      <w:proofErr w:type="spellStart"/>
      <w:r w:rsidRPr="00647A8E">
        <w:rPr>
          <w:color w:val="222222"/>
          <w:lang w:val="es-ES" w:eastAsia="es-ES"/>
        </w:rPr>
        <w:t>Marel</w:t>
      </w:r>
      <w:proofErr w:type="spellEnd"/>
      <w:r w:rsidRPr="00647A8E">
        <w:rPr>
          <w:color w:val="222222"/>
          <w:lang w:val="es-ES" w:eastAsia="es-ES"/>
        </w:rPr>
        <w:t xml:space="preserve"> Alonso </w:t>
      </w:r>
      <w:proofErr w:type="spellStart"/>
      <w:r w:rsidRPr="00647A8E">
        <w:rPr>
          <w:color w:val="222222"/>
          <w:lang w:val="es-ES" w:eastAsia="es-ES"/>
        </w:rPr>
        <w:t>Valdés</w:t>
      </w:r>
      <w:r w:rsidRPr="00647A8E">
        <w:rPr>
          <w:color w:val="222222"/>
          <w:vertAlign w:val="superscript"/>
          <w:lang w:val="es-ES" w:eastAsia="es-ES"/>
        </w:rPr>
        <w:t>3</w:t>
      </w:r>
      <w:proofErr w:type="spellEnd"/>
      <w:r w:rsidRPr="00647A8E">
        <w:rPr>
          <w:color w:val="222222"/>
          <w:vertAlign w:val="superscript"/>
          <w:lang w:val="es-ES" w:eastAsia="es-ES"/>
        </w:rPr>
        <w:t xml:space="preserve"> </w:t>
      </w:r>
      <w:hyperlink r:id="rId14" w:history="1">
        <w:r w:rsidRPr="00647A8E">
          <w:rPr>
            <w:rFonts w:eastAsia="Calibri"/>
            <w:color w:val="0563C1"/>
            <w:lang w:val="es-ES" w:eastAsia="en-US"/>
          </w:rPr>
          <w:t>https://orcid</w:t>
        </w:r>
        <w:r w:rsidRPr="00647A8E">
          <w:rPr>
            <w:color w:val="0563C1"/>
            <w:lang w:val="es-ES" w:eastAsia="es-ES"/>
          </w:rPr>
          <w:t>.org/0000-0003-0779-2234</w:t>
        </w:r>
      </w:hyperlink>
      <w:r w:rsidRPr="00647A8E">
        <w:rPr>
          <w:color w:val="222222"/>
          <w:lang w:val="es-ES" w:eastAsia="es-ES"/>
        </w:rPr>
        <w:t xml:space="preserve"> </w:t>
      </w:r>
    </w:p>
    <w:bookmarkEnd w:id="5"/>
    <w:p w14:paraId="63A0F57C" w14:textId="77777777" w:rsidR="00647A8E" w:rsidRPr="00647A8E" w:rsidRDefault="00647A8E" w:rsidP="00647A8E">
      <w:pPr>
        <w:spacing w:line="360" w:lineRule="auto"/>
        <w:jc w:val="both"/>
        <w:rPr>
          <w:color w:val="222222"/>
          <w:lang w:val="es-ES" w:eastAsia="es-ES"/>
        </w:rPr>
      </w:pPr>
      <w:proofErr w:type="spellStart"/>
      <w:r w:rsidRPr="00647A8E">
        <w:rPr>
          <w:color w:val="222222"/>
          <w:lang w:val="es-ES" w:eastAsia="es-ES"/>
        </w:rPr>
        <w:t>Lissete</w:t>
      </w:r>
      <w:proofErr w:type="spellEnd"/>
      <w:r w:rsidRPr="00647A8E">
        <w:rPr>
          <w:color w:val="222222"/>
          <w:lang w:val="es-ES" w:eastAsia="es-ES"/>
        </w:rPr>
        <w:t xml:space="preserve"> Barroso </w:t>
      </w:r>
      <w:proofErr w:type="spellStart"/>
      <w:r w:rsidRPr="00647A8E">
        <w:rPr>
          <w:color w:val="222222"/>
          <w:lang w:val="es-ES" w:eastAsia="es-ES"/>
        </w:rPr>
        <w:t>Márquez</w:t>
      </w:r>
      <w:r w:rsidRPr="00647A8E">
        <w:rPr>
          <w:color w:val="222222"/>
          <w:vertAlign w:val="superscript"/>
          <w:lang w:val="es-ES" w:eastAsia="es-ES"/>
        </w:rPr>
        <w:t>1</w:t>
      </w:r>
      <w:proofErr w:type="spellEnd"/>
      <w:r w:rsidRPr="00647A8E">
        <w:rPr>
          <w:color w:val="222222"/>
          <w:vertAlign w:val="superscript"/>
          <w:lang w:val="es-ES" w:eastAsia="es-ES"/>
        </w:rPr>
        <w:t xml:space="preserve"> </w:t>
      </w:r>
      <w:hyperlink r:id="rId15" w:history="1">
        <w:r w:rsidRPr="00647A8E">
          <w:rPr>
            <w:color w:val="0563C1"/>
            <w:lang w:val="es-ES" w:eastAsia="en-US"/>
          </w:rPr>
          <w:t>https://orcid.org/0000-0002-3043-1763</w:t>
        </w:r>
      </w:hyperlink>
    </w:p>
    <w:p w14:paraId="30F67163"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Verena Lucila </w:t>
      </w:r>
      <w:proofErr w:type="spellStart"/>
      <w:r w:rsidRPr="00647A8E">
        <w:rPr>
          <w:rFonts w:eastAsia="Calibri"/>
          <w:lang w:val="es-ES" w:eastAsia="en-US"/>
        </w:rPr>
        <w:t>Muzio</w:t>
      </w:r>
      <w:proofErr w:type="spellEnd"/>
      <w:r w:rsidRPr="00647A8E">
        <w:rPr>
          <w:rFonts w:eastAsia="Calibri"/>
          <w:lang w:val="es-ES" w:eastAsia="en-US"/>
        </w:rPr>
        <w:t xml:space="preserve"> </w:t>
      </w:r>
      <w:proofErr w:type="spellStart"/>
      <w:r w:rsidRPr="00647A8E">
        <w:rPr>
          <w:rFonts w:eastAsia="Calibri"/>
          <w:lang w:val="es-ES" w:eastAsia="en-US"/>
        </w:rPr>
        <w:t>González</w:t>
      </w:r>
      <w:r w:rsidRPr="00647A8E">
        <w:rPr>
          <w:rFonts w:eastAsia="Calibri"/>
          <w:vertAlign w:val="superscript"/>
          <w:lang w:val="es-ES" w:eastAsia="en-US"/>
        </w:rPr>
        <w:t>3</w:t>
      </w:r>
      <w:proofErr w:type="spellEnd"/>
      <w:r w:rsidRPr="00647A8E">
        <w:rPr>
          <w:rFonts w:eastAsia="Calibri"/>
          <w:lang w:val="es-ES" w:eastAsia="en-US"/>
        </w:rPr>
        <w:t xml:space="preserve"> </w:t>
      </w:r>
      <w:hyperlink r:id="rId16" w:history="1">
        <w:r w:rsidRPr="00647A8E">
          <w:rPr>
            <w:rFonts w:eastAsia="Calibri"/>
            <w:color w:val="0563C1"/>
            <w:lang w:val="es-ES" w:eastAsia="en-US"/>
          </w:rPr>
          <w:t>https://orcid.org/0000-0001-8595-9170</w:t>
        </w:r>
      </w:hyperlink>
      <w:r w:rsidRPr="00647A8E">
        <w:rPr>
          <w:rFonts w:eastAsia="Calibri"/>
          <w:lang w:val="es-ES" w:eastAsia="en-US"/>
        </w:rPr>
        <w:t xml:space="preserve">  </w:t>
      </w:r>
    </w:p>
    <w:p w14:paraId="7968A68C" w14:textId="77777777" w:rsidR="00647A8E" w:rsidRPr="00647A8E" w:rsidRDefault="00647A8E" w:rsidP="00647A8E">
      <w:pPr>
        <w:spacing w:line="360" w:lineRule="auto"/>
        <w:jc w:val="both"/>
        <w:rPr>
          <w:rFonts w:eastAsia="Calibri"/>
          <w:lang w:val="es-ES" w:eastAsia="en-US"/>
        </w:rPr>
      </w:pPr>
      <w:r w:rsidRPr="00647A8E">
        <w:rPr>
          <w:color w:val="222222"/>
          <w:lang w:val="es-ES" w:eastAsia="es-ES"/>
        </w:rPr>
        <w:t xml:space="preserve">Carmen Elena Viada </w:t>
      </w:r>
      <w:proofErr w:type="spellStart"/>
      <w:r w:rsidRPr="00647A8E">
        <w:rPr>
          <w:color w:val="222222"/>
          <w:lang w:val="es-ES" w:eastAsia="es-ES"/>
        </w:rPr>
        <w:t>González</w:t>
      </w:r>
      <w:r w:rsidRPr="00647A8E">
        <w:rPr>
          <w:color w:val="222222"/>
          <w:vertAlign w:val="superscript"/>
          <w:lang w:val="es-ES" w:eastAsia="es-ES"/>
        </w:rPr>
        <w:t>4</w:t>
      </w:r>
      <w:proofErr w:type="spellEnd"/>
      <w:r w:rsidRPr="00647A8E">
        <w:rPr>
          <w:color w:val="222222"/>
          <w:vertAlign w:val="superscript"/>
          <w:lang w:val="es-ES" w:eastAsia="es-ES"/>
        </w:rPr>
        <w:t xml:space="preserve"> </w:t>
      </w:r>
      <w:hyperlink r:id="rId17" w:history="1">
        <w:r w:rsidRPr="00647A8E">
          <w:rPr>
            <w:color w:val="0563C1"/>
            <w:lang w:val="es-ES" w:eastAsia="es-ES"/>
          </w:rPr>
          <w:t>https://orcid.org/0000-0002-1604-3545</w:t>
        </w:r>
      </w:hyperlink>
      <w:r w:rsidRPr="00647A8E">
        <w:rPr>
          <w:color w:val="222222"/>
          <w:lang w:val="es-ES" w:eastAsia="es-ES"/>
        </w:rPr>
        <w:t xml:space="preserve"> </w:t>
      </w:r>
    </w:p>
    <w:p w14:paraId="3ECA42EB" w14:textId="77777777" w:rsidR="00647A8E" w:rsidRPr="00647A8E" w:rsidRDefault="00647A8E" w:rsidP="00647A8E">
      <w:pPr>
        <w:spacing w:line="360" w:lineRule="auto"/>
        <w:jc w:val="both"/>
        <w:rPr>
          <w:color w:val="222222"/>
          <w:lang w:val="es-ES" w:eastAsia="es-ES"/>
        </w:rPr>
      </w:pPr>
      <w:r w:rsidRPr="00647A8E">
        <w:rPr>
          <w:color w:val="222222"/>
          <w:lang w:val="es-ES" w:eastAsia="es-ES"/>
        </w:rPr>
        <w:t xml:space="preserve">Giselle </w:t>
      </w:r>
      <w:proofErr w:type="spellStart"/>
      <w:r w:rsidRPr="00647A8E">
        <w:rPr>
          <w:color w:val="222222"/>
          <w:lang w:val="es-ES" w:eastAsia="es-ES"/>
        </w:rPr>
        <w:t>Saurez</w:t>
      </w:r>
      <w:proofErr w:type="spellEnd"/>
      <w:r w:rsidRPr="00647A8E">
        <w:rPr>
          <w:color w:val="222222"/>
          <w:lang w:val="es-ES" w:eastAsia="es-ES"/>
        </w:rPr>
        <w:t xml:space="preserve"> </w:t>
      </w:r>
      <w:proofErr w:type="spellStart"/>
      <w:r w:rsidRPr="00647A8E">
        <w:rPr>
          <w:color w:val="222222"/>
          <w:lang w:val="es-ES" w:eastAsia="es-ES"/>
        </w:rPr>
        <w:t>Martínez</w:t>
      </w:r>
      <w:r w:rsidRPr="00647A8E">
        <w:rPr>
          <w:color w:val="222222"/>
          <w:vertAlign w:val="superscript"/>
          <w:lang w:val="es-ES" w:eastAsia="es-ES"/>
        </w:rPr>
        <w:t>4</w:t>
      </w:r>
      <w:proofErr w:type="spellEnd"/>
      <w:r w:rsidRPr="00647A8E">
        <w:rPr>
          <w:color w:val="222222"/>
          <w:vertAlign w:val="superscript"/>
          <w:lang w:val="es-ES" w:eastAsia="es-ES"/>
        </w:rPr>
        <w:t xml:space="preserve"> </w:t>
      </w:r>
      <w:hyperlink r:id="rId18" w:history="1">
        <w:r w:rsidRPr="00647A8E">
          <w:rPr>
            <w:color w:val="0563C1"/>
            <w:lang w:val="es-ES" w:eastAsia="en-US"/>
          </w:rPr>
          <w:t>https://orcid.org/0000-0003-3781-2486</w:t>
        </w:r>
      </w:hyperlink>
    </w:p>
    <w:p w14:paraId="70760729" w14:textId="77777777" w:rsidR="00647A8E" w:rsidRPr="00647A8E" w:rsidRDefault="00647A8E" w:rsidP="00647A8E">
      <w:pPr>
        <w:spacing w:line="360" w:lineRule="auto"/>
        <w:jc w:val="both"/>
        <w:rPr>
          <w:color w:val="222222"/>
          <w:lang w:val="es-ES" w:eastAsia="es-ES"/>
        </w:rPr>
      </w:pPr>
      <w:r w:rsidRPr="00647A8E">
        <w:rPr>
          <w:color w:val="222222"/>
          <w:lang w:val="es-ES" w:eastAsia="es-ES"/>
        </w:rPr>
        <w:t xml:space="preserve">Francisco Hernández </w:t>
      </w:r>
      <w:proofErr w:type="spellStart"/>
      <w:r w:rsidRPr="00647A8E">
        <w:rPr>
          <w:color w:val="222222"/>
          <w:lang w:val="es-ES" w:eastAsia="es-ES"/>
        </w:rPr>
        <w:t>Bernal</w:t>
      </w:r>
      <w:r w:rsidRPr="00647A8E">
        <w:rPr>
          <w:color w:val="222222"/>
          <w:vertAlign w:val="superscript"/>
          <w:lang w:val="es-ES" w:eastAsia="es-ES"/>
        </w:rPr>
        <w:t>3</w:t>
      </w:r>
      <w:proofErr w:type="spellEnd"/>
      <w:r w:rsidRPr="00647A8E">
        <w:rPr>
          <w:color w:val="222222"/>
          <w:lang w:val="es-ES" w:eastAsia="es-ES"/>
        </w:rPr>
        <w:t xml:space="preserve"> </w:t>
      </w:r>
      <w:hyperlink r:id="rId19" w:history="1">
        <w:r w:rsidRPr="00647A8E">
          <w:rPr>
            <w:color w:val="0563C1"/>
            <w:lang w:val="es-ES" w:eastAsia="en-US"/>
          </w:rPr>
          <w:t>https://orcid.org/0000-0002-1857-4219</w:t>
        </w:r>
      </w:hyperlink>
      <w:r w:rsidRPr="00647A8E">
        <w:rPr>
          <w:color w:val="222222"/>
          <w:lang w:val="es-ES" w:eastAsia="es-ES"/>
        </w:rPr>
        <w:t xml:space="preserve"> </w:t>
      </w:r>
    </w:p>
    <w:p w14:paraId="7AFDAF45" w14:textId="77777777" w:rsidR="00647A8E" w:rsidRPr="00647A8E" w:rsidRDefault="00647A8E" w:rsidP="00647A8E">
      <w:pPr>
        <w:spacing w:line="360" w:lineRule="auto"/>
        <w:jc w:val="both"/>
        <w:rPr>
          <w:color w:val="222222"/>
          <w:lang w:val="es-ES" w:eastAsia="es-ES"/>
        </w:rPr>
      </w:pPr>
    </w:p>
    <w:bookmarkEnd w:id="3"/>
    <w:p w14:paraId="7139E22C"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vertAlign w:val="superscript"/>
          <w:lang w:val="es-ES" w:eastAsia="en-US"/>
        </w:rPr>
        <w:t>1</w:t>
      </w:r>
      <w:r w:rsidRPr="00647A8E">
        <w:rPr>
          <w:rFonts w:eastAsia="Calibri"/>
          <w:lang w:val="es-ES" w:eastAsia="en-US"/>
        </w:rPr>
        <w:t>Centro</w:t>
      </w:r>
      <w:proofErr w:type="spellEnd"/>
      <w:r w:rsidRPr="00647A8E">
        <w:rPr>
          <w:rFonts w:eastAsia="Calibri"/>
          <w:lang w:val="es-ES" w:eastAsia="en-US"/>
        </w:rPr>
        <w:t xml:space="preserve"> de Investigaciones Médico Quirúrgicas. Servicio de Pediatría. La Habana, Cuba. </w:t>
      </w:r>
    </w:p>
    <w:p w14:paraId="54A6B8C8"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vertAlign w:val="superscript"/>
          <w:lang w:val="es-ES" w:eastAsia="en-US"/>
        </w:rPr>
        <w:t>2</w:t>
      </w:r>
      <w:r w:rsidRPr="00647A8E">
        <w:rPr>
          <w:rFonts w:eastAsia="Calibri"/>
          <w:lang w:val="es-ES" w:eastAsia="en-US"/>
        </w:rPr>
        <w:t>Hospital</w:t>
      </w:r>
      <w:proofErr w:type="spellEnd"/>
      <w:r w:rsidRPr="00647A8E">
        <w:rPr>
          <w:rFonts w:eastAsia="Calibri"/>
          <w:lang w:val="es-ES" w:eastAsia="en-US"/>
        </w:rPr>
        <w:t xml:space="preserve"> Pediátrico Universitario "Juan Manuel Márquez". Servicio de Terapia Intensiva. La Habana, Cuba.</w:t>
      </w:r>
    </w:p>
    <w:p w14:paraId="1B0BA1CE"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vertAlign w:val="superscript"/>
          <w:lang w:val="es-ES" w:eastAsia="en-US"/>
        </w:rPr>
        <w:t>3</w:t>
      </w:r>
      <w:r w:rsidRPr="00647A8E">
        <w:rPr>
          <w:rFonts w:eastAsia="Calibri"/>
          <w:lang w:val="es-ES" w:eastAsia="en-US"/>
        </w:rPr>
        <w:t>Centro</w:t>
      </w:r>
      <w:proofErr w:type="spellEnd"/>
      <w:r w:rsidRPr="00647A8E">
        <w:rPr>
          <w:rFonts w:eastAsia="Calibri"/>
          <w:lang w:val="es-ES" w:eastAsia="en-US"/>
        </w:rPr>
        <w:t xml:space="preserve"> de Ingeniería Genética y Biotecnología</w:t>
      </w:r>
      <w:bookmarkStart w:id="7" w:name="_Hlk128827495"/>
      <w:r w:rsidRPr="00647A8E">
        <w:rPr>
          <w:rFonts w:eastAsia="Calibri"/>
          <w:lang w:val="es-ES" w:eastAsia="en-US"/>
        </w:rPr>
        <w:t>. La Habana, Cuba</w:t>
      </w:r>
      <w:bookmarkEnd w:id="7"/>
      <w:r w:rsidRPr="00647A8E">
        <w:rPr>
          <w:rFonts w:eastAsia="Calibri"/>
          <w:lang w:val="es-ES" w:eastAsia="en-US"/>
        </w:rPr>
        <w:t>.</w:t>
      </w:r>
    </w:p>
    <w:p w14:paraId="284B2AD0" w14:textId="77777777" w:rsidR="00647A8E" w:rsidRPr="00647A8E" w:rsidRDefault="00647A8E" w:rsidP="00647A8E">
      <w:pPr>
        <w:spacing w:line="360" w:lineRule="auto"/>
        <w:jc w:val="both"/>
        <w:rPr>
          <w:rFonts w:eastAsia="Calibri"/>
          <w:lang w:val="es-ES" w:eastAsia="en-US"/>
        </w:rPr>
      </w:pPr>
      <w:proofErr w:type="spellStart"/>
      <w:r w:rsidRPr="00647A8E">
        <w:rPr>
          <w:rFonts w:eastAsia="Calibri"/>
          <w:vertAlign w:val="superscript"/>
          <w:lang w:val="es-ES" w:eastAsia="en-US"/>
        </w:rPr>
        <w:t>4</w:t>
      </w:r>
      <w:r w:rsidRPr="00647A8E">
        <w:rPr>
          <w:rFonts w:eastAsia="Calibri"/>
          <w:lang w:val="es-ES" w:eastAsia="en-US"/>
        </w:rPr>
        <w:t>Centro</w:t>
      </w:r>
      <w:proofErr w:type="spellEnd"/>
      <w:r w:rsidRPr="00647A8E">
        <w:rPr>
          <w:rFonts w:eastAsia="Calibri"/>
          <w:lang w:val="es-ES" w:eastAsia="en-US"/>
        </w:rPr>
        <w:t xml:space="preserve"> de Inmunología Molecular. La Habana, Cuba.</w:t>
      </w:r>
    </w:p>
    <w:p w14:paraId="66B63245" w14:textId="77777777" w:rsidR="00647A8E" w:rsidRPr="00647A8E" w:rsidRDefault="00647A8E" w:rsidP="00647A8E">
      <w:pPr>
        <w:spacing w:line="360" w:lineRule="auto"/>
        <w:jc w:val="both"/>
        <w:rPr>
          <w:rFonts w:eastAsia="Calibri"/>
          <w:vertAlign w:val="superscript"/>
          <w:lang w:val="es-ES" w:eastAsia="en-US"/>
        </w:rPr>
      </w:pPr>
    </w:p>
    <w:p w14:paraId="76B3708F"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lastRenderedPageBreak/>
        <w:t xml:space="preserve">*Autor para la correspondencia. Correo electrónico: </w:t>
      </w:r>
      <w:hyperlink r:id="rId20" w:history="1">
        <w:r w:rsidRPr="00647A8E">
          <w:rPr>
            <w:rFonts w:eastAsia="Calibri"/>
            <w:color w:val="0563C1"/>
            <w:lang w:val="es-ES" w:eastAsia="en-US"/>
          </w:rPr>
          <w:t>laura.alvare@infomed.sld.cu</w:t>
        </w:r>
      </w:hyperlink>
    </w:p>
    <w:p w14:paraId="5CF20294" w14:textId="77777777" w:rsidR="00647A8E" w:rsidRPr="00647A8E" w:rsidRDefault="00647A8E" w:rsidP="00647A8E">
      <w:pPr>
        <w:spacing w:line="360" w:lineRule="auto"/>
        <w:jc w:val="both"/>
        <w:rPr>
          <w:rFonts w:eastAsia="Calibri"/>
          <w:lang w:val="es-ES" w:eastAsia="en-US"/>
        </w:rPr>
      </w:pPr>
    </w:p>
    <w:bookmarkEnd w:id="0"/>
    <w:p w14:paraId="4B59BF82" w14:textId="77777777" w:rsidR="00647A8E" w:rsidRPr="00647A8E" w:rsidRDefault="00647A8E" w:rsidP="00647A8E">
      <w:pPr>
        <w:spacing w:line="360" w:lineRule="auto"/>
        <w:jc w:val="both"/>
        <w:rPr>
          <w:rFonts w:eastAsia="Calibri"/>
          <w:b/>
          <w:bCs/>
          <w:lang w:val="es-ES" w:eastAsia="en-US"/>
        </w:rPr>
      </w:pPr>
      <w:r w:rsidRPr="00647A8E">
        <w:rPr>
          <w:rFonts w:eastAsia="Calibri"/>
          <w:b/>
          <w:bCs/>
          <w:lang w:val="es-ES" w:eastAsia="en-US"/>
        </w:rPr>
        <w:t>RESUMEN</w:t>
      </w:r>
    </w:p>
    <w:p w14:paraId="4D14AC9A" w14:textId="77777777"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 xml:space="preserve">Introducción: </w:t>
      </w:r>
      <w:r w:rsidRPr="00647A8E">
        <w:rPr>
          <w:rFonts w:eastAsia="Calibri"/>
          <w:lang w:val="es-ES" w:eastAsia="en-US"/>
        </w:rPr>
        <w:t xml:space="preserve">La evaluación clínica de vacunas anti-COVID-19 en edades pediátricas, es un desafío en tiempos de pandemia; responde a la urgencia de muestras representativas que contribuyan a la reproducibilidad del estudio en la población real. </w:t>
      </w:r>
    </w:p>
    <w:p w14:paraId="2D2E69A3" w14:textId="77777777"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 xml:space="preserve">Objetivo: </w:t>
      </w:r>
      <w:r w:rsidRPr="00647A8E">
        <w:rPr>
          <w:rFonts w:eastAsia="Calibri"/>
          <w:lang w:val="es-ES" w:eastAsia="en-US"/>
        </w:rPr>
        <w:t xml:space="preserve">Caracterizar a los adolescentes participantes del ensayo clínico con la vacuna anti-COVID-19 Abdala, evaluar el cumplimiento del esquema de vacunación y estimar si son representativos de este grupo poblacional. </w:t>
      </w:r>
    </w:p>
    <w:p w14:paraId="689755F3" w14:textId="77777777"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Métodos:</w:t>
      </w:r>
      <w:r w:rsidRPr="00647A8E">
        <w:rPr>
          <w:rFonts w:eastAsia="Calibri"/>
          <w:lang w:val="es-ES" w:eastAsia="en-US"/>
        </w:rPr>
        <w:t xml:space="preserve"> Se utilizaron los datos de un ensayo fase II, </w:t>
      </w:r>
      <w:proofErr w:type="spellStart"/>
      <w:r w:rsidRPr="00647A8E">
        <w:rPr>
          <w:rFonts w:eastAsia="Calibri"/>
          <w:lang w:val="es-ES" w:eastAsia="en-US"/>
        </w:rPr>
        <w:t>monocéntrico</w:t>
      </w:r>
      <w:proofErr w:type="spellEnd"/>
      <w:r w:rsidRPr="00647A8E">
        <w:rPr>
          <w:rFonts w:eastAsia="Calibri"/>
          <w:lang w:val="es-ES" w:eastAsia="en-US"/>
        </w:rPr>
        <w:t>, no controlado con la vacuna Abdala. Se incluyeron 703 sujetos; 207 (29,4 %) fueron adolescentes de entre 12 y 18 años, aparentemente sanos o con enfermedades crónicas controladas, valoración nutricional entre 10 y 90 percentil y voluntariedad para participar. Se estudiaron datos sociodemográficos, antecedentes patológicos personales, hábitos tóxicos y cumplimiento del esquema de vacunación.</w:t>
      </w:r>
    </w:p>
    <w:p w14:paraId="10C92CEA" w14:textId="07117366"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 xml:space="preserve">Resultados: </w:t>
      </w:r>
      <w:r w:rsidRPr="00647A8E">
        <w:rPr>
          <w:rFonts w:eastAsia="Calibri"/>
          <w:lang w:val="es-ES" w:eastAsia="en-US"/>
        </w:rPr>
        <w:t>El promedio de edad fue de 15 años, p</w:t>
      </w:r>
      <w:r w:rsidRPr="00647A8E">
        <w:rPr>
          <w:rFonts w:eastAsia="Calibri"/>
          <w:bCs/>
          <w:lang w:val="es-ES" w:eastAsia="en-US"/>
        </w:rPr>
        <w:t>redominó el sexo femenino (</w:t>
      </w:r>
      <w:r w:rsidRPr="00647A8E">
        <w:rPr>
          <w:rFonts w:eastAsia="Calibri"/>
          <w:lang w:val="es-ES" w:eastAsia="en-US"/>
        </w:rPr>
        <w:t>51,7 %), el color de la piel blanca (55,6 %) y la valoración nutricional por encima del 75 hasta el 90 percentil (40,6 %). El 9,6</w:t>
      </w:r>
      <w:r w:rsidR="00C00FE9">
        <w:rPr>
          <w:rFonts w:eastAsia="Calibri"/>
          <w:lang w:val="es-ES" w:eastAsia="en-US"/>
        </w:rPr>
        <w:t> </w:t>
      </w:r>
      <w:r w:rsidRPr="00647A8E">
        <w:rPr>
          <w:rFonts w:eastAsia="Calibri"/>
          <w:lang w:val="es-ES" w:eastAsia="en-US"/>
        </w:rPr>
        <w:t xml:space="preserve">% tuvo hábitos tóxicos como hábito de fumar e ingestión de bebidas alcohólicas. El 51,2 % presentó algún antecedente patológico personal, con mayor prevalencia para asma bronquial, rinitis y otras alergias. El 95,8 % cumplió con el esquema de vacunación. </w:t>
      </w:r>
    </w:p>
    <w:p w14:paraId="10CCB420" w14:textId="77777777"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 xml:space="preserve">Conclusiones: </w:t>
      </w:r>
      <w:r w:rsidRPr="00647A8E">
        <w:rPr>
          <w:rFonts w:eastAsia="Calibri"/>
          <w:lang w:val="es-ES" w:eastAsia="en-US"/>
        </w:rPr>
        <w:t xml:space="preserve">Las características sociodemográficas, los antecedentes patológicos personales y hábitos tóxicos descritos en los adolescentes del estudio son representativos para este grupo poblacional de Cuba. Se alcanzó un óptimo cumplimiento del esquema de vacunación. </w:t>
      </w:r>
    </w:p>
    <w:p w14:paraId="1826DC0F" w14:textId="77777777" w:rsidR="00647A8E" w:rsidRPr="00647A8E" w:rsidRDefault="00647A8E" w:rsidP="00647A8E">
      <w:pPr>
        <w:spacing w:line="360" w:lineRule="auto"/>
        <w:jc w:val="both"/>
        <w:rPr>
          <w:rFonts w:eastAsia="Calibri"/>
          <w:lang w:val="es-ES" w:eastAsia="en-US"/>
        </w:rPr>
      </w:pPr>
      <w:r w:rsidRPr="00647A8E">
        <w:rPr>
          <w:rFonts w:eastAsia="Calibri"/>
          <w:b/>
          <w:bCs/>
          <w:lang w:val="es-ES" w:eastAsia="en-US"/>
        </w:rPr>
        <w:t>Palabras clave:</w:t>
      </w:r>
      <w:r w:rsidRPr="00647A8E">
        <w:rPr>
          <w:rFonts w:eastAsia="Calibri"/>
          <w:lang w:val="es-ES" w:eastAsia="en-US"/>
        </w:rPr>
        <w:t xml:space="preserve"> COVID-19; adolescente; vacunas.</w:t>
      </w:r>
    </w:p>
    <w:p w14:paraId="25D4FA47" w14:textId="77777777" w:rsidR="00647A8E" w:rsidRPr="00647A8E" w:rsidRDefault="00647A8E" w:rsidP="00647A8E">
      <w:pPr>
        <w:spacing w:line="360" w:lineRule="auto"/>
        <w:jc w:val="both"/>
        <w:rPr>
          <w:rFonts w:eastAsia="Calibri"/>
          <w:lang w:val="es-ES" w:eastAsia="en-US"/>
        </w:rPr>
      </w:pPr>
    </w:p>
    <w:p w14:paraId="76922C90" w14:textId="77777777" w:rsidR="00647A8E" w:rsidRPr="00647A8E" w:rsidRDefault="00647A8E" w:rsidP="00647A8E">
      <w:pPr>
        <w:spacing w:line="360" w:lineRule="auto"/>
        <w:jc w:val="both"/>
        <w:rPr>
          <w:rFonts w:eastAsia="Calibri"/>
          <w:b/>
          <w:bCs/>
          <w:lang w:val="en-US" w:eastAsia="en-US"/>
        </w:rPr>
      </w:pPr>
      <w:r w:rsidRPr="00647A8E">
        <w:rPr>
          <w:rFonts w:eastAsia="Calibri"/>
          <w:b/>
          <w:bCs/>
          <w:lang w:val="en-US" w:eastAsia="en-US"/>
        </w:rPr>
        <w:t>ABSTRACT</w:t>
      </w:r>
    </w:p>
    <w:p w14:paraId="60C4880C" w14:textId="77777777" w:rsidR="00647A8E" w:rsidRPr="00647A8E" w:rsidRDefault="00647A8E" w:rsidP="00647A8E">
      <w:pPr>
        <w:spacing w:line="360" w:lineRule="auto"/>
        <w:jc w:val="both"/>
        <w:rPr>
          <w:rFonts w:eastAsia="Calibri"/>
          <w:bCs/>
          <w:lang w:val="en-US" w:eastAsia="en-US"/>
        </w:rPr>
      </w:pPr>
      <w:r w:rsidRPr="00647A8E">
        <w:rPr>
          <w:rFonts w:eastAsia="Calibri"/>
          <w:b/>
          <w:bCs/>
          <w:lang w:val="en-US" w:eastAsia="en-US"/>
        </w:rPr>
        <w:t xml:space="preserve">Introduction: </w:t>
      </w:r>
      <w:r w:rsidRPr="00647A8E">
        <w:rPr>
          <w:rFonts w:eastAsia="Calibri"/>
          <w:bCs/>
          <w:lang w:val="en-US" w:eastAsia="en-US"/>
        </w:rPr>
        <w:t>The clinical evaluation of anti-COVID-19 vaccines in pediatric population, is a challenge in times of pandemic, to respond to the urgency of representative samples that contribute to the reproducibility of the study in the real population.</w:t>
      </w:r>
    </w:p>
    <w:p w14:paraId="6EA41863" w14:textId="77777777" w:rsidR="00647A8E" w:rsidRPr="00647A8E" w:rsidRDefault="00647A8E" w:rsidP="00647A8E">
      <w:pPr>
        <w:spacing w:line="360" w:lineRule="auto"/>
        <w:jc w:val="both"/>
        <w:rPr>
          <w:rFonts w:eastAsia="Calibri"/>
          <w:lang w:val="en-US" w:eastAsia="en-US"/>
        </w:rPr>
      </w:pPr>
      <w:r w:rsidRPr="00647A8E">
        <w:rPr>
          <w:rFonts w:eastAsia="Calibri"/>
          <w:b/>
          <w:bCs/>
          <w:lang w:val="en-US" w:eastAsia="en-US"/>
        </w:rPr>
        <w:lastRenderedPageBreak/>
        <w:t xml:space="preserve">Objective: </w:t>
      </w:r>
      <w:r w:rsidRPr="00647A8E">
        <w:rPr>
          <w:rFonts w:eastAsia="Calibri"/>
          <w:lang w:val="en-US" w:eastAsia="en-US"/>
        </w:rPr>
        <w:t>To characterize the adolescents participating in the clinical trial with the Abdala anti-COVID-19 vaccine, to evaluate compliance with the vaccination schedule and to estimate whether they are representative of this population group.</w:t>
      </w:r>
    </w:p>
    <w:p w14:paraId="28487A9D" w14:textId="77777777" w:rsidR="00647A8E" w:rsidRPr="00647A8E" w:rsidRDefault="00647A8E" w:rsidP="00647A8E">
      <w:pPr>
        <w:spacing w:line="360" w:lineRule="auto"/>
        <w:jc w:val="both"/>
        <w:rPr>
          <w:rFonts w:eastAsia="Calibri"/>
          <w:bCs/>
          <w:lang w:val="en-US" w:eastAsia="en-US"/>
        </w:rPr>
      </w:pPr>
      <w:r w:rsidRPr="00647A8E">
        <w:rPr>
          <w:rFonts w:eastAsia="Calibri"/>
          <w:b/>
          <w:bCs/>
          <w:lang w:val="en-US" w:eastAsia="en-US"/>
        </w:rPr>
        <w:t xml:space="preserve">Methods: </w:t>
      </w:r>
      <w:r w:rsidRPr="00647A8E">
        <w:rPr>
          <w:rFonts w:eastAsia="Calibri"/>
          <w:bCs/>
          <w:lang w:val="en-US" w:eastAsia="en-US"/>
        </w:rPr>
        <w:t>Data from a phase II trial with Abdala vaccine were used. A total of 703 subjects were included, 207 (29.4 %) of them were adolescents, between 12 and 18 years of age, with apparently healthy or controlled chronic diseases, nutritional assessment between 10 and 90 percentiles, and willingness to participate in the study. Sociodemographic data, personal pathological history, toxic habits and compliance with the vaccination scheme of 3 doses every 14 days were the variables studied.</w:t>
      </w:r>
    </w:p>
    <w:p w14:paraId="7F949B31" w14:textId="7FE5295D" w:rsidR="00647A8E" w:rsidRPr="00647A8E" w:rsidRDefault="00647A8E" w:rsidP="00647A8E">
      <w:pPr>
        <w:spacing w:line="360" w:lineRule="auto"/>
        <w:jc w:val="both"/>
        <w:rPr>
          <w:rFonts w:eastAsia="Calibri"/>
          <w:bCs/>
          <w:lang w:val="en-US" w:eastAsia="en-US"/>
        </w:rPr>
      </w:pPr>
      <w:r w:rsidRPr="00647A8E">
        <w:rPr>
          <w:rFonts w:eastAsia="Calibri"/>
          <w:b/>
          <w:bCs/>
          <w:lang w:val="en-US" w:eastAsia="en-US"/>
        </w:rPr>
        <w:t xml:space="preserve">Results: </w:t>
      </w:r>
      <w:r w:rsidRPr="00647A8E">
        <w:rPr>
          <w:rFonts w:eastAsia="Calibri"/>
          <w:bCs/>
          <w:lang w:val="en-US" w:eastAsia="en-US"/>
        </w:rPr>
        <w:t>The average age was 15 years, it was predominant female sex (51.7 %), white skin color (55.6</w:t>
      </w:r>
      <w:r w:rsidR="00CF38DB">
        <w:rPr>
          <w:rFonts w:eastAsia="Calibri"/>
          <w:bCs/>
          <w:lang w:val="en-US" w:eastAsia="en-US"/>
        </w:rPr>
        <w:t> </w:t>
      </w:r>
      <w:r w:rsidRPr="00647A8E">
        <w:rPr>
          <w:rFonts w:eastAsia="Calibri"/>
          <w:bCs/>
          <w:lang w:val="en-US" w:eastAsia="en-US"/>
        </w:rPr>
        <w:t xml:space="preserve">%) and nutritional assessment above 75 to 90 percentiles (40.6 %). The 9.6 % had toxic habits such as smoking and ingestion of alcoholic beverages. Some personal pathological history was in 51.2 % with a higher prevalence for bronchial asthma, rhinitis and other allergies. The vaccination scheme was fulfilled for 95.8 % of individuals. </w:t>
      </w:r>
    </w:p>
    <w:p w14:paraId="0312B5EB" w14:textId="77777777" w:rsidR="00647A8E" w:rsidRPr="00647A8E" w:rsidRDefault="00647A8E" w:rsidP="00647A8E">
      <w:pPr>
        <w:spacing w:line="360" w:lineRule="auto"/>
        <w:jc w:val="both"/>
        <w:rPr>
          <w:rFonts w:eastAsia="Calibri"/>
          <w:bCs/>
          <w:lang w:val="en-US" w:eastAsia="en-US"/>
        </w:rPr>
      </w:pPr>
      <w:r w:rsidRPr="00647A8E">
        <w:rPr>
          <w:rFonts w:eastAsia="Calibri"/>
          <w:b/>
          <w:bCs/>
          <w:lang w:val="en-US" w:eastAsia="en-US"/>
        </w:rPr>
        <w:t xml:space="preserve">Conclusions: </w:t>
      </w:r>
      <w:r w:rsidRPr="00647A8E">
        <w:rPr>
          <w:rFonts w:eastAsia="Calibri"/>
          <w:bCs/>
          <w:lang w:val="en-US" w:eastAsia="en-US"/>
        </w:rPr>
        <w:t xml:space="preserve">Sociodemographic characteristics, pathological history and toxic habits described for adolescents on the study are representative for this population group in Cuba. The vaccination schedule had an optimal compliance. </w:t>
      </w:r>
    </w:p>
    <w:p w14:paraId="7FD9A972" w14:textId="77777777" w:rsidR="00647A8E" w:rsidRPr="00647A8E" w:rsidRDefault="00647A8E" w:rsidP="00647A8E">
      <w:pPr>
        <w:spacing w:line="360" w:lineRule="auto"/>
        <w:jc w:val="both"/>
        <w:rPr>
          <w:color w:val="2E2E2E"/>
          <w:lang w:val="en-US" w:eastAsia="en-US"/>
        </w:rPr>
      </w:pPr>
      <w:r w:rsidRPr="00647A8E">
        <w:rPr>
          <w:rFonts w:eastAsia="Calibri"/>
          <w:b/>
          <w:bCs/>
          <w:lang w:val="en-US" w:eastAsia="en-US"/>
        </w:rPr>
        <w:t>Keywords</w:t>
      </w:r>
      <w:r w:rsidRPr="00647A8E">
        <w:rPr>
          <w:rFonts w:eastAsia="Calibri"/>
          <w:lang w:val="en-US" w:eastAsia="en-US"/>
        </w:rPr>
        <w:t xml:space="preserve">: </w:t>
      </w:r>
      <w:r w:rsidRPr="00647A8E">
        <w:rPr>
          <w:color w:val="2E2E2E"/>
          <w:lang w:val="en-US" w:eastAsia="en-US"/>
        </w:rPr>
        <w:t xml:space="preserve">COVID-19; adolescents; vaccine. </w:t>
      </w:r>
    </w:p>
    <w:p w14:paraId="5C4679A5" w14:textId="77777777" w:rsidR="00647A8E" w:rsidRPr="00647A8E" w:rsidRDefault="00647A8E" w:rsidP="00647A8E">
      <w:pPr>
        <w:spacing w:line="360" w:lineRule="auto"/>
        <w:jc w:val="both"/>
        <w:rPr>
          <w:color w:val="2E2E2E"/>
          <w:lang w:val="en-US" w:eastAsia="en-US"/>
        </w:rPr>
      </w:pPr>
    </w:p>
    <w:p w14:paraId="16B589D5" w14:textId="77777777" w:rsidR="00647A8E" w:rsidRPr="00647A8E" w:rsidRDefault="00647A8E" w:rsidP="00647A8E">
      <w:pPr>
        <w:spacing w:line="360" w:lineRule="auto"/>
        <w:jc w:val="both"/>
        <w:rPr>
          <w:color w:val="2E2E2E"/>
          <w:lang w:val="en-US" w:eastAsia="en-US"/>
        </w:rPr>
      </w:pPr>
    </w:p>
    <w:p w14:paraId="4D757084" w14:textId="77777777" w:rsidR="00647A8E" w:rsidRPr="00647A8E" w:rsidRDefault="00647A8E" w:rsidP="00647A8E">
      <w:pPr>
        <w:spacing w:line="360" w:lineRule="auto"/>
        <w:jc w:val="both"/>
        <w:rPr>
          <w:color w:val="2E2E2E"/>
          <w:lang w:val="es-CU" w:eastAsia="en-US"/>
        </w:rPr>
      </w:pPr>
      <w:r w:rsidRPr="00647A8E">
        <w:rPr>
          <w:color w:val="2E2E2E"/>
          <w:lang w:val="es-CU" w:eastAsia="en-US"/>
        </w:rPr>
        <w:t>Recibido: 04/04/2023</w:t>
      </w:r>
    </w:p>
    <w:p w14:paraId="2D6A6460" w14:textId="77777777" w:rsidR="00647A8E" w:rsidRPr="00647A8E" w:rsidRDefault="00647A8E" w:rsidP="00647A8E">
      <w:pPr>
        <w:spacing w:line="360" w:lineRule="auto"/>
        <w:jc w:val="both"/>
        <w:rPr>
          <w:color w:val="2E2E2E"/>
          <w:lang w:val="es-CU" w:eastAsia="en-US"/>
        </w:rPr>
      </w:pPr>
      <w:r w:rsidRPr="00647A8E">
        <w:rPr>
          <w:color w:val="2E2E2E"/>
          <w:lang w:val="es-CU" w:eastAsia="en-US"/>
        </w:rPr>
        <w:t>Aprobado: 19/08/2023</w:t>
      </w:r>
    </w:p>
    <w:p w14:paraId="65998A58" w14:textId="77777777" w:rsidR="00647A8E" w:rsidRPr="00647A8E" w:rsidRDefault="00647A8E" w:rsidP="00647A8E">
      <w:pPr>
        <w:spacing w:line="360" w:lineRule="auto"/>
        <w:jc w:val="both"/>
        <w:rPr>
          <w:color w:val="2E2E2E"/>
          <w:lang w:val="es-CU" w:eastAsia="en-US"/>
        </w:rPr>
      </w:pPr>
    </w:p>
    <w:p w14:paraId="4E5D3925" w14:textId="77777777" w:rsidR="00647A8E" w:rsidRPr="00647A8E" w:rsidRDefault="00647A8E" w:rsidP="00647A8E">
      <w:pPr>
        <w:spacing w:line="360" w:lineRule="auto"/>
        <w:jc w:val="center"/>
        <w:rPr>
          <w:rFonts w:eastAsia="Calibri"/>
          <w:b/>
          <w:bCs/>
          <w:sz w:val="32"/>
          <w:szCs w:val="32"/>
          <w:lang w:val="es-ES" w:eastAsia="en-US"/>
        </w:rPr>
      </w:pPr>
    </w:p>
    <w:p w14:paraId="69661ED9" w14:textId="77777777" w:rsidR="00647A8E" w:rsidRPr="00647A8E" w:rsidRDefault="00647A8E" w:rsidP="00647A8E">
      <w:pPr>
        <w:spacing w:line="360" w:lineRule="auto"/>
        <w:jc w:val="center"/>
        <w:rPr>
          <w:rFonts w:eastAsia="Calibri"/>
          <w:b/>
          <w:bCs/>
          <w:sz w:val="32"/>
          <w:szCs w:val="32"/>
          <w:lang w:val="es-ES" w:eastAsia="en-US"/>
        </w:rPr>
      </w:pPr>
      <w:r w:rsidRPr="00647A8E">
        <w:rPr>
          <w:rFonts w:eastAsia="Calibri"/>
          <w:b/>
          <w:bCs/>
          <w:sz w:val="32"/>
          <w:szCs w:val="32"/>
          <w:lang w:val="es-ES" w:eastAsia="en-US"/>
        </w:rPr>
        <w:t>INTRODUCCIÓN</w:t>
      </w:r>
    </w:p>
    <w:p w14:paraId="0DBA65F1" w14:textId="77777777" w:rsidR="00647A8E" w:rsidRPr="00647A8E" w:rsidRDefault="00647A8E" w:rsidP="00647A8E">
      <w:pPr>
        <w:spacing w:line="360" w:lineRule="auto"/>
        <w:jc w:val="both"/>
        <w:rPr>
          <w:rFonts w:eastAsia="Calibri"/>
          <w:b/>
          <w:bCs/>
          <w:strike/>
          <w:lang w:val="es-ES" w:eastAsia="en-US"/>
        </w:rPr>
      </w:pPr>
      <w:r w:rsidRPr="00647A8E">
        <w:rPr>
          <w:rFonts w:eastAsia="Calibri"/>
          <w:lang w:val="es-ES" w:eastAsia="en-US"/>
        </w:rPr>
        <w:t xml:space="preserve">A finales de diciembre del 2019, en China, en la ciudad de Wuhan, se informa la existencia de grupos de pacientes con neumonía de causa desconocida. Dos meses después, un estudio científico determina que se trataba de un nuevo tipo de virus de la familia </w:t>
      </w:r>
      <w:proofErr w:type="spellStart"/>
      <w:r w:rsidRPr="00647A8E">
        <w:rPr>
          <w:rFonts w:eastAsia="Calibri"/>
          <w:iCs/>
          <w:lang w:val="es-ES" w:eastAsia="en-US"/>
        </w:rPr>
        <w:t>Coronavidae</w:t>
      </w:r>
      <w:proofErr w:type="spellEnd"/>
      <w:r w:rsidRPr="00647A8E">
        <w:rPr>
          <w:rFonts w:eastAsia="Calibri"/>
          <w:lang w:val="es-ES" w:eastAsia="en-US"/>
        </w:rPr>
        <w:t xml:space="preserve">, relacionado con el síndrome respiratorio </w:t>
      </w:r>
      <w:r w:rsidRPr="00647A8E">
        <w:rPr>
          <w:rFonts w:eastAsia="Calibri"/>
          <w:lang w:val="es-ES" w:eastAsia="en-US"/>
        </w:rPr>
        <w:lastRenderedPageBreak/>
        <w:t>agudo grave (SARS); denominado por la Organización Mundial de la Salud (OMS), síndrome respiratorio agudo grave por coronavirus 2 (</w:t>
      </w:r>
      <w:r w:rsidRPr="00647A8E">
        <w:rPr>
          <w:rFonts w:eastAsia="Calibri"/>
          <w:iCs/>
          <w:lang w:val="es-ES" w:eastAsia="en-US"/>
        </w:rPr>
        <w:t>SARS-CoV-2</w:t>
      </w:r>
      <w:r w:rsidRPr="00647A8E">
        <w:rPr>
          <w:rFonts w:eastAsia="Calibri"/>
          <w:lang w:val="es-ES" w:eastAsia="en-US"/>
        </w:rPr>
        <w:t>) o COVID</w:t>
      </w:r>
      <w:r w:rsidRPr="00647A8E">
        <w:rPr>
          <w:rFonts w:eastAsia="Calibri"/>
          <w:i/>
          <w:lang w:val="es-ES" w:eastAsia="en-US"/>
        </w:rPr>
        <w:t>-</w:t>
      </w:r>
      <w:r w:rsidRPr="00647A8E">
        <w:rPr>
          <w:rFonts w:eastAsia="Calibri"/>
          <w:lang w:val="es-ES" w:eastAsia="en-US"/>
        </w:rPr>
        <w:t xml:space="preserve">19 y declarado como </w:t>
      </w:r>
      <w:proofErr w:type="gramStart"/>
      <w:r w:rsidRPr="00647A8E">
        <w:rPr>
          <w:rFonts w:eastAsia="Calibri"/>
          <w:lang w:val="es-ES" w:eastAsia="en-US"/>
        </w:rPr>
        <w:t>pandemia.</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1,2)</w:t>
      </w:r>
      <w:r w:rsidRPr="00647A8E">
        <w:rPr>
          <w:rFonts w:eastAsia="Calibri"/>
          <w:b/>
          <w:bCs/>
          <w:strike/>
          <w:lang w:val="es-ES" w:eastAsia="en-US"/>
        </w:rPr>
        <w:t xml:space="preserve"> </w:t>
      </w:r>
    </w:p>
    <w:p w14:paraId="42E592BC" w14:textId="77777777" w:rsidR="00647A8E" w:rsidRPr="00647A8E" w:rsidRDefault="00647A8E" w:rsidP="00647A8E">
      <w:pPr>
        <w:autoSpaceDE w:val="0"/>
        <w:autoSpaceDN w:val="0"/>
        <w:adjustRightInd w:val="0"/>
        <w:spacing w:line="360" w:lineRule="auto"/>
        <w:jc w:val="both"/>
        <w:rPr>
          <w:rFonts w:eastAsia="Calibri"/>
          <w:color w:val="000000"/>
          <w:vertAlign w:val="superscript"/>
          <w:lang w:val="es-ES" w:eastAsia="en-US"/>
        </w:rPr>
      </w:pPr>
      <w:r w:rsidRPr="00647A8E">
        <w:rPr>
          <w:rFonts w:eastAsia="Calibri"/>
          <w:color w:val="000000"/>
          <w:lang w:val="es-ES" w:eastAsia="en-US"/>
        </w:rPr>
        <w:t xml:space="preserve">El espectro clínico de la COVID-19 va desde la ausencia de síntomas o signos, hasta una enfermedad aguda grave y la </w:t>
      </w:r>
      <w:proofErr w:type="gramStart"/>
      <w:r w:rsidRPr="00647A8E">
        <w:rPr>
          <w:rFonts w:eastAsia="Calibri"/>
          <w:color w:val="000000"/>
          <w:lang w:val="es-ES" w:eastAsia="en-US"/>
        </w:rPr>
        <w:t>muerte.</w:t>
      </w:r>
      <w:r w:rsidRPr="00647A8E">
        <w:rPr>
          <w:rFonts w:eastAsia="Calibri"/>
          <w:noProof/>
          <w:color w:val="000000"/>
          <w:vertAlign w:val="superscript"/>
          <w:lang w:val="es-ES" w:eastAsia="en-US"/>
        </w:rPr>
        <w:t>(</w:t>
      </w:r>
      <w:proofErr w:type="gramEnd"/>
      <w:r w:rsidRPr="00647A8E">
        <w:rPr>
          <w:rFonts w:eastAsia="Calibri"/>
          <w:noProof/>
          <w:color w:val="000000"/>
          <w:vertAlign w:val="superscript"/>
          <w:lang w:val="es-ES" w:eastAsia="en-US"/>
        </w:rPr>
        <w:t>1,2)</w:t>
      </w:r>
      <w:r w:rsidRPr="00647A8E">
        <w:rPr>
          <w:rFonts w:eastAsia="Calibri"/>
          <w:color w:val="000000"/>
          <w:vertAlign w:val="superscript"/>
          <w:lang w:val="es-ES" w:eastAsia="en-US"/>
        </w:rPr>
        <w:t xml:space="preserve"> </w:t>
      </w:r>
    </w:p>
    <w:p w14:paraId="7C3B1B5F" w14:textId="77777777" w:rsidR="00647A8E" w:rsidRPr="00647A8E" w:rsidRDefault="00647A8E" w:rsidP="00647A8E">
      <w:pPr>
        <w:autoSpaceDE w:val="0"/>
        <w:autoSpaceDN w:val="0"/>
        <w:adjustRightInd w:val="0"/>
        <w:spacing w:line="360" w:lineRule="auto"/>
        <w:jc w:val="both"/>
        <w:rPr>
          <w:rFonts w:eastAsia="Calibri"/>
          <w:color w:val="000000"/>
          <w:vertAlign w:val="superscript"/>
          <w:lang w:val="es-ES" w:eastAsia="en-US"/>
        </w:rPr>
      </w:pPr>
      <w:r w:rsidRPr="00647A8E">
        <w:rPr>
          <w:rFonts w:eastAsia="Calibri"/>
          <w:color w:val="000000"/>
          <w:lang w:val="es-ES" w:eastAsia="en-US"/>
        </w:rPr>
        <w:t xml:space="preserve">En casos graves, progresa de forma rápida y causa el síndrome de distrés respiratorio, neumonía, choque séptico y acidosis metabólica </w:t>
      </w:r>
      <w:proofErr w:type="gramStart"/>
      <w:r w:rsidRPr="00647A8E">
        <w:rPr>
          <w:rFonts w:eastAsia="Calibri"/>
          <w:color w:val="000000"/>
          <w:lang w:val="es-ES" w:eastAsia="en-US"/>
        </w:rPr>
        <w:t>irreversible.</w:t>
      </w:r>
      <w:r w:rsidRPr="00647A8E">
        <w:rPr>
          <w:rFonts w:eastAsia="Calibri"/>
          <w:color w:val="000000"/>
          <w:vertAlign w:val="superscript"/>
          <w:lang w:val="es-ES" w:eastAsia="en-US"/>
        </w:rPr>
        <w:t>(</w:t>
      </w:r>
      <w:proofErr w:type="gramEnd"/>
      <w:r w:rsidRPr="00647A8E">
        <w:rPr>
          <w:rFonts w:eastAsia="Calibri"/>
          <w:color w:val="000000"/>
          <w:vertAlign w:val="superscript"/>
          <w:lang w:val="es-ES" w:eastAsia="en-US"/>
        </w:rPr>
        <w:t xml:space="preserve">3) </w:t>
      </w:r>
      <w:r w:rsidRPr="00647A8E">
        <w:rPr>
          <w:rFonts w:eastAsia="Calibri"/>
          <w:color w:val="000000"/>
          <w:lang w:val="es-ES" w:eastAsia="en-US"/>
        </w:rPr>
        <w:t>En</w:t>
      </w:r>
      <w:r w:rsidRPr="00647A8E">
        <w:rPr>
          <w:rFonts w:eastAsia="Calibri"/>
          <w:color w:val="000000"/>
          <w:lang w:eastAsia="en-US"/>
        </w:rPr>
        <w:t xml:space="preserve"> la población pediátrica</w:t>
      </w:r>
      <w:r w:rsidRPr="00647A8E">
        <w:rPr>
          <w:rFonts w:eastAsia="Calibri"/>
          <w:color w:val="000000"/>
          <w:lang w:val="es-ES" w:eastAsia="en-US"/>
        </w:rPr>
        <w:t>, la mayoría de las veces el cuadro clínico es más leve y con menos sintomatología que en adultos; por consiguiente, consultan en menor medida a centros de salud, se someten a menos pruebas diagnósticas, con subregistro de casos positivos a la COVID</w:t>
      </w:r>
      <w:r w:rsidRPr="00647A8E">
        <w:rPr>
          <w:rFonts w:eastAsia="Calibri"/>
          <w:i/>
          <w:color w:val="000000"/>
          <w:lang w:val="es-ES" w:eastAsia="en-US"/>
        </w:rPr>
        <w:t>-</w:t>
      </w:r>
      <w:r w:rsidRPr="00647A8E">
        <w:rPr>
          <w:rFonts w:eastAsia="Calibri"/>
          <w:color w:val="000000"/>
          <w:lang w:val="es-ES" w:eastAsia="en-US"/>
        </w:rPr>
        <w:t>19. Se comportan como fuente de infección, que, en ocasiones puntuales, evolucionan hacia un cuadro clínico más grave,</w:t>
      </w:r>
      <w:r w:rsidRPr="00647A8E">
        <w:rPr>
          <w:rFonts w:eastAsia="Calibri"/>
          <w:color w:val="000000"/>
          <w:vertAlign w:val="superscript"/>
          <w:lang w:eastAsia="en-US"/>
        </w:rPr>
        <w:t xml:space="preserve"> </w:t>
      </w:r>
      <w:r w:rsidRPr="00647A8E">
        <w:rPr>
          <w:rFonts w:eastAsia="Calibri"/>
          <w:color w:val="000000"/>
          <w:lang w:eastAsia="en-US"/>
        </w:rPr>
        <w:t xml:space="preserve">como el </w:t>
      </w:r>
      <w:r w:rsidRPr="00647A8E">
        <w:rPr>
          <w:rFonts w:eastAsia="Calibri"/>
          <w:color w:val="000000"/>
          <w:lang w:val="es-ES" w:eastAsia="en-US"/>
        </w:rPr>
        <w:t xml:space="preserve">síndrome de distrés respiratorio grave o síndrome inflamatorio multisistémico, </w:t>
      </w:r>
      <w:r w:rsidRPr="00647A8E">
        <w:rPr>
          <w:rFonts w:eastAsia="Calibri"/>
          <w:color w:val="000000"/>
          <w:lang w:eastAsia="en-US"/>
        </w:rPr>
        <w:t xml:space="preserve">que complica la recuperación de la COVID-19 y genera secuelas de la enfermedad; especialmente, en aquellos que presentan alguna condición predisponente o </w:t>
      </w:r>
      <w:proofErr w:type="gramStart"/>
      <w:r w:rsidRPr="00647A8E">
        <w:rPr>
          <w:rFonts w:eastAsia="Calibri"/>
          <w:color w:val="000000"/>
          <w:lang w:eastAsia="en-US"/>
        </w:rPr>
        <w:t>comorbilidad.</w:t>
      </w:r>
      <w:r w:rsidRPr="00647A8E">
        <w:rPr>
          <w:rFonts w:eastAsia="Calibri"/>
          <w:color w:val="000000"/>
          <w:vertAlign w:val="superscript"/>
          <w:lang w:eastAsia="en-US"/>
        </w:rPr>
        <w:t>(</w:t>
      </w:r>
      <w:proofErr w:type="gramEnd"/>
      <w:r w:rsidRPr="00647A8E">
        <w:rPr>
          <w:rFonts w:eastAsia="Calibri"/>
          <w:color w:val="000000"/>
          <w:vertAlign w:val="superscript"/>
          <w:lang w:eastAsia="en-US"/>
        </w:rPr>
        <w:t>4,5,6,7)</w:t>
      </w:r>
    </w:p>
    <w:p w14:paraId="02960CFE" w14:textId="77777777" w:rsidR="00647A8E" w:rsidRPr="00647A8E" w:rsidRDefault="00647A8E" w:rsidP="00647A8E">
      <w:pPr>
        <w:autoSpaceDE w:val="0"/>
        <w:autoSpaceDN w:val="0"/>
        <w:adjustRightInd w:val="0"/>
        <w:spacing w:line="360" w:lineRule="auto"/>
        <w:jc w:val="both"/>
        <w:rPr>
          <w:rFonts w:eastAsia="Calibri"/>
          <w:iCs/>
          <w:lang w:val="es-ES" w:eastAsia="en-US"/>
        </w:rPr>
      </w:pPr>
      <w:r w:rsidRPr="00647A8E">
        <w:rPr>
          <w:rFonts w:eastAsia="Calibri"/>
          <w:iCs/>
          <w:lang w:val="es-ES" w:eastAsia="en-US"/>
        </w:rPr>
        <w:t xml:space="preserve">La adolescencia se define como parte de las edades pediátricas. Según la OMS, comprende los individuos entre 10 y 19 años, que representa el 16 % de toda la población mundial y el 30 % en la región de Latinoamérica y del </w:t>
      </w:r>
      <w:proofErr w:type="gramStart"/>
      <w:r w:rsidRPr="00647A8E">
        <w:rPr>
          <w:rFonts w:eastAsia="Calibri"/>
          <w:iCs/>
          <w:lang w:val="es-ES" w:eastAsia="en-US"/>
        </w:rPr>
        <w:t>Caribe.</w:t>
      </w:r>
      <w:r w:rsidRPr="00647A8E">
        <w:rPr>
          <w:rFonts w:eastAsia="Calibri"/>
          <w:iCs/>
          <w:noProof/>
          <w:vertAlign w:val="superscript"/>
          <w:lang w:val="es-ES" w:eastAsia="en-US"/>
        </w:rPr>
        <w:t>(</w:t>
      </w:r>
      <w:proofErr w:type="gramEnd"/>
      <w:r w:rsidRPr="00647A8E">
        <w:rPr>
          <w:rFonts w:eastAsia="Calibri"/>
          <w:iCs/>
          <w:noProof/>
          <w:vertAlign w:val="superscript"/>
          <w:lang w:val="es-ES" w:eastAsia="en-US"/>
        </w:rPr>
        <w:t>8)</w:t>
      </w:r>
      <w:r w:rsidRPr="00647A8E">
        <w:rPr>
          <w:rFonts w:eastAsia="Calibri"/>
          <w:iCs/>
          <w:lang w:val="es-ES" w:eastAsia="en-US"/>
        </w:rPr>
        <w:t xml:space="preserve"> </w:t>
      </w:r>
    </w:p>
    <w:p w14:paraId="517D1AF4" w14:textId="77777777" w:rsidR="00647A8E" w:rsidRPr="00647A8E" w:rsidRDefault="00647A8E" w:rsidP="00647A8E">
      <w:pPr>
        <w:autoSpaceDE w:val="0"/>
        <w:autoSpaceDN w:val="0"/>
        <w:adjustRightInd w:val="0"/>
        <w:spacing w:line="360" w:lineRule="auto"/>
        <w:jc w:val="both"/>
        <w:rPr>
          <w:rFonts w:eastAsia="Calibri"/>
          <w:color w:val="000000"/>
          <w:lang w:val="es-ES" w:eastAsia="en-US"/>
        </w:rPr>
      </w:pPr>
      <w:r w:rsidRPr="00647A8E">
        <w:rPr>
          <w:rFonts w:eastAsia="Calibri"/>
          <w:iCs/>
          <w:lang w:val="es-ES" w:eastAsia="en-US"/>
        </w:rPr>
        <w:t xml:space="preserve">Más allá del límite de edad fijado, la adolescencia marca la transición de la infancia a la adultez. Durante esta etapa de la vida ocurren cambios físicos, psicológicos, biológicos y sociales. </w:t>
      </w:r>
      <w:r w:rsidRPr="00647A8E">
        <w:rPr>
          <w:rFonts w:eastAsia="Calibri"/>
          <w:color w:val="000000"/>
          <w:lang w:val="es-ES" w:eastAsia="en-US"/>
        </w:rPr>
        <w:t xml:space="preserve">Se reconoce que este grupo etario se enfrentó a consecuencias multidimensionales durante la pandemia, impulsadas por el cierre de escuelas, las interrupciones generalizadas de los servicios (centros de deporte y recreación), combinado con el estrés financiero y el aislamiento social, lo que lo convierte en un grupo vulnerable en </w:t>
      </w:r>
      <w:proofErr w:type="gramStart"/>
      <w:r w:rsidRPr="00647A8E">
        <w:rPr>
          <w:rFonts w:eastAsia="Calibri"/>
          <w:color w:val="000000"/>
          <w:lang w:val="es-ES" w:eastAsia="en-US"/>
        </w:rPr>
        <w:t>particular.</w:t>
      </w:r>
      <w:r w:rsidRPr="00647A8E">
        <w:rPr>
          <w:rFonts w:eastAsia="Calibri"/>
          <w:noProof/>
          <w:color w:val="000000"/>
          <w:vertAlign w:val="superscript"/>
          <w:lang w:val="es-ES" w:eastAsia="en-US"/>
        </w:rPr>
        <w:t>(</w:t>
      </w:r>
      <w:proofErr w:type="gramEnd"/>
      <w:r w:rsidRPr="00647A8E">
        <w:rPr>
          <w:rFonts w:eastAsia="Calibri"/>
          <w:noProof/>
          <w:color w:val="000000"/>
          <w:vertAlign w:val="superscript"/>
          <w:lang w:val="es-ES" w:eastAsia="en-US"/>
        </w:rPr>
        <w:t>9)</w:t>
      </w:r>
    </w:p>
    <w:p w14:paraId="477FE2B3" w14:textId="77777777" w:rsidR="00647A8E" w:rsidRPr="00647A8E" w:rsidRDefault="00647A8E" w:rsidP="00647A8E">
      <w:pPr>
        <w:autoSpaceDE w:val="0"/>
        <w:autoSpaceDN w:val="0"/>
        <w:adjustRightInd w:val="0"/>
        <w:spacing w:line="360" w:lineRule="auto"/>
        <w:jc w:val="both"/>
        <w:rPr>
          <w:rFonts w:eastAsia="Calibri"/>
          <w:color w:val="000000"/>
          <w:lang w:val="es-ES" w:eastAsia="en-US"/>
        </w:rPr>
      </w:pPr>
      <w:r w:rsidRPr="00647A8E">
        <w:rPr>
          <w:rFonts w:eastAsia="Calibri"/>
          <w:color w:val="000000"/>
          <w:lang w:val="es-ES" w:eastAsia="en-US"/>
        </w:rPr>
        <w:t xml:space="preserve">De acuerdo con el trabajo de </w:t>
      </w:r>
      <w:r w:rsidRPr="00647A8E">
        <w:rPr>
          <w:rFonts w:eastAsia="Calibri"/>
          <w:i/>
          <w:color w:val="000000"/>
          <w:lang w:val="es-ES" w:eastAsia="en-US"/>
        </w:rPr>
        <w:t>Bolaños</w:t>
      </w:r>
      <w:r w:rsidRPr="00647A8E">
        <w:rPr>
          <w:rFonts w:eastAsia="Calibri"/>
          <w:color w:val="000000"/>
          <w:lang w:val="es-ES" w:eastAsia="en-US"/>
        </w:rPr>
        <w:t xml:space="preserve"> y </w:t>
      </w:r>
      <w:proofErr w:type="gramStart"/>
      <w:r w:rsidRPr="00647A8E">
        <w:rPr>
          <w:rFonts w:eastAsia="Calibri"/>
          <w:color w:val="000000"/>
          <w:lang w:val="es-ES" w:eastAsia="en-US"/>
        </w:rPr>
        <w:t>otros,</w:t>
      </w:r>
      <w:r w:rsidRPr="00647A8E">
        <w:rPr>
          <w:rFonts w:eastAsia="Calibri"/>
          <w:noProof/>
          <w:color w:val="000000"/>
          <w:vertAlign w:val="superscript"/>
          <w:lang w:val="es-ES" w:eastAsia="en-US"/>
        </w:rPr>
        <w:t>(</w:t>
      </w:r>
      <w:proofErr w:type="gramEnd"/>
      <w:r w:rsidRPr="00647A8E">
        <w:rPr>
          <w:rFonts w:eastAsia="Calibri"/>
          <w:noProof/>
          <w:color w:val="000000"/>
          <w:vertAlign w:val="superscript"/>
          <w:lang w:val="es-ES" w:eastAsia="en-US"/>
        </w:rPr>
        <w:t>10)</w:t>
      </w:r>
      <w:r w:rsidRPr="00647A8E">
        <w:rPr>
          <w:rFonts w:eastAsia="Calibri"/>
          <w:color w:val="000000"/>
          <w:lang w:val="es-ES" w:eastAsia="en-US"/>
        </w:rPr>
        <w:t xml:space="preserve"> sobre Percepción de riesgo frente a la COVID-19 en adolescentes, </w:t>
      </w:r>
      <w:r w:rsidRPr="00647A8E">
        <w:rPr>
          <w:rFonts w:eastAsia="Calibri"/>
          <w:shd w:val="clear" w:color="auto" w:fill="FFFFFF"/>
          <w:lang w:val="es-ES" w:eastAsia="en-US"/>
        </w:rPr>
        <w:t xml:space="preserve">existe una baja percepción de riesgo de contagiarse en este grupo; incluso, en situaciones de alta transmisión viral, por lo que no adoptan de manera adecuada las medidas de autocuidado y aislamiento social. </w:t>
      </w:r>
    </w:p>
    <w:p w14:paraId="1028D8A1" w14:textId="77777777" w:rsidR="00647A8E" w:rsidRPr="00647A8E" w:rsidRDefault="00647A8E" w:rsidP="00647A8E">
      <w:pPr>
        <w:autoSpaceDE w:val="0"/>
        <w:autoSpaceDN w:val="0"/>
        <w:adjustRightInd w:val="0"/>
        <w:spacing w:line="360" w:lineRule="auto"/>
        <w:jc w:val="both"/>
        <w:rPr>
          <w:rFonts w:eastAsia="Calibri"/>
          <w:color w:val="000000"/>
          <w:vertAlign w:val="superscript"/>
          <w:lang w:val="es-ES" w:eastAsia="en-US"/>
        </w:rPr>
      </w:pPr>
      <w:r w:rsidRPr="00647A8E">
        <w:rPr>
          <w:rFonts w:eastAsia="Calibri"/>
          <w:color w:val="000000"/>
          <w:lang w:eastAsia="en-US"/>
        </w:rPr>
        <w:t xml:space="preserve">En el séptimo reporte sobre la incidencia de la COVID-19 en niños y adolescentes </w:t>
      </w:r>
      <w:proofErr w:type="gramStart"/>
      <w:r w:rsidRPr="00647A8E">
        <w:rPr>
          <w:rFonts w:eastAsia="Calibri"/>
          <w:color w:val="000000"/>
          <w:lang w:eastAsia="en-US"/>
        </w:rPr>
        <w:t>cubanos,</w:t>
      </w:r>
      <w:r w:rsidRPr="00647A8E">
        <w:rPr>
          <w:rFonts w:eastAsia="Calibri"/>
          <w:noProof/>
          <w:color w:val="000000"/>
          <w:vertAlign w:val="superscript"/>
          <w:lang w:val="es-ES" w:eastAsia="en-US"/>
        </w:rPr>
        <w:t>(</w:t>
      </w:r>
      <w:proofErr w:type="gramEnd"/>
      <w:r w:rsidRPr="00647A8E">
        <w:rPr>
          <w:rFonts w:eastAsia="Calibri"/>
          <w:noProof/>
          <w:color w:val="000000"/>
          <w:vertAlign w:val="superscript"/>
          <w:lang w:val="es-ES" w:eastAsia="en-US"/>
        </w:rPr>
        <w:t xml:space="preserve">11) </w:t>
      </w:r>
      <w:r w:rsidRPr="00647A8E">
        <w:rPr>
          <w:rFonts w:eastAsia="Calibri"/>
          <w:color w:val="000000"/>
          <w:lang w:eastAsia="en-US"/>
        </w:rPr>
        <w:t xml:space="preserve">entre el 18 de julio </w:t>
      </w:r>
      <w:r w:rsidRPr="00647A8E">
        <w:rPr>
          <w:rFonts w:eastAsia="Calibri"/>
          <w:lang w:eastAsia="en-US"/>
        </w:rPr>
        <w:t xml:space="preserve">y el </w:t>
      </w:r>
      <w:r w:rsidRPr="00647A8E">
        <w:rPr>
          <w:rFonts w:eastAsia="Calibri"/>
          <w:color w:val="000000"/>
          <w:lang w:eastAsia="en-US"/>
        </w:rPr>
        <w:t xml:space="preserve">18 de septiembre del 2021, </w:t>
      </w:r>
      <w:r w:rsidRPr="00647A8E">
        <w:rPr>
          <w:rFonts w:eastAsia="Calibri"/>
          <w:color w:val="000000"/>
          <w:lang w:val="es-ES" w:eastAsia="en-US"/>
        </w:rPr>
        <w:t xml:space="preserve">se informó un incremento exponencial, con el mayor número </w:t>
      </w:r>
      <w:r w:rsidRPr="00647A8E">
        <w:rPr>
          <w:rFonts w:eastAsia="Calibri"/>
          <w:color w:val="000000"/>
          <w:lang w:val="es-ES" w:eastAsia="en-US"/>
        </w:rPr>
        <w:lastRenderedPageBreak/>
        <w:t xml:space="preserve">de casos activos reportados desde el inicio de la pandemia, en particular, para los grupos de edades entre 12 y 18 años. </w:t>
      </w:r>
    </w:p>
    <w:p w14:paraId="0A0B45AC" w14:textId="77777777" w:rsidR="00647A8E" w:rsidRPr="00647A8E" w:rsidRDefault="00647A8E" w:rsidP="00647A8E">
      <w:pPr>
        <w:spacing w:line="360" w:lineRule="auto"/>
        <w:jc w:val="both"/>
        <w:rPr>
          <w:rFonts w:eastAsia="Calibri"/>
          <w:lang w:eastAsia="en-US"/>
        </w:rPr>
      </w:pPr>
      <w:r w:rsidRPr="00647A8E">
        <w:rPr>
          <w:rFonts w:eastAsia="Calibri"/>
          <w:lang w:eastAsia="en-US"/>
        </w:rPr>
        <w:t xml:space="preserve">Este comportamiento epidemiológico contribuyó a la decisión del inicio, de un estudio clínico con la vacuna Abdala, en población pediátrica de la provincia La Habana. Se basó en los resultados de seguridad y eficacia en adultos del 92,28 %, con una reducción de la enfermedad sintomática y sus formas graves o </w:t>
      </w:r>
      <w:proofErr w:type="gramStart"/>
      <w:r w:rsidRPr="00647A8E">
        <w:rPr>
          <w:rFonts w:eastAsia="Calibri"/>
          <w:lang w:eastAsia="en-US"/>
        </w:rPr>
        <w:t>muerte.</w:t>
      </w:r>
      <w:r w:rsidRPr="00647A8E">
        <w:rPr>
          <w:rFonts w:eastAsia="Calibri"/>
          <w:noProof/>
          <w:vertAlign w:val="superscript"/>
          <w:lang w:eastAsia="en-US"/>
        </w:rPr>
        <w:t>(</w:t>
      </w:r>
      <w:proofErr w:type="gramEnd"/>
      <w:r w:rsidRPr="00647A8E">
        <w:rPr>
          <w:rFonts w:eastAsia="Calibri"/>
          <w:noProof/>
          <w:vertAlign w:val="superscript"/>
          <w:lang w:eastAsia="en-US"/>
        </w:rPr>
        <w:t xml:space="preserve">12) </w:t>
      </w:r>
      <w:r w:rsidRPr="00647A8E">
        <w:rPr>
          <w:rFonts w:eastAsia="Calibri"/>
          <w:noProof/>
          <w:lang w:eastAsia="en-US"/>
        </w:rPr>
        <w:t xml:space="preserve">El diseño y realización </w:t>
      </w:r>
      <w:r w:rsidRPr="00647A8E">
        <w:rPr>
          <w:rFonts w:eastAsia="Calibri"/>
          <w:lang w:eastAsia="en-US"/>
        </w:rPr>
        <w:t>de un estudio clínico para niños y adolescentes, representativo de esta población, en condiciones reales, en el curso de la pandemia, constituyó un desafío.</w:t>
      </w:r>
      <w:r w:rsidRPr="00647A8E">
        <w:rPr>
          <w:rFonts w:eastAsia="Calibri"/>
          <w:noProof/>
          <w:vertAlign w:val="superscript"/>
          <w:lang w:eastAsia="en-US"/>
        </w:rPr>
        <w:t>(13)</w:t>
      </w:r>
    </w:p>
    <w:p w14:paraId="6D7C9F43" w14:textId="77777777" w:rsidR="00647A8E" w:rsidRPr="00647A8E" w:rsidRDefault="00647A8E" w:rsidP="00647A8E">
      <w:pPr>
        <w:spacing w:line="360" w:lineRule="auto"/>
        <w:jc w:val="both"/>
        <w:rPr>
          <w:rFonts w:eastAsia="Calibri"/>
          <w:lang w:eastAsia="en-US"/>
        </w:rPr>
      </w:pPr>
      <w:r w:rsidRPr="00647A8E">
        <w:rPr>
          <w:rFonts w:eastAsia="Calibri"/>
          <w:lang w:eastAsia="en-US"/>
        </w:rPr>
        <w:t xml:space="preserve">El presente trabajo tiene como objetivo </w:t>
      </w:r>
      <w:r w:rsidRPr="00647A8E">
        <w:rPr>
          <w:rFonts w:eastAsia="Calibri"/>
          <w:lang w:val="es-ES" w:eastAsia="en-US"/>
        </w:rPr>
        <w:t>caracterizar a los adolescentes participantes del ensayo clínico con la vacuna anti-COVID-19 Abdala, evaluar el cumplimiento del esquema de vacunación y estimar si son representativos de este grupo poblacional.</w:t>
      </w:r>
    </w:p>
    <w:p w14:paraId="60F6CDFD" w14:textId="77777777" w:rsidR="00647A8E" w:rsidRPr="00647A8E" w:rsidRDefault="00647A8E" w:rsidP="00647A8E">
      <w:pPr>
        <w:spacing w:line="360" w:lineRule="auto"/>
        <w:jc w:val="both"/>
        <w:rPr>
          <w:rFonts w:eastAsia="Calibri"/>
          <w:lang w:eastAsia="en-US"/>
        </w:rPr>
      </w:pPr>
    </w:p>
    <w:p w14:paraId="77495E77" w14:textId="77777777" w:rsidR="00647A8E" w:rsidRPr="00647A8E" w:rsidRDefault="00647A8E" w:rsidP="00647A8E">
      <w:pPr>
        <w:spacing w:line="360" w:lineRule="auto"/>
        <w:jc w:val="both"/>
        <w:rPr>
          <w:rFonts w:eastAsia="Calibri"/>
          <w:lang w:eastAsia="en-US"/>
        </w:rPr>
      </w:pPr>
    </w:p>
    <w:p w14:paraId="54B9E939" w14:textId="77777777" w:rsidR="00647A8E" w:rsidRPr="00647A8E" w:rsidRDefault="00647A8E" w:rsidP="00647A8E">
      <w:pPr>
        <w:spacing w:line="360" w:lineRule="auto"/>
        <w:jc w:val="center"/>
        <w:rPr>
          <w:rFonts w:eastAsia="Calibri"/>
          <w:b/>
          <w:bCs/>
          <w:sz w:val="32"/>
          <w:szCs w:val="32"/>
          <w:lang w:eastAsia="en-US"/>
        </w:rPr>
      </w:pPr>
      <w:r w:rsidRPr="00647A8E">
        <w:rPr>
          <w:rFonts w:eastAsia="Calibri"/>
          <w:b/>
          <w:bCs/>
          <w:sz w:val="32"/>
          <w:szCs w:val="32"/>
          <w:lang w:eastAsia="en-US"/>
        </w:rPr>
        <w:t>MÉTODOS</w:t>
      </w:r>
    </w:p>
    <w:p w14:paraId="7B35226B" w14:textId="77777777" w:rsidR="00647A8E" w:rsidRPr="00647A8E" w:rsidRDefault="00647A8E" w:rsidP="00647A8E">
      <w:pPr>
        <w:spacing w:line="360" w:lineRule="auto"/>
        <w:jc w:val="center"/>
        <w:rPr>
          <w:rFonts w:eastAsia="Calibri"/>
          <w:b/>
          <w:sz w:val="28"/>
          <w:szCs w:val="28"/>
          <w:lang w:val="es-ES" w:eastAsia="en-US"/>
        </w:rPr>
      </w:pPr>
      <w:r w:rsidRPr="00647A8E">
        <w:rPr>
          <w:rFonts w:eastAsia="Calibri"/>
          <w:b/>
          <w:sz w:val="28"/>
          <w:szCs w:val="28"/>
          <w:lang w:val="es-ES" w:eastAsia="en-US"/>
        </w:rPr>
        <w:t>Diseño</w:t>
      </w:r>
    </w:p>
    <w:p w14:paraId="40766698"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Se tomaron los datos a partid de un ensayo clínico fase II, </w:t>
      </w:r>
      <w:proofErr w:type="spellStart"/>
      <w:r w:rsidRPr="00647A8E">
        <w:rPr>
          <w:rFonts w:eastAsia="Calibri"/>
          <w:lang w:val="es-ES" w:eastAsia="en-US"/>
        </w:rPr>
        <w:t>monocéntrico</w:t>
      </w:r>
      <w:proofErr w:type="spellEnd"/>
      <w:r w:rsidRPr="00647A8E">
        <w:rPr>
          <w:rFonts w:eastAsia="Calibri"/>
          <w:lang w:val="es-ES" w:eastAsia="en-US"/>
        </w:rPr>
        <w:t xml:space="preserve">, prospectivo, abierto, no controlado con la vacuna Abdala, realizado entre </w:t>
      </w:r>
      <w:r w:rsidRPr="00647A8E">
        <w:rPr>
          <w:rFonts w:eastAsia="Calibri"/>
          <w:bCs/>
          <w:lang w:val="es-ES" w:eastAsia="en-US"/>
        </w:rPr>
        <w:t xml:space="preserve">septiembre y noviembre del 2021, </w:t>
      </w:r>
      <w:r w:rsidRPr="00647A8E">
        <w:rPr>
          <w:rFonts w:eastAsia="Calibri"/>
          <w:lang w:val="es-ES" w:eastAsia="en-US"/>
        </w:rPr>
        <w:t>en el Centro de Investigaciones Médico Quirúrgicas (</w:t>
      </w:r>
      <w:proofErr w:type="spellStart"/>
      <w:r w:rsidRPr="00647A8E">
        <w:rPr>
          <w:rFonts w:eastAsia="Calibri"/>
          <w:lang w:val="es-ES" w:eastAsia="en-US"/>
        </w:rPr>
        <w:t>CIMEQ</w:t>
      </w:r>
      <w:proofErr w:type="spellEnd"/>
      <w:r w:rsidRPr="00647A8E">
        <w:rPr>
          <w:rFonts w:eastAsia="Calibri"/>
          <w:lang w:val="es-ES" w:eastAsia="en-US"/>
        </w:rPr>
        <w:t>), de La Habana.</w:t>
      </w:r>
    </w:p>
    <w:p w14:paraId="194ABBA6" w14:textId="77777777" w:rsidR="00647A8E" w:rsidRPr="00647A8E" w:rsidRDefault="00647A8E" w:rsidP="00647A8E">
      <w:pPr>
        <w:spacing w:line="360" w:lineRule="auto"/>
        <w:jc w:val="center"/>
        <w:rPr>
          <w:rFonts w:eastAsia="Calibri"/>
          <w:b/>
          <w:sz w:val="28"/>
          <w:szCs w:val="28"/>
          <w:lang w:val="es-ES" w:eastAsia="en-US"/>
        </w:rPr>
      </w:pPr>
      <w:r w:rsidRPr="00647A8E">
        <w:rPr>
          <w:rFonts w:eastAsia="Calibri"/>
          <w:b/>
          <w:sz w:val="28"/>
          <w:szCs w:val="28"/>
          <w:lang w:val="es-ES" w:eastAsia="en-US"/>
        </w:rPr>
        <w:t>Sujetos</w:t>
      </w:r>
    </w:p>
    <w:p w14:paraId="630D8E64"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En el ensayo clínico estaban incluidos sujetos con los siguientes criterios de selección:</w:t>
      </w:r>
    </w:p>
    <w:p w14:paraId="1A1C9049" w14:textId="77777777" w:rsidR="00647A8E" w:rsidRPr="00647A8E" w:rsidRDefault="00647A8E" w:rsidP="00647A8E">
      <w:pPr>
        <w:spacing w:line="360" w:lineRule="auto"/>
        <w:jc w:val="both"/>
        <w:rPr>
          <w:rFonts w:eastAsia="Calibri"/>
          <w:lang w:val="es-ES" w:eastAsia="en-US"/>
        </w:rPr>
      </w:pPr>
    </w:p>
    <w:p w14:paraId="54D800F5"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t>Niños y adolescentes de entre 3 y 18 años.</w:t>
      </w:r>
    </w:p>
    <w:p w14:paraId="7DA998EF"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t>De cualquier sexo.</w:t>
      </w:r>
    </w:p>
    <w:p w14:paraId="6E5CF22C"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t>Residentes permanentes en Cuba.</w:t>
      </w:r>
    </w:p>
    <w:p w14:paraId="7EC36ACE"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t>Aparentemente sanos o con enfermedades crónicas controladas.</w:t>
      </w:r>
    </w:p>
    <w:p w14:paraId="29E56589"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t xml:space="preserve">Con valoración nutricional entre el 10 y 90 percentil conforme a los valores de peso y talla para la edad en población </w:t>
      </w:r>
      <w:proofErr w:type="gramStart"/>
      <w:r w:rsidRPr="00647A8E">
        <w:rPr>
          <w:rFonts w:eastAsia="Calibri"/>
          <w:lang w:val="es-ES" w:eastAsia="en-US"/>
        </w:rPr>
        <w:t>cubana.</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14)</w:t>
      </w:r>
      <w:r w:rsidRPr="00647A8E">
        <w:rPr>
          <w:rFonts w:eastAsia="Calibri"/>
          <w:lang w:val="es-ES" w:eastAsia="en-US"/>
        </w:rPr>
        <w:t xml:space="preserve"> </w:t>
      </w:r>
    </w:p>
    <w:p w14:paraId="6075069E" w14:textId="77777777" w:rsidR="00647A8E" w:rsidRPr="00647A8E" w:rsidRDefault="00647A8E" w:rsidP="00647A8E">
      <w:pPr>
        <w:numPr>
          <w:ilvl w:val="0"/>
          <w:numId w:val="2"/>
        </w:numPr>
        <w:spacing w:line="360" w:lineRule="auto"/>
        <w:ind w:left="284" w:hanging="284"/>
        <w:contextualSpacing/>
        <w:jc w:val="both"/>
        <w:rPr>
          <w:rFonts w:eastAsia="Calibri"/>
          <w:lang w:val="es-ES" w:eastAsia="en-US"/>
        </w:rPr>
      </w:pPr>
      <w:r w:rsidRPr="00647A8E">
        <w:rPr>
          <w:rFonts w:eastAsia="Calibri"/>
          <w:lang w:val="es-ES" w:eastAsia="en-US"/>
        </w:rPr>
        <w:lastRenderedPageBreak/>
        <w:t>Voluntariedad de ambos padres o tutor legal, mediante la firma del consentimiento informado; así como asentimiento informado para adolescentes con edad mayor o igual a 12 años.</w:t>
      </w:r>
    </w:p>
    <w:p w14:paraId="048BD10A" w14:textId="77777777" w:rsidR="00647A8E" w:rsidRPr="00647A8E" w:rsidRDefault="00647A8E" w:rsidP="00647A8E">
      <w:pPr>
        <w:spacing w:line="360" w:lineRule="auto"/>
        <w:jc w:val="both"/>
        <w:rPr>
          <w:rFonts w:eastAsia="Calibri"/>
          <w:lang w:val="es-ES" w:eastAsia="en-US"/>
        </w:rPr>
      </w:pPr>
    </w:p>
    <w:p w14:paraId="02DF26DB"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Se excluyeron los siguientes sujetos:</w:t>
      </w:r>
    </w:p>
    <w:p w14:paraId="45E25834" w14:textId="77777777" w:rsidR="00647A8E" w:rsidRPr="00647A8E" w:rsidRDefault="00647A8E" w:rsidP="00647A8E">
      <w:pPr>
        <w:spacing w:line="360" w:lineRule="auto"/>
        <w:jc w:val="both"/>
        <w:rPr>
          <w:rFonts w:eastAsia="Calibri"/>
          <w:lang w:val="es-ES" w:eastAsia="en-US"/>
        </w:rPr>
      </w:pPr>
    </w:p>
    <w:p w14:paraId="175EA906"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Quienes tenían antecedentes de infección por SARS-CoV-2, con diagnóstico confirmado, contacto o sospechoso de la COVID-19.</w:t>
      </w:r>
    </w:p>
    <w:p w14:paraId="25870567"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Con enfermedad infecciosa aguda en los 3 días previos a la aplicación de la vacuna.</w:t>
      </w:r>
    </w:p>
    <w:p w14:paraId="47E6F910"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Con enfermedades crónicas, autoinmunes, endocrino-metabólicas descompensadas.</w:t>
      </w:r>
    </w:p>
    <w:p w14:paraId="02EDC0F2"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Haber recibido otra vacuna en los 14 días antes de la inclusión.</w:t>
      </w:r>
    </w:p>
    <w:p w14:paraId="760FA721"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Test de embarazo positivo.</w:t>
      </w:r>
    </w:p>
    <w:p w14:paraId="518B8511" w14:textId="77777777" w:rsidR="00647A8E" w:rsidRPr="00647A8E" w:rsidRDefault="00647A8E" w:rsidP="00647A8E">
      <w:pPr>
        <w:numPr>
          <w:ilvl w:val="0"/>
          <w:numId w:val="3"/>
        </w:numPr>
        <w:spacing w:line="360" w:lineRule="auto"/>
        <w:ind w:left="284" w:hanging="284"/>
        <w:contextualSpacing/>
        <w:jc w:val="both"/>
        <w:rPr>
          <w:rFonts w:eastAsia="Calibri"/>
          <w:lang w:val="es-ES" w:eastAsia="en-US"/>
        </w:rPr>
      </w:pPr>
      <w:r w:rsidRPr="00647A8E">
        <w:rPr>
          <w:rFonts w:eastAsia="Calibri"/>
          <w:lang w:val="es-ES" w:eastAsia="en-US"/>
        </w:rPr>
        <w:t xml:space="preserve">Haber sido tratado con algún inmunomodulador en los últimos 30 días. </w:t>
      </w:r>
    </w:p>
    <w:p w14:paraId="707CB31E" w14:textId="77777777" w:rsidR="00647A8E" w:rsidRPr="00647A8E" w:rsidRDefault="00647A8E" w:rsidP="00647A8E">
      <w:pPr>
        <w:spacing w:line="360" w:lineRule="auto"/>
        <w:jc w:val="both"/>
        <w:rPr>
          <w:rFonts w:eastAsia="Calibri"/>
          <w:lang w:val="es-ES" w:eastAsia="en-US"/>
        </w:rPr>
      </w:pPr>
    </w:p>
    <w:p w14:paraId="7AF06CD9"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A todos los participantes, se les realizó un examen físico general y por aparatos para constatar que no existieran alteraciones clínicas relevantes.</w:t>
      </w:r>
    </w:p>
    <w:p w14:paraId="748CB0D9" w14:textId="77777777" w:rsidR="00647A8E" w:rsidRPr="00647A8E" w:rsidRDefault="00647A8E" w:rsidP="00647A8E">
      <w:pPr>
        <w:spacing w:line="360" w:lineRule="auto"/>
        <w:jc w:val="both"/>
        <w:rPr>
          <w:rFonts w:eastAsia="Calibri"/>
          <w:lang w:val="es-ES" w:eastAsia="en-US"/>
        </w:rPr>
      </w:pPr>
      <w:bookmarkStart w:id="8" w:name="_Hlk140861436"/>
      <w:r w:rsidRPr="00647A8E">
        <w:rPr>
          <w:rFonts w:eastAsia="Calibri"/>
          <w:lang w:val="es-ES" w:eastAsia="en-US"/>
        </w:rPr>
        <w:t>En el estudio clínico se incluyeron 703 sujetos, de los cuales 207 (29,4 %) fueron adolescentes de entre 12 y 18 años</w:t>
      </w:r>
      <w:bookmarkEnd w:id="8"/>
      <w:r w:rsidRPr="00647A8E">
        <w:rPr>
          <w:rFonts w:eastAsia="Calibri"/>
          <w:lang w:val="es-ES" w:eastAsia="en-US"/>
        </w:rPr>
        <w:t xml:space="preserve"> de edad, que fueron la muestra seleccionada para el presente trabajo.</w:t>
      </w:r>
    </w:p>
    <w:p w14:paraId="546963F3" w14:textId="77777777" w:rsidR="00647A8E" w:rsidRPr="00647A8E" w:rsidRDefault="00647A8E" w:rsidP="00647A8E">
      <w:pPr>
        <w:spacing w:line="360" w:lineRule="auto"/>
        <w:jc w:val="center"/>
        <w:rPr>
          <w:rFonts w:eastAsia="Calibri"/>
          <w:b/>
          <w:sz w:val="28"/>
          <w:szCs w:val="28"/>
          <w:lang w:val="es-ES" w:eastAsia="en-US"/>
        </w:rPr>
      </w:pPr>
      <w:r w:rsidRPr="00647A8E">
        <w:rPr>
          <w:rFonts w:eastAsia="Calibri"/>
          <w:b/>
          <w:sz w:val="28"/>
          <w:szCs w:val="28"/>
          <w:lang w:val="es-ES" w:eastAsia="en-US"/>
        </w:rPr>
        <w:t>Esquema de vacunación</w:t>
      </w:r>
    </w:p>
    <w:p w14:paraId="6A2C4980"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La vacuna Abdala se administró en dosis de 0,5 mL, por vía i.m., en la región deltoidea, en un esquema de 3 dosis: 1 dosis cada 14 días (días 0 – 14 – 28), según el </w:t>
      </w:r>
      <w:proofErr w:type="gramStart"/>
      <w:r w:rsidRPr="00647A8E">
        <w:rPr>
          <w:rFonts w:eastAsia="Calibri"/>
          <w:lang w:val="es-ES" w:eastAsia="en-US"/>
        </w:rPr>
        <w:t>protocolo.</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15)</w:t>
      </w:r>
    </w:p>
    <w:p w14:paraId="400CA6BD" w14:textId="77777777" w:rsidR="00647A8E" w:rsidRPr="00647A8E" w:rsidRDefault="00647A8E" w:rsidP="00647A8E">
      <w:pPr>
        <w:spacing w:line="360" w:lineRule="auto"/>
        <w:jc w:val="center"/>
        <w:rPr>
          <w:rFonts w:eastAsia="Calibri"/>
          <w:b/>
          <w:sz w:val="28"/>
          <w:szCs w:val="28"/>
          <w:lang w:eastAsia="en-US"/>
        </w:rPr>
      </w:pPr>
      <w:r w:rsidRPr="00647A8E">
        <w:rPr>
          <w:rFonts w:eastAsia="Calibri"/>
          <w:b/>
          <w:sz w:val="28"/>
          <w:szCs w:val="28"/>
          <w:lang w:val="es-ES" w:eastAsia="en-US"/>
        </w:rPr>
        <w:t>Variables</w:t>
      </w:r>
    </w:p>
    <w:p w14:paraId="40658870" w14:textId="77777777" w:rsidR="00647A8E" w:rsidRPr="00647A8E" w:rsidRDefault="00647A8E" w:rsidP="00647A8E">
      <w:pPr>
        <w:spacing w:line="360" w:lineRule="auto"/>
        <w:jc w:val="both"/>
        <w:rPr>
          <w:rFonts w:eastAsia="Calibri"/>
          <w:lang w:val="es-ES" w:eastAsia="en-US"/>
        </w:rPr>
      </w:pPr>
    </w:p>
    <w:p w14:paraId="122FFA1F" w14:textId="77777777" w:rsidR="00647A8E" w:rsidRPr="00647A8E" w:rsidRDefault="00647A8E" w:rsidP="00647A8E">
      <w:pPr>
        <w:numPr>
          <w:ilvl w:val="0"/>
          <w:numId w:val="4"/>
        </w:numPr>
        <w:spacing w:line="360" w:lineRule="auto"/>
        <w:ind w:left="426" w:hanging="426"/>
        <w:contextualSpacing/>
        <w:jc w:val="both"/>
        <w:rPr>
          <w:rFonts w:eastAsia="Calibri"/>
          <w:lang w:val="es-ES" w:eastAsia="en-US"/>
        </w:rPr>
      </w:pPr>
      <w:r w:rsidRPr="00647A8E">
        <w:rPr>
          <w:rFonts w:eastAsia="Calibri"/>
          <w:lang w:val="es-ES" w:eastAsia="en-US"/>
        </w:rPr>
        <w:t xml:space="preserve">Datos demográficos: edad (en años), sexo y color de la piel (blanca, mestiza y negra). </w:t>
      </w:r>
    </w:p>
    <w:p w14:paraId="559B2B09" w14:textId="77777777" w:rsidR="00647A8E" w:rsidRPr="00647A8E" w:rsidRDefault="00647A8E" w:rsidP="00647A8E">
      <w:pPr>
        <w:numPr>
          <w:ilvl w:val="0"/>
          <w:numId w:val="4"/>
        </w:numPr>
        <w:spacing w:line="360" w:lineRule="auto"/>
        <w:ind w:left="426" w:hanging="426"/>
        <w:contextualSpacing/>
        <w:jc w:val="both"/>
        <w:rPr>
          <w:rFonts w:eastAsia="Calibri"/>
          <w:lang w:val="es-ES" w:eastAsia="en-US"/>
        </w:rPr>
      </w:pPr>
      <w:r w:rsidRPr="00647A8E">
        <w:rPr>
          <w:rFonts w:eastAsia="Calibri"/>
          <w:lang w:val="es-ES" w:eastAsia="en-US"/>
        </w:rPr>
        <w:t>Valoración nutricional:  relación peso para la talla, según edad y sexo, expresada en percentiles de tablas en población pediátrica cubana.</w:t>
      </w:r>
      <w:r w:rsidRPr="00647A8E">
        <w:rPr>
          <w:rFonts w:eastAsia="Calibri"/>
          <w:noProof/>
          <w:vertAlign w:val="superscript"/>
          <w:lang w:val="es-ES" w:eastAsia="en-US"/>
        </w:rPr>
        <w:t xml:space="preserve"> (14)</w:t>
      </w:r>
    </w:p>
    <w:p w14:paraId="3CCEE5D1" w14:textId="77777777" w:rsidR="00647A8E" w:rsidRPr="00647A8E" w:rsidRDefault="00647A8E" w:rsidP="00647A8E">
      <w:pPr>
        <w:numPr>
          <w:ilvl w:val="0"/>
          <w:numId w:val="4"/>
        </w:numPr>
        <w:spacing w:line="360" w:lineRule="auto"/>
        <w:ind w:left="426" w:hanging="426"/>
        <w:contextualSpacing/>
        <w:jc w:val="both"/>
        <w:rPr>
          <w:rFonts w:eastAsia="Calibri"/>
          <w:lang w:val="es-ES" w:eastAsia="en-US"/>
        </w:rPr>
      </w:pPr>
      <w:r w:rsidRPr="00647A8E">
        <w:rPr>
          <w:rFonts w:eastAsia="Calibri"/>
          <w:lang w:val="es-ES" w:eastAsia="en-US"/>
        </w:rPr>
        <w:t>Hábitos tóxicos: ingestión de bebidas alcohólicas y hábito de fumar (Sí/No), recogidas a través del interrogatorio.</w:t>
      </w:r>
    </w:p>
    <w:p w14:paraId="68534BD4" w14:textId="77777777" w:rsidR="00647A8E" w:rsidRPr="00647A8E" w:rsidRDefault="00647A8E" w:rsidP="00647A8E">
      <w:pPr>
        <w:numPr>
          <w:ilvl w:val="0"/>
          <w:numId w:val="4"/>
        </w:numPr>
        <w:spacing w:line="360" w:lineRule="auto"/>
        <w:ind w:left="426" w:hanging="426"/>
        <w:contextualSpacing/>
        <w:jc w:val="both"/>
        <w:rPr>
          <w:rFonts w:eastAsia="Calibri"/>
          <w:lang w:val="es-ES" w:eastAsia="en-US"/>
        </w:rPr>
      </w:pPr>
      <w:r w:rsidRPr="00647A8E">
        <w:rPr>
          <w:rFonts w:eastAsia="Calibri"/>
          <w:lang w:val="es-ES" w:eastAsia="en-US"/>
        </w:rPr>
        <w:lastRenderedPageBreak/>
        <w:t>Antecedentes patológicos personales: condiciones médicas subyacentes o enfermedades referidas en el interrogatorio.</w:t>
      </w:r>
    </w:p>
    <w:p w14:paraId="5E90FA1A" w14:textId="77777777" w:rsidR="00647A8E" w:rsidRPr="00647A8E" w:rsidRDefault="00647A8E" w:rsidP="00647A8E">
      <w:pPr>
        <w:numPr>
          <w:ilvl w:val="0"/>
          <w:numId w:val="4"/>
        </w:numPr>
        <w:spacing w:line="360" w:lineRule="auto"/>
        <w:ind w:left="426" w:hanging="426"/>
        <w:contextualSpacing/>
        <w:jc w:val="both"/>
        <w:rPr>
          <w:rFonts w:eastAsia="Calibri"/>
          <w:lang w:val="es-ES" w:eastAsia="en-US"/>
        </w:rPr>
      </w:pPr>
      <w:r w:rsidRPr="00647A8E">
        <w:rPr>
          <w:rFonts w:eastAsia="Calibri"/>
          <w:lang w:val="es-ES" w:eastAsia="en-US"/>
        </w:rPr>
        <w:t xml:space="preserve">Cumplimiento del esquema de vacunación: se notificaron las fechas de planificación de cada dosis y el cumplimiento. </w:t>
      </w:r>
    </w:p>
    <w:p w14:paraId="7AD79B79" w14:textId="77777777" w:rsidR="00647A8E" w:rsidRPr="00647A8E" w:rsidRDefault="00647A8E" w:rsidP="00647A8E">
      <w:pPr>
        <w:spacing w:line="360" w:lineRule="auto"/>
        <w:jc w:val="center"/>
        <w:rPr>
          <w:rFonts w:eastAsia="Calibri"/>
          <w:b/>
          <w:sz w:val="28"/>
          <w:szCs w:val="28"/>
          <w:lang w:val="es-ES" w:eastAsia="en-US"/>
        </w:rPr>
      </w:pPr>
    </w:p>
    <w:p w14:paraId="3C745D9B" w14:textId="77777777" w:rsidR="00647A8E" w:rsidRPr="00647A8E" w:rsidRDefault="00647A8E" w:rsidP="00647A8E">
      <w:pPr>
        <w:spacing w:line="360" w:lineRule="auto"/>
        <w:jc w:val="center"/>
        <w:rPr>
          <w:rFonts w:eastAsia="Calibri"/>
          <w:b/>
          <w:sz w:val="28"/>
          <w:szCs w:val="28"/>
          <w:lang w:val="es-ES" w:eastAsia="en-US"/>
        </w:rPr>
      </w:pPr>
      <w:r w:rsidRPr="00647A8E">
        <w:rPr>
          <w:rFonts w:eastAsia="Calibri"/>
          <w:b/>
          <w:sz w:val="28"/>
          <w:szCs w:val="28"/>
          <w:lang w:val="es-ES" w:eastAsia="en-US"/>
        </w:rPr>
        <w:t>Procedimientos</w:t>
      </w:r>
    </w:p>
    <w:p w14:paraId="5737C578" w14:textId="77777777" w:rsidR="00647A8E" w:rsidRPr="00647A8E" w:rsidRDefault="00647A8E" w:rsidP="00647A8E">
      <w:pPr>
        <w:spacing w:line="360" w:lineRule="auto"/>
        <w:jc w:val="both"/>
        <w:rPr>
          <w:rFonts w:eastAsia="Calibri"/>
          <w:lang w:eastAsia="en-US"/>
        </w:rPr>
      </w:pPr>
      <w:r w:rsidRPr="00647A8E">
        <w:rPr>
          <w:rFonts w:eastAsia="Calibri"/>
          <w:lang w:val="es-ES" w:eastAsia="en-US"/>
        </w:rPr>
        <w:t>La información se obtuvo desde el cuaderno de recogida de datos del ensayo clínico. El sistema de entrada de datos se</w:t>
      </w:r>
      <w:r w:rsidRPr="00647A8E">
        <w:rPr>
          <w:rFonts w:eastAsia="Calibri"/>
          <w:color w:val="000000"/>
          <w:lang w:val="es-ES" w:eastAsia="en-US"/>
        </w:rPr>
        <w:t xml:space="preserve"> generó</w:t>
      </w:r>
      <w:r w:rsidRPr="00647A8E">
        <w:rPr>
          <w:rFonts w:eastAsia="Calibri"/>
          <w:color w:val="FF0000"/>
          <w:lang w:val="es-ES" w:eastAsia="en-US"/>
        </w:rPr>
        <w:t xml:space="preserve"> </w:t>
      </w:r>
      <w:r w:rsidRPr="00647A8E">
        <w:rPr>
          <w:rFonts w:eastAsia="Calibri"/>
          <w:lang w:val="es-ES" w:eastAsia="en-US"/>
        </w:rPr>
        <w:t xml:space="preserve">en </w:t>
      </w:r>
      <w:proofErr w:type="spellStart"/>
      <w:proofErr w:type="gramStart"/>
      <w:r w:rsidRPr="00647A8E">
        <w:rPr>
          <w:rFonts w:eastAsia="Calibri"/>
          <w:lang w:val="es-ES" w:eastAsia="en-US"/>
        </w:rPr>
        <w:t>Openclínica</w:t>
      </w:r>
      <w:proofErr w:type="spellEnd"/>
      <w:r w:rsidRPr="00647A8E">
        <w:rPr>
          <w:rFonts w:eastAsia="Calibri"/>
          <w:lang w:val="es-ES" w:eastAsia="en-US"/>
        </w:rPr>
        <w:t>.</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16)</w:t>
      </w:r>
      <w:r w:rsidRPr="00647A8E">
        <w:rPr>
          <w:rFonts w:eastAsia="Calibri"/>
          <w:vertAlign w:val="superscript"/>
          <w:lang w:val="es-ES" w:eastAsia="en-US"/>
        </w:rPr>
        <w:t xml:space="preserve"> </w:t>
      </w:r>
      <w:r w:rsidRPr="00647A8E">
        <w:rPr>
          <w:rFonts w:eastAsia="Calibri"/>
          <w:szCs w:val="22"/>
          <w:lang w:val="es-ES" w:eastAsia="en-US"/>
        </w:rPr>
        <w:t xml:space="preserve">Los datos se procesaron con el paquete estadístico SPSS, v. 25.0 para </w:t>
      </w:r>
      <w:r w:rsidRPr="00647A8E">
        <w:rPr>
          <w:rFonts w:eastAsia="Calibri"/>
          <w:lang w:val="es-ES" w:eastAsia="en-US"/>
        </w:rPr>
        <w:t>Windows. Para el control de la calidad de los datos se monitorizó la información de los criterios de selección y del cumplimiento del esquema de vacunación, por el Centro de Ingeniería Genética y Biotecnología (</w:t>
      </w:r>
      <w:proofErr w:type="spellStart"/>
      <w:r w:rsidRPr="00647A8E">
        <w:rPr>
          <w:rFonts w:eastAsia="Calibri"/>
          <w:lang w:val="es-ES" w:eastAsia="en-US"/>
        </w:rPr>
        <w:t>CIGB</w:t>
      </w:r>
      <w:proofErr w:type="spellEnd"/>
      <w:r w:rsidRPr="00647A8E">
        <w:rPr>
          <w:rFonts w:eastAsia="Calibri"/>
          <w:lang w:val="es-ES" w:eastAsia="en-US"/>
        </w:rPr>
        <w:t xml:space="preserve">). </w:t>
      </w:r>
    </w:p>
    <w:p w14:paraId="119F7559" w14:textId="77777777" w:rsidR="00647A8E" w:rsidRPr="00647A8E" w:rsidRDefault="00647A8E" w:rsidP="00647A8E">
      <w:pPr>
        <w:autoSpaceDE w:val="0"/>
        <w:autoSpaceDN w:val="0"/>
        <w:adjustRightInd w:val="0"/>
        <w:spacing w:line="360" w:lineRule="auto"/>
        <w:jc w:val="center"/>
        <w:rPr>
          <w:rFonts w:eastAsia="Calibri"/>
          <w:b/>
          <w:sz w:val="28"/>
          <w:szCs w:val="28"/>
          <w:lang w:eastAsia="en-US"/>
        </w:rPr>
      </w:pPr>
      <w:r w:rsidRPr="00647A8E">
        <w:rPr>
          <w:rFonts w:eastAsia="Calibri"/>
          <w:b/>
          <w:sz w:val="28"/>
          <w:szCs w:val="28"/>
          <w:lang w:eastAsia="en-US"/>
        </w:rPr>
        <w:t>Procesamiento de los datos</w:t>
      </w:r>
    </w:p>
    <w:p w14:paraId="2D658843" w14:textId="77777777" w:rsidR="00647A8E" w:rsidRPr="00647A8E" w:rsidRDefault="00647A8E" w:rsidP="00647A8E">
      <w:pPr>
        <w:autoSpaceDE w:val="0"/>
        <w:autoSpaceDN w:val="0"/>
        <w:adjustRightInd w:val="0"/>
        <w:spacing w:line="360" w:lineRule="auto"/>
        <w:jc w:val="both"/>
        <w:rPr>
          <w:rFonts w:eastAsia="Calibri"/>
          <w:lang w:eastAsia="en-US"/>
        </w:rPr>
      </w:pPr>
      <w:r w:rsidRPr="00647A8E">
        <w:rPr>
          <w:rFonts w:eastAsia="Calibri"/>
          <w:lang w:eastAsia="en-US"/>
        </w:rPr>
        <w:t xml:space="preserve">Las variables cualitativas </w:t>
      </w:r>
      <w:r w:rsidRPr="00647A8E">
        <w:rPr>
          <w:rFonts w:eastAsia="Calibri"/>
          <w:color w:val="000000"/>
          <w:lang w:val="es-ES" w:eastAsia="en-US"/>
        </w:rPr>
        <w:t xml:space="preserve">se presentan en tablas de frecuencias absolutas y porcentajes; las cuantitativas se expresan mediante las medias y desviación estándar. </w:t>
      </w:r>
    </w:p>
    <w:p w14:paraId="2B293D45" w14:textId="77777777" w:rsidR="00647A8E" w:rsidRPr="00647A8E" w:rsidRDefault="00647A8E" w:rsidP="00647A8E">
      <w:pPr>
        <w:spacing w:line="360" w:lineRule="auto"/>
        <w:jc w:val="center"/>
        <w:rPr>
          <w:rFonts w:eastAsia="Calibri"/>
          <w:b/>
          <w:sz w:val="28"/>
          <w:szCs w:val="28"/>
          <w:lang w:val="es-ES" w:eastAsia="en-US"/>
        </w:rPr>
      </w:pPr>
      <w:r w:rsidRPr="00647A8E">
        <w:rPr>
          <w:rFonts w:eastAsia="Calibri"/>
          <w:b/>
          <w:sz w:val="28"/>
          <w:szCs w:val="28"/>
          <w:lang w:val="es-ES" w:eastAsia="en-US"/>
        </w:rPr>
        <w:t>Aspectos bioéticos</w:t>
      </w:r>
    </w:p>
    <w:p w14:paraId="68204C1E"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El estudio clínico se aprobó por el Comité de Ética para la Investigación Clínica del </w:t>
      </w:r>
      <w:proofErr w:type="spellStart"/>
      <w:r w:rsidRPr="00647A8E">
        <w:rPr>
          <w:rFonts w:eastAsia="Calibri"/>
          <w:lang w:val="es-ES" w:eastAsia="en-US"/>
        </w:rPr>
        <w:t>CIMEQ</w:t>
      </w:r>
      <w:proofErr w:type="spellEnd"/>
      <w:r w:rsidRPr="00647A8E">
        <w:rPr>
          <w:rFonts w:eastAsia="Calibri"/>
          <w:lang w:val="es-ES" w:eastAsia="en-US"/>
        </w:rPr>
        <w:t xml:space="preserve">, avalado por el Grupo Nacional de Pediatría de Cuba y aprobado por la Agencia Reguladora Nacional, </w:t>
      </w:r>
      <w:proofErr w:type="spellStart"/>
      <w:r w:rsidRPr="00647A8E">
        <w:rPr>
          <w:rFonts w:eastAsia="Calibri"/>
          <w:lang w:val="es-ES" w:eastAsia="en-US"/>
        </w:rPr>
        <w:t>CECMED</w:t>
      </w:r>
      <w:proofErr w:type="spellEnd"/>
      <w:r w:rsidRPr="00647A8E">
        <w:rPr>
          <w:rFonts w:eastAsia="Calibri"/>
          <w:lang w:val="es-ES" w:eastAsia="en-US"/>
        </w:rPr>
        <w:t>; con Registro Público Cubano de Ensayos Clínicos, del 19/08/2021, código: IG/</w:t>
      </w:r>
      <w:proofErr w:type="spellStart"/>
      <w:r w:rsidRPr="00647A8E">
        <w:rPr>
          <w:rFonts w:eastAsia="Calibri"/>
          <w:lang w:val="es-ES" w:eastAsia="en-US"/>
        </w:rPr>
        <w:t>CIGB</w:t>
      </w:r>
      <w:proofErr w:type="spellEnd"/>
      <w:r w:rsidRPr="00647A8E">
        <w:rPr>
          <w:rFonts w:eastAsia="Calibri"/>
          <w:lang w:val="es-ES" w:eastAsia="en-US"/>
        </w:rPr>
        <w:t>-661/</w:t>
      </w:r>
      <w:proofErr w:type="spellStart"/>
      <w:r w:rsidRPr="00647A8E">
        <w:rPr>
          <w:rFonts w:eastAsia="Calibri"/>
          <w:lang w:val="es-ES" w:eastAsia="en-US"/>
        </w:rPr>
        <w:t>CVD19</w:t>
      </w:r>
      <w:proofErr w:type="spellEnd"/>
      <w:r w:rsidRPr="00647A8E">
        <w:rPr>
          <w:rFonts w:eastAsia="Calibri"/>
          <w:lang w:val="es-ES" w:eastAsia="en-US"/>
        </w:rPr>
        <w:t>/2105</w:t>
      </w:r>
      <w:r w:rsidRPr="00647A8E">
        <w:rPr>
          <w:rFonts w:eastAsia="Calibri"/>
          <w:noProof/>
          <w:vertAlign w:val="superscript"/>
          <w:lang w:val="es-ES" w:eastAsia="en-US"/>
        </w:rPr>
        <w:t xml:space="preserve">(15) </w:t>
      </w:r>
      <w:r w:rsidRPr="00647A8E">
        <w:rPr>
          <w:rFonts w:eastAsia="Calibri"/>
          <w:noProof/>
          <w:lang w:val="es-ES" w:eastAsia="en-US"/>
        </w:rPr>
        <w:t>(</w:t>
      </w:r>
      <w:hyperlink r:id="rId21" w:history="1">
        <w:r w:rsidRPr="00647A8E">
          <w:rPr>
            <w:rFonts w:eastAsia="Calibri"/>
            <w:color w:val="0563C1"/>
            <w:lang w:val="es-ES" w:eastAsia="en-US"/>
          </w:rPr>
          <w:t>https://rpcec.sld.cu/ensayos/RPCEC00000390-Sp</w:t>
        </w:r>
      </w:hyperlink>
      <w:r w:rsidRPr="00647A8E">
        <w:rPr>
          <w:rFonts w:eastAsia="Calibri"/>
          <w:color w:val="0563C1"/>
          <w:lang w:val="es-ES" w:eastAsia="en-US"/>
        </w:rPr>
        <w:t>)</w:t>
      </w:r>
    </w:p>
    <w:p w14:paraId="3A1502C0"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Se respetaron las bases éticas de las investigaciones en los seres humanos según la Declaración de Helsinki, acorde con los principios éticos de protección a los sujetos que participan en investigaciones biomédicas concebidos en las Directrices de Buenas Prácticas Clínicas en </w:t>
      </w:r>
      <w:proofErr w:type="gramStart"/>
      <w:r w:rsidRPr="00647A8E">
        <w:rPr>
          <w:rFonts w:eastAsia="Calibri"/>
          <w:lang w:val="es-ES" w:eastAsia="en-US"/>
        </w:rPr>
        <w:t>Cuba.</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17)</w:t>
      </w:r>
      <w:r w:rsidRPr="00647A8E">
        <w:rPr>
          <w:rFonts w:eastAsia="Calibri"/>
          <w:lang w:val="es-ES" w:eastAsia="en-US"/>
        </w:rPr>
        <w:t xml:space="preserve"> Todos los padres, tutores legales y adolescentes firmaron el consentimiento y asentimiento informado. </w:t>
      </w:r>
    </w:p>
    <w:p w14:paraId="53175026" w14:textId="77777777" w:rsidR="00647A8E" w:rsidRPr="00647A8E" w:rsidRDefault="00647A8E" w:rsidP="00647A8E">
      <w:pPr>
        <w:spacing w:line="360" w:lineRule="auto"/>
        <w:jc w:val="both"/>
        <w:rPr>
          <w:rFonts w:eastAsia="Calibri"/>
          <w:b/>
          <w:bCs/>
          <w:lang w:eastAsia="en-US"/>
        </w:rPr>
      </w:pPr>
    </w:p>
    <w:p w14:paraId="406A97D3" w14:textId="77777777" w:rsidR="00647A8E" w:rsidRPr="00647A8E" w:rsidRDefault="00647A8E" w:rsidP="00647A8E">
      <w:pPr>
        <w:spacing w:line="360" w:lineRule="auto"/>
        <w:jc w:val="both"/>
        <w:rPr>
          <w:rFonts w:eastAsia="Calibri"/>
          <w:b/>
          <w:bCs/>
          <w:lang w:eastAsia="en-US"/>
        </w:rPr>
      </w:pPr>
    </w:p>
    <w:p w14:paraId="21C7E0C4" w14:textId="77777777" w:rsidR="00CF38DB" w:rsidRDefault="00CF38DB">
      <w:pPr>
        <w:rPr>
          <w:rFonts w:eastAsia="Calibri"/>
          <w:b/>
          <w:bCs/>
          <w:sz w:val="32"/>
          <w:szCs w:val="32"/>
          <w:lang w:eastAsia="en-US"/>
        </w:rPr>
      </w:pPr>
      <w:r>
        <w:rPr>
          <w:rFonts w:eastAsia="Calibri"/>
          <w:b/>
          <w:bCs/>
          <w:sz w:val="32"/>
          <w:szCs w:val="32"/>
          <w:lang w:eastAsia="en-US"/>
        </w:rPr>
        <w:br w:type="page"/>
      </w:r>
    </w:p>
    <w:p w14:paraId="544F4135" w14:textId="1570C1CF" w:rsidR="00647A8E" w:rsidRPr="00647A8E" w:rsidRDefault="00647A8E" w:rsidP="00647A8E">
      <w:pPr>
        <w:spacing w:line="360" w:lineRule="auto"/>
        <w:jc w:val="center"/>
        <w:rPr>
          <w:rFonts w:eastAsia="Calibri"/>
          <w:sz w:val="32"/>
          <w:szCs w:val="32"/>
          <w:lang w:val="es-ES" w:eastAsia="en-US"/>
        </w:rPr>
      </w:pPr>
      <w:r w:rsidRPr="00647A8E">
        <w:rPr>
          <w:rFonts w:eastAsia="Calibri"/>
          <w:b/>
          <w:bCs/>
          <w:sz w:val="32"/>
          <w:szCs w:val="32"/>
          <w:lang w:eastAsia="en-US"/>
        </w:rPr>
        <w:lastRenderedPageBreak/>
        <w:t>RESULTADOS</w:t>
      </w:r>
    </w:p>
    <w:p w14:paraId="7F8579FF" w14:textId="77777777" w:rsidR="00647A8E" w:rsidRPr="00647A8E" w:rsidRDefault="00647A8E" w:rsidP="00647A8E">
      <w:pPr>
        <w:spacing w:line="360" w:lineRule="auto"/>
        <w:jc w:val="both"/>
        <w:rPr>
          <w:rFonts w:eastAsia="Calibri"/>
          <w:lang w:val="es-ES" w:eastAsia="en-US"/>
        </w:rPr>
      </w:pPr>
      <w:r w:rsidRPr="00647A8E">
        <w:rPr>
          <w:rFonts w:eastAsia="Calibri"/>
          <w:lang w:val="es-ES" w:eastAsia="en-US"/>
        </w:rPr>
        <w:t xml:space="preserve">Los adolescentes participantes del estudio tenían un promedio de edad de 15 años, con ligero predominio del sexo femenino sobre el masculino. Prevaleció el color de la piel blanca y la valoración nutricional por encima del 75 y hasta el 90 percentil. Una minoría de los participantes refirió hábitos tóxicos, como ingestión de bebidas alcohólicas y hábito de fumar </w:t>
      </w:r>
      <w:r w:rsidRPr="00647A8E">
        <w:rPr>
          <w:rFonts w:eastAsia="Calibri"/>
          <w:lang w:eastAsia="en-US"/>
        </w:rPr>
        <w:t>(</w:t>
      </w:r>
      <w:r w:rsidRPr="00647A8E">
        <w:rPr>
          <w:rFonts w:eastAsia="Calibri"/>
          <w:lang w:val="es-ES" w:eastAsia="en-US"/>
        </w:rPr>
        <w:t xml:space="preserve">tabla 1). </w:t>
      </w:r>
    </w:p>
    <w:p w14:paraId="46F989EB" w14:textId="77777777" w:rsidR="000D5706" w:rsidRDefault="000D5706" w:rsidP="00647A8E">
      <w:pPr>
        <w:spacing w:line="360" w:lineRule="auto"/>
        <w:jc w:val="center"/>
        <w:rPr>
          <w:rFonts w:eastAsia="Calibri"/>
          <w:b/>
          <w:sz w:val="22"/>
          <w:szCs w:val="22"/>
          <w:lang w:val="es-ES" w:eastAsia="en-US"/>
        </w:rPr>
      </w:pPr>
    </w:p>
    <w:p w14:paraId="0D24C467" w14:textId="6B5F6D85" w:rsidR="00647A8E" w:rsidRPr="00647A8E" w:rsidRDefault="00647A8E" w:rsidP="00647A8E">
      <w:pPr>
        <w:spacing w:line="360" w:lineRule="auto"/>
        <w:jc w:val="center"/>
        <w:rPr>
          <w:rFonts w:eastAsia="Calibri"/>
          <w:sz w:val="22"/>
          <w:szCs w:val="22"/>
          <w:lang w:val="es-ES" w:eastAsia="en-US"/>
        </w:rPr>
      </w:pPr>
      <w:r w:rsidRPr="00647A8E">
        <w:rPr>
          <w:rFonts w:eastAsia="Calibri"/>
          <w:b/>
          <w:sz w:val="22"/>
          <w:szCs w:val="22"/>
          <w:lang w:val="es-ES" w:eastAsia="en-US"/>
        </w:rPr>
        <w:t xml:space="preserve">Tabla 1 - </w:t>
      </w:r>
      <w:r w:rsidRPr="00647A8E">
        <w:rPr>
          <w:rFonts w:eastAsia="Calibri"/>
          <w:sz w:val="22"/>
          <w:szCs w:val="22"/>
          <w:lang w:val="es-ES" w:eastAsia="en-US"/>
        </w:rPr>
        <w:t xml:space="preserve">Características de los adolescentes </w:t>
      </w:r>
      <w:r w:rsidRPr="00647A8E">
        <w:rPr>
          <w:rFonts w:eastAsia="Calibri"/>
          <w:bCs/>
          <w:sz w:val="22"/>
          <w:szCs w:val="22"/>
          <w:lang w:val="es-ES" w:eastAsia="en-US"/>
        </w:rPr>
        <w:t>participantes en el estudio</w:t>
      </w:r>
    </w:p>
    <w:p w14:paraId="4F951ED0" w14:textId="7A8B03A3" w:rsidR="00803CE2" w:rsidRDefault="00803CE2" w:rsidP="00647A8E">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42176BB1" wp14:editId="5321E3D6">
            <wp:extent cx="2904762" cy="3495238"/>
            <wp:effectExtent l="0" t="0" r="0" b="0"/>
            <wp:docPr id="2945191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19155" name="Imagen 294519155"/>
                    <pic:cNvPicPr/>
                  </pic:nvPicPr>
                  <pic:blipFill>
                    <a:blip r:embed="rId22">
                      <a:extLst>
                        <a:ext uri="{28A0092B-C50C-407E-A947-70E740481C1C}">
                          <a14:useLocalDpi xmlns:a14="http://schemas.microsoft.com/office/drawing/2010/main" val="0"/>
                        </a:ext>
                      </a:extLst>
                    </a:blip>
                    <a:stretch>
                      <a:fillRect/>
                    </a:stretch>
                  </pic:blipFill>
                  <pic:spPr>
                    <a:xfrm>
                      <a:off x="0" y="0"/>
                      <a:ext cx="2904762" cy="3495238"/>
                    </a:xfrm>
                    <a:prstGeom prst="rect">
                      <a:avLst/>
                    </a:prstGeom>
                  </pic:spPr>
                </pic:pic>
              </a:graphicData>
            </a:graphic>
          </wp:inline>
        </w:drawing>
      </w:r>
    </w:p>
    <w:p w14:paraId="43517178" w14:textId="74B49A6C" w:rsidR="00647A8E" w:rsidRPr="00647A8E" w:rsidRDefault="00647A8E" w:rsidP="00647A8E">
      <w:pPr>
        <w:spacing w:line="360" w:lineRule="auto"/>
        <w:jc w:val="center"/>
        <w:rPr>
          <w:rFonts w:eastAsia="Calibri"/>
          <w:sz w:val="16"/>
          <w:szCs w:val="16"/>
          <w:lang w:val="es-ES" w:eastAsia="en-US"/>
        </w:rPr>
      </w:pPr>
      <w:r w:rsidRPr="00647A8E">
        <w:rPr>
          <w:rFonts w:eastAsia="Calibri"/>
          <w:sz w:val="16"/>
          <w:szCs w:val="16"/>
          <w:lang w:val="es-ES" w:eastAsia="en-US"/>
        </w:rPr>
        <w:t>Leyenda: DE: desviación estándar.</w:t>
      </w:r>
    </w:p>
    <w:p w14:paraId="267ADD44" w14:textId="77777777" w:rsidR="00647A8E" w:rsidRPr="00647A8E" w:rsidRDefault="00647A8E" w:rsidP="00647A8E">
      <w:pPr>
        <w:autoSpaceDE w:val="0"/>
        <w:autoSpaceDN w:val="0"/>
        <w:adjustRightInd w:val="0"/>
        <w:spacing w:line="360" w:lineRule="auto"/>
        <w:jc w:val="both"/>
        <w:rPr>
          <w:rFonts w:eastAsia="Calibri"/>
          <w:lang w:val="es-ES" w:eastAsia="en-US"/>
        </w:rPr>
      </w:pPr>
    </w:p>
    <w:p w14:paraId="528736EB"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El 51,2 % (117) de los sujetos presentó algún antecedente patológico personal; en mayor proporción asma bronquial, seguida de la rinitis y otras alergias, como dermatitis atópica y alergia medicamentosa (Fig. 1).</w:t>
      </w:r>
    </w:p>
    <w:p w14:paraId="2852BE92" w14:textId="77777777" w:rsidR="00647A8E" w:rsidRPr="00647A8E" w:rsidRDefault="00647A8E" w:rsidP="00647A8E">
      <w:pPr>
        <w:autoSpaceDE w:val="0"/>
        <w:autoSpaceDN w:val="0"/>
        <w:adjustRightInd w:val="0"/>
        <w:spacing w:line="360" w:lineRule="auto"/>
        <w:jc w:val="both"/>
        <w:rPr>
          <w:rFonts w:eastAsia="Calibri"/>
          <w:lang w:val="es-ES" w:eastAsia="en-US"/>
        </w:rPr>
      </w:pPr>
    </w:p>
    <w:p w14:paraId="0965C1C8" w14:textId="7E26BCD5" w:rsidR="00647A8E" w:rsidRPr="00647A8E" w:rsidRDefault="00647A8E" w:rsidP="00647A8E">
      <w:pPr>
        <w:autoSpaceDE w:val="0"/>
        <w:autoSpaceDN w:val="0"/>
        <w:adjustRightInd w:val="0"/>
        <w:spacing w:line="360" w:lineRule="auto"/>
        <w:jc w:val="center"/>
        <w:rPr>
          <w:rFonts w:eastAsia="Calibri"/>
          <w:b/>
          <w:lang w:val="es-ES" w:eastAsia="en-US"/>
        </w:rPr>
      </w:pPr>
      <w:r w:rsidRPr="00647A8E">
        <w:rPr>
          <w:rFonts w:eastAsia="Calibri"/>
          <w:b/>
          <w:noProof/>
          <w:lang w:val="es-ES" w:eastAsia="en-US"/>
        </w:rPr>
        <w:lastRenderedPageBreak/>
        <w:drawing>
          <wp:inline distT="0" distB="0" distL="0" distR="0" wp14:anchorId="3D56C3EF" wp14:editId="2AB28DA6">
            <wp:extent cx="2462142" cy="2173783"/>
            <wp:effectExtent l="0" t="0" r="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8289" cy="2179210"/>
                    </a:xfrm>
                    <a:prstGeom prst="rect">
                      <a:avLst/>
                    </a:prstGeom>
                    <a:noFill/>
                    <a:ln>
                      <a:noFill/>
                    </a:ln>
                  </pic:spPr>
                </pic:pic>
              </a:graphicData>
            </a:graphic>
          </wp:inline>
        </w:drawing>
      </w:r>
    </w:p>
    <w:p w14:paraId="1FC7C7DC" w14:textId="77777777" w:rsidR="00647A8E" w:rsidRPr="00647A8E" w:rsidRDefault="00647A8E" w:rsidP="00647A8E">
      <w:pPr>
        <w:autoSpaceDE w:val="0"/>
        <w:autoSpaceDN w:val="0"/>
        <w:adjustRightInd w:val="0"/>
        <w:spacing w:line="360" w:lineRule="auto"/>
        <w:jc w:val="center"/>
        <w:rPr>
          <w:rFonts w:eastAsia="Calibri"/>
          <w:sz w:val="22"/>
          <w:szCs w:val="22"/>
          <w:lang w:val="es-ES" w:eastAsia="en-US"/>
        </w:rPr>
      </w:pPr>
      <w:r w:rsidRPr="00647A8E">
        <w:rPr>
          <w:rFonts w:eastAsia="Calibri"/>
          <w:b/>
          <w:sz w:val="22"/>
          <w:szCs w:val="22"/>
          <w:lang w:val="es-ES" w:eastAsia="en-US"/>
        </w:rPr>
        <w:t xml:space="preserve">Fig. 1- </w:t>
      </w:r>
      <w:r w:rsidRPr="00647A8E">
        <w:rPr>
          <w:rFonts w:eastAsia="Calibri"/>
          <w:sz w:val="22"/>
          <w:szCs w:val="22"/>
          <w:lang w:val="es-ES" w:eastAsia="en-US"/>
        </w:rPr>
        <w:t>Antecedentes patológicos personales más frecuentes.</w:t>
      </w:r>
    </w:p>
    <w:p w14:paraId="4E4B1139" w14:textId="77777777" w:rsidR="00647A8E" w:rsidRPr="00647A8E" w:rsidRDefault="00647A8E" w:rsidP="00647A8E">
      <w:pPr>
        <w:autoSpaceDE w:val="0"/>
        <w:autoSpaceDN w:val="0"/>
        <w:adjustRightInd w:val="0"/>
        <w:spacing w:line="360" w:lineRule="auto"/>
        <w:jc w:val="center"/>
        <w:rPr>
          <w:rFonts w:eastAsia="Calibri"/>
          <w:b/>
          <w:lang w:val="es-ES" w:eastAsia="en-US"/>
        </w:rPr>
      </w:pPr>
    </w:p>
    <w:p w14:paraId="30E08A6E"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 xml:space="preserve">En relación con el cumplimiento del esquema de vacunación, el 95,8 % recibió las 3 dosis planificadas; solo 9 sujetos interrumpieron la vacunación debido a enfermar con la COVID-19, contacto con casos positivos y enfermar de dengue (Fig. 2). </w:t>
      </w:r>
    </w:p>
    <w:p w14:paraId="312B65D2" w14:textId="77777777" w:rsidR="00647A8E" w:rsidRPr="00647A8E" w:rsidRDefault="00647A8E" w:rsidP="00647A8E">
      <w:pPr>
        <w:autoSpaceDE w:val="0"/>
        <w:autoSpaceDN w:val="0"/>
        <w:adjustRightInd w:val="0"/>
        <w:spacing w:line="360" w:lineRule="auto"/>
        <w:jc w:val="both"/>
        <w:rPr>
          <w:rFonts w:eastAsia="Calibri"/>
          <w:lang w:val="es-ES" w:eastAsia="en-US"/>
        </w:rPr>
      </w:pPr>
    </w:p>
    <w:p w14:paraId="68EDE42E" w14:textId="137FB7A4" w:rsidR="00647A8E" w:rsidRPr="00647A8E" w:rsidRDefault="00647A8E" w:rsidP="00647A8E">
      <w:pPr>
        <w:autoSpaceDE w:val="0"/>
        <w:autoSpaceDN w:val="0"/>
        <w:adjustRightInd w:val="0"/>
        <w:spacing w:line="360" w:lineRule="auto"/>
        <w:jc w:val="center"/>
        <w:rPr>
          <w:rFonts w:eastAsia="Calibri"/>
          <w:lang w:val="es-ES" w:eastAsia="en-US"/>
        </w:rPr>
      </w:pPr>
      <w:r w:rsidRPr="00647A8E">
        <w:rPr>
          <w:rFonts w:eastAsia="Calibri"/>
          <w:noProof/>
          <w:lang w:val="es-ES" w:eastAsia="en-US"/>
        </w:rPr>
        <w:drawing>
          <wp:inline distT="0" distB="0" distL="0" distR="0" wp14:anchorId="41DF2C02" wp14:editId="4DD22FC7">
            <wp:extent cx="5400675" cy="2276475"/>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675" cy="2276475"/>
                    </a:xfrm>
                    <a:prstGeom prst="rect">
                      <a:avLst/>
                    </a:prstGeom>
                    <a:noFill/>
                    <a:ln>
                      <a:noFill/>
                    </a:ln>
                  </pic:spPr>
                </pic:pic>
              </a:graphicData>
            </a:graphic>
          </wp:inline>
        </w:drawing>
      </w:r>
    </w:p>
    <w:p w14:paraId="0957B013" w14:textId="77777777" w:rsidR="00647A8E" w:rsidRPr="00647A8E" w:rsidRDefault="00647A8E" w:rsidP="00647A8E">
      <w:pPr>
        <w:spacing w:line="360" w:lineRule="auto"/>
        <w:jc w:val="center"/>
        <w:rPr>
          <w:rFonts w:eastAsia="+mn-ea"/>
          <w:bCs/>
          <w:color w:val="000000"/>
          <w:kern w:val="24"/>
          <w:sz w:val="22"/>
          <w:szCs w:val="22"/>
          <w:lang w:val="es-ES" w:eastAsia="en-US"/>
        </w:rPr>
      </w:pPr>
      <w:r w:rsidRPr="00647A8E">
        <w:rPr>
          <w:rFonts w:eastAsia="+mn-ea"/>
          <w:b/>
          <w:bCs/>
          <w:color w:val="000000"/>
          <w:kern w:val="24"/>
          <w:sz w:val="22"/>
          <w:szCs w:val="22"/>
          <w:lang w:val="es-ES" w:eastAsia="en-US"/>
        </w:rPr>
        <w:t xml:space="preserve">Fig. 2 – </w:t>
      </w:r>
      <w:r w:rsidRPr="00647A8E">
        <w:rPr>
          <w:rFonts w:eastAsia="+mn-ea"/>
          <w:bCs/>
          <w:color w:val="000000"/>
          <w:kern w:val="24"/>
          <w:sz w:val="22"/>
          <w:szCs w:val="22"/>
          <w:lang w:val="es-ES" w:eastAsia="en-US"/>
        </w:rPr>
        <w:t>Cumplimiento del esquema de vacunación.</w:t>
      </w:r>
    </w:p>
    <w:p w14:paraId="040A89F2" w14:textId="77777777" w:rsidR="00647A8E" w:rsidRPr="00647A8E" w:rsidRDefault="00647A8E" w:rsidP="00647A8E">
      <w:pPr>
        <w:spacing w:line="360" w:lineRule="auto"/>
        <w:jc w:val="center"/>
        <w:rPr>
          <w:rFonts w:eastAsia="+mn-ea"/>
          <w:bCs/>
          <w:color w:val="000000"/>
          <w:kern w:val="24"/>
          <w:sz w:val="22"/>
          <w:szCs w:val="22"/>
          <w:lang w:val="es-ES" w:eastAsia="en-US"/>
        </w:rPr>
      </w:pPr>
    </w:p>
    <w:p w14:paraId="235AAF81" w14:textId="77777777" w:rsidR="00647A8E" w:rsidRPr="00647A8E" w:rsidRDefault="00647A8E" w:rsidP="00647A8E">
      <w:pPr>
        <w:spacing w:line="360" w:lineRule="auto"/>
        <w:jc w:val="center"/>
        <w:rPr>
          <w:rFonts w:eastAsia="+mn-ea"/>
          <w:bCs/>
          <w:color w:val="000000"/>
          <w:kern w:val="24"/>
          <w:sz w:val="22"/>
          <w:szCs w:val="22"/>
          <w:lang w:val="es-ES" w:eastAsia="en-US"/>
        </w:rPr>
      </w:pPr>
    </w:p>
    <w:p w14:paraId="57B1BCD2" w14:textId="77777777" w:rsidR="006C12D1" w:rsidRDefault="006C12D1">
      <w:pPr>
        <w:rPr>
          <w:rFonts w:eastAsia="Calibri"/>
          <w:b/>
          <w:bCs/>
          <w:sz w:val="32"/>
          <w:szCs w:val="32"/>
          <w:lang w:val="es-ES" w:eastAsia="en-US"/>
        </w:rPr>
      </w:pPr>
      <w:r>
        <w:rPr>
          <w:rFonts w:eastAsia="Calibri"/>
          <w:b/>
          <w:bCs/>
          <w:sz w:val="32"/>
          <w:szCs w:val="32"/>
          <w:lang w:val="es-ES" w:eastAsia="en-US"/>
        </w:rPr>
        <w:br w:type="page"/>
      </w:r>
    </w:p>
    <w:p w14:paraId="690BB03E" w14:textId="0A1EB927" w:rsidR="00647A8E" w:rsidRPr="00647A8E" w:rsidRDefault="00647A8E" w:rsidP="00647A8E">
      <w:pPr>
        <w:autoSpaceDE w:val="0"/>
        <w:autoSpaceDN w:val="0"/>
        <w:adjustRightInd w:val="0"/>
        <w:spacing w:line="360" w:lineRule="auto"/>
        <w:jc w:val="center"/>
        <w:rPr>
          <w:rFonts w:eastAsia="Calibri"/>
          <w:b/>
          <w:bCs/>
          <w:sz w:val="32"/>
          <w:szCs w:val="32"/>
          <w:lang w:val="es-ES" w:eastAsia="en-US"/>
        </w:rPr>
      </w:pPr>
      <w:r w:rsidRPr="00647A8E">
        <w:rPr>
          <w:rFonts w:eastAsia="Calibri"/>
          <w:b/>
          <w:bCs/>
          <w:sz w:val="32"/>
          <w:szCs w:val="32"/>
          <w:lang w:val="es-ES" w:eastAsia="en-US"/>
        </w:rPr>
        <w:lastRenderedPageBreak/>
        <w:t>DISCUSIÓN</w:t>
      </w:r>
    </w:p>
    <w:p w14:paraId="00752633"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El estudio clínico se realizó durante la pandemia de la COVID-19 en Cuba, cuando se presentó un crecimiento exponencial de contagios, principalmente en adolescentes.</w:t>
      </w:r>
      <w:r w:rsidRPr="00647A8E">
        <w:rPr>
          <w:rFonts w:eastAsia="Calibri"/>
          <w:noProof/>
          <w:vertAlign w:val="superscript"/>
          <w:lang w:val="es-ES" w:eastAsia="en-US"/>
        </w:rPr>
        <w:t xml:space="preserve"> (11)</w:t>
      </w:r>
      <w:r w:rsidRPr="00647A8E">
        <w:rPr>
          <w:rFonts w:eastAsia="Calibri"/>
          <w:lang w:val="es-ES" w:eastAsia="en-US"/>
        </w:rPr>
        <w:t xml:space="preserve"> En la presente investigación, más de la cuarta parte de los incluidos (29,4 %) fueron adolescentes. </w:t>
      </w:r>
    </w:p>
    <w:p w14:paraId="294726AE"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 xml:space="preserve">Debe señalarse que las pruebas clínicas con vacunas anti-COVID-19 en edades pediátricas se iniciaron en adolescentes, precisamente por la creciente morbimortalidad durante el primer trimestre del año 2021 y la necesidad inminente de restaurar la estabilidad del sistema educativo, así como el impacto directo en la salud mental y emocional, para este grupo </w:t>
      </w:r>
      <w:proofErr w:type="gramStart"/>
      <w:r w:rsidRPr="00647A8E">
        <w:rPr>
          <w:rFonts w:eastAsia="Calibri"/>
          <w:lang w:val="es-ES" w:eastAsia="en-US"/>
        </w:rPr>
        <w:t>poblacional.</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18)</w:t>
      </w:r>
      <w:r w:rsidRPr="00647A8E">
        <w:rPr>
          <w:rFonts w:eastAsia="Calibri"/>
          <w:lang w:val="es-ES" w:eastAsia="en-US"/>
        </w:rPr>
        <w:t xml:space="preserve"> </w:t>
      </w:r>
    </w:p>
    <w:p w14:paraId="29A3A4E0" w14:textId="77777777" w:rsidR="00647A8E" w:rsidRPr="00647A8E" w:rsidRDefault="00647A8E" w:rsidP="00647A8E">
      <w:pPr>
        <w:autoSpaceDE w:val="0"/>
        <w:autoSpaceDN w:val="0"/>
        <w:adjustRightInd w:val="0"/>
        <w:spacing w:line="360" w:lineRule="auto"/>
        <w:jc w:val="both"/>
        <w:rPr>
          <w:rFonts w:eastAsia="Calibri"/>
          <w:color w:val="212121"/>
          <w:sz w:val="30"/>
          <w:szCs w:val="30"/>
          <w:shd w:val="clear" w:color="auto" w:fill="FFFFFF"/>
          <w:lang w:val="es-ES" w:eastAsia="en-US"/>
        </w:rPr>
      </w:pPr>
      <w:r w:rsidRPr="00647A8E">
        <w:rPr>
          <w:rFonts w:eastAsia="Calibri"/>
          <w:lang w:val="es-ES" w:eastAsia="en-US"/>
        </w:rPr>
        <w:t xml:space="preserve">La estrategia de desarrollo de las vacunas cubanas para la población pediátrica, se cumplió a partir de los resultados de seguridad y eficacia en adultos. Estudios previos, en adolescentes entre 12 y 18 años, permitió que se extendiera rápidamente a niños entre 3 y 11 </w:t>
      </w:r>
      <w:proofErr w:type="gramStart"/>
      <w:r w:rsidRPr="00647A8E">
        <w:rPr>
          <w:rFonts w:eastAsia="Calibri"/>
          <w:lang w:val="es-ES" w:eastAsia="en-US"/>
        </w:rPr>
        <w:t>años.</w:t>
      </w:r>
      <w:r w:rsidRPr="00647A8E">
        <w:rPr>
          <w:rFonts w:eastAsia="Calibri"/>
          <w:noProof/>
          <w:vertAlign w:val="superscript"/>
          <w:lang w:val="es-ES" w:eastAsia="en-US"/>
        </w:rPr>
        <w:t>(</w:t>
      </w:r>
      <w:proofErr w:type="gramEnd"/>
      <w:r w:rsidRPr="00647A8E">
        <w:rPr>
          <w:rFonts w:eastAsia="Calibri"/>
          <w:noProof/>
          <w:vertAlign w:val="superscript"/>
          <w:lang w:val="es-ES" w:eastAsia="en-US"/>
        </w:rPr>
        <w:t>19,20)</w:t>
      </w:r>
      <w:r w:rsidRPr="00647A8E">
        <w:rPr>
          <w:rFonts w:eastAsia="Calibri"/>
          <w:color w:val="212121"/>
          <w:sz w:val="30"/>
          <w:szCs w:val="30"/>
          <w:shd w:val="clear" w:color="auto" w:fill="FFFFFF"/>
          <w:lang w:val="es-ES" w:eastAsia="en-US"/>
        </w:rPr>
        <w:t xml:space="preserve"> </w:t>
      </w:r>
    </w:p>
    <w:p w14:paraId="387CCF98" w14:textId="77777777" w:rsidR="00647A8E" w:rsidRPr="00647A8E" w:rsidRDefault="00647A8E" w:rsidP="00647A8E">
      <w:pPr>
        <w:spacing w:line="360" w:lineRule="auto"/>
        <w:jc w:val="both"/>
        <w:rPr>
          <w:rFonts w:eastAsia="Calibri"/>
          <w:lang w:eastAsia="en-US"/>
        </w:rPr>
      </w:pPr>
      <w:r w:rsidRPr="00647A8E">
        <w:rPr>
          <w:rFonts w:eastAsia="Calibri"/>
          <w:lang w:eastAsia="en-US"/>
        </w:rPr>
        <w:t xml:space="preserve">En relación con el sexo de los sujetos incluidos, si bien se presenta un ligero predominio del sexo femenino sobre el masculino, no es de relevancia médica ni epidemiológica. Es de notar que en el Anuario Estadístico de Salud de 2021 del Ministerio de Salud Pública de </w:t>
      </w:r>
      <w:proofErr w:type="gramStart"/>
      <w:r w:rsidRPr="00647A8E">
        <w:rPr>
          <w:rFonts w:eastAsia="Calibri"/>
          <w:lang w:eastAsia="en-US"/>
        </w:rPr>
        <w:t>Cuba</w:t>
      </w:r>
      <w:r w:rsidRPr="00647A8E">
        <w:rPr>
          <w:rFonts w:eastAsia="Calibri"/>
          <w:vertAlign w:val="superscript"/>
          <w:lang w:eastAsia="en-US"/>
        </w:rPr>
        <w:t>(</w:t>
      </w:r>
      <w:proofErr w:type="gramEnd"/>
      <w:r w:rsidRPr="00647A8E">
        <w:rPr>
          <w:rFonts w:eastAsia="Calibri"/>
          <w:noProof/>
          <w:vertAlign w:val="superscript"/>
          <w:lang w:eastAsia="en-US"/>
        </w:rPr>
        <w:t>21)</w:t>
      </w:r>
      <w:r w:rsidRPr="00647A8E">
        <w:rPr>
          <w:rFonts w:eastAsia="Calibri"/>
          <w:lang w:eastAsia="en-US"/>
        </w:rPr>
        <w:t xml:space="preserve"> se refiere un predominio de varones en las edades entre 10 y 14 años y entre 15 y 19 años.</w:t>
      </w:r>
    </w:p>
    <w:p w14:paraId="2734CD0E" w14:textId="77777777" w:rsidR="00647A8E" w:rsidRPr="00647A8E" w:rsidRDefault="00647A8E" w:rsidP="00647A8E">
      <w:pPr>
        <w:spacing w:line="360" w:lineRule="auto"/>
        <w:jc w:val="both"/>
        <w:rPr>
          <w:rFonts w:eastAsia="Calibri"/>
          <w:color w:val="000000"/>
          <w:shd w:val="clear" w:color="auto" w:fill="FFFFFF"/>
          <w:lang w:val="es-ES" w:eastAsia="en-US"/>
        </w:rPr>
      </w:pPr>
      <w:r w:rsidRPr="00647A8E">
        <w:rPr>
          <w:rFonts w:eastAsia="Calibri"/>
          <w:color w:val="000000"/>
          <w:shd w:val="clear" w:color="auto" w:fill="FFFFFF"/>
          <w:lang w:val="es-ES" w:eastAsia="en-US"/>
        </w:rPr>
        <w:t xml:space="preserve">Referente al color de la piel, sobresalieron los individuos de piel blanca, seguido de mestizos y negros; lo cual es coherente con la proporción de color de la piel de la población </w:t>
      </w:r>
      <w:proofErr w:type="gramStart"/>
      <w:r w:rsidRPr="00647A8E">
        <w:rPr>
          <w:rFonts w:eastAsia="Calibri"/>
          <w:color w:val="000000"/>
          <w:shd w:val="clear" w:color="auto" w:fill="FFFFFF"/>
          <w:lang w:val="es-ES" w:eastAsia="en-US"/>
        </w:rPr>
        <w:t>cubana.</w:t>
      </w:r>
      <w:r w:rsidRPr="00647A8E">
        <w:rPr>
          <w:rFonts w:eastAsia="Calibri"/>
          <w:color w:val="000000"/>
          <w:shd w:val="clear" w:color="auto" w:fill="FFFFFF"/>
          <w:vertAlign w:val="superscript"/>
          <w:lang w:val="es-ES" w:eastAsia="en-US"/>
        </w:rPr>
        <w:t>(</w:t>
      </w:r>
      <w:proofErr w:type="gramEnd"/>
      <w:r w:rsidRPr="00647A8E">
        <w:rPr>
          <w:rFonts w:eastAsia="Calibri"/>
          <w:color w:val="000000"/>
          <w:shd w:val="clear" w:color="auto" w:fill="FFFFFF"/>
          <w:vertAlign w:val="superscript"/>
          <w:lang w:val="es-ES" w:eastAsia="en-US"/>
        </w:rPr>
        <w:t>21)</w:t>
      </w:r>
      <w:r w:rsidRPr="00647A8E">
        <w:rPr>
          <w:rFonts w:eastAsia="Calibri"/>
          <w:color w:val="000000"/>
          <w:shd w:val="clear" w:color="auto" w:fill="FFFFFF"/>
          <w:lang w:val="es-ES" w:eastAsia="en-US"/>
        </w:rPr>
        <w:t xml:space="preserve"> </w:t>
      </w:r>
      <w:r w:rsidRPr="00647A8E">
        <w:rPr>
          <w:rFonts w:eastAsia="Calibri"/>
          <w:i/>
          <w:color w:val="000000"/>
          <w:shd w:val="clear" w:color="auto" w:fill="FFFFFF"/>
          <w:lang w:val="es-ES" w:eastAsia="en-US"/>
        </w:rPr>
        <w:t>Ustáriz</w:t>
      </w:r>
      <w:r w:rsidRPr="00647A8E">
        <w:rPr>
          <w:rFonts w:eastAsia="Calibri"/>
          <w:color w:val="000000"/>
          <w:shd w:val="clear" w:color="auto" w:fill="FFFFFF"/>
          <w:lang w:val="es-ES" w:eastAsia="en-US"/>
        </w:rPr>
        <w:t xml:space="preserve"> y otros,</w:t>
      </w:r>
      <w:r w:rsidRPr="00647A8E">
        <w:rPr>
          <w:rFonts w:eastAsia="Calibri"/>
          <w:noProof/>
          <w:color w:val="000000"/>
          <w:shd w:val="clear" w:color="auto" w:fill="FFFFFF"/>
          <w:vertAlign w:val="superscript"/>
          <w:lang w:val="es-ES" w:eastAsia="en-US"/>
        </w:rPr>
        <w:t>(22)</w:t>
      </w:r>
      <w:r w:rsidRPr="00647A8E">
        <w:rPr>
          <w:rFonts w:eastAsia="Calibri"/>
          <w:color w:val="000000"/>
          <w:shd w:val="clear" w:color="auto" w:fill="FFFFFF"/>
          <w:lang w:val="es-ES" w:eastAsia="en-US"/>
        </w:rPr>
        <w:t xml:space="preserve"> en una investigación sobre el origen y composición genética de la población cubana, demuestran, a través de marcadores bioquímicos y moleculares, la mezcla étnica de la población cubana. </w:t>
      </w:r>
    </w:p>
    <w:p w14:paraId="2FAB512D" w14:textId="77777777" w:rsidR="00647A8E" w:rsidRPr="00647A8E" w:rsidRDefault="00647A8E" w:rsidP="00647A8E">
      <w:pPr>
        <w:spacing w:line="360" w:lineRule="auto"/>
        <w:jc w:val="both"/>
        <w:rPr>
          <w:rFonts w:eastAsia="Calibri"/>
          <w:strike/>
          <w:vertAlign w:val="superscript"/>
          <w:lang w:eastAsia="en-US"/>
        </w:rPr>
      </w:pPr>
      <w:r w:rsidRPr="00647A8E">
        <w:rPr>
          <w:rFonts w:eastAsia="Calibri"/>
          <w:color w:val="000000"/>
          <w:shd w:val="clear" w:color="auto" w:fill="FFFFFF"/>
          <w:lang w:val="es-ES" w:eastAsia="en-US"/>
        </w:rPr>
        <w:t xml:space="preserve">Todos los sujetos tuvieron una evaluación nutricional adecuada, lo cual evita el sesgo relacionado con una respuesta inmunológica deficiente. Cerca de la mitad de los individuos incluidos se clasificaron por encima del percentil 75 y hasta el 90. Este resultado presupone </w:t>
      </w:r>
      <w:r w:rsidRPr="00647A8E">
        <w:rPr>
          <w:rFonts w:eastAsia="Calibri"/>
          <w:lang w:eastAsia="en-US"/>
        </w:rPr>
        <w:t xml:space="preserve">la tendencia a la malnutrición por exceso, más acentuada en el tiempo de confinamiento por la pandemia de la COVID-19, condición que </w:t>
      </w:r>
      <w:r w:rsidRPr="00647A8E">
        <w:rPr>
          <w:rFonts w:eastAsia="Calibri"/>
          <w:i/>
          <w:lang w:eastAsia="en-US"/>
        </w:rPr>
        <w:t>Gálvez</w:t>
      </w:r>
      <w:r w:rsidRPr="00647A8E">
        <w:rPr>
          <w:rFonts w:eastAsia="Calibri"/>
          <w:lang w:eastAsia="en-US"/>
        </w:rPr>
        <w:t xml:space="preserve"> y </w:t>
      </w:r>
      <w:proofErr w:type="gramStart"/>
      <w:r w:rsidRPr="00647A8E">
        <w:rPr>
          <w:rFonts w:eastAsia="Calibri"/>
          <w:lang w:eastAsia="en-US"/>
        </w:rPr>
        <w:t>otros,</w:t>
      </w:r>
      <w:r w:rsidRPr="00647A8E">
        <w:rPr>
          <w:rFonts w:eastAsia="Calibri"/>
          <w:vertAlign w:val="superscript"/>
          <w:lang w:eastAsia="en-US"/>
        </w:rPr>
        <w:t>(</w:t>
      </w:r>
      <w:proofErr w:type="gramEnd"/>
      <w:r w:rsidRPr="00647A8E">
        <w:rPr>
          <w:rFonts w:eastAsia="Calibri"/>
          <w:vertAlign w:val="superscript"/>
          <w:lang w:eastAsia="en-US"/>
        </w:rPr>
        <w:t>23)</w:t>
      </w:r>
      <w:r w:rsidRPr="00647A8E">
        <w:rPr>
          <w:rFonts w:eastAsia="Calibri"/>
          <w:color w:val="000000"/>
          <w:shd w:val="clear" w:color="auto" w:fill="FFFFFF"/>
          <w:lang w:val="es-ES" w:eastAsia="en-US"/>
        </w:rPr>
        <w:t xml:space="preserve"> reportan en 2019, </w:t>
      </w:r>
      <w:r w:rsidRPr="00647A8E">
        <w:rPr>
          <w:rFonts w:eastAsia="Calibri"/>
          <w:lang w:eastAsia="en-US"/>
        </w:rPr>
        <w:t xml:space="preserve">sobe el sobrepeso y obesidad en </w:t>
      </w:r>
      <w:r w:rsidRPr="00647A8E">
        <w:rPr>
          <w:rFonts w:eastAsia="Calibri"/>
          <w:color w:val="000000"/>
          <w:lang w:val="es-ES" w:eastAsia="en-US"/>
        </w:rPr>
        <w:t xml:space="preserve">escolares de La Habana. </w:t>
      </w:r>
      <w:r w:rsidRPr="00647A8E">
        <w:rPr>
          <w:rFonts w:eastAsia="Calibri"/>
          <w:color w:val="000000"/>
          <w:shd w:val="clear" w:color="auto" w:fill="FFFFFF"/>
          <w:lang w:val="es-ES" w:eastAsia="en-US"/>
        </w:rPr>
        <w:t>Se conoce que el estado nutricional tiene una relación directa con la respuesta inmune innata y adaptativa y l</w:t>
      </w:r>
      <w:r w:rsidRPr="00647A8E">
        <w:rPr>
          <w:rFonts w:eastAsia="Calibri"/>
          <w:lang w:eastAsia="en-US"/>
        </w:rPr>
        <w:t xml:space="preserve">os individuos con sobrepeso u obesidad, son más susceptibles a las infecciones y presentan una respuesta inflamatoria metabólica, que a su vez, interfiere en una adecuada respuesta inmune frente a las </w:t>
      </w:r>
      <w:proofErr w:type="gramStart"/>
      <w:r w:rsidRPr="00647A8E">
        <w:rPr>
          <w:rFonts w:eastAsia="Calibri"/>
          <w:lang w:eastAsia="en-US"/>
        </w:rPr>
        <w:t>vacunas.</w:t>
      </w:r>
      <w:r w:rsidRPr="00647A8E">
        <w:rPr>
          <w:rFonts w:eastAsia="Calibri"/>
          <w:noProof/>
          <w:vertAlign w:val="superscript"/>
          <w:lang w:eastAsia="en-US"/>
        </w:rPr>
        <w:t>(</w:t>
      </w:r>
      <w:proofErr w:type="gramEnd"/>
      <w:r w:rsidRPr="00647A8E">
        <w:rPr>
          <w:rFonts w:eastAsia="Calibri"/>
          <w:noProof/>
          <w:vertAlign w:val="superscript"/>
          <w:lang w:eastAsia="en-US"/>
        </w:rPr>
        <w:t>24)</w:t>
      </w:r>
    </w:p>
    <w:p w14:paraId="5A5602F0" w14:textId="77777777" w:rsidR="00647A8E" w:rsidRPr="00647A8E" w:rsidRDefault="00647A8E" w:rsidP="00647A8E">
      <w:pPr>
        <w:autoSpaceDE w:val="0"/>
        <w:autoSpaceDN w:val="0"/>
        <w:adjustRightInd w:val="0"/>
        <w:spacing w:line="360" w:lineRule="auto"/>
        <w:jc w:val="both"/>
        <w:rPr>
          <w:rFonts w:eastAsia="Calibri"/>
          <w:color w:val="000000"/>
          <w:lang w:eastAsia="en-US"/>
        </w:rPr>
      </w:pPr>
      <w:r w:rsidRPr="00647A8E">
        <w:rPr>
          <w:rFonts w:eastAsia="Calibri"/>
          <w:color w:val="000000"/>
          <w:lang w:eastAsia="en-US"/>
        </w:rPr>
        <w:lastRenderedPageBreak/>
        <w:t xml:space="preserve">Respecto a los hábitos tóxicos reportados, se identificaron porcentajes más bajos que los descritos por </w:t>
      </w:r>
      <w:r w:rsidRPr="00647A8E">
        <w:rPr>
          <w:rFonts w:eastAsia="Calibri"/>
          <w:i/>
          <w:color w:val="000000"/>
          <w:lang w:eastAsia="en-US"/>
        </w:rPr>
        <w:t>Zambrano</w:t>
      </w:r>
      <w:r w:rsidRPr="00647A8E">
        <w:rPr>
          <w:rFonts w:eastAsia="Calibri"/>
          <w:color w:val="000000"/>
          <w:lang w:eastAsia="en-US"/>
        </w:rPr>
        <w:t xml:space="preserve"> y </w:t>
      </w:r>
      <w:proofErr w:type="gramStart"/>
      <w:r w:rsidRPr="00647A8E">
        <w:rPr>
          <w:rFonts w:eastAsia="Calibri"/>
          <w:color w:val="000000"/>
          <w:lang w:eastAsia="en-US"/>
        </w:rPr>
        <w:t>otros</w:t>
      </w:r>
      <w:r w:rsidRPr="00647A8E">
        <w:rPr>
          <w:rFonts w:eastAsia="Calibri"/>
          <w:noProof/>
          <w:color w:val="000000"/>
          <w:vertAlign w:val="superscript"/>
          <w:lang w:eastAsia="en-US"/>
        </w:rPr>
        <w:t>(</w:t>
      </w:r>
      <w:proofErr w:type="gramEnd"/>
      <w:r w:rsidRPr="00647A8E">
        <w:rPr>
          <w:rFonts w:eastAsia="Calibri"/>
          <w:noProof/>
          <w:color w:val="000000"/>
          <w:vertAlign w:val="superscript"/>
          <w:lang w:eastAsia="en-US"/>
        </w:rPr>
        <w:t>25)</w:t>
      </w:r>
      <w:r w:rsidRPr="00647A8E">
        <w:rPr>
          <w:rFonts w:eastAsia="Calibri"/>
          <w:color w:val="000000"/>
          <w:vertAlign w:val="superscript"/>
          <w:lang w:eastAsia="en-US"/>
        </w:rPr>
        <w:t xml:space="preserve"> </w:t>
      </w:r>
      <w:r w:rsidRPr="00647A8E">
        <w:rPr>
          <w:rFonts w:eastAsia="Calibri"/>
          <w:color w:val="000000"/>
          <w:lang w:eastAsia="en-US"/>
        </w:rPr>
        <w:t>durante la pandemia en Ecuador. Estos autores refieren un incremento de un 50 % de la ingestión de alcohol y del 20 % de consumo del tabaco.</w:t>
      </w:r>
      <w:r w:rsidRPr="00647A8E">
        <w:rPr>
          <w:rFonts w:eastAsia="Calibri"/>
          <w:color w:val="000000"/>
          <w:vertAlign w:val="superscript"/>
          <w:lang w:eastAsia="en-US"/>
        </w:rPr>
        <w:t xml:space="preserve"> </w:t>
      </w:r>
      <w:r w:rsidRPr="00647A8E">
        <w:rPr>
          <w:rFonts w:eastAsia="Calibri"/>
          <w:color w:val="000000"/>
          <w:lang w:eastAsia="en-US"/>
        </w:rPr>
        <w:t xml:space="preserve">Los contrastes entre países pudieran justificarse por las acciones de promoción y prevención de salud sobre los hábitos tóxicos realizados con los adolescentes en </w:t>
      </w:r>
      <w:proofErr w:type="gramStart"/>
      <w:r w:rsidRPr="00647A8E">
        <w:rPr>
          <w:rFonts w:eastAsia="Calibri"/>
          <w:color w:val="000000"/>
          <w:lang w:eastAsia="en-US"/>
        </w:rPr>
        <w:t>Cuba.</w:t>
      </w:r>
      <w:r w:rsidRPr="00647A8E">
        <w:rPr>
          <w:rFonts w:eastAsia="Calibri"/>
          <w:noProof/>
          <w:color w:val="000000"/>
          <w:vertAlign w:val="superscript"/>
          <w:lang w:eastAsia="en-US"/>
        </w:rPr>
        <w:t>(</w:t>
      </w:r>
      <w:proofErr w:type="gramEnd"/>
      <w:r w:rsidRPr="00647A8E">
        <w:rPr>
          <w:rFonts w:eastAsia="Calibri"/>
          <w:noProof/>
          <w:color w:val="000000"/>
          <w:vertAlign w:val="superscript"/>
          <w:lang w:eastAsia="en-US"/>
        </w:rPr>
        <w:t>26)</w:t>
      </w:r>
    </w:p>
    <w:p w14:paraId="30BB97FE" w14:textId="77777777" w:rsidR="00647A8E" w:rsidRPr="00647A8E" w:rsidRDefault="00647A8E" w:rsidP="00647A8E">
      <w:pPr>
        <w:autoSpaceDE w:val="0"/>
        <w:autoSpaceDN w:val="0"/>
        <w:adjustRightInd w:val="0"/>
        <w:spacing w:line="360" w:lineRule="auto"/>
        <w:jc w:val="both"/>
        <w:rPr>
          <w:rFonts w:eastAsia="Calibri"/>
          <w:color w:val="222222"/>
          <w:shd w:val="clear" w:color="auto" w:fill="FFFFFF"/>
          <w:vertAlign w:val="superscript"/>
          <w:lang w:val="es-ES" w:eastAsia="en-US"/>
        </w:rPr>
      </w:pPr>
      <w:r w:rsidRPr="00647A8E">
        <w:rPr>
          <w:rFonts w:eastAsia="Calibri"/>
          <w:color w:val="000000"/>
          <w:lang w:eastAsia="en-US"/>
        </w:rPr>
        <w:t>El asma y otras alergias se presentaron como los antecedentes patológicos más comunes; esto coincide con los datos mundiales, en los que se reconoce al asma bronquial como la enfermedad crónica más frecuente en los niños, con un comportamiento variable entre regiones: en el sudeste asiático, América del Norte y América Latina hay mayor prevalencia.</w:t>
      </w:r>
      <w:r w:rsidRPr="00647A8E">
        <w:rPr>
          <w:rFonts w:eastAsia="Calibri"/>
          <w:noProof/>
          <w:color w:val="000000"/>
          <w:vertAlign w:val="superscript"/>
          <w:lang w:eastAsia="en-US"/>
        </w:rPr>
        <w:t>(27)</w:t>
      </w:r>
      <w:r w:rsidRPr="00647A8E">
        <w:rPr>
          <w:rFonts w:eastAsia="Calibri"/>
          <w:color w:val="000000"/>
          <w:lang w:eastAsia="en-US"/>
        </w:rPr>
        <w:t xml:space="preserve"> En Cuba, La Habana es una de las provincias de mayor prevalencia de asma bronquial,</w:t>
      </w:r>
      <w:r w:rsidRPr="00647A8E">
        <w:rPr>
          <w:rFonts w:eastAsia="Calibri"/>
          <w:color w:val="000000"/>
          <w:lang w:val="es-ES" w:eastAsia="en-US"/>
        </w:rPr>
        <w:t xml:space="preserve"> principalmente en los grupos etarios entre 10 y 14 años (151,1 x 1000 habitantes) y entre 15 a 18 años (165,5 x 1000 habitantes).</w:t>
      </w:r>
      <w:r w:rsidRPr="00647A8E">
        <w:rPr>
          <w:rFonts w:eastAsia="Calibri"/>
          <w:color w:val="000000"/>
          <w:vertAlign w:val="superscript"/>
          <w:lang w:val="es-ES" w:eastAsia="en-US"/>
        </w:rPr>
        <w:t xml:space="preserve"> </w:t>
      </w:r>
      <w:r w:rsidRPr="00647A8E">
        <w:rPr>
          <w:rFonts w:eastAsia="Calibri"/>
          <w:noProof/>
          <w:color w:val="000000"/>
          <w:vertAlign w:val="superscript"/>
          <w:lang w:val="es-ES" w:eastAsia="en-US"/>
        </w:rPr>
        <w:t>(21)</w:t>
      </w:r>
    </w:p>
    <w:p w14:paraId="27C2A6D8"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 xml:space="preserve">El cumplimiento del esquema de vacunación se considera óptimo. Esto sugiere que el esquema propuesto es admisible para esta población pediátrica, lo cual debe fundamentarse con los datos de seguridad e inmunogenicidad protectora, fuera del alcance de este artículo. </w:t>
      </w:r>
    </w:p>
    <w:p w14:paraId="71876F74" w14:textId="77777777" w:rsidR="00647A8E" w:rsidRPr="00647A8E" w:rsidRDefault="00647A8E" w:rsidP="00647A8E">
      <w:pPr>
        <w:autoSpaceDE w:val="0"/>
        <w:autoSpaceDN w:val="0"/>
        <w:adjustRightInd w:val="0"/>
        <w:spacing w:line="360" w:lineRule="auto"/>
        <w:jc w:val="both"/>
        <w:rPr>
          <w:rFonts w:eastAsia="Calibri"/>
          <w:lang w:val="es-ES" w:eastAsia="en-US"/>
        </w:rPr>
      </w:pPr>
      <w:r w:rsidRPr="00647A8E">
        <w:rPr>
          <w:rFonts w:eastAsia="Calibri"/>
          <w:lang w:val="es-ES" w:eastAsia="en-US"/>
        </w:rPr>
        <w:t>Se concluye que las características sociodemográficas, los antecedentes patológicos personales y hábitos tóxicos identificados en los adolescentes incluidos en el estudio son representativos de este grupo poblacional de Cuba. El cumplimiento del esquema de vacunación fue óptimo.</w:t>
      </w:r>
    </w:p>
    <w:p w14:paraId="73CB9DD0" w14:textId="77777777" w:rsidR="00647A8E" w:rsidRPr="00647A8E" w:rsidRDefault="00647A8E" w:rsidP="00647A8E">
      <w:pPr>
        <w:autoSpaceDE w:val="0"/>
        <w:autoSpaceDN w:val="0"/>
        <w:adjustRightInd w:val="0"/>
        <w:spacing w:line="360" w:lineRule="auto"/>
        <w:jc w:val="both"/>
        <w:rPr>
          <w:rFonts w:eastAsia="Calibri"/>
          <w:lang w:val="es-ES" w:eastAsia="en-US"/>
        </w:rPr>
      </w:pPr>
    </w:p>
    <w:p w14:paraId="65722B52" w14:textId="77777777" w:rsidR="00647A8E" w:rsidRPr="00647A8E" w:rsidRDefault="00647A8E" w:rsidP="00647A8E">
      <w:pPr>
        <w:autoSpaceDE w:val="0"/>
        <w:autoSpaceDN w:val="0"/>
        <w:adjustRightInd w:val="0"/>
        <w:spacing w:line="360" w:lineRule="auto"/>
        <w:jc w:val="both"/>
        <w:rPr>
          <w:rFonts w:eastAsia="Calibri"/>
          <w:lang w:val="es-ES" w:eastAsia="en-US"/>
        </w:rPr>
      </w:pPr>
    </w:p>
    <w:p w14:paraId="67F4E53E" w14:textId="77777777" w:rsidR="00647A8E" w:rsidRPr="00647A8E" w:rsidRDefault="00647A8E" w:rsidP="00647A8E">
      <w:pPr>
        <w:spacing w:line="360" w:lineRule="auto"/>
        <w:jc w:val="center"/>
        <w:rPr>
          <w:rFonts w:eastAsia="Calibri"/>
          <w:b/>
          <w:bCs/>
          <w:sz w:val="32"/>
          <w:szCs w:val="32"/>
          <w:lang w:val="es-CU" w:eastAsia="en-US"/>
        </w:rPr>
      </w:pPr>
      <w:bookmarkStart w:id="9" w:name="_Hlk127696782"/>
      <w:r w:rsidRPr="00647A8E">
        <w:rPr>
          <w:rFonts w:eastAsia="Calibri"/>
          <w:b/>
          <w:bCs/>
          <w:sz w:val="32"/>
          <w:szCs w:val="32"/>
          <w:lang w:val="es-CU" w:eastAsia="en-US"/>
        </w:rPr>
        <w:t>REFERENCIAS BIBLIOGRÁFICAS</w:t>
      </w:r>
    </w:p>
    <w:p w14:paraId="390B706A" w14:textId="77777777" w:rsidR="00647A8E" w:rsidRPr="00647A8E" w:rsidRDefault="00647A8E" w:rsidP="00647A8E">
      <w:pPr>
        <w:spacing w:line="360" w:lineRule="auto"/>
        <w:rPr>
          <w:rFonts w:eastAsia="Calibri"/>
          <w:noProof/>
          <w:lang w:val="en-US" w:eastAsia="en-US"/>
        </w:rPr>
      </w:pPr>
      <w:r w:rsidRPr="00647A8E">
        <w:rPr>
          <w:rFonts w:eastAsia="Calibri"/>
          <w:noProof/>
          <w:lang w:val="es-CU" w:eastAsia="en-US"/>
        </w:rPr>
        <w:t xml:space="preserve">1. Zhu N, Zhang D, Wang W, Li X, Yang B, Song J, et al. </w:t>
      </w:r>
      <w:r w:rsidRPr="00647A8E">
        <w:rPr>
          <w:rFonts w:eastAsia="Calibri"/>
          <w:noProof/>
          <w:lang w:val="en-US" w:eastAsia="en-US"/>
        </w:rPr>
        <w:t>A Novel Coronavirus from Patients with Pneumonia in China 2019. N Engl J Med. 2020; 382(8):727-33. DOI: 10.1056/NEJMoa2001017</w:t>
      </w:r>
    </w:p>
    <w:p w14:paraId="06E453C6" w14:textId="77777777" w:rsidR="00647A8E" w:rsidRPr="00647A8E" w:rsidRDefault="00647A8E" w:rsidP="00647A8E">
      <w:pPr>
        <w:spacing w:line="360" w:lineRule="auto"/>
        <w:rPr>
          <w:rFonts w:eastAsia="Calibri"/>
          <w:noProof/>
          <w:lang w:val="es-CU" w:eastAsia="en-US"/>
        </w:rPr>
      </w:pPr>
      <w:r w:rsidRPr="00647A8E">
        <w:rPr>
          <w:rFonts w:eastAsia="Calibri"/>
          <w:noProof/>
          <w:lang w:val="en-US" w:eastAsia="en-US"/>
        </w:rPr>
        <w:t xml:space="preserve">2. Huang C, Wang Y, Li X, Ren L, Zhao J, Hu Y, et al. Clinical features of patients infected with 2019 novel coronavirus in Wuhan, China. </w:t>
      </w:r>
      <w:r w:rsidRPr="00647A8E">
        <w:rPr>
          <w:rFonts w:eastAsia="Calibri"/>
          <w:noProof/>
          <w:lang w:val="es-CU" w:eastAsia="en-US"/>
        </w:rPr>
        <w:t xml:space="preserve">The Lancet Neurology. 2020 [acceso: 28/02/ 2023]; 395(10223):497-506. Disponible en:  </w:t>
      </w:r>
      <w:hyperlink r:id="rId25" w:history="1">
        <w:r w:rsidRPr="00647A8E">
          <w:rPr>
            <w:rFonts w:eastAsia="Calibri"/>
            <w:noProof/>
            <w:color w:val="0563C1"/>
            <w:lang w:val="es-CU" w:eastAsia="en-US"/>
          </w:rPr>
          <w:t>https://www.thelancet.com/article/S0140-6736(20)30183-5/fulltext</w:t>
        </w:r>
      </w:hyperlink>
      <w:r w:rsidRPr="00647A8E">
        <w:rPr>
          <w:rFonts w:eastAsia="Calibri"/>
          <w:noProof/>
          <w:lang w:val="es-CU" w:eastAsia="en-US"/>
        </w:rPr>
        <w:t xml:space="preserve"> </w:t>
      </w:r>
    </w:p>
    <w:p w14:paraId="006E8E6D"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lastRenderedPageBreak/>
        <w:t>3. Pulcha-Ugarte R, Pizarro Lau M, Gastelo Acosta R,Maguiña Vargas C.¿Qué lecciones nos dejará el covid-19?: Historia de los nuevos coronavirus. Revista de la Sociedad Peruana de Medicina Interna. 2020 [acceso: 28/02/ 2023]; 33(2):68-76. DOI: 10.36393/spmi.v33i2.523</w:t>
      </w:r>
    </w:p>
    <w:p w14:paraId="2C5AA79E" w14:textId="77777777" w:rsidR="00647A8E" w:rsidRPr="00647A8E" w:rsidRDefault="00647A8E" w:rsidP="00647A8E">
      <w:pPr>
        <w:spacing w:line="360" w:lineRule="auto"/>
        <w:rPr>
          <w:rFonts w:eastAsia="Calibri"/>
          <w:noProof/>
          <w:lang w:val="es-CU" w:eastAsia="en-US"/>
        </w:rPr>
      </w:pPr>
      <w:r w:rsidRPr="00647A8E">
        <w:rPr>
          <w:rFonts w:eastAsia="Calibri"/>
          <w:noProof/>
          <w:lang w:val="en-US" w:eastAsia="en-US"/>
        </w:rPr>
        <w:t xml:space="preserve">4. Eastin C, Eastin T. Epidemiological characteristics of 2143 pediatric patients with 2019 coronavirus disease in China: Dong Y, Mo X, Hu Y, et al. </w:t>
      </w:r>
      <w:r w:rsidRPr="00647A8E">
        <w:rPr>
          <w:rFonts w:eastAsia="Calibri"/>
          <w:noProof/>
          <w:lang w:val="es-CU" w:eastAsia="en-US"/>
        </w:rPr>
        <w:t>Pediatrics. 2020. Journal of Emergency Medicine. 2020; 58(4):712-13. DOI: 10.1016/j.jemermed.2020.04.006</w:t>
      </w:r>
    </w:p>
    <w:p w14:paraId="2CDD1ED5"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5. Díaz Colina JA, Interian Morales MT, López Hernández IC, Yanes Morales CD, Peregrín Baquero D. Aspectos clínico-epidemiológicos en 36 niños cubanos con COVID-19 Rev Cubana Pediatr. 2020 [acceso: 28/02/2023]; 92(1):e1261. Disponible en:  </w:t>
      </w:r>
      <w:hyperlink r:id="rId26" w:history="1">
        <w:r w:rsidRPr="00647A8E">
          <w:rPr>
            <w:rFonts w:eastAsia="Calibri"/>
            <w:noProof/>
            <w:color w:val="0563C1"/>
            <w:lang w:val="es-CU" w:eastAsia="en-US"/>
          </w:rPr>
          <w:t>http://scielo.sld.cu/scielo.php?script=sci_arttext&amp;pid=S0034-75312020000500004&amp;nrm=iso</w:t>
        </w:r>
      </w:hyperlink>
      <w:r w:rsidRPr="00647A8E">
        <w:rPr>
          <w:rFonts w:eastAsia="Calibri"/>
          <w:noProof/>
          <w:lang w:val="es-CU" w:eastAsia="en-US"/>
        </w:rPr>
        <w:t xml:space="preserve"> </w:t>
      </w:r>
    </w:p>
    <w:p w14:paraId="39F4ACD4"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6. Cabrera Solís L, Zamora Torres A, Guerreiro Núñez MC, Alvariño Calderón D, Suárez Gómez M, Bello Arcia J, et al. Caracterización clínico-epidemiológica de 77 niños y adolescentes infectados por el coronavirus SARS-CoV-2 Rev Cubana Pediatr. 2021 [acceso: 28/02/2023]; 93(1):e1282. Disponible en:  </w:t>
      </w:r>
      <w:hyperlink r:id="rId27" w:history="1">
        <w:r w:rsidRPr="00647A8E">
          <w:rPr>
            <w:rFonts w:eastAsia="Calibri"/>
            <w:noProof/>
            <w:color w:val="0563C1"/>
            <w:lang w:val="es-CU" w:eastAsia="en-US"/>
          </w:rPr>
          <w:t>http://scielo.sld.cu/scielo.php?script=sci_arttext&amp;pid=S0034-75312021000100009&amp;nrm=iso</w:t>
        </w:r>
      </w:hyperlink>
      <w:r w:rsidRPr="00647A8E">
        <w:rPr>
          <w:rFonts w:eastAsia="Calibri"/>
          <w:noProof/>
          <w:lang w:val="es-CU" w:eastAsia="en-US"/>
        </w:rPr>
        <w:t xml:space="preserve"> </w:t>
      </w:r>
    </w:p>
    <w:p w14:paraId="7A97223B"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7. Bravo Ramírez M, Morales Peralta E, Zúñiga Rosales Y, Roblejo Balbuena H, González Torres MdlÁ, Álvarez Gavilán Y, et al. Primer brote de COVID-19 en pacientes pediátricos cubanos. Rev Cubana Pediatr. 2021 [acceso: 28/02/2023]; 93(1):e1514. Disponible en:  </w:t>
      </w:r>
      <w:hyperlink r:id="rId28" w:history="1">
        <w:r w:rsidRPr="00647A8E">
          <w:rPr>
            <w:rFonts w:eastAsia="Calibri"/>
            <w:noProof/>
            <w:color w:val="0563C1"/>
            <w:lang w:val="es-CU" w:eastAsia="en-US"/>
          </w:rPr>
          <w:t>http://scielo.sld.cu/scielo.php?script=sci_arttext&amp;pid=S0034-75312021000500002&amp;nrm=iso</w:t>
        </w:r>
      </w:hyperlink>
      <w:r w:rsidRPr="00647A8E">
        <w:rPr>
          <w:rFonts w:eastAsia="Calibri"/>
          <w:noProof/>
          <w:lang w:val="es-CU" w:eastAsia="en-US"/>
        </w:rPr>
        <w:t xml:space="preserve"> </w:t>
      </w:r>
    </w:p>
    <w:p w14:paraId="13093875" w14:textId="77777777" w:rsidR="00647A8E" w:rsidRPr="00647A8E" w:rsidRDefault="00647A8E" w:rsidP="00647A8E">
      <w:pPr>
        <w:spacing w:line="360" w:lineRule="auto"/>
        <w:rPr>
          <w:rFonts w:eastAsia="Calibri"/>
          <w:noProof/>
          <w:lang w:val="en-US" w:eastAsia="en-US"/>
        </w:rPr>
      </w:pPr>
      <w:r w:rsidRPr="00647A8E">
        <w:rPr>
          <w:rFonts w:eastAsia="Calibri"/>
          <w:noProof/>
          <w:lang w:val="en-US" w:eastAsia="en-US"/>
        </w:rPr>
        <w:t>8. Amir Singh J, Siddiqi M, Parameshwar P, Chandra-Mouli V. World Health Organization Guidance on Ethical Considerations in Planning and Reviewing Research Studies on Sexual and Reproductive Health in Adolescents. The Journal of adolescent health. 2019; 64(4):427-29. DOI: 10.1016/j.jadohealth.2019.01.008</w:t>
      </w:r>
    </w:p>
    <w:p w14:paraId="63C7A044" w14:textId="77777777" w:rsidR="00647A8E" w:rsidRPr="00647A8E" w:rsidRDefault="00647A8E" w:rsidP="00647A8E">
      <w:pPr>
        <w:spacing w:line="360" w:lineRule="auto"/>
        <w:rPr>
          <w:rFonts w:eastAsia="Calibri"/>
          <w:noProof/>
          <w:lang w:val="en-US" w:eastAsia="en-US"/>
        </w:rPr>
      </w:pPr>
      <w:r w:rsidRPr="00647A8E">
        <w:rPr>
          <w:rFonts w:eastAsia="Calibri"/>
          <w:noProof/>
          <w:lang w:val="en-US" w:eastAsia="en-US"/>
        </w:rPr>
        <w:t xml:space="preserve">9. Sharma M, Idele P, Manzini A, Aladro C, Ipince A, Olsson G, et al. Life in Lockdown: Child and Adolescent Mental Health and Well-Being in the Time of COVID-19. Italy, Florence: UNICEF Office of Research-Innocenti; 2021 [acceso: 20/03/2023]. Disponible en: </w:t>
      </w:r>
      <w:hyperlink r:id="rId29" w:history="1">
        <w:r w:rsidRPr="00647A8E">
          <w:rPr>
            <w:rFonts w:eastAsia="Calibri"/>
            <w:noProof/>
            <w:color w:val="0563C1"/>
            <w:lang w:val="en-US" w:eastAsia="en-US"/>
          </w:rPr>
          <w:t>https://eric.ed.gov/?id=ED615551</w:t>
        </w:r>
      </w:hyperlink>
      <w:r w:rsidRPr="00647A8E">
        <w:rPr>
          <w:rFonts w:eastAsia="Calibri"/>
          <w:noProof/>
          <w:lang w:val="en-US" w:eastAsia="en-US"/>
        </w:rPr>
        <w:t xml:space="preserve"> </w:t>
      </w:r>
    </w:p>
    <w:p w14:paraId="7C5C40A5"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10. Bolaños ADR, Guachavez JLC, Bolaños EF Percepción de riesgo frente al Covid-19 en adolescentes escolarizados colombianos. Revista Boletín Redipe. 2021 [acceso: 28/02/2023]; 10(3):376-92. Disponible en: </w:t>
      </w:r>
      <w:hyperlink r:id="rId30" w:history="1">
        <w:r w:rsidRPr="00647A8E">
          <w:rPr>
            <w:rFonts w:eastAsia="Calibri"/>
            <w:noProof/>
            <w:color w:val="0563C1"/>
            <w:lang w:val="es-CU" w:eastAsia="en-US"/>
          </w:rPr>
          <w:t>https://revista.redipe.org/index.php/1/article/view/1241</w:t>
        </w:r>
      </w:hyperlink>
      <w:r w:rsidRPr="00647A8E">
        <w:rPr>
          <w:rFonts w:eastAsia="Calibri"/>
          <w:noProof/>
          <w:lang w:val="es-CU" w:eastAsia="en-US"/>
        </w:rPr>
        <w:t xml:space="preserve">  </w:t>
      </w:r>
    </w:p>
    <w:p w14:paraId="7A28E203"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lastRenderedPageBreak/>
        <w:t xml:space="preserve">11. Iñiguez Rojas L, Figueroa Fernández E, Germán Almeida AM, López González LdR, Somarriba López L. La COVID-19 en niños y adolescentes cubanos. Séptimo reporte. Semanas epidemiológicas de la 29 a la 37 de 2021. Del 18 de julio al 18 de septiembre del 2021. Cuba, La Habana: UNICEF; 2021. [acceso: 20/03/2023]. Disponible en: </w:t>
      </w:r>
      <w:hyperlink r:id="rId31" w:history="1">
        <w:r w:rsidRPr="00647A8E">
          <w:rPr>
            <w:rFonts w:eastAsia="Calibri"/>
            <w:noProof/>
            <w:color w:val="0563C1"/>
            <w:lang w:val="es-CU" w:eastAsia="en-US"/>
          </w:rPr>
          <w:t>https://www.unicef.org/cuba/informes/la-covid-19-en-ninos-y-adolescentes-cubanos-septimo-reporte</w:t>
        </w:r>
      </w:hyperlink>
      <w:r w:rsidRPr="00647A8E">
        <w:rPr>
          <w:rFonts w:eastAsia="Calibri"/>
          <w:noProof/>
          <w:lang w:val="es-CU" w:eastAsia="en-US"/>
        </w:rPr>
        <w:t xml:space="preserve"> </w:t>
      </w:r>
    </w:p>
    <w:p w14:paraId="0D7398D6" w14:textId="77777777" w:rsidR="00647A8E" w:rsidRPr="00647A8E" w:rsidRDefault="00647A8E" w:rsidP="00647A8E">
      <w:pPr>
        <w:spacing w:line="360" w:lineRule="auto"/>
        <w:rPr>
          <w:rFonts w:eastAsia="Calibri"/>
          <w:noProof/>
          <w:lang w:val="en-US" w:eastAsia="en-US"/>
        </w:rPr>
      </w:pPr>
      <w:r w:rsidRPr="00647A8E">
        <w:rPr>
          <w:rFonts w:eastAsia="Calibri"/>
          <w:noProof/>
          <w:lang w:val="es-CU" w:eastAsia="en-US"/>
        </w:rPr>
        <w:t xml:space="preserve">12. Hernández-Bernal F, Ricardo-Cobas MC, Martín-Bauta Y, Rodríguez-Martínez E, Urrutia-Pérez K, Urrutia-Pérez K, et al. </w:t>
      </w:r>
      <w:r w:rsidRPr="00647A8E">
        <w:rPr>
          <w:rFonts w:eastAsia="Calibri"/>
          <w:noProof/>
          <w:lang w:val="en-US" w:eastAsia="en-US"/>
        </w:rPr>
        <w:t>A phase 3, randomised, double-blind, placebo-controlled clinical trial evaluation of the efficacy and safety of a SARS-CoV-2 recombinant spike RBD protein vaccine in adults (ABDALA-3 study). The Lancet Regional Health -Americas. 2023; 21:100497. DOI: 10.1016/j.lana.2023.100497</w:t>
      </w:r>
    </w:p>
    <w:p w14:paraId="26BAF414" w14:textId="77777777" w:rsidR="00647A8E" w:rsidRPr="00647A8E" w:rsidRDefault="00647A8E" w:rsidP="00647A8E">
      <w:pPr>
        <w:spacing w:line="360" w:lineRule="auto"/>
        <w:rPr>
          <w:rFonts w:eastAsia="Calibri"/>
          <w:noProof/>
          <w:lang w:val="es-CU" w:eastAsia="en-US"/>
        </w:rPr>
      </w:pPr>
      <w:r w:rsidRPr="00647A8E">
        <w:rPr>
          <w:rFonts w:eastAsia="Calibri"/>
          <w:noProof/>
          <w:lang w:val="en-US" w:eastAsia="en-US"/>
        </w:rPr>
        <w:t xml:space="preserve">13. Terzikhan N, Hofman A, Goudsmit J, Ikram MA. External validity of phase III trials on vaccines against SARS-CoV-2 to a middle-aged and elderly Western European population. </w:t>
      </w:r>
      <w:r w:rsidRPr="00647A8E">
        <w:rPr>
          <w:rFonts w:eastAsia="Calibri"/>
          <w:noProof/>
          <w:lang w:val="es-CU" w:eastAsia="en-US"/>
        </w:rPr>
        <w:t>European Journal of Epidemiology. 2021; 36(3):319-24. DOI: 10.1007/s10654-021-00729-5</w:t>
      </w:r>
    </w:p>
    <w:p w14:paraId="6D326ECA"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14. Berdasco A, Esquivel M, Jiménez JM, Mesa D, Posada E, Romero JM, et al. Segundo Estudio Nacional de Crecimiento y Desarrollo, Cuba 1982: Valores de peso y talla para la edad. Rev Cuba Pediatr. 1991; 63(1): 4-21.Disponible en:    </w:t>
      </w:r>
      <w:hyperlink r:id="rId32" w:history="1">
        <w:r w:rsidRPr="00647A8E">
          <w:rPr>
            <w:rFonts w:eastAsia="Calibri"/>
            <w:noProof/>
            <w:color w:val="0563C1"/>
            <w:lang w:val="es-CU" w:eastAsia="en-US"/>
          </w:rPr>
          <w:t>https://api.semanticscholar.org/CorpusID:70953580</w:t>
        </w:r>
      </w:hyperlink>
      <w:r w:rsidRPr="00647A8E">
        <w:rPr>
          <w:rFonts w:eastAsia="Calibri"/>
          <w:noProof/>
          <w:lang w:val="es-CU" w:eastAsia="en-US"/>
        </w:rPr>
        <w:t xml:space="preserve"> </w:t>
      </w:r>
    </w:p>
    <w:p w14:paraId="42D13F2F"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15. Registro Público Cubano de Ensayos Clínicos. Seguridad e inmunogenicidad de la vacuna Abdala en edades pediátricas. (COVID-19). Estudio MEÑIQUE. La Habana. 2021 [acceso: 28/02/2023]. Disponible en: </w:t>
      </w:r>
      <w:hyperlink r:id="rId33" w:history="1">
        <w:r w:rsidRPr="00647A8E">
          <w:rPr>
            <w:rFonts w:eastAsia="Calibri"/>
            <w:noProof/>
            <w:color w:val="0563C1"/>
            <w:lang w:val="es-CU" w:eastAsia="en-US"/>
          </w:rPr>
          <w:t>https://rpcec.sld.cu/ensayos/RPCEC00000390-Sp</w:t>
        </w:r>
      </w:hyperlink>
      <w:r w:rsidRPr="00647A8E">
        <w:rPr>
          <w:rFonts w:eastAsia="Calibri"/>
          <w:noProof/>
          <w:lang w:val="es-CU" w:eastAsia="en-US"/>
        </w:rPr>
        <w:t xml:space="preserve"> </w:t>
      </w:r>
    </w:p>
    <w:p w14:paraId="7071B507"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16. Sánchez Pedroso V, Rey Kaba DM, Ramos Mato G, Veliz Alvarez Y, Alvarez Fernández Y, Barrera Moreira M. Biblioteca para el diseño del cuaderno de recogida de datos en ensayos clínicos en Openclinica. RCIM. 2020 [acceso: 28/02/ 2023]; 12(2): e381. Disponible en:  </w:t>
      </w:r>
      <w:hyperlink r:id="rId34" w:history="1">
        <w:r w:rsidRPr="00647A8E">
          <w:rPr>
            <w:rFonts w:eastAsia="Calibri"/>
            <w:noProof/>
            <w:color w:val="0563C1"/>
            <w:lang w:val="es-CU" w:eastAsia="en-US"/>
          </w:rPr>
          <w:t>http://scielo.sld.cu/scielo.php?script=sci_arttext&amp;pid=S1684-18592020000200013&amp;lng=es</w:t>
        </w:r>
      </w:hyperlink>
      <w:r w:rsidRPr="00647A8E">
        <w:rPr>
          <w:rFonts w:eastAsia="Calibri"/>
          <w:noProof/>
          <w:lang w:val="es-CU" w:eastAsia="en-US"/>
        </w:rPr>
        <w:t xml:space="preserve"> </w:t>
      </w:r>
    </w:p>
    <w:p w14:paraId="553ACE45"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17. Centro  para el Control Estatal de Medicamentos EyDMC. Buenas Prácticas Clínicas en Cuba. Resolución MINSAP No. 165. 2000 [acceso: 28/02/2023]. Disponible en: </w:t>
      </w:r>
      <w:hyperlink r:id="rId35" w:history="1">
        <w:r w:rsidRPr="00647A8E">
          <w:rPr>
            <w:rFonts w:eastAsia="Calibri"/>
            <w:noProof/>
            <w:color w:val="0563C1"/>
            <w:lang w:val="es-CU" w:eastAsia="en-US"/>
          </w:rPr>
          <w:t>https://www.cecmed.cu/reglamentacion/aprobadas/resolucion-minsap-165-0</w:t>
        </w:r>
      </w:hyperlink>
      <w:r w:rsidRPr="00647A8E">
        <w:rPr>
          <w:rFonts w:eastAsia="Calibri"/>
          <w:noProof/>
          <w:lang w:val="es-CU" w:eastAsia="en-US"/>
        </w:rPr>
        <w:t xml:space="preserve"> </w:t>
      </w:r>
    </w:p>
    <w:p w14:paraId="4C08094D"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18. Moraga-Llop F. Vacunación frente a la COVID-19 en los adolescentes. Una realidad. Vacunas. 2021; 22(3):135-7. DOI: 10.1016/j.vacun.2021.05.003</w:t>
      </w:r>
    </w:p>
    <w:p w14:paraId="6B59BFD0" w14:textId="77777777" w:rsidR="00647A8E" w:rsidRPr="00647A8E" w:rsidRDefault="00647A8E" w:rsidP="00647A8E">
      <w:pPr>
        <w:spacing w:line="360" w:lineRule="auto"/>
        <w:rPr>
          <w:rFonts w:eastAsia="Calibri"/>
          <w:noProof/>
          <w:lang w:val="en-US" w:eastAsia="en-US"/>
        </w:rPr>
      </w:pPr>
      <w:r w:rsidRPr="00647A8E">
        <w:rPr>
          <w:rFonts w:eastAsia="Calibri"/>
          <w:noProof/>
          <w:lang w:val="es-CU" w:eastAsia="en-US"/>
        </w:rPr>
        <w:lastRenderedPageBreak/>
        <w:t xml:space="preserve">19. Puga-Gómez R, Ricardo-Delgado Y, Rojas-Iriarte C, Céspedes-Henriquez L, Piedra-Bello M, Vega-Mendoza D, et al. </w:t>
      </w:r>
      <w:r w:rsidRPr="00647A8E">
        <w:rPr>
          <w:rFonts w:eastAsia="Calibri"/>
          <w:noProof/>
          <w:lang w:val="en-US" w:eastAsia="en-US"/>
        </w:rPr>
        <w:t>Open-label phase I/II clinical trial of SARS-CoV-2 receptor binding domain-tetanus toxoid conjugate vaccine (FINLAY-FR-2) in combination with receptor binding domain-protein vaccine (FINLAY-FR-1A) in children. Int J Infect Dis. 2022; 126:164-73. DOI: 10.1016/j.ijid.2022.11.016</w:t>
      </w:r>
    </w:p>
    <w:p w14:paraId="6D207D87"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20. Cinza-Estévez Z, Resik-Aguirre S, Figueroa-Baile NL, Oquendo-Martínez R, Campa-Legrá I, Tejeda-Fuentes A, et al. </w:t>
      </w:r>
      <w:r w:rsidRPr="00647A8E">
        <w:rPr>
          <w:rFonts w:eastAsia="Calibri"/>
          <w:noProof/>
          <w:lang w:val="en-US" w:eastAsia="en-US"/>
        </w:rPr>
        <w:t xml:space="preserve">Immunogenicity and Safety Assessment of a SARS-CoV-2 Recombinant Spike RBD Protein Vaccine (Abdala) in Paediatric Ages 3 to 18 Years Old: A Double-Blinded, Multicentre, Randomised, Phase 1/2 Clinical Trial (ISMAELILLO Study). The Lancet Preprints. 2021; [aprox. </w:t>
      </w:r>
      <w:r w:rsidRPr="00647A8E">
        <w:rPr>
          <w:rFonts w:eastAsia="Calibri"/>
          <w:noProof/>
          <w:lang w:val="es-CU" w:eastAsia="en-US"/>
        </w:rPr>
        <w:t>23 p.]. DOI: 10.2139/ssrn.4304730</w:t>
      </w:r>
    </w:p>
    <w:p w14:paraId="127CA4B3"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21. Ministerio de Salud Pública. Anuario Estadístico  de Salud.  Edición  50. La Habana: Direccion  de  Registros Médicos y Estadísticas de Salud; 2021. [acceso : 28/02/2023]. Disponible en: </w:t>
      </w:r>
      <w:hyperlink r:id="rId36" w:history="1">
        <w:r w:rsidRPr="00647A8E">
          <w:rPr>
            <w:rFonts w:eastAsia="Calibri"/>
            <w:noProof/>
            <w:color w:val="0563C1"/>
            <w:lang w:val="es-CU" w:eastAsia="en-US"/>
          </w:rPr>
          <w:t>https://files.sld.cu/dne/files/2022/10/Anuario-Estadistico-de-Salud-2021.-Ed-2022.pdf</w:t>
        </w:r>
      </w:hyperlink>
      <w:r w:rsidRPr="00647A8E">
        <w:rPr>
          <w:rFonts w:eastAsia="Calibri"/>
          <w:noProof/>
          <w:lang w:val="es-CU" w:eastAsia="en-US"/>
        </w:rPr>
        <w:t xml:space="preserve"> </w:t>
      </w:r>
    </w:p>
    <w:p w14:paraId="52C715DB"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22. Ustáriz García CR, Morera Barrios LM, Hernández Ramírez P, Estrada del Cueto M, Bencomo Hernández A, García García MdlA, et al. Origen y composición genética de la población cubana. Rev Cubana Hematol Inmunol Hemoter. 2011 [acceso: 28/02/2023]; 27(3):273-82. Disponible en: </w:t>
      </w:r>
      <w:hyperlink r:id="rId37" w:history="1">
        <w:r w:rsidRPr="00647A8E">
          <w:rPr>
            <w:rFonts w:eastAsia="Calibri"/>
            <w:noProof/>
            <w:color w:val="0563C1"/>
            <w:lang w:val="es-CU" w:eastAsia="en-US"/>
          </w:rPr>
          <w:t>http://scielo.sld.cu/scielo.php?script=sci_arttext&amp;pid=S0864-02892011000300002&amp;nrm=iso</w:t>
        </w:r>
      </w:hyperlink>
      <w:r w:rsidRPr="00647A8E">
        <w:rPr>
          <w:rFonts w:eastAsia="Calibri"/>
          <w:noProof/>
          <w:lang w:val="es-CU" w:eastAsia="en-US"/>
        </w:rPr>
        <w:t xml:space="preserve"> </w:t>
      </w:r>
    </w:p>
    <w:p w14:paraId="3A9E608E"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23. Gálvez Soler J, Sánchez V. Gálvez Soler J.L. y Vázquez Sánchez V. Cambios en el estado nutricional en escolares de La Habana con sobrepeso y obesos en dos años de seguimiento. Nutr clín diet hosp. 2019; 39(4):162-7. DOI: 10.12873/3943galvez</w:t>
      </w:r>
    </w:p>
    <w:p w14:paraId="68EAF3F0"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24. Fariñas Guerrero F, López Gigosos RM. Obesidad, inmunidad y vacunación. Vacunas. 2021; 22(3):180-8. DOI: 10.1016/j.vacun.2021.07.001</w:t>
      </w:r>
    </w:p>
    <w:p w14:paraId="189D1B8D"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25. Arteaga-Zambrano VMMA, Williams R. El Consumo de Sustancias Psicoactivas en Adolescentes de San Alejo durante la pandemia por Covid-19. Polo del Conocimiento. 2022 [acceso: 20/03/2023]; 7(3):1360-81. DOI: 10.23857/pc.v7i3.3797</w:t>
      </w:r>
    </w:p>
    <w:p w14:paraId="5E36B023" w14:textId="77777777" w:rsidR="00647A8E" w:rsidRPr="00647A8E" w:rsidRDefault="00647A8E" w:rsidP="00647A8E">
      <w:pPr>
        <w:spacing w:line="360" w:lineRule="auto"/>
        <w:rPr>
          <w:rFonts w:eastAsia="Calibri"/>
          <w:noProof/>
          <w:lang w:val="es-CU" w:eastAsia="en-US"/>
        </w:rPr>
      </w:pPr>
      <w:r w:rsidRPr="00647A8E">
        <w:rPr>
          <w:rFonts w:eastAsia="Calibri"/>
          <w:noProof/>
          <w:lang w:val="es-CU" w:eastAsia="en-US"/>
        </w:rPr>
        <w:t xml:space="preserve">26. González Betancourt E, García Baró Y, editors. La prevención de adicciones en la adolescencia desde un enfoque de autocuidado. En: V Simposio Académico sobre Adicciones Cedro2022. La </w:t>
      </w:r>
      <w:r w:rsidRPr="00647A8E">
        <w:rPr>
          <w:rFonts w:eastAsia="Calibri"/>
          <w:noProof/>
          <w:lang w:val="es-CU" w:eastAsia="en-US"/>
        </w:rPr>
        <w:lastRenderedPageBreak/>
        <w:t xml:space="preserve">Habana: Universidad de Ciencias Médicas de La Habana. 2022. [acceso: 20/03/2023. Disponible en: </w:t>
      </w:r>
      <w:hyperlink r:id="rId38" w:history="1">
        <w:r w:rsidRPr="00647A8E">
          <w:rPr>
            <w:rFonts w:eastAsia="Calibri"/>
            <w:noProof/>
            <w:color w:val="0563C1"/>
            <w:lang w:val="es-CU" w:eastAsia="en-US"/>
          </w:rPr>
          <w:t>http://actasdecongreso.sld.cu/index.php?P=DownloadFile&amp;Id=3339</w:t>
        </w:r>
      </w:hyperlink>
      <w:r w:rsidRPr="00647A8E">
        <w:rPr>
          <w:rFonts w:eastAsia="Calibri"/>
          <w:noProof/>
          <w:lang w:val="es-CU" w:eastAsia="en-US"/>
        </w:rPr>
        <w:t xml:space="preserve"> </w:t>
      </w:r>
    </w:p>
    <w:p w14:paraId="7310063A" w14:textId="77777777" w:rsidR="00647A8E" w:rsidRPr="00647A8E" w:rsidRDefault="00647A8E" w:rsidP="00647A8E">
      <w:pPr>
        <w:spacing w:line="360" w:lineRule="auto"/>
        <w:rPr>
          <w:rFonts w:eastAsia="Calibri"/>
          <w:noProof/>
          <w:lang w:val="es-CU" w:eastAsia="en-US"/>
        </w:rPr>
      </w:pPr>
      <w:r w:rsidRPr="00647A8E">
        <w:rPr>
          <w:rFonts w:eastAsia="Calibri"/>
          <w:noProof/>
          <w:lang w:val="en-US" w:eastAsia="en-US"/>
        </w:rPr>
        <w:t xml:space="preserve">27. Serebrisky D, Wiznia A. Pediatric Asthma: A Global Epidemic. Annals of global Health. </w:t>
      </w:r>
      <w:r w:rsidRPr="00647A8E">
        <w:rPr>
          <w:rFonts w:eastAsia="Calibri"/>
          <w:noProof/>
          <w:lang w:val="es-CU" w:eastAsia="en-US"/>
        </w:rPr>
        <w:t>2019; 85(1):6. DOI: 10.5334/aogh.2416</w:t>
      </w:r>
    </w:p>
    <w:p w14:paraId="48CBE544" w14:textId="77777777" w:rsidR="00647A8E" w:rsidRPr="00647A8E" w:rsidRDefault="00647A8E" w:rsidP="00647A8E">
      <w:pPr>
        <w:spacing w:line="360" w:lineRule="auto"/>
        <w:rPr>
          <w:rFonts w:eastAsia="Calibri"/>
          <w:color w:val="4472C4"/>
          <w:u w:val="single"/>
          <w:lang w:val="es-CU" w:eastAsia="en-US"/>
        </w:rPr>
      </w:pPr>
    </w:p>
    <w:p w14:paraId="512747D4" w14:textId="77777777" w:rsidR="00647A8E" w:rsidRPr="00647A8E" w:rsidRDefault="00647A8E" w:rsidP="00647A8E">
      <w:pPr>
        <w:spacing w:line="360" w:lineRule="auto"/>
        <w:jc w:val="center"/>
        <w:rPr>
          <w:rFonts w:eastAsia="Calibri"/>
          <w:b/>
          <w:bCs/>
          <w:lang w:val="es-ES" w:eastAsia="en-US"/>
        </w:rPr>
      </w:pPr>
    </w:p>
    <w:p w14:paraId="6AFB7FF5" w14:textId="77777777" w:rsidR="00647A8E" w:rsidRPr="00647A8E" w:rsidRDefault="00647A8E" w:rsidP="00647A8E">
      <w:pPr>
        <w:spacing w:line="360" w:lineRule="auto"/>
        <w:jc w:val="center"/>
        <w:rPr>
          <w:rFonts w:eastAsia="Calibri"/>
          <w:b/>
          <w:bCs/>
          <w:lang w:val="es-ES" w:eastAsia="en-US"/>
        </w:rPr>
      </w:pPr>
      <w:r w:rsidRPr="00647A8E">
        <w:rPr>
          <w:rFonts w:eastAsia="Calibri"/>
          <w:b/>
          <w:bCs/>
          <w:lang w:val="es-ES" w:eastAsia="en-US"/>
        </w:rPr>
        <w:t>Conflictos de interés</w:t>
      </w:r>
    </w:p>
    <w:p w14:paraId="4D68C214" w14:textId="77777777" w:rsidR="00647A8E" w:rsidRPr="00647A8E" w:rsidRDefault="00647A8E" w:rsidP="00647A8E">
      <w:pPr>
        <w:shd w:val="clear" w:color="auto" w:fill="FFFFFF"/>
        <w:spacing w:line="360" w:lineRule="auto"/>
        <w:jc w:val="both"/>
        <w:textAlignment w:val="baseline"/>
        <w:rPr>
          <w:rFonts w:eastAsia="Calibri"/>
          <w:lang w:val="es-ES" w:eastAsia="en-US"/>
        </w:rPr>
      </w:pPr>
      <w:r w:rsidRPr="00647A8E">
        <w:rPr>
          <w:rFonts w:eastAsia="Calibri"/>
          <w:lang w:val="es-ES" w:eastAsia="en-US"/>
        </w:rPr>
        <w:t xml:space="preserve">Joel Manuel Quintana Guerra, </w:t>
      </w:r>
      <w:r w:rsidRPr="00647A8E">
        <w:rPr>
          <w:color w:val="222222"/>
          <w:lang w:val="es-ES" w:eastAsia="es-ES"/>
        </w:rPr>
        <w:t>Karen Urrutia Pérez</w:t>
      </w:r>
      <w:r w:rsidRPr="00647A8E">
        <w:rPr>
          <w:rFonts w:eastAsia="Calibri"/>
          <w:lang w:val="es-ES" w:eastAsia="en-US"/>
        </w:rPr>
        <w:t xml:space="preserve">, </w:t>
      </w:r>
      <w:proofErr w:type="spellStart"/>
      <w:r w:rsidRPr="00647A8E">
        <w:rPr>
          <w:color w:val="222222"/>
          <w:lang w:val="es-ES" w:eastAsia="es-ES"/>
        </w:rPr>
        <w:t>Klaudia</w:t>
      </w:r>
      <w:proofErr w:type="spellEnd"/>
      <w:r w:rsidRPr="00647A8E">
        <w:rPr>
          <w:color w:val="222222"/>
          <w:lang w:val="es-ES" w:eastAsia="es-ES"/>
        </w:rPr>
        <w:t xml:space="preserve"> Urrutia Pérez</w:t>
      </w:r>
      <w:r w:rsidRPr="00647A8E">
        <w:rPr>
          <w:rFonts w:eastAsia="Calibri"/>
          <w:lang w:val="es-ES" w:eastAsia="en-US"/>
        </w:rPr>
        <w:t xml:space="preserve">, </w:t>
      </w:r>
      <w:proofErr w:type="spellStart"/>
      <w:r w:rsidRPr="00647A8E">
        <w:rPr>
          <w:color w:val="222222"/>
          <w:lang w:val="es-ES" w:eastAsia="es-ES"/>
        </w:rPr>
        <w:t>Yenima</w:t>
      </w:r>
      <w:proofErr w:type="spellEnd"/>
      <w:r w:rsidRPr="00647A8E">
        <w:rPr>
          <w:color w:val="222222"/>
          <w:lang w:val="es-ES" w:eastAsia="es-ES"/>
        </w:rPr>
        <w:t xml:space="preserve"> Martin Bauta</w:t>
      </w:r>
      <w:r w:rsidRPr="00647A8E">
        <w:rPr>
          <w:rFonts w:eastAsia="Calibri"/>
          <w:lang w:val="es-ES" w:eastAsia="en-US"/>
        </w:rPr>
        <w:t xml:space="preserve">, </w:t>
      </w:r>
      <w:proofErr w:type="spellStart"/>
      <w:r w:rsidRPr="00647A8E">
        <w:rPr>
          <w:color w:val="222222"/>
          <w:lang w:val="es-ES" w:eastAsia="es-ES"/>
        </w:rPr>
        <w:t>Marel</w:t>
      </w:r>
      <w:proofErr w:type="spellEnd"/>
      <w:r w:rsidRPr="00647A8E">
        <w:rPr>
          <w:color w:val="222222"/>
          <w:lang w:val="es-ES" w:eastAsia="es-ES"/>
        </w:rPr>
        <w:t xml:space="preserve"> Alonso Valdés</w:t>
      </w:r>
      <w:r w:rsidRPr="00647A8E">
        <w:rPr>
          <w:rFonts w:eastAsia="Calibri"/>
          <w:lang w:val="es-ES" w:eastAsia="en-US"/>
        </w:rPr>
        <w:t xml:space="preserve">, Verena Lucila </w:t>
      </w:r>
      <w:proofErr w:type="spellStart"/>
      <w:r w:rsidRPr="00647A8E">
        <w:rPr>
          <w:rFonts w:eastAsia="Calibri"/>
          <w:lang w:val="es-ES" w:eastAsia="en-US"/>
        </w:rPr>
        <w:t>Muzio</w:t>
      </w:r>
      <w:proofErr w:type="spellEnd"/>
      <w:r w:rsidRPr="00647A8E">
        <w:rPr>
          <w:rFonts w:eastAsia="Calibri"/>
          <w:lang w:val="es-ES" w:eastAsia="en-US"/>
        </w:rPr>
        <w:t xml:space="preserve"> González y </w:t>
      </w:r>
      <w:r w:rsidRPr="00647A8E">
        <w:rPr>
          <w:color w:val="222222"/>
          <w:lang w:val="es-ES" w:eastAsia="es-ES"/>
        </w:rPr>
        <w:t>Francisco Hernández Bernal</w:t>
      </w:r>
      <w:r w:rsidRPr="00647A8E">
        <w:rPr>
          <w:rFonts w:eastAsia="Calibri"/>
          <w:lang w:val="es-ES" w:eastAsia="en-US"/>
        </w:rPr>
        <w:t>, son trabajadores del centro que patentó, desarrolla y produce la vacuna Abdala. El resto de los autores no declaran conflicto de intereses.</w:t>
      </w:r>
    </w:p>
    <w:p w14:paraId="46EA5EA5" w14:textId="77777777" w:rsidR="00647A8E" w:rsidRPr="00647A8E" w:rsidRDefault="00647A8E" w:rsidP="00647A8E">
      <w:pPr>
        <w:shd w:val="clear" w:color="auto" w:fill="FFFFFF"/>
        <w:spacing w:line="360" w:lineRule="auto"/>
        <w:jc w:val="both"/>
        <w:textAlignment w:val="baseline"/>
        <w:rPr>
          <w:rFonts w:eastAsia="Calibri"/>
          <w:b/>
          <w:bCs/>
          <w:lang w:val="es-ES" w:eastAsia="en-US"/>
        </w:rPr>
      </w:pPr>
    </w:p>
    <w:p w14:paraId="283DB091" w14:textId="77777777" w:rsidR="00647A8E" w:rsidRPr="00647A8E" w:rsidRDefault="00647A8E" w:rsidP="00647A8E">
      <w:pPr>
        <w:shd w:val="clear" w:color="auto" w:fill="FFFFFF"/>
        <w:spacing w:line="360" w:lineRule="auto"/>
        <w:jc w:val="center"/>
        <w:textAlignment w:val="baseline"/>
        <w:rPr>
          <w:rFonts w:eastAsia="Calibri"/>
          <w:b/>
          <w:bCs/>
          <w:lang w:val="es-ES" w:eastAsia="en-US"/>
        </w:rPr>
      </w:pPr>
      <w:r w:rsidRPr="00647A8E">
        <w:rPr>
          <w:rFonts w:eastAsia="Calibri"/>
          <w:b/>
          <w:bCs/>
          <w:lang w:val="es-ES" w:eastAsia="en-US"/>
        </w:rPr>
        <w:t>Contribuciones de los autores</w:t>
      </w:r>
    </w:p>
    <w:bookmarkEnd w:id="9"/>
    <w:p w14:paraId="61AB6F3C"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Conceptualización: </w:t>
      </w:r>
      <w:r w:rsidRPr="00647A8E">
        <w:rPr>
          <w:i/>
          <w:lang w:val="es-ES" w:eastAsia="en-US"/>
        </w:rPr>
        <w:t xml:space="preserve">Laura Elena </w:t>
      </w:r>
      <w:proofErr w:type="spellStart"/>
      <w:r w:rsidRPr="00647A8E">
        <w:rPr>
          <w:i/>
          <w:lang w:val="es-ES" w:eastAsia="en-US"/>
        </w:rPr>
        <w:t>Alvaré</w:t>
      </w:r>
      <w:proofErr w:type="spellEnd"/>
      <w:r w:rsidRPr="00647A8E">
        <w:rPr>
          <w:i/>
          <w:lang w:val="es-ES" w:eastAsia="en-US"/>
        </w:rPr>
        <w:t xml:space="preserve">, </w:t>
      </w:r>
      <w:r w:rsidRPr="00647A8E">
        <w:rPr>
          <w:i/>
          <w:lang w:val="es-CU" w:eastAsia="en-US"/>
        </w:rPr>
        <w:t xml:space="preserve">Verena Lucila </w:t>
      </w:r>
      <w:proofErr w:type="spellStart"/>
      <w:r w:rsidRPr="00647A8E">
        <w:rPr>
          <w:i/>
          <w:lang w:val="es-CU" w:eastAsia="en-US"/>
        </w:rPr>
        <w:t>Muzio</w:t>
      </w:r>
      <w:proofErr w:type="spellEnd"/>
      <w:r w:rsidRPr="00647A8E">
        <w:rPr>
          <w:i/>
          <w:lang w:val="es-CU" w:eastAsia="en-US"/>
        </w:rPr>
        <w:t xml:space="preserve"> González y Francisco Hernández Bernal.</w:t>
      </w:r>
      <w:r w:rsidRPr="00647A8E">
        <w:rPr>
          <w:i/>
          <w:lang w:val="es-ES" w:eastAsia="en-US"/>
        </w:rPr>
        <w:t xml:space="preserve"> </w:t>
      </w:r>
    </w:p>
    <w:p w14:paraId="08D7325B" w14:textId="77777777" w:rsidR="00647A8E" w:rsidRPr="00647A8E" w:rsidRDefault="00647A8E" w:rsidP="00647A8E">
      <w:pPr>
        <w:shd w:val="clear" w:color="auto" w:fill="FFFFFF"/>
        <w:spacing w:line="360" w:lineRule="auto"/>
        <w:jc w:val="both"/>
        <w:rPr>
          <w:lang w:val="es-ES" w:eastAsia="en-US"/>
        </w:rPr>
      </w:pPr>
      <w:r w:rsidRPr="00647A8E">
        <w:rPr>
          <w:lang w:val="es-ES" w:eastAsia="en-US"/>
        </w:rPr>
        <w:t>Curación de datos:</w:t>
      </w:r>
      <w:r w:rsidRPr="00647A8E">
        <w:rPr>
          <w:color w:val="222222"/>
          <w:lang w:val="es-CU" w:eastAsia="es-ES"/>
        </w:rPr>
        <w:t xml:space="preserve"> </w:t>
      </w:r>
      <w:proofErr w:type="spellStart"/>
      <w:r w:rsidRPr="00647A8E">
        <w:rPr>
          <w:i/>
          <w:color w:val="222222"/>
          <w:lang w:val="es-CU" w:eastAsia="es-ES"/>
        </w:rPr>
        <w:t>Marel</w:t>
      </w:r>
      <w:proofErr w:type="spellEnd"/>
      <w:r w:rsidRPr="00647A8E">
        <w:rPr>
          <w:i/>
          <w:color w:val="222222"/>
          <w:lang w:val="es-CU" w:eastAsia="es-ES"/>
        </w:rPr>
        <w:t xml:space="preserve"> Alonso Valdés.</w:t>
      </w:r>
      <w:r w:rsidRPr="00647A8E">
        <w:rPr>
          <w:color w:val="222222"/>
          <w:lang w:val="es-CU" w:eastAsia="es-ES"/>
        </w:rPr>
        <w:t xml:space="preserve"> </w:t>
      </w:r>
    </w:p>
    <w:p w14:paraId="42B39391" w14:textId="77777777" w:rsidR="00647A8E" w:rsidRPr="00647A8E" w:rsidRDefault="00647A8E" w:rsidP="00647A8E">
      <w:pPr>
        <w:shd w:val="clear" w:color="auto" w:fill="FFFFFF"/>
        <w:spacing w:line="360" w:lineRule="auto"/>
        <w:jc w:val="both"/>
        <w:rPr>
          <w:lang w:val="es-ES" w:eastAsia="en-US"/>
        </w:rPr>
      </w:pPr>
      <w:r w:rsidRPr="00647A8E">
        <w:rPr>
          <w:lang w:val="es-ES" w:eastAsia="en-US"/>
        </w:rPr>
        <w:t xml:space="preserve">Análisis formal: </w:t>
      </w:r>
      <w:r w:rsidRPr="00647A8E">
        <w:rPr>
          <w:i/>
          <w:color w:val="222222"/>
          <w:lang w:val="es-CU" w:eastAsia="es-ES"/>
        </w:rPr>
        <w:t>Carmen Elena Viada González</w:t>
      </w:r>
      <w:r w:rsidRPr="00647A8E">
        <w:rPr>
          <w:i/>
          <w:lang w:val="es-ES" w:eastAsia="en-US"/>
        </w:rPr>
        <w:t>.</w:t>
      </w:r>
    </w:p>
    <w:p w14:paraId="7E30F897"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Investigación: </w:t>
      </w:r>
      <w:r w:rsidRPr="00647A8E">
        <w:rPr>
          <w:i/>
          <w:lang w:val="es-ES" w:eastAsia="en-US"/>
        </w:rPr>
        <w:t xml:space="preserve">Laura Elena </w:t>
      </w:r>
      <w:proofErr w:type="spellStart"/>
      <w:r w:rsidRPr="00647A8E">
        <w:rPr>
          <w:i/>
          <w:lang w:val="es-ES" w:eastAsia="en-US"/>
        </w:rPr>
        <w:t>Alvaré</w:t>
      </w:r>
      <w:proofErr w:type="spellEnd"/>
      <w:r w:rsidRPr="00647A8E">
        <w:rPr>
          <w:i/>
          <w:lang w:val="es-ES" w:eastAsia="en-US"/>
        </w:rPr>
        <w:t xml:space="preserve">, </w:t>
      </w:r>
      <w:r w:rsidRPr="00647A8E">
        <w:rPr>
          <w:i/>
          <w:lang w:val="es-CU" w:eastAsia="en-US"/>
        </w:rPr>
        <w:t xml:space="preserve">Alena </w:t>
      </w:r>
      <w:proofErr w:type="spellStart"/>
      <w:r w:rsidRPr="00647A8E">
        <w:rPr>
          <w:i/>
          <w:lang w:val="es-CU" w:eastAsia="en-US"/>
        </w:rPr>
        <w:t>Salvato</w:t>
      </w:r>
      <w:proofErr w:type="spellEnd"/>
      <w:r w:rsidRPr="00647A8E">
        <w:rPr>
          <w:i/>
          <w:lang w:val="es-CU" w:eastAsia="en-US"/>
        </w:rPr>
        <w:t xml:space="preserve"> Dueñas, </w:t>
      </w:r>
      <w:proofErr w:type="spellStart"/>
      <w:r w:rsidRPr="00647A8E">
        <w:rPr>
          <w:i/>
          <w:lang w:val="es-CU" w:eastAsia="en-US"/>
        </w:rPr>
        <w:t>Danusia</w:t>
      </w:r>
      <w:proofErr w:type="spellEnd"/>
      <w:r w:rsidRPr="00647A8E">
        <w:rPr>
          <w:i/>
          <w:lang w:val="es-CU" w:eastAsia="en-US"/>
        </w:rPr>
        <w:t xml:space="preserve"> Felipe Mallea, </w:t>
      </w:r>
      <w:proofErr w:type="spellStart"/>
      <w:r w:rsidRPr="00647A8E">
        <w:rPr>
          <w:i/>
          <w:lang w:val="es-CU" w:eastAsia="en-US"/>
        </w:rPr>
        <w:t>Mairaly</w:t>
      </w:r>
      <w:proofErr w:type="spellEnd"/>
      <w:r w:rsidRPr="00647A8E">
        <w:rPr>
          <w:i/>
          <w:lang w:val="es-CU" w:eastAsia="en-US"/>
        </w:rPr>
        <w:t xml:space="preserve"> Porta Díaz y Berta Lidia Acevedo Castro.</w:t>
      </w:r>
      <w:r w:rsidRPr="00647A8E">
        <w:rPr>
          <w:i/>
          <w:lang w:val="es-ES" w:eastAsia="en-US"/>
        </w:rPr>
        <w:t xml:space="preserve"> </w:t>
      </w:r>
    </w:p>
    <w:p w14:paraId="37BDADAB"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Metodología: </w:t>
      </w:r>
      <w:r w:rsidRPr="00647A8E">
        <w:rPr>
          <w:i/>
          <w:lang w:val="es-ES" w:eastAsia="en-US"/>
        </w:rPr>
        <w:t xml:space="preserve">Laura Elena </w:t>
      </w:r>
      <w:proofErr w:type="spellStart"/>
      <w:r w:rsidRPr="00647A8E">
        <w:rPr>
          <w:i/>
          <w:lang w:val="es-ES" w:eastAsia="en-US"/>
        </w:rPr>
        <w:t>Alvaré</w:t>
      </w:r>
      <w:proofErr w:type="spellEnd"/>
      <w:r w:rsidRPr="00647A8E">
        <w:rPr>
          <w:i/>
          <w:lang w:val="es-ES" w:eastAsia="en-US"/>
        </w:rPr>
        <w:t xml:space="preserve">, </w:t>
      </w:r>
      <w:r w:rsidRPr="00647A8E">
        <w:rPr>
          <w:i/>
          <w:lang w:val="es-CU" w:eastAsia="en-US"/>
        </w:rPr>
        <w:t xml:space="preserve">Verena Lucila </w:t>
      </w:r>
      <w:proofErr w:type="spellStart"/>
      <w:r w:rsidRPr="00647A8E">
        <w:rPr>
          <w:i/>
          <w:lang w:val="es-CU" w:eastAsia="en-US"/>
        </w:rPr>
        <w:t>Muzio</w:t>
      </w:r>
      <w:proofErr w:type="spellEnd"/>
      <w:r w:rsidRPr="00647A8E">
        <w:rPr>
          <w:i/>
          <w:lang w:val="es-CU" w:eastAsia="en-US"/>
        </w:rPr>
        <w:t xml:space="preserve"> González y Francisco Hernández Bernal.</w:t>
      </w:r>
      <w:r w:rsidRPr="00647A8E">
        <w:rPr>
          <w:i/>
          <w:lang w:val="es-ES" w:eastAsia="en-US"/>
        </w:rPr>
        <w:t xml:space="preserve"> </w:t>
      </w:r>
    </w:p>
    <w:p w14:paraId="02BC59DC"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Administración del proyecto: </w:t>
      </w:r>
      <w:r w:rsidRPr="00647A8E">
        <w:rPr>
          <w:i/>
          <w:lang w:val="es-CU" w:eastAsia="en-US"/>
        </w:rPr>
        <w:t>Francisco Hernández Bernal.</w:t>
      </w:r>
    </w:p>
    <w:p w14:paraId="0ECFED25" w14:textId="77777777" w:rsidR="00647A8E" w:rsidRPr="00647A8E" w:rsidRDefault="00647A8E" w:rsidP="00647A8E">
      <w:pPr>
        <w:shd w:val="clear" w:color="auto" w:fill="FFFFFF"/>
        <w:spacing w:line="360" w:lineRule="auto"/>
        <w:jc w:val="both"/>
        <w:rPr>
          <w:i/>
          <w:lang w:val="es-ES" w:eastAsia="en-US"/>
        </w:rPr>
      </w:pPr>
      <w:r w:rsidRPr="00647A8E">
        <w:rPr>
          <w:bCs/>
          <w:lang w:val="es-ES" w:eastAsia="en-US"/>
        </w:rPr>
        <w:t xml:space="preserve">Recursos materiales: </w:t>
      </w:r>
      <w:r w:rsidRPr="00647A8E">
        <w:rPr>
          <w:i/>
          <w:color w:val="222222"/>
          <w:lang w:val="es-CU" w:eastAsia="es-ES"/>
        </w:rPr>
        <w:t xml:space="preserve">Joel Manuel Quintana Guerra, Karen Urrutia Pérez, </w:t>
      </w:r>
      <w:proofErr w:type="spellStart"/>
      <w:r w:rsidRPr="00647A8E">
        <w:rPr>
          <w:i/>
          <w:color w:val="222222"/>
          <w:lang w:val="es-CU" w:eastAsia="es-ES"/>
        </w:rPr>
        <w:t>Klaudia</w:t>
      </w:r>
      <w:proofErr w:type="spellEnd"/>
      <w:r w:rsidRPr="00647A8E">
        <w:rPr>
          <w:i/>
          <w:color w:val="222222"/>
          <w:lang w:val="es-CU" w:eastAsia="es-ES"/>
        </w:rPr>
        <w:t xml:space="preserve"> Urrutia Pérez y </w:t>
      </w:r>
      <w:proofErr w:type="spellStart"/>
      <w:r w:rsidRPr="00647A8E">
        <w:rPr>
          <w:i/>
          <w:color w:val="222222"/>
          <w:lang w:val="es-CU" w:eastAsia="es-ES"/>
        </w:rPr>
        <w:t>Yenima</w:t>
      </w:r>
      <w:proofErr w:type="spellEnd"/>
      <w:r w:rsidRPr="00647A8E">
        <w:rPr>
          <w:i/>
          <w:color w:val="222222"/>
          <w:lang w:val="es-CU" w:eastAsia="es-ES"/>
        </w:rPr>
        <w:t xml:space="preserve"> Martin Bauta.</w:t>
      </w:r>
    </w:p>
    <w:p w14:paraId="59C95BF7"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Supervisión: </w:t>
      </w:r>
      <w:r w:rsidRPr="00647A8E">
        <w:rPr>
          <w:i/>
          <w:lang w:val="es-CU" w:eastAsia="en-US"/>
        </w:rPr>
        <w:t>Francisco Hernández Bernal.</w:t>
      </w:r>
      <w:r w:rsidRPr="00647A8E">
        <w:rPr>
          <w:i/>
          <w:lang w:val="es-ES" w:eastAsia="en-US"/>
        </w:rPr>
        <w:t xml:space="preserve"> Laura Elena </w:t>
      </w:r>
      <w:proofErr w:type="spellStart"/>
      <w:r w:rsidRPr="00647A8E">
        <w:rPr>
          <w:i/>
          <w:lang w:val="es-ES" w:eastAsia="en-US"/>
        </w:rPr>
        <w:t>Alvaré</w:t>
      </w:r>
      <w:proofErr w:type="spellEnd"/>
      <w:r w:rsidRPr="00647A8E">
        <w:rPr>
          <w:i/>
          <w:lang w:val="es-ES" w:eastAsia="en-US"/>
        </w:rPr>
        <w:t>,</w:t>
      </w:r>
      <w:r w:rsidRPr="00647A8E">
        <w:rPr>
          <w:i/>
          <w:color w:val="222222"/>
          <w:lang w:val="es-CU" w:eastAsia="es-ES"/>
        </w:rPr>
        <w:t xml:space="preserve"> </w:t>
      </w:r>
      <w:proofErr w:type="spellStart"/>
      <w:r w:rsidRPr="00647A8E">
        <w:rPr>
          <w:i/>
          <w:color w:val="222222"/>
          <w:lang w:val="es-CU" w:eastAsia="es-ES"/>
        </w:rPr>
        <w:t>Yenima</w:t>
      </w:r>
      <w:proofErr w:type="spellEnd"/>
      <w:r w:rsidRPr="00647A8E">
        <w:rPr>
          <w:i/>
          <w:color w:val="222222"/>
          <w:lang w:val="es-CU" w:eastAsia="es-ES"/>
        </w:rPr>
        <w:t xml:space="preserve"> Martin Bauta</w:t>
      </w:r>
      <w:r w:rsidRPr="00647A8E">
        <w:rPr>
          <w:i/>
          <w:lang w:val="es-CU" w:eastAsia="en-US"/>
        </w:rPr>
        <w:t xml:space="preserve"> </w:t>
      </w:r>
      <w:r w:rsidRPr="00647A8E">
        <w:rPr>
          <w:i/>
          <w:color w:val="222222"/>
          <w:lang w:val="es-CU" w:eastAsia="es-ES"/>
        </w:rPr>
        <w:t xml:space="preserve">Joel Manuel Quintana Guerra, Karen Urrutia Pérez y </w:t>
      </w:r>
      <w:proofErr w:type="spellStart"/>
      <w:r w:rsidRPr="00647A8E">
        <w:rPr>
          <w:i/>
          <w:color w:val="222222"/>
          <w:lang w:val="es-CU" w:eastAsia="es-ES"/>
        </w:rPr>
        <w:t>Klaudia</w:t>
      </w:r>
      <w:proofErr w:type="spellEnd"/>
      <w:r w:rsidRPr="00647A8E">
        <w:rPr>
          <w:i/>
          <w:color w:val="222222"/>
          <w:lang w:val="es-CU" w:eastAsia="es-ES"/>
        </w:rPr>
        <w:t xml:space="preserve"> Urrutia Pérez.  </w:t>
      </w:r>
    </w:p>
    <w:p w14:paraId="1CD9F411"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Visualización: </w:t>
      </w:r>
      <w:r w:rsidRPr="00647A8E">
        <w:rPr>
          <w:i/>
          <w:lang w:val="es-ES" w:eastAsia="en-US"/>
        </w:rPr>
        <w:t xml:space="preserve">Laura Elena </w:t>
      </w:r>
      <w:proofErr w:type="spellStart"/>
      <w:r w:rsidRPr="00647A8E">
        <w:rPr>
          <w:i/>
          <w:lang w:val="es-ES" w:eastAsia="en-US"/>
        </w:rPr>
        <w:t>Alvaré</w:t>
      </w:r>
      <w:proofErr w:type="spellEnd"/>
      <w:r w:rsidRPr="00647A8E">
        <w:rPr>
          <w:i/>
          <w:lang w:val="es-ES" w:eastAsia="en-US"/>
        </w:rPr>
        <w:t xml:space="preserve">, </w:t>
      </w:r>
      <w:r w:rsidRPr="00647A8E">
        <w:rPr>
          <w:i/>
          <w:lang w:val="es-CU" w:eastAsia="en-US"/>
        </w:rPr>
        <w:t xml:space="preserve">Verena Lucila </w:t>
      </w:r>
      <w:proofErr w:type="spellStart"/>
      <w:r w:rsidRPr="00647A8E">
        <w:rPr>
          <w:i/>
          <w:lang w:val="es-CU" w:eastAsia="en-US"/>
        </w:rPr>
        <w:t>Muzio</w:t>
      </w:r>
      <w:proofErr w:type="spellEnd"/>
      <w:r w:rsidRPr="00647A8E">
        <w:rPr>
          <w:i/>
          <w:lang w:val="es-CU" w:eastAsia="en-US"/>
        </w:rPr>
        <w:t xml:space="preserve"> González y Francisco Hernández Bernal.</w:t>
      </w:r>
      <w:r w:rsidRPr="00647A8E">
        <w:rPr>
          <w:i/>
          <w:lang w:val="es-ES" w:eastAsia="en-US"/>
        </w:rPr>
        <w:t xml:space="preserve"> </w:t>
      </w:r>
    </w:p>
    <w:p w14:paraId="7074E1C7" w14:textId="77777777" w:rsidR="00647A8E" w:rsidRPr="00647A8E" w:rsidRDefault="00647A8E" w:rsidP="00647A8E">
      <w:pPr>
        <w:shd w:val="clear" w:color="auto" w:fill="FFFFFF"/>
        <w:spacing w:line="360" w:lineRule="auto"/>
        <w:jc w:val="both"/>
        <w:rPr>
          <w:i/>
          <w:lang w:val="es-ES" w:eastAsia="en-US"/>
        </w:rPr>
      </w:pPr>
      <w:r w:rsidRPr="00647A8E">
        <w:rPr>
          <w:lang w:val="es-ES" w:eastAsia="en-US"/>
        </w:rPr>
        <w:t xml:space="preserve">Redacción – borrador original: </w:t>
      </w:r>
      <w:r w:rsidRPr="00647A8E">
        <w:rPr>
          <w:i/>
          <w:lang w:val="es-ES" w:eastAsia="en-US"/>
        </w:rPr>
        <w:t xml:space="preserve">Laura Elena </w:t>
      </w:r>
      <w:proofErr w:type="spellStart"/>
      <w:r w:rsidRPr="00647A8E">
        <w:rPr>
          <w:i/>
          <w:lang w:val="es-ES" w:eastAsia="en-US"/>
        </w:rPr>
        <w:t>Alvaré</w:t>
      </w:r>
      <w:proofErr w:type="spellEnd"/>
      <w:r w:rsidRPr="00647A8E">
        <w:rPr>
          <w:i/>
          <w:lang w:val="es-ES" w:eastAsia="en-US"/>
        </w:rPr>
        <w:t xml:space="preserve"> y </w:t>
      </w:r>
      <w:proofErr w:type="spellStart"/>
      <w:r w:rsidRPr="00647A8E">
        <w:rPr>
          <w:i/>
          <w:lang w:val="es-CU" w:eastAsia="en-US"/>
        </w:rPr>
        <w:t>Lissete</w:t>
      </w:r>
      <w:proofErr w:type="spellEnd"/>
      <w:r w:rsidRPr="00647A8E">
        <w:rPr>
          <w:i/>
          <w:lang w:val="es-CU" w:eastAsia="en-US"/>
        </w:rPr>
        <w:t xml:space="preserve"> Barroso Márquez.</w:t>
      </w:r>
    </w:p>
    <w:p w14:paraId="09A0B401" w14:textId="098542E3" w:rsidR="00675476" w:rsidRPr="00E30ED0" w:rsidRDefault="00647A8E" w:rsidP="00E30ED0">
      <w:pPr>
        <w:shd w:val="clear" w:color="auto" w:fill="FFFFFF"/>
        <w:spacing w:line="360" w:lineRule="auto"/>
        <w:jc w:val="both"/>
        <w:rPr>
          <w:lang w:val="es-CU" w:eastAsia="en-US"/>
        </w:rPr>
      </w:pPr>
      <w:r w:rsidRPr="00647A8E">
        <w:rPr>
          <w:lang w:val="es-ES" w:eastAsia="en-US"/>
        </w:rPr>
        <w:t xml:space="preserve">Redacción – revisión y edición: </w:t>
      </w:r>
      <w:r w:rsidRPr="00647A8E">
        <w:rPr>
          <w:i/>
          <w:lang w:val="es-CU" w:eastAsia="en-US"/>
        </w:rPr>
        <w:t xml:space="preserve">Giselle </w:t>
      </w:r>
      <w:proofErr w:type="spellStart"/>
      <w:r w:rsidRPr="00647A8E">
        <w:rPr>
          <w:i/>
          <w:lang w:val="es-CU" w:eastAsia="en-US"/>
        </w:rPr>
        <w:t>Saurez</w:t>
      </w:r>
      <w:proofErr w:type="spellEnd"/>
      <w:r w:rsidRPr="00647A8E">
        <w:rPr>
          <w:i/>
          <w:lang w:val="es-CU" w:eastAsia="en-US"/>
        </w:rPr>
        <w:t>.</w:t>
      </w:r>
    </w:p>
    <w:sectPr w:rsidR="00675476" w:rsidRPr="00E30ED0"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C97F" w14:textId="77777777" w:rsidR="00A9233C" w:rsidRDefault="00A9233C">
      <w:r>
        <w:separator/>
      </w:r>
    </w:p>
  </w:endnote>
  <w:endnote w:type="continuationSeparator" w:id="0">
    <w:p w14:paraId="0B3B8DE7" w14:textId="77777777" w:rsidR="00A9233C" w:rsidRDefault="00A9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C24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6EF0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680A" w14:textId="230226D5" w:rsidR="000F3690" w:rsidRPr="00AE044C" w:rsidRDefault="00647A8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02393C" wp14:editId="38189B14">
              <wp:simplePos x="0" y="0"/>
              <wp:positionH relativeFrom="column">
                <wp:posOffset>3810</wp:posOffset>
              </wp:positionH>
              <wp:positionV relativeFrom="paragraph">
                <wp:posOffset>50165</wp:posOffset>
              </wp:positionV>
              <wp:extent cx="6286500" cy="19050"/>
              <wp:effectExtent l="19050" t="19050" r="0" b="0"/>
              <wp:wrapNone/>
              <wp:docPr id="32084139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0BCEA9"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68A1F4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BDF9462"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B4C2B20" w14:textId="2335663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47A8E" w:rsidRPr="00647A8E">
      <w:rPr>
        <w:rFonts w:ascii="Verdana" w:hAnsi="Verdana"/>
        <w:noProof/>
        <w:sz w:val="18"/>
        <w:szCs w:val="18"/>
        <w:lang w:val="en-US" w:eastAsia="en-US"/>
      </w:rPr>
      <w:drawing>
        <wp:inline distT="0" distB="0" distL="0" distR="0" wp14:anchorId="7B5A5BA1" wp14:editId="38BC19C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22BF" w14:textId="77777777" w:rsidR="00A9233C" w:rsidRDefault="00A9233C">
      <w:r>
        <w:separator/>
      </w:r>
    </w:p>
  </w:footnote>
  <w:footnote w:type="continuationSeparator" w:id="0">
    <w:p w14:paraId="25A8DD25" w14:textId="77777777" w:rsidR="00A9233C" w:rsidRDefault="00A9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A50" w14:textId="473675CE" w:rsidR="00CC376A" w:rsidRPr="00AE044C" w:rsidRDefault="00647A8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02302991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4C68A04" wp14:editId="7CCC5DC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B7B57" w14:textId="2A5E7898" w:rsidR="00A477DE" w:rsidRDefault="00647A8E">
    <w:r>
      <w:rPr>
        <w:noProof/>
      </w:rPr>
      <mc:AlternateContent>
        <mc:Choice Requires="wps">
          <w:drawing>
            <wp:anchor distT="0" distB="0" distL="114300" distR="114300" simplePos="0" relativeHeight="251654144" behindDoc="0" locked="0" layoutInCell="1" allowOverlap="1" wp14:anchorId="5FA98FE5" wp14:editId="3B6B9C78">
              <wp:simplePos x="0" y="0"/>
              <wp:positionH relativeFrom="column">
                <wp:posOffset>635</wp:posOffset>
              </wp:positionH>
              <wp:positionV relativeFrom="paragraph">
                <wp:posOffset>42545</wp:posOffset>
              </wp:positionV>
              <wp:extent cx="6307455" cy="28575"/>
              <wp:effectExtent l="19050" t="19050" r="17145" b="9525"/>
              <wp:wrapNone/>
              <wp:docPr id="194373122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37681D"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81F00"/>
    <w:multiLevelType w:val="hybridMultilevel"/>
    <w:tmpl w:val="DFD6D76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BFB6BA9"/>
    <w:multiLevelType w:val="hybridMultilevel"/>
    <w:tmpl w:val="E3BE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601E7"/>
    <w:multiLevelType w:val="hybridMultilevel"/>
    <w:tmpl w:val="6F269F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490291865">
    <w:abstractNumId w:val="1"/>
  </w:num>
  <w:num w:numId="2" w16cid:durableId="2101439829">
    <w:abstractNumId w:val="0"/>
  </w:num>
  <w:num w:numId="3" w16cid:durableId="593435319">
    <w:abstractNumId w:val="3"/>
  </w:num>
  <w:num w:numId="4" w16cid:durableId="7740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8E"/>
    <w:rsid w:val="00057F45"/>
    <w:rsid w:val="000D3958"/>
    <w:rsid w:val="000D5706"/>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47A8E"/>
    <w:rsid w:val="00675476"/>
    <w:rsid w:val="006C12D1"/>
    <w:rsid w:val="007645C3"/>
    <w:rsid w:val="007C430F"/>
    <w:rsid w:val="007D2D0C"/>
    <w:rsid w:val="007D614D"/>
    <w:rsid w:val="007F36C5"/>
    <w:rsid w:val="00803CE2"/>
    <w:rsid w:val="00915D3C"/>
    <w:rsid w:val="00960D6A"/>
    <w:rsid w:val="009A0560"/>
    <w:rsid w:val="009B0917"/>
    <w:rsid w:val="009F0F96"/>
    <w:rsid w:val="00A23C0C"/>
    <w:rsid w:val="00A477DE"/>
    <w:rsid w:val="00A66186"/>
    <w:rsid w:val="00A71E65"/>
    <w:rsid w:val="00A9233C"/>
    <w:rsid w:val="00AB5134"/>
    <w:rsid w:val="00AE044C"/>
    <w:rsid w:val="00B31971"/>
    <w:rsid w:val="00B4380A"/>
    <w:rsid w:val="00B66ECB"/>
    <w:rsid w:val="00C00FE9"/>
    <w:rsid w:val="00C7523A"/>
    <w:rsid w:val="00CC1B6E"/>
    <w:rsid w:val="00CC376A"/>
    <w:rsid w:val="00CC48A1"/>
    <w:rsid w:val="00CF38DB"/>
    <w:rsid w:val="00CF50E0"/>
    <w:rsid w:val="00D85951"/>
    <w:rsid w:val="00E30ED0"/>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BCB5C"/>
  <w15:docId w15:val="{60EC8B3C-2205-4F12-9360-63F7109D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556-7314" TargetMode="External"/><Relationship Id="rId13" Type="http://schemas.openxmlformats.org/officeDocument/2006/relationships/hyperlink" Target="https://orcid.org/0000-0002-8673-9425" TargetMode="External"/><Relationship Id="rId18" Type="http://schemas.openxmlformats.org/officeDocument/2006/relationships/hyperlink" Target="https://orcid.org/0000-0003-3781-2486" TargetMode="External"/><Relationship Id="rId26" Type="http://schemas.openxmlformats.org/officeDocument/2006/relationships/hyperlink" Target="http://scielo.sld.cu/scielo.php?script=sci_arttext&amp;pid=S0034-75312020000500004&amp;nrm=iso"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pcec.sld.cu/ensayos/RPCEC00000390-Sp" TargetMode="External"/><Relationship Id="rId34" Type="http://schemas.openxmlformats.org/officeDocument/2006/relationships/hyperlink" Target="http://scielo.sld.cu/scielo.php?script=sci_arttext&amp;pid=S1684-18592020000200013&amp;lng=es" TargetMode="External"/><Relationship Id="rId42" Type="http://schemas.openxmlformats.org/officeDocument/2006/relationships/fontTable" Target="fontTable.xml"/><Relationship Id="rId7" Type="http://schemas.openxmlformats.org/officeDocument/2006/relationships/hyperlink" Target="https://orcid.org/0000-0002-4196-7176" TargetMode="External"/><Relationship Id="rId12" Type="http://schemas.openxmlformats.org/officeDocument/2006/relationships/hyperlink" Target="https://orcid.org/0000-0001-5344-4201" TargetMode="External"/><Relationship Id="rId17" Type="http://schemas.openxmlformats.org/officeDocument/2006/relationships/hyperlink" Target="https://orcid.org/0000-0002-1604-3545" TargetMode="External"/><Relationship Id="rId25" Type="http://schemas.openxmlformats.org/officeDocument/2006/relationships/hyperlink" Target="https://www.thelancet.com/article/S0140-6736(20)30183-5/fulltext" TargetMode="External"/><Relationship Id="rId33" Type="http://schemas.openxmlformats.org/officeDocument/2006/relationships/hyperlink" Target="https://rpcec.sld.cu/ensayos/RPCEC00000390-Sp" TargetMode="External"/><Relationship Id="rId38" Type="http://schemas.openxmlformats.org/officeDocument/2006/relationships/hyperlink" Target="http://actasdecongreso.sld.cu/index.php?P=DownloadFile&amp;Id=3339" TargetMode="External"/><Relationship Id="rId2" Type="http://schemas.openxmlformats.org/officeDocument/2006/relationships/styles" Target="styles.xml"/><Relationship Id="rId16" Type="http://schemas.openxmlformats.org/officeDocument/2006/relationships/hyperlink" Target="https://orcid.org/0000-0001-8595-9170" TargetMode="External"/><Relationship Id="rId20" Type="http://schemas.openxmlformats.org/officeDocument/2006/relationships/hyperlink" Target="mailto:laura.alvare@infomed.sld.cu" TargetMode="External"/><Relationship Id="rId29" Type="http://schemas.openxmlformats.org/officeDocument/2006/relationships/hyperlink" Target="https://eric.ed.gov/?id=ED615551"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179-310" TargetMode="External"/><Relationship Id="rId24" Type="http://schemas.openxmlformats.org/officeDocument/2006/relationships/image" Target="media/image3.jpeg"/><Relationship Id="rId32" Type="http://schemas.openxmlformats.org/officeDocument/2006/relationships/hyperlink" Target="https://api.semanticscholar.org/CorpusID:70953580" TargetMode="External"/><Relationship Id="rId37" Type="http://schemas.openxmlformats.org/officeDocument/2006/relationships/hyperlink" Target="http://scielo.sld.cu/scielo.php?script=sci_arttext&amp;pid=S0864-02892011000300002&amp;nrm=iso"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rcid.org/0000-0002-3043-1763" TargetMode="External"/><Relationship Id="rId23" Type="http://schemas.openxmlformats.org/officeDocument/2006/relationships/image" Target="media/image2.jpeg"/><Relationship Id="rId28" Type="http://schemas.openxmlformats.org/officeDocument/2006/relationships/hyperlink" Target="http://scielo.sld.cu/scielo.php?script=sci_arttext&amp;pid=S0034-75312021000500002&amp;nrm=iso" TargetMode="External"/><Relationship Id="rId36" Type="http://schemas.openxmlformats.org/officeDocument/2006/relationships/hyperlink" Target="https://files.sld.cu/dne/files/2022/10/Anuario-Estadistico-de-Salud-2021.-Ed-2022.pdf" TargetMode="External"/><Relationship Id="rId10" Type="http://schemas.openxmlformats.org/officeDocument/2006/relationships/hyperlink" Target="https://orcid.org/0000-0003-4053-2325" TargetMode="External"/><Relationship Id="rId19" Type="http://schemas.openxmlformats.org/officeDocument/2006/relationships/hyperlink" Target="https://orcid.org/0000-0002-1857-4219" TargetMode="External"/><Relationship Id="rId31" Type="http://schemas.openxmlformats.org/officeDocument/2006/relationships/hyperlink" Target="https://www.unicef.org/cuba/informes/la-covid-19-en-ninos-y-adolescentes-cubanos-septimo-reporte" TargetMode="External"/><Relationship Id="rId4" Type="http://schemas.openxmlformats.org/officeDocument/2006/relationships/webSettings" Target="webSettings.xml"/><Relationship Id="rId9" Type="http://schemas.openxmlformats.org/officeDocument/2006/relationships/hyperlink" Target="https://orcid.org/0000-0001-6653-4871" TargetMode="External"/><Relationship Id="rId14" Type="http://schemas.openxmlformats.org/officeDocument/2006/relationships/hyperlink" Target="https://orcid.org/0000-0003-0779-2234" TargetMode="External"/><Relationship Id="rId22" Type="http://schemas.openxmlformats.org/officeDocument/2006/relationships/image" Target="media/image1.png"/><Relationship Id="rId27" Type="http://schemas.openxmlformats.org/officeDocument/2006/relationships/hyperlink" Target="http://scielo.sld.cu/scielo.php?script=sci_arttext&amp;pid=S0034-75312021000100009&amp;nrm=iso" TargetMode="External"/><Relationship Id="rId30" Type="http://schemas.openxmlformats.org/officeDocument/2006/relationships/hyperlink" Target="https://revista.redipe.org/index.php/1/article/view/1241" TargetMode="External"/><Relationship Id="rId35" Type="http://schemas.openxmlformats.org/officeDocument/2006/relationships/hyperlink" Target="https://www.cecmed.cu/reglamentacion/aprobadas/resolucion-minsap-165-0"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4325</Words>
  <Characters>24656</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28924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2023-08-26T16:56:00Z</cp:lastPrinted>
  <dcterms:created xsi:type="dcterms:W3CDTF">2023-08-26T16:49:00Z</dcterms:created>
  <dcterms:modified xsi:type="dcterms:W3CDTF">2023-08-26T16:56:00Z</dcterms:modified>
</cp:coreProperties>
</file>