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2D4CE" w14:textId="77777777" w:rsidR="003B184A" w:rsidRPr="003B184A" w:rsidRDefault="003B184A" w:rsidP="003B184A">
      <w:pPr>
        <w:spacing w:line="360" w:lineRule="auto"/>
        <w:jc w:val="right"/>
        <w:rPr>
          <w:rFonts w:eastAsia="Calibri"/>
          <w:sz w:val="20"/>
          <w:szCs w:val="20"/>
          <w:lang w:eastAsia="en-US"/>
        </w:rPr>
      </w:pPr>
      <w:r w:rsidRPr="003B184A">
        <w:rPr>
          <w:rFonts w:eastAsia="Calibri"/>
          <w:sz w:val="20"/>
          <w:szCs w:val="20"/>
          <w:lang w:eastAsia="en-US"/>
        </w:rPr>
        <w:t>Artículo de investigación</w:t>
      </w:r>
    </w:p>
    <w:p w14:paraId="07FADAE0" w14:textId="77777777" w:rsidR="003B184A" w:rsidRPr="003B184A" w:rsidRDefault="003B184A" w:rsidP="003B184A">
      <w:pPr>
        <w:spacing w:line="360" w:lineRule="auto"/>
        <w:jc w:val="center"/>
        <w:rPr>
          <w:rFonts w:eastAsia="Calibri"/>
          <w:b/>
          <w:lang w:eastAsia="en-US"/>
        </w:rPr>
      </w:pPr>
    </w:p>
    <w:p w14:paraId="3DAB7667" w14:textId="77777777" w:rsidR="003B184A" w:rsidRPr="003B184A" w:rsidRDefault="003B184A" w:rsidP="003B184A">
      <w:pPr>
        <w:spacing w:line="360" w:lineRule="auto"/>
        <w:jc w:val="center"/>
        <w:rPr>
          <w:rFonts w:eastAsia="Calibri"/>
          <w:b/>
          <w:sz w:val="28"/>
          <w:szCs w:val="28"/>
          <w:lang w:eastAsia="en-US"/>
        </w:rPr>
      </w:pPr>
      <w:r w:rsidRPr="003B184A">
        <w:rPr>
          <w:rFonts w:eastAsia="Calibri"/>
          <w:b/>
          <w:sz w:val="28"/>
          <w:szCs w:val="28"/>
          <w:lang w:eastAsia="en-US"/>
        </w:rPr>
        <w:t>Caracterización clínica, bioeléctrica, epidemiológica y nutricional de pacientes con la COVID-19</w:t>
      </w:r>
    </w:p>
    <w:p w14:paraId="75EA1BA4" w14:textId="77777777" w:rsidR="003B184A" w:rsidRPr="003B184A" w:rsidRDefault="003B184A" w:rsidP="003B184A">
      <w:pPr>
        <w:spacing w:line="360" w:lineRule="auto"/>
        <w:jc w:val="center"/>
        <w:rPr>
          <w:rFonts w:eastAsia="Calibri"/>
          <w:sz w:val="28"/>
          <w:szCs w:val="28"/>
          <w:lang w:val="en-US" w:eastAsia="en-US"/>
        </w:rPr>
      </w:pPr>
      <w:r w:rsidRPr="003B184A">
        <w:rPr>
          <w:rFonts w:eastAsia="Calibri"/>
          <w:sz w:val="28"/>
          <w:szCs w:val="28"/>
          <w:lang w:val="en-US" w:eastAsia="en-US"/>
        </w:rPr>
        <w:t>Clinical, bioelectrical, epidemiological and nutritional characterization of patient with COVID-19</w:t>
      </w:r>
    </w:p>
    <w:p w14:paraId="313354B2" w14:textId="77777777" w:rsidR="003B184A" w:rsidRPr="003B184A" w:rsidRDefault="003B184A" w:rsidP="003B184A">
      <w:pPr>
        <w:spacing w:line="360" w:lineRule="auto"/>
        <w:jc w:val="center"/>
        <w:rPr>
          <w:rFonts w:eastAsia="Calibri"/>
          <w:sz w:val="28"/>
          <w:szCs w:val="28"/>
          <w:lang w:val="en-US" w:eastAsia="en-US"/>
        </w:rPr>
      </w:pPr>
    </w:p>
    <w:p w14:paraId="1944FCB8" w14:textId="77777777" w:rsidR="003B184A" w:rsidRPr="003B184A" w:rsidRDefault="003B184A" w:rsidP="003B184A">
      <w:pPr>
        <w:spacing w:line="360" w:lineRule="auto"/>
        <w:jc w:val="both"/>
        <w:rPr>
          <w:rFonts w:eastAsia="Calibri"/>
          <w:lang w:val="es-ES" w:eastAsia="en-US"/>
        </w:rPr>
      </w:pPr>
      <w:r w:rsidRPr="003B184A">
        <w:rPr>
          <w:rFonts w:eastAsia="Calibri"/>
          <w:lang w:val="es-ES" w:eastAsia="en-US"/>
        </w:rPr>
        <w:t xml:space="preserve">Jacno Erik Ferrer </w:t>
      </w:r>
      <w:proofErr w:type="spellStart"/>
      <w:r w:rsidRPr="003B184A">
        <w:rPr>
          <w:rFonts w:eastAsia="Calibri"/>
          <w:lang w:val="es-ES" w:eastAsia="en-US"/>
        </w:rPr>
        <w:t>Castro</w:t>
      </w:r>
      <w:r w:rsidRPr="003B184A">
        <w:rPr>
          <w:rFonts w:eastAsia="Calibri"/>
          <w:vertAlign w:val="superscript"/>
          <w:lang w:val="es-ES" w:eastAsia="en-US"/>
        </w:rPr>
        <w:t>1</w:t>
      </w:r>
      <w:proofErr w:type="spellEnd"/>
      <w:r w:rsidRPr="003B184A">
        <w:rPr>
          <w:rFonts w:eastAsia="Calibri"/>
          <w:lang w:val="es-ES" w:eastAsia="en-US"/>
        </w:rPr>
        <w:t xml:space="preserve">* </w:t>
      </w:r>
      <w:hyperlink r:id="rId7" w:history="1">
        <w:r w:rsidRPr="003B184A">
          <w:rPr>
            <w:rFonts w:eastAsia="Calibri"/>
            <w:color w:val="0563C1"/>
            <w:lang w:val="es-ES" w:eastAsia="en-US"/>
          </w:rPr>
          <w:t>https://orcid.org/0000-0001-8605-4795</w:t>
        </w:r>
      </w:hyperlink>
    </w:p>
    <w:p w14:paraId="069FE056" w14:textId="77777777" w:rsidR="003B184A" w:rsidRPr="003B184A" w:rsidRDefault="003B184A" w:rsidP="003B184A">
      <w:pPr>
        <w:spacing w:line="360" w:lineRule="auto"/>
        <w:jc w:val="both"/>
        <w:rPr>
          <w:rFonts w:eastAsia="Calibri"/>
          <w:lang w:val="es-ES" w:eastAsia="en-US"/>
        </w:rPr>
      </w:pPr>
      <w:r w:rsidRPr="003B184A">
        <w:rPr>
          <w:rFonts w:eastAsia="Calibri"/>
          <w:lang w:val="es-ES" w:eastAsia="en-US"/>
        </w:rPr>
        <w:t xml:space="preserve">Germán del Río </w:t>
      </w:r>
      <w:proofErr w:type="spellStart"/>
      <w:r w:rsidRPr="003B184A">
        <w:rPr>
          <w:rFonts w:eastAsia="Calibri"/>
          <w:lang w:val="es-ES" w:eastAsia="en-US"/>
        </w:rPr>
        <w:t>Caballero</w:t>
      </w:r>
      <w:r w:rsidRPr="003B184A">
        <w:rPr>
          <w:rFonts w:eastAsia="Calibri"/>
          <w:vertAlign w:val="superscript"/>
          <w:lang w:val="es-ES" w:eastAsia="en-US"/>
        </w:rPr>
        <w:t>1</w:t>
      </w:r>
      <w:proofErr w:type="spellEnd"/>
      <w:r w:rsidRPr="003B184A">
        <w:rPr>
          <w:rFonts w:eastAsia="Calibri"/>
          <w:lang w:val="es-ES" w:eastAsia="en-US"/>
        </w:rPr>
        <w:t xml:space="preserve"> </w:t>
      </w:r>
      <w:r w:rsidRPr="003B184A">
        <w:rPr>
          <w:rFonts w:eastAsia="Calibri"/>
          <w:color w:val="0070C0"/>
          <w:lang w:val="es-ES" w:eastAsia="en-US"/>
        </w:rPr>
        <w:t>https://orcid.org/0000-0002-9857-9596</w:t>
      </w:r>
    </w:p>
    <w:p w14:paraId="3E6DED47" w14:textId="77777777" w:rsidR="003B184A" w:rsidRPr="003B184A" w:rsidRDefault="003B184A" w:rsidP="003B184A">
      <w:pPr>
        <w:spacing w:line="360" w:lineRule="auto"/>
        <w:jc w:val="both"/>
        <w:rPr>
          <w:rFonts w:eastAsia="Calibri"/>
          <w:lang w:val="es-ES" w:eastAsia="en-US"/>
        </w:rPr>
      </w:pPr>
      <w:r w:rsidRPr="003B184A">
        <w:rPr>
          <w:rFonts w:eastAsia="Calibri"/>
          <w:lang w:val="es-ES" w:eastAsia="en-US"/>
        </w:rPr>
        <w:t xml:space="preserve">Mariela García </w:t>
      </w:r>
      <w:proofErr w:type="spellStart"/>
      <w:r w:rsidRPr="003B184A">
        <w:rPr>
          <w:rFonts w:eastAsia="Calibri"/>
          <w:lang w:val="es-ES" w:eastAsia="en-US"/>
        </w:rPr>
        <w:t>Terrero</w:t>
      </w:r>
      <w:r w:rsidRPr="003B184A">
        <w:rPr>
          <w:rFonts w:eastAsia="Calibri"/>
          <w:vertAlign w:val="superscript"/>
          <w:lang w:val="es-ES" w:eastAsia="en-US"/>
        </w:rPr>
        <w:t>2</w:t>
      </w:r>
      <w:proofErr w:type="spellEnd"/>
      <w:r w:rsidRPr="003B184A">
        <w:rPr>
          <w:rFonts w:eastAsia="Calibri"/>
          <w:lang w:val="es-ES" w:eastAsia="en-US"/>
        </w:rPr>
        <w:t xml:space="preserve"> </w:t>
      </w:r>
      <w:r w:rsidRPr="003B184A">
        <w:rPr>
          <w:rFonts w:eastAsia="Calibri"/>
          <w:color w:val="0070C0"/>
          <w:lang w:val="es-ES" w:eastAsia="en-US"/>
        </w:rPr>
        <w:t>https://orcid.org/0000-0003-1381-6044</w:t>
      </w:r>
    </w:p>
    <w:p w14:paraId="1A3492D0" w14:textId="77777777" w:rsidR="003B184A" w:rsidRPr="003B184A" w:rsidRDefault="003B184A" w:rsidP="003B184A">
      <w:pPr>
        <w:spacing w:line="360" w:lineRule="auto"/>
        <w:jc w:val="both"/>
        <w:rPr>
          <w:rFonts w:eastAsia="Calibri"/>
          <w:color w:val="0070C0"/>
          <w:lang w:val="es-ES" w:eastAsia="en-US"/>
        </w:rPr>
      </w:pPr>
      <w:r w:rsidRPr="003B184A">
        <w:rPr>
          <w:rFonts w:eastAsia="Calibri"/>
          <w:lang w:val="es-ES" w:eastAsia="en-US"/>
        </w:rPr>
        <w:t xml:space="preserve">Isley Ramírez </w:t>
      </w:r>
      <w:proofErr w:type="spellStart"/>
      <w:r w:rsidRPr="003B184A">
        <w:rPr>
          <w:rFonts w:eastAsia="Calibri"/>
          <w:lang w:val="es-ES" w:eastAsia="en-US"/>
        </w:rPr>
        <w:t>Arzuaga</w:t>
      </w:r>
      <w:r w:rsidRPr="003B184A">
        <w:rPr>
          <w:rFonts w:eastAsia="Calibri"/>
          <w:vertAlign w:val="superscript"/>
          <w:lang w:val="es-ES" w:eastAsia="en-US"/>
        </w:rPr>
        <w:t>2</w:t>
      </w:r>
      <w:proofErr w:type="spellEnd"/>
      <w:r w:rsidRPr="003B184A">
        <w:rPr>
          <w:rFonts w:eastAsia="Calibri"/>
          <w:lang w:val="es-ES" w:eastAsia="en-US"/>
        </w:rPr>
        <w:t xml:space="preserve"> </w:t>
      </w:r>
      <w:r w:rsidRPr="003B184A">
        <w:rPr>
          <w:rFonts w:eastAsia="Calibri"/>
          <w:color w:val="0070C0"/>
          <w:lang w:val="es-ES" w:eastAsia="en-US"/>
        </w:rPr>
        <w:t>https://orcid.org/0009-0000-3707-8520</w:t>
      </w:r>
    </w:p>
    <w:p w14:paraId="6DF0FD1E" w14:textId="77777777" w:rsidR="003B184A" w:rsidRPr="003B184A" w:rsidRDefault="003B184A" w:rsidP="003B184A">
      <w:pPr>
        <w:spacing w:line="360" w:lineRule="auto"/>
        <w:jc w:val="both"/>
        <w:rPr>
          <w:rFonts w:eastAsia="Calibri"/>
          <w:lang w:val="es-ES" w:eastAsia="en-US"/>
        </w:rPr>
      </w:pPr>
      <w:proofErr w:type="spellStart"/>
      <w:r w:rsidRPr="003B184A">
        <w:rPr>
          <w:rFonts w:eastAsia="Calibri"/>
          <w:lang w:val="es-ES" w:eastAsia="en-US"/>
        </w:rPr>
        <w:t>Yosvani</w:t>
      </w:r>
      <w:proofErr w:type="spellEnd"/>
      <w:r w:rsidRPr="003B184A">
        <w:rPr>
          <w:rFonts w:eastAsia="Calibri"/>
          <w:lang w:val="es-ES" w:eastAsia="en-US"/>
        </w:rPr>
        <w:t xml:space="preserve"> Reyes </w:t>
      </w:r>
      <w:proofErr w:type="spellStart"/>
      <w:r w:rsidRPr="003B184A">
        <w:rPr>
          <w:rFonts w:eastAsia="Calibri"/>
          <w:lang w:val="es-ES" w:eastAsia="en-US"/>
        </w:rPr>
        <w:t>Mayeta</w:t>
      </w:r>
      <w:r w:rsidRPr="003B184A">
        <w:rPr>
          <w:rFonts w:eastAsia="Calibri"/>
          <w:vertAlign w:val="superscript"/>
          <w:lang w:val="es-ES" w:eastAsia="en-US"/>
        </w:rPr>
        <w:t>1</w:t>
      </w:r>
      <w:proofErr w:type="spellEnd"/>
      <w:r w:rsidRPr="003B184A">
        <w:rPr>
          <w:rFonts w:eastAsia="Calibri"/>
          <w:lang w:val="es-ES" w:eastAsia="en-US"/>
        </w:rPr>
        <w:t xml:space="preserve"> </w:t>
      </w:r>
      <w:r w:rsidRPr="003B184A">
        <w:rPr>
          <w:rFonts w:eastAsia="Calibri"/>
          <w:color w:val="0070C0"/>
          <w:lang w:val="es-ES" w:eastAsia="en-US"/>
        </w:rPr>
        <w:t>https://orcid.org/0009-0001-5170-2462</w:t>
      </w:r>
    </w:p>
    <w:p w14:paraId="512B53A5" w14:textId="77777777" w:rsidR="003B184A" w:rsidRPr="003B184A" w:rsidRDefault="003B184A" w:rsidP="003B184A">
      <w:pPr>
        <w:spacing w:line="360" w:lineRule="auto"/>
        <w:jc w:val="both"/>
        <w:rPr>
          <w:rFonts w:eastAsia="Calibri"/>
          <w:color w:val="0070C0"/>
          <w:lang w:val="es-ES" w:eastAsia="en-US"/>
        </w:rPr>
      </w:pPr>
      <w:proofErr w:type="spellStart"/>
      <w:r w:rsidRPr="003B184A">
        <w:rPr>
          <w:rFonts w:eastAsia="Calibri"/>
          <w:lang w:val="es-ES" w:eastAsia="en-US"/>
        </w:rPr>
        <w:t>Zahilyn</w:t>
      </w:r>
      <w:proofErr w:type="spellEnd"/>
      <w:r w:rsidRPr="003B184A">
        <w:rPr>
          <w:rFonts w:eastAsia="Calibri"/>
          <w:lang w:val="es-ES" w:eastAsia="en-US"/>
        </w:rPr>
        <w:t xml:space="preserve"> Rodríguez </w:t>
      </w:r>
      <w:proofErr w:type="spellStart"/>
      <w:r w:rsidRPr="003B184A">
        <w:rPr>
          <w:rFonts w:eastAsia="Calibri"/>
          <w:lang w:val="es-ES" w:eastAsia="en-US"/>
        </w:rPr>
        <w:t>González</w:t>
      </w:r>
      <w:r w:rsidRPr="003B184A">
        <w:rPr>
          <w:rFonts w:eastAsia="Calibri"/>
          <w:vertAlign w:val="superscript"/>
          <w:lang w:val="es-ES" w:eastAsia="en-US"/>
        </w:rPr>
        <w:t>1</w:t>
      </w:r>
      <w:proofErr w:type="spellEnd"/>
      <w:r w:rsidRPr="003B184A">
        <w:rPr>
          <w:rFonts w:eastAsia="Calibri"/>
          <w:lang w:val="es-ES" w:eastAsia="en-US"/>
        </w:rPr>
        <w:t xml:space="preserve"> </w:t>
      </w:r>
      <w:r w:rsidRPr="003B184A">
        <w:rPr>
          <w:rFonts w:eastAsia="Calibri"/>
          <w:color w:val="0070C0"/>
          <w:lang w:val="es-ES" w:eastAsia="en-US"/>
        </w:rPr>
        <w:t>https://orcid.org/ 0000-0003-0579-8237</w:t>
      </w:r>
    </w:p>
    <w:p w14:paraId="0634C294" w14:textId="77777777" w:rsidR="003B184A" w:rsidRPr="003B184A" w:rsidRDefault="003B184A" w:rsidP="003B184A">
      <w:pPr>
        <w:spacing w:line="360" w:lineRule="auto"/>
        <w:jc w:val="both"/>
        <w:rPr>
          <w:rFonts w:eastAsia="Calibri"/>
          <w:color w:val="0070C0"/>
          <w:lang w:val="es-ES" w:eastAsia="en-US"/>
        </w:rPr>
      </w:pPr>
    </w:p>
    <w:p w14:paraId="31194EE1" w14:textId="77777777" w:rsidR="003B184A" w:rsidRPr="003B184A" w:rsidRDefault="003B184A" w:rsidP="003B184A">
      <w:pPr>
        <w:spacing w:line="360" w:lineRule="auto"/>
        <w:jc w:val="both"/>
        <w:rPr>
          <w:rFonts w:eastAsia="Calibri"/>
          <w:lang w:val="es-ES" w:eastAsia="en-US"/>
        </w:rPr>
      </w:pPr>
      <w:proofErr w:type="spellStart"/>
      <w:r w:rsidRPr="003B184A">
        <w:rPr>
          <w:rFonts w:eastAsia="Calibri"/>
          <w:vertAlign w:val="superscript"/>
          <w:lang w:val="es-ES" w:eastAsia="en-US"/>
        </w:rPr>
        <w:t>1</w:t>
      </w:r>
      <w:r w:rsidRPr="003B184A">
        <w:rPr>
          <w:rFonts w:eastAsia="Calibri"/>
          <w:lang w:val="es-ES" w:eastAsia="en-US"/>
        </w:rPr>
        <w:t>Universidad</w:t>
      </w:r>
      <w:proofErr w:type="spellEnd"/>
      <w:r w:rsidRPr="003B184A">
        <w:rPr>
          <w:rFonts w:eastAsia="Calibri"/>
          <w:lang w:val="es-ES" w:eastAsia="en-US"/>
        </w:rPr>
        <w:t xml:space="preserve"> de Ciencias Médicas de las Fuerzas Armadas Revolucionarias. Hospital Militar "Dr. Joaquín Castillo Duany". Santiago de Cuba, Cuba.</w:t>
      </w:r>
    </w:p>
    <w:p w14:paraId="32F3E089" w14:textId="77777777" w:rsidR="003B184A" w:rsidRPr="003B184A" w:rsidRDefault="003B184A" w:rsidP="003B184A">
      <w:pPr>
        <w:spacing w:line="360" w:lineRule="auto"/>
        <w:jc w:val="both"/>
        <w:rPr>
          <w:rFonts w:eastAsia="Calibri"/>
          <w:lang w:val="es-ES" w:eastAsia="en-US"/>
        </w:rPr>
      </w:pPr>
      <w:proofErr w:type="spellStart"/>
      <w:r w:rsidRPr="003B184A">
        <w:rPr>
          <w:rFonts w:eastAsia="Calibri"/>
          <w:vertAlign w:val="superscript"/>
          <w:lang w:val="es-ES" w:eastAsia="en-US"/>
        </w:rPr>
        <w:t>2</w:t>
      </w:r>
      <w:r w:rsidRPr="003B184A">
        <w:rPr>
          <w:rFonts w:eastAsia="Calibri"/>
          <w:lang w:val="es-ES" w:eastAsia="en-US"/>
        </w:rPr>
        <w:t>Hospital</w:t>
      </w:r>
      <w:proofErr w:type="spellEnd"/>
      <w:r w:rsidRPr="003B184A">
        <w:rPr>
          <w:rFonts w:eastAsia="Calibri"/>
          <w:lang w:val="es-ES" w:eastAsia="en-US"/>
        </w:rPr>
        <w:t xml:space="preserve"> Militar "Dr. Joaquín Castillo Duany". Santiago de Cuba, Cuba.</w:t>
      </w:r>
    </w:p>
    <w:p w14:paraId="50F9B698" w14:textId="77777777" w:rsidR="003B184A" w:rsidRPr="003B184A" w:rsidRDefault="003B184A" w:rsidP="003B184A">
      <w:pPr>
        <w:spacing w:line="360" w:lineRule="auto"/>
        <w:jc w:val="both"/>
        <w:rPr>
          <w:rFonts w:eastAsia="Calibri"/>
          <w:lang w:val="es-ES" w:eastAsia="en-US"/>
        </w:rPr>
      </w:pPr>
    </w:p>
    <w:p w14:paraId="16DEC25C" w14:textId="77777777" w:rsidR="003B184A" w:rsidRPr="003B184A" w:rsidRDefault="003B184A" w:rsidP="003B184A">
      <w:pPr>
        <w:spacing w:line="360" w:lineRule="auto"/>
        <w:jc w:val="both"/>
        <w:rPr>
          <w:rFonts w:eastAsia="Calibri"/>
          <w:lang w:val="es-ES" w:eastAsia="en-US"/>
        </w:rPr>
      </w:pPr>
      <w:r w:rsidRPr="003B184A">
        <w:rPr>
          <w:rFonts w:eastAsia="Calibri"/>
          <w:lang w:val="es-ES" w:eastAsia="en-US"/>
        </w:rPr>
        <w:t xml:space="preserve">*Autor para la correspondencia. Correo electrónico: </w:t>
      </w:r>
      <w:hyperlink r:id="rId8" w:history="1">
        <w:r w:rsidRPr="003B184A">
          <w:rPr>
            <w:rFonts w:eastAsia="Calibri"/>
            <w:color w:val="0563C1"/>
            <w:lang w:val="es-ES" w:eastAsia="en-US"/>
          </w:rPr>
          <w:t>jacno.erik@infomed.sld.cu</w:t>
        </w:r>
      </w:hyperlink>
    </w:p>
    <w:p w14:paraId="7AD2EE6D" w14:textId="77777777" w:rsidR="003B184A" w:rsidRPr="003B184A" w:rsidRDefault="003B184A" w:rsidP="003B184A">
      <w:pPr>
        <w:spacing w:line="360" w:lineRule="auto"/>
        <w:jc w:val="center"/>
        <w:rPr>
          <w:rFonts w:eastAsia="Calibri"/>
          <w:sz w:val="28"/>
          <w:szCs w:val="28"/>
          <w:lang w:eastAsia="en-US"/>
        </w:rPr>
      </w:pPr>
    </w:p>
    <w:p w14:paraId="0911D5D8" w14:textId="77777777" w:rsidR="003B184A" w:rsidRPr="003B184A" w:rsidRDefault="003B184A" w:rsidP="003B184A">
      <w:pPr>
        <w:spacing w:line="360" w:lineRule="auto"/>
        <w:jc w:val="both"/>
        <w:rPr>
          <w:rFonts w:eastAsia="Calibri"/>
          <w:b/>
          <w:bCs/>
          <w:lang w:eastAsia="en-US"/>
        </w:rPr>
      </w:pPr>
      <w:r w:rsidRPr="003B184A">
        <w:rPr>
          <w:rFonts w:eastAsia="Calibri"/>
          <w:b/>
          <w:bCs/>
          <w:lang w:eastAsia="en-US"/>
        </w:rPr>
        <w:t>RESUMEN</w:t>
      </w:r>
    </w:p>
    <w:p w14:paraId="0C4577E5" w14:textId="77777777" w:rsidR="003B184A" w:rsidRPr="003B184A" w:rsidRDefault="003B184A" w:rsidP="003B184A">
      <w:pPr>
        <w:spacing w:line="360" w:lineRule="auto"/>
        <w:jc w:val="both"/>
        <w:rPr>
          <w:rFonts w:eastAsia="Calibri"/>
          <w:lang w:eastAsia="en-US"/>
        </w:rPr>
      </w:pPr>
      <w:r w:rsidRPr="003B184A">
        <w:rPr>
          <w:rFonts w:eastAsia="Calibri"/>
          <w:b/>
          <w:bCs/>
          <w:color w:val="000000"/>
          <w:lang w:eastAsia="en-US"/>
        </w:rPr>
        <w:t xml:space="preserve">Introducción: </w:t>
      </w:r>
      <w:r w:rsidRPr="003B184A">
        <w:rPr>
          <w:rFonts w:eastAsia="Calibri"/>
          <w:lang w:eastAsia="en-US"/>
        </w:rPr>
        <w:t>Durante las últimas décadas, el mundo se ha expuesto a una serie de amenazas por brotes virales emergentes de diferente índole, los cuales, al estudiarlos en detalle, surge la posibilidad de comprender su verdadero impacto, no solo de forma inmediata, sino también a largo plazo.</w:t>
      </w:r>
    </w:p>
    <w:p w14:paraId="6015370C" w14:textId="77777777" w:rsidR="003B184A" w:rsidRPr="003B184A" w:rsidRDefault="003B184A" w:rsidP="003B184A">
      <w:pPr>
        <w:spacing w:line="360" w:lineRule="auto"/>
        <w:jc w:val="both"/>
        <w:rPr>
          <w:rFonts w:eastAsia="Calibri"/>
          <w:color w:val="FF0000"/>
          <w:lang w:eastAsia="en-US"/>
        </w:rPr>
      </w:pPr>
      <w:r w:rsidRPr="003B184A">
        <w:rPr>
          <w:rFonts w:eastAsia="Calibri"/>
          <w:b/>
          <w:bCs/>
          <w:lang w:eastAsia="en-US"/>
        </w:rPr>
        <w:t xml:space="preserve">Objetivo: </w:t>
      </w:r>
      <w:r w:rsidRPr="003B184A">
        <w:rPr>
          <w:rFonts w:eastAsia="Calibri"/>
          <w:lang w:eastAsia="en-US"/>
        </w:rPr>
        <w:t>Caracterizar aspectos clínicos, bioeléctricos, epidemiológicos y nutricionales de enfermos de la COVID-19.</w:t>
      </w:r>
      <w:r w:rsidRPr="003B184A">
        <w:rPr>
          <w:rFonts w:eastAsia="Calibri"/>
          <w:highlight w:val="yellow"/>
          <w:lang w:eastAsia="en-US"/>
        </w:rPr>
        <w:t xml:space="preserve"> </w:t>
      </w:r>
    </w:p>
    <w:p w14:paraId="28EDC3AB" w14:textId="77777777" w:rsidR="003B184A" w:rsidRPr="003B184A" w:rsidRDefault="003B184A" w:rsidP="003B184A">
      <w:pPr>
        <w:spacing w:line="360" w:lineRule="auto"/>
        <w:jc w:val="both"/>
        <w:rPr>
          <w:rFonts w:eastAsia="Calibri"/>
          <w:color w:val="FF0000"/>
          <w:lang w:eastAsia="en-US"/>
        </w:rPr>
      </w:pPr>
      <w:r w:rsidRPr="003B184A">
        <w:rPr>
          <w:rFonts w:eastAsia="Calibri"/>
          <w:b/>
          <w:lang w:eastAsia="en-US"/>
        </w:rPr>
        <w:lastRenderedPageBreak/>
        <w:t>Métodos:</w:t>
      </w:r>
      <w:r w:rsidRPr="003B184A">
        <w:rPr>
          <w:rFonts w:eastAsia="Calibri"/>
          <w:bCs/>
          <w:lang w:eastAsia="en-US"/>
        </w:rPr>
        <w:t xml:space="preserve"> Se efectuó un estudio observacional y descriptivo, de 312 pacientes confirmados con la COVID-19. Se estudiaron las variables: grupo etario, sexo, estado nutricional, intensidad de la enfermedad, ángulo de fase, estado al egreso y días de evolución de la enfermedad. </w:t>
      </w:r>
      <w:r w:rsidRPr="003B184A">
        <w:rPr>
          <w:rFonts w:eastAsia="Calibri"/>
          <w:lang w:eastAsia="en-US"/>
        </w:rPr>
        <w:t>Los datos se obtuvieron de las historias clínicas de los enfermos. Se analizaron frecuencias absolutas y porcentajes para las variables categóricas y la media y desviación estándar para las cuantitativas.</w:t>
      </w:r>
    </w:p>
    <w:p w14:paraId="447837B6" w14:textId="77777777" w:rsidR="003B184A" w:rsidRPr="003B184A" w:rsidRDefault="003B184A" w:rsidP="003B184A">
      <w:pPr>
        <w:spacing w:line="360" w:lineRule="auto"/>
        <w:jc w:val="both"/>
        <w:rPr>
          <w:rFonts w:eastAsia="Calibri"/>
          <w:lang w:eastAsia="en-US"/>
        </w:rPr>
      </w:pPr>
      <w:r w:rsidRPr="003B184A">
        <w:rPr>
          <w:rFonts w:eastAsia="Calibri"/>
          <w:b/>
          <w:lang w:eastAsia="en-US"/>
        </w:rPr>
        <w:t xml:space="preserve">Resultados: </w:t>
      </w:r>
      <w:r w:rsidRPr="003B184A">
        <w:rPr>
          <w:rFonts w:eastAsia="Calibri"/>
          <w:lang w:eastAsia="en-US"/>
        </w:rPr>
        <w:t xml:space="preserve">Media de edad fue de 56,7 años, predominio de pacientes de 60 años y más (43,3 %), del sexo masculino (70,8 %), sobrepesos (50,6 %) y levemente afectados (58,0 %). La obesidad (26,4 %) y la peor evolución, fueron más frecuentes en el sexo femenino. Asimismo, los enfermos con mayor intensidad de la afección y los fallecidos, mostraron valores más bajos del ángulo de fase. </w:t>
      </w:r>
    </w:p>
    <w:p w14:paraId="52FE0A9F" w14:textId="77777777" w:rsidR="003B184A" w:rsidRPr="003B184A" w:rsidRDefault="003B184A" w:rsidP="003B184A">
      <w:pPr>
        <w:spacing w:line="360" w:lineRule="auto"/>
        <w:jc w:val="both"/>
        <w:rPr>
          <w:rFonts w:eastAsia="Calibri"/>
          <w:bCs/>
          <w:lang w:eastAsia="en-US"/>
        </w:rPr>
      </w:pPr>
      <w:r w:rsidRPr="003B184A">
        <w:rPr>
          <w:rFonts w:eastAsia="Calibri"/>
          <w:b/>
          <w:lang w:eastAsia="en-US"/>
        </w:rPr>
        <w:t xml:space="preserve">Conclusiones: </w:t>
      </w:r>
      <w:r w:rsidRPr="003B184A">
        <w:rPr>
          <w:rFonts w:eastAsia="Calibri"/>
          <w:bCs/>
          <w:lang w:eastAsia="en-US"/>
        </w:rPr>
        <w:t>Es manifiesta la asociación entre el sexo femenino, mayor edad y la obesidad con una peor evolución de la enfermedad en los pacientes afectados. Se confirma el ángulo de fase como la principal variable de la bioimpedancia eléctrica relacionada con la evolución y mortalidad de este tipo de pacientes.</w:t>
      </w:r>
    </w:p>
    <w:p w14:paraId="76EA56DE" w14:textId="77777777" w:rsidR="003B184A" w:rsidRPr="003B184A" w:rsidRDefault="003B184A" w:rsidP="003B184A">
      <w:pPr>
        <w:spacing w:line="360" w:lineRule="auto"/>
        <w:jc w:val="both"/>
        <w:rPr>
          <w:rFonts w:eastAsia="Calibri"/>
          <w:lang w:eastAsia="en-US"/>
        </w:rPr>
      </w:pPr>
      <w:r w:rsidRPr="003B184A">
        <w:rPr>
          <w:rFonts w:eastAsia="Calibri"/>
          <w:b/>
          <w:lang w:eastAsia="en-US"/>
        </w:rPr>
        <w:t xml:space="preserve">Palabras clave: </w:t>
      </w:r>
      <w:r w:rsidRPr="003B184A">
        <w:rPr>
          <w:rFonts w:eastAsia="Calibri"/>
          <w:lang w:eastAsia="en-US"/>
        </w:rPr>
        <w:t>coronavirus; SARS-CoV-2; COVID-19; impedancia eléctrica; estado nutricional.</w:t>
      </w:r>
    </w:p>
    <w:p w14:paraId="17136C13" w14:textId="77777777" w:rsidR="003B184A" w:rsidRPr="003B184A" w:rsidRDefault="003B184A" w:rsidP="003B184A">
      <w:pPr>
        <w:spacing w:line="360" w:lineRule="auto"/>
        <w:jc w:val="both"/>
        <w:rPr>
          <w:rFonts w:eastAsia="Calibri"/>
          <w:lang w:eastAsia="en-US"/>
        </w:rPr>
      </w:pPr>
    </w:p>
    <w:p w14:paraId="5F25DE41" w14:textId="77777777" w:rsidR="003B184A" w:rsidRPr="003B184A" w:rsidRDefault="003B184A" w:rsidP="003B184A">
      <w:pPr>
        <w:spacing w:line="360" w:lineRule="auto"/>
        <w:jc w:val="both"/>
        <w:rPr>
          <w:rFonts w:eastAsia="Calibri"/>
          <w:lang w:val="en-US" w:eastAsia="en-US"/>
        </w:rPr>
      </w:pPr>
      <w:r w:rsidRPr="003B184A">
        <w:rPr>
          <w:rFonts w:eastAsia="Calibri"/>
          <w:b/>
          <w:bCs/>
          <w:lang w:val="en-US" w:eastAsia="en-US"/>
        </w:rPr>
        <w:t>ABSTRACT</w:t>
      </w:r>
    </w:p>
    <w:p w14:paraId="4ACC5D26" w14:textId="77777777" w:rsidR="003B184A" w:rsidRPr="003B184A" w:rsidRDefault="003B184A" w:rsidP="003B184A">
      <w:pPr>
        <w:spacing w:line="360" w:lineRule="auto"/>
        <w:jc w:val="both"/>
        <w:rPr>
          <w:rFonts w:eastAsia="Calibri"/>
          <w:bCs/>
          <w:lang w:val="en-US" w:eastAsia="en-US"/>
        </w:rPr>
      </w:pPr>
      <w:r w:rsidRPr="003B184A">
        <w:rPr>
          <w:rFonts w:eastAsia="Calibri"/>
          <w:b/>
          <w:lang w:val="en-US" w:eastAsia="en-US"/>
        </w:rPr>
        <w:t>Introduction:</w:t>
      </w:r>
      <w:r w:rsidRPr="003B184A">
        <w:rPr>
          <w:rFonts w:eastAsia="Calibri"/>
          <w:bCs/>
          <w:lang w:val="en-US" w:eastAsia="en-US"/>
        </w:rPr>
        <w:t xml:space="preserve"> During the last decades, the world has been exposed to a series of threats by emerging viral outbreaks of different nature, which, when studied in detail, it is possible to understand their real impact, not only in an immediate way, but also in the long term.</w:t>
      </w:r>
    </w:p>
    <w:p w14:paraId="1D1E461C" w14:textId="77777777" w:rsidR="003B184A" w:rsidRPr="003B184A" w:rsidRDefault="003B184A" w:rsidP="003B184A">
      <w:pPr>
        <w:spacing w:line="360" w:lineRule="auto"/>
        <w:jc w:val="both"/>
        <w:rPr>
          <w:rFonts w:eastAsia="Calibri"/>
          <w:bCs/>
          <w:lang w:val="en-US" w:eastAsia="en-US"/>
        </w:rPr>
      </w:pPr>
      <w:r w:rsidRPr="003B184A">
        <w:rPr>
          <w:rFonts w:eastAsia="Calibri"/>
          <w:b/>
          <w:lang w:val="en-US" w:eastAsia="en-US"/>
        </w:rPr>
        <w:t>Objective:</w:t>
      </w:r>
      <w:r w:rsidRPr="003B184A">
        <w:rPr>
          <w:rFonts w:eastAsia="Calibri"/>
          <w:bCs/>
          <w:lang w:val="en-US" w:eastAsia="en-US"/>
        </w:rPr>
        <w:t xml:space="preserve"> To characterize clinical, bioelectrical, epidemiological, and nutritional aspects of COVID-19 patients. </w:t>
      </w:r>
    </w:p>
    <w:p w14:paraId="2D7468B4" w14:textId="77777777" w:rsidR="003B184A" w:rsidRPr="003B184A" w:rsidRDefault="003B184A" w:rsidP="003B184A">
      <w:pPr>
        <w:spacing w:line="360" w:lineRule="auto"/>
        <w:jc w:val="both"/>
        <w:rPr>
          <w:rFonts w:eastAsia="Calibri"/>
          <w:bCs/>
          <w:lang w:val="en-US" w:eastAsia="en-US"/>
        </w:rPr>
      </w:pPr>
      <w:r w:rsidRPr="003B184A">
        <w:rPr>
          <w:rFonts w:eastAsia="Calibri"/>
          <w:b/>
          <w:lang w:val="en-US" w:eastAsia="en-US"/>
        </w:rPr>
        <w:t>Methods:</w:t>
      </w:r>
      <w:r w:rsidRPr="003B184A">
        <w:rPr>
          <w:rFonts w:eastAsia="Calibri"/>
          <w:bCs/>
          <w:lang w:val="en-US" w:eastAsia="en-US"/>
        </w:rPr>
        <w:t xml:space="preserve"> An observational and descriptive study of 312 patients confirmed with COVID-19 was carried out. The following variables were studied: age group, sex, nutritional status, disease intensity, phase angle, status at discharge and days of disease evolution. The data were obtained from the medical records of the patients. Absolute frequencies and percentages were analyzed for categorical variables and mean and standard deviation for quantitative variables.</w:t>
      </w:r>
    </w:p>
    <w:p w14:paraId="65E194A2" w14:textId="77777777" w:rsidR="003B184A" w:rsidRPr="003B184A" w:rsidRDefault="003B184A" w:rsidP="003B184A">
      <w:pPr>
        <w:spacing w:line="360" w:lineRule="auto"/>
        <w:jc w:val="both"/>
        <w:rPr>
          <w:rFonts w:eastAsia="Calibri"/>
          <w:bCs/>
          <w:lang w:val="en-US" w:eastAsia="en-US"/>
        </w:rPr>
      </w:pPr>
      <w:r w:rsidRPr="003B184A">
        <w:rPr>
          <w:rFonts w:eastAsia="Calibri"/>
          <w:b/>
          <w:lang w:val="en-US" w:eastAsia="en-US"/>
        </w:rPr>
        <w:t>Results:</w:t>
      </w:r>
      <w:r w:rsidRPr="003B184A">
        <w:rPr>
          <w:rFonts w:eastAsia="Calibri"/>
          <w:bCs/>
          <w:lang w:val="en-US" w:eastAsia="en-US"/>
        </w:rPr>
        <w:t xml:space="preserve"> Mean age was 56.7 years, predominance of patients aged 60 years and over (43.3%), male (70.8%), overweight (50.6%) and slightly affected (58.0%). Obesity (26.4%) and worse evolution were </w:t>
      </w:r>
      <w:r w:rsidRPr="003B184A">
        <w:rPr>
          <w:rFonts w:eastAsia="Calibri"/>
          <w:bCs/>
          <w:lang w:val="en-US" w:eastAsia="en-US"/>
        </w:rPr>
        <w:lastRenderedPageBreak/>
        <w:t xml:space="preserve">more frequent in the female sex. Likewise, patients with greater intensity of the condition and those who died, showed lower phase angle values. </w:t>
      </w:r>
    </w:p>
    <w:p w14:paraId="1A10037D" w14:textId="77777777" w:rsidR="003B184A" w:rsidRPr="003B184A" w:rsidRDefault="003B184A" w:rsidP="003B184A">
      <w:pPr>
        <w:spacing w:line="360" w:lineRule="auto"/>
        <w:jc w:val="both"/>
        <w:rPr>
          <w:rFonts w:eastAsia="Calibri"/>
          <w:lang w:val="en-US" w:eastAsia="en-US"/>
        </w:rPr>
      </w:pPr>
      <w:r w:rsidRPr="003B184A">
        <w:rPr>
          <w:rFonts w:eastAsia="Calibri"/>
          <w:b/>
          <w:lang w:val="en-US" w:eastAsia="en-US"/>
        </w:rPr>
        <w:t>Conclusions:</w:t>
      </w:r>
      <w:r w:rsidRPr="003B184A">
        <w:rPr>
          <w:rFonts w:eastAsia="Calibri"/>
          <w:bCs/>
          <w:lang w:val="en-US" w:eastAsia="en-US"/>
        </w:rPr>
        <w:t xml:space="preserve"> The association between female sex, old age and obesity with a worse evolution of the disease in affected patients is evident. Phase angle is confirmed as the main variable of electrical bioimpedance related to the evolution and mortality of this type of patients.</w:t>
      </w:r>
    </w:p>
    <w:p w14:paraId="736296D1" w14:textId="77777777" w:rsidR="003B184A" w:rsidRPr="003B184A" w:rsidRDefault="003B184A" w:rsidP="003B184A">
      <w:pPr>
        <w:spacing w:line="360" w:lineRule="auto"/>
        <w:jc w:val="both"/>
        <w:rPr>
          <w:rFonts w:eastAsia="Calibri"/>
          <w:lang w:val="en-US" w:eastAsia="en-US"/>
        </w:rPr>
      </w:pPr>
      <w:r w:rsidRPr="003B184A">
        <w:rPr>
          <w:rFonts w:eastAsia="Calibri"/>
          <w:b/>
          <w:lang w:val="en-US" w:eastAsia="en-US"/>
        </w:rPr>
        <w:t>Keywords:</w:t>
      </w:r>
      <w:r w:rsidRPr="003B184A">
        <w:rPr>
          <w:rFonts w:eastAsia="Calibri"/>
          <w:lang w:val="en-US" w:eastAsia="en-US"/>
        </w:rPr>
        <w:t xml:space="preserve"> coronavirus; SARS-CoV-2; COVID-19; electric impedance; nutritional status.</w:t>
      </w:r>
    </w:p>
    <w:p w14:paraId="2840C9E9" w14:textId="77777777" w:rsidR="003B184A" w:rsidRPr="003B184A" w:rsidRDefault="003B184A" w:rsidP="003B184A">
      <w:pPr>
        <w:spacing w:line="360" w:lineRule="auto"/>
        <w:jc w:val="both"/>
        <w:rPr>
          <w:rFonts w:eastAsia="Calibri"/>
          <w:lang w:val="en-US" w:eastAsia="en-US"/>
        </w:rPr>
      </w:pPr>
    </w:p>
    <w:p w14:paraId="588EBE65" w14:textId="77777777" w:rsidR="003B184A" w:rsidRPr="003B184A" w:rsidRDefault="003B184A" w:rsidP="003B184A">
      <w:pPr>
        <w:spacing w:line="360" w:lineRule="auto"/>
        <w:jc w:val="both"/>
        <w:rPr>
          <w:rFonts w:eastAsia="Calibri"/>
          <w:lang w:val="en-US" w:eastAsia="en-US"/>
        </w:rPr>
      </w:pPr>
    </w:p>
    <w:p w14:paraId="772AFEDB" w14:textId="77777777" w:rsidR="003B184A" w:rsidRPr="003B184A" w:rsidRDefault="003B184A" w:rsidP="003B184A">
      <w:pPr>
        <w:spacing w:line="360" w:lineRule="auto"/>
        <w:jc w:val="both"/>
        <w:rPr>
          <w:rFonts w:eastAsia="Calibri"/>
          <w:lang w:eastAsia="en-US"/>
        </w:rPr>
      </w:pPr>
      <w:r w:rsidRPr="003B184A">
        <w:rPr>
          <w:rFonts w:eastAsia="Calibri"/>
          <w:lang w:eastAsia="en-US"/>
        </w:rPr>
        <w:t>Recibido: 04/04/2023</w:t>
      </w:r>
    </w:p>
    <w:p w14:paraId="4780136A" w14:textId="77777777" w:rsidR="003B184A" w:rsidRPr="003B184A" w:rsidRDefault="003B184A" w:rsidP="003B184A">
      <w:pPr>
        <w:spacing w:line="360" w:lineRule="auto"/>
        <w:jc w:val="both"/>
        <w:rPr>
          <w:rFonts w:eastAsia="Calibri"/>
          <w:lang w:eastAsia="en-US"/>
        </w:rPr>
      </w:pPr>
      <w:r w:rsidRPr="003B184A">
        <w:rPr>
          <w:rFonts w:eastAsia="Calibri"/>
          <w:lang w:eastAsia="en-US"/>
        </w:rPr>
        <w:t>Aprobado: 11/07/2023</w:t>
      </w:r>
    </w:p>
    <w:p w14:paraId="1775AD17" w14:textId="77777777" w:rsidR="003B184A" w:rsidRPr="003B184A" w:rsidRDefault="003B184A" w:rsidP="003B184A">
      <w:pPr>
        <w:spacing w:line="360" w:lineRule="auto"/>
        <w:jc w:val="both"/>
        <w:rPr>
          <w:rFonts w:eastAsia="Calibri"/>
          <w:lang w:eastAsia="en-US"/>
        </w:rPr>
      </w:pPr>
    </w:p>
    <w:p w14:paraId="187E0E32" w14:textId="77777777" w:rsidR="003B184A" w:rsidRPr="003B184A" w:rsidRDefault="003B184A" w:rsidP="003B184A">
      <w:pPr>
        <w:spacing w:line="360" w:lineRule="auto"/>
        <w:jc w:val="both"/>
        <w:rPr>
          <w:rFonts w:eastAsia="Calibri"/>
          <w:lang w:eastAsia="en-US"/>
        </w:rPr>
      </w:pPr>
    </w:p>
    <w:p w14:paraId="36F3488A" w14:textId="77777777" w:rsidR="003B184A" w:rsidRPr="003B184A" w:rsidRDefault="003B184A" w:rsidP="003B184A">
      <w:pPr>
        <w:spacing w:line="360" w:lineRule="auto"/>
        <w:jc w:val="center"/>
        <w:rPr>
          <w:rFonts w:eastAsia="Calibri"/>
          <w:b/>
          <w:bCs/>
          <w:sz w:val="32"/>
          <w:szCs w:val="32"/>
          <w:lang w:eastAsia="en-US"/>
        </w:rPr>
      </w:pPr>
      <w:r w:rsidRPr="003B184A">
        <w:rPr>
          <w:rFonts w:eastAsia="Calibri"/>
          <w:b/>
          <w:bCs/>
          <w:sz w:val="32"/>
          <w:szCs w:val="32"/>
          <w:lang w:eastAsia="en-US"/>
        </w:rPr>
        <w:t>INTRODUCCIÓN</w:t>
      </w:r>
    </w:p>
    <w:p w14:paraId="2E32AEB3" w14:textId="77777777" w:rsidR="003B184A" w:rsidRPr="003B184A" w:rsidRDefault="003B184A" w:rsidP="003B184A">
      <w:pPr>
        <w:spacing w:line="360" w:lineRule="auto"/>
        <w:jc w:val="both"/>
        <w:rPr>
          <w:rFonts w:eastAsia="Calibri"/>
          <w:lang w:eastAsia="en-US"/>
        </w:rPr>
      </w:pPr>
      <w:r w:rsidRPr="003B184A">
        <w:rPr>
          <w:rFonts w:eastAsia="Calibri"/>
          <w:lang w:eastAsia="en-US"/>
        </w:rPr>
        <w:t xml:space="preserve">Durante las últimas décadas, el mundo se ha expuesto a una serie de amenazas por brotes virales emergentes de diferente índole, de los cuales, solo al estudiarlos en detalle, surge la posibilidad de comprender su verdadero impacto, no únicamente de forma inmediata, sino también, a largo </w:t>
      </w:r>
      <w:proofErr w:type="gramStart"/>
      <w:r w:rsidRPr="003B184A">
        <w:rPr>
          <w:rFonts w:eastAsia="Calibri"/>
          <w:lang w:eastAsia="en-US"/>
        </w:rPr>
        <w:t>plazo.</w:t>
      </w:r>
      <w:r w:rsidRPr="003B184A">
        <w:rPr>
          <w:rFonts w:eastAsia="Calibri"/>
          <w:vertAlign w:val="superscript"/>
          <w:lang w:eastAsia="en-US"/>
        </w:rPr>
        <w:t>(</w:t>
      </w:r>
      <w:proofErr w:type="gramEnd"/>
      <w:r w:rsidRPr="003B184A">
        <w:rPr>
          <w:rFonts w:eastAsia="Calibri"/>
          <w:vertAlign w:val="superscript"/>
          <w:lang w:eastAsia="en-US"/>
        </w:rPr>
        <w:t>1)</w:t>
      </w:r>
    </w:p>
    <w:p w14:paraId="6964D753" w14:textId="77777777" w:rsidR="003B184A" w:rsidRPr="003B184A" w:rsidRDefault="003B184A" w:rsidP="003B184A">
      <w:pPr>
        <w:spacing w:line="360" w:lineRule="auto"/>
        <w:jc w:val="both"/>
        <w:rPr>
          <w:rFonts w:eastAsia="Calibri"/>
          <w:lang w:eastAsia="en-US"/>
        </w:rPr>
      </w:pPr>
      <w:r w:rsidRPr="003B184A">
        <w:rPr>
          <w:rFonts w:eastAsia="Calibri"/>
          <w:lang w:eastAsia="en-US"/>
        </w:rPr>
        <w:t xml:space="preserve">Es un ejemplo de lo anterior, la COVID-19, causada por el SARS-CoV-2 y declarada pandémica el 11 de marzo de </w:t>
      </w:r>
      <w:proofErr w:type="gramStart"/>
      <w:r w:rsidRPr="003B184A">
        <w:rPr>
          <w:rFonts w:eastAsia="Calibri"/>
          <w:lang w:eastAsia="en-US"/>
        </w:rPr>
        <w:t>2020.</w:t>
      </w:r>
      <w:r w:rsidRPr="003B184A">
        <w:rPr>
          <w:rFonts w:eastAsia="Calibri"/>
          <w:vertAlign w:val="superscript"/>
          <w:lang w:eastAsia="en-US"/>
        </w:rPr>
        <w:t>(</w:t>
      </w:r>
      <w:proofErr w:type="gramEnd"/>
      <w:r w:rsidRPr="003B184A">
        <w:rPr>
          <w:rFonts w:eastAsia="Calibri"/>
          <w:vertAlign w:val="superscript"/>
          <w:lang w:eastAsia="en-US"/>
        </w:rPr>
        <w:t>2)</w:t>
      </w:r>
      <w:r w:rsidRPr="003B184A">
        <w:rPr>
          <w:rFonts w:eastAsia="Calibri"/>
          <w:sz w:val="22"/>
          <w:szCs w:val="22"/>
          <w:lang w:eastAsia="en-US"/>
        </w:rPr>
        <w:t xml:space="preserve"> </w:t>
      </w:r>
      <w:r w:rsidRPr="003B184A">
        <w:rPr>
          <w:rFonts w:eastAsia="Calibri"/>
          <w:lang w:eastAsia="en-US"/>
        </w:rPr>
        <w:t xml:space="preserve">La comunidad médica internacional ha volcado todos sus esfuerzos en el enfrentamiento a esta nueva enfermedad; a pesar de ello son frecuentes las complejas situaciones de amenaza vital que provoca. </w:t>
      </w:r>
    </w:p>
    <w:p w14:paraId="5CA5843C" w14:textId="77777777" w:rsidR="003B184A" w:rsidRPr="003B184A" w:rsidRDefault="003B184A" w:rsidP="003B184A">
      <w:pPr>
        <w:spacing w:line="360" w:lineRule="auto"/>
        <w:jc w:val="both"/>
        <w:rPr>
          <w:rFonts w:eastAsia="Calibri"/>
          <w:lang w:eastAsia="en-US"/>
        </w:rPr>
      </w:pPr>
      <w:r w:rsidRPr="003B184A">
        <w:rPr>
          <w:rFonts w:eastAsia="Calibri"/>
          <w:lang w:eastAsia="en-US"/>
        </w:rPr>
        <w:t xml:space="preserve">Es necesario el progreso de investigaciones que posibiliten el conocimiento a profundidad de la afección, la detección precoz de sus complicaciones y que permitan en un futuro mediato, el desarrollo de tratamientos más efectivos o, en el mejor de los casos, su erradicación. </w:t>
      </w:r>
    </w:p>
    <w:p w14:paraId="54CEE004" w14:textId="77777777" w:rsidR="003B184A" w:rsidRPr="003B184A" w:rsidRDefault="003B184A" w:rsidP="003B184A">
      <w:pPr>
        <w:spacing w:line="360" w:lineRule="auto"/>
        <w:jc w:val="both"/>
        <w:rPr>
          <w:rFonts w:eastAsia="Calibri"/>
          <w:lang w:eastAsia="en-US"/>
        </w:rPr>
      </w:pPr>
      <w:r w:rsidRPr="003B184A">
        <w:rPr>
          <w:rFonts w:eastAsia="Calibri"/>
          <w:lang w:eastAsia="en-US"/>
        </w:rPr>
        <w:t xml:space="preserve">Una </w:t>
      </w:r>
      <w:proofErr w:type="gramStart"/>
      <w:r w:rsidRPr="003B184A">
        <w:rPr>
          <w:rFonts w:eastAsia="Calibri"/>
          <w:lang w:eastAsia="en-US"/>
        </w:rPr>
        <w:t>investigación</w:t>
      </w:r>
      <w:r w:rsidRPr="003B184A">
        <w:rPr>
          <w:rFonts w:eastAsia="Calibri"/>
          <w:vertAlign w:val="superscript"/>
          <w:lang w:eastAsia="en-US"/>
        </w:rPr>
        <w:t>(</w:t>
      </w:r>
      <w:proofErr w:type="gramEnd"/>
      <w:r w:rsidRPr="003B184A">
        <w:rPr>
          <w:rFonts w:eastAsia="Calibri"/>
          <w:vertAlign w:val="superscript"/>
          <w:lang w:eastAsia="en-US"/>
        </w:rPr>
        <w:t>3)</w:t>
      </w:r>
      <w:r w:rsidRPr="003B184A">
        <w:rPr>
          <w:rFonts w:eastAsia="Calibri"/>
          <w:sz w:val="22"/>
          <w:szCs w:val="22"/>
          <w:lang w:eastAsia="en-US"/>
        </w:rPr>
        <w:t xml:space="preserve"> </w:t>
      </w:r>
      <w:r w:rsidRPr="003B184A">
        <w:rPr>
          <w:rFonts w:eastAsia="Calibri"/>
          <w:lang w:eastAsia="en-US"/>
        </w:rPr>
        <w:t xml:space="preserve">realizada en un hospital neerlandés, en 2021, muestra los potenciales beneficios de la bioimpedancia eléctrica (BIA; del inglés, </w:t>
      </w:r>
      <w:proofErr w:type="spellStart"/>
      <w:r w:rsidRPr="003B184A">
        <w:rPr>
          <w:rFonts w:eastAsia="Calibri"/>
          <w:i/>
          <w:iCs/>
          <w:lang w:eastAsia="en-US"/>
        </w:rPr>
        <w:t>bioelectric</w:t>
      </w:r>
      <w:proofErr w:type="spellEnd"/>
      <w:r w:rsidRPr="003B184A">
        <w:rPr>
          <w:rFonts w:eastAsia="Calibri"/>
          <w:i/>
          <w:iCs/>
          <w:lang w:eastAsia="en-US"/>
        </w:rPr>
        <w:t xml:space="preserve"> </w:t>
      </w:r>
      <w:proofErr w:type="spellStart"/>
      <w:r w:rsidRPr="003B184A">
        <w:rPr>
          <w:rFonts w:eastAsia="Calibri"/>
          <w:i/>
          <w:iCs/>
          <w:lang w:eastAsia="en-US"/>
        </w:rPr>
        <w:t>impedance</w:t>
      </w:r>
      <w:proofErr w:type="spellEnd"/>
      <w:r w:rsidRPr="003B184A">
        <w:rPr>
          <w:rFonts w:eastAsia="Calibri"/>
          <w:i/>
          <w:iCs/>
          <w:lang w:eastAsia="en-US"/>
        </w:rPr>
        <w:t xml:space="preserve"> </w:t>
      </w:r>
      <w:proofErr w:type="spellStart"/>
      <w:r w:rsidRPr="003B184A">
        <w:rPr>
          <w:rFonts w:eastAsia="Calibri"/>
          <w:i/>
          <w:iCs/>
          <w:lang w:eastAsia="en-US"/>
        </w:rPr>
        <w:t>analysis</w:t>
      </w:r>
      <w:proofErr w:type="spellEnd"/>
      <w:r w:rsidRPr="003B184A">
        <w:rPr>
          <w:rFonts w:eastAsia="Calibri"/>
          <w:lang w:eastAsia="en-US"/>
        </w:rPr>
        <w:t>) en este complejo escenario, al exponer las variaciones del ángulo de fase en los pacientes críticos contagiados por el SARS-CoV-2.</w:t>
      </w:r>
    </w:p>
    <w:p w14:paraId="1F74DAB6" w14:textId="77777777" w:rsidR="003B184A" w:rsidRPr="003B184A" w:rsidRDefault="003B184A" w:rsidP="003B184A">
      <w:pPr>
        <w:spacing w:line="360" w:lineRule="auto"/>
        <w:jc w:val="both"/>
        <w:rPr>
          <w:rFonts w:eastAsia="Calibri"/>
          <w:color w:val="000000"/>
          <w:lang w:eastAsia="en-US"/>
        </w:rPr>
      </w:pPr>
      <w:r w:rsidRPr="003B184A">
        <w:rPr>
          <w:rFonts w:eastAsia="Calibri"/>
          <w:color w:val="000000"/>
          <w:lang w:eastAsia="en-US"/>
        </w:rPr>
        <w:lastRenderedPageBreak/>
        <w:t xml:space="preserve">La BIA es un método bioeléctrico, de práctica sencilla, rápida, no invasiva y reproductible, puede ser llevada al borde del lecho, para medir la composición corporal total a través de sus parámetros básicos, resistencia y </w:t>
      </w:r>
      <w:proofErr w:type="gramStart"/>
      <w:r w:rsidRPr="003B184A">
        <w:rPr>
          <w:rFonts w:eastAsia="Calibri"/>
          <w:color w:val="000000"/>
          <w:lang w:eastAsia="en-US"/>
        </w:rPr>
        <w:t>reactancia.</w:t>
      </w:r>
      <w:r w:rsidRPr="003B184A">
        <w:rPr>
          <w:rFonts w:eastAsia="Calibri"/>
          <w:color w:val="000000"/>
          <w:vertAlign w:val="superscript"/>
          <w:lang w:eastAsia="en-US"/>
        </w:rPr>
        <w:t>(</w:t>
      </w:r>
      <w:proofErr w:type="gramEnd"/>
      <w:r w:rsidRPr="003B184A">
        <w:rPr>
          <w:rFonts w:eastAsia="Calibri"/>
          <w:color w:val="000000"/>
          <w:vertAlign w:val="superscript"/>
          <w:lang w:eastAsia="en-US"/>
        </w:rPr>
        <w:t xml:space="preserve">4) </w:t>
      </w:r>
    </w:p>
    <w:p w14:paraId="60F7491D" w14:textId="77777777" w:rsidR="003B184A" w:rsidRPr="003B184A" w:rsidRDefault="003B184A" w:rsidP="003B184A">
      <w:pPr>
        <w:spacing w:line="360" w:lineRule="auto"/>
        <w:jc w:val="both"/>
        <w:rPr>
          <w:rFonts w:eastAsia="Calibri"/>
          <w:color w:val="FF0000"/>
          <w:lang w:val="es-ES" w:eastAsia="en-US"/>
        </w:rPr>
      </w:pPr>
      <w:r w:rsidRPr="003B184A">
        <w:rPr>
          <w:rFonts w:eastAsia="Calibri"/>
          <w:lang w:eastAsia="en-US"/>
        </w:rPr>
        <w:t>El ángulo de fase (</w:t>
      </w:r>
      <w:proofErr w:type="spellStart"/>
      <w:r w:rsidRPr="003B184A">
        <w:rPr>
          <w:rFonts w:eastAsia="Calibri"/>
          <w:lang w:eastAsia="en-US"/>
        </w:rPr>
        <w:t>AF</w:t>
      </w:r>
      <w:proofErr w:type="spellEnd"/>
      <w:r w:rsidRPr="003B184A">
        <w:rPr>
          <w:rFonts w:eastAsia="Calibri"/>
          <w:lang w:eastAsia="en-US"/>
        </w:rPr>
        <w:t>) es un parámetro bioeléctrico resultante de la medición de la BIA y se define como el arco tangente de la relación de la reactancia capacitiva/resistencia (</w:t>
      </w:r>
      <w:proofErr w:type="spellStart"/>
      <w:r w:rsidRPr="003B184A">
        <w:rPr>
          <w:rFonts w:eastAsia="Calibri"/>
          <w:lang w:eastAsia="en-US"/>
        </w:rPr>
        <w:t>Xc</w:t>
      </w:r>
      <w:proofErr w:type="spellEnd"/>
      <w:r w:rsidRPr="003B184A">
        <w:rPr>
          <w:rFonts w:eastAsia="Calibri"/>
          <w:lang w:eastAsia="en-US"/>
        </w:rPr>
        <w:t>/R), expresado en radianes o en grados.</w:t>
      </w:r>
      <w:r w:rsidRPr="003B184A">
        <w:rPr>
          <w:rFonts w:eastAsia="Calibri"/>
          <w:lang w:val="es-ES" w:eastAsia="en-US"/>
        </w:rPr>
        <w:t xml:space="preserve"> Determina de manera indirecta la estabilidad celular, </w:t>
      </w:r>
      <w:r w:rsidRPr="003B184A">
        <w:rPr>
          <w:rFonts w:eastAsia="Calibri"/>
          <w:lang w:eastAsia="en-US"/>
        </w:rPr>
        <w:t xml:space="preserve">analiza la composición muscular establece la cantidad de agua y electrólitos como indicadores del tamaño, el número y la integridad celular, la distribución de agua en los espacios intra y extracelulares; además es un predictor de la masa celular </w:t>
      </w:r>
      <w:proofErr w:type="gramStart"/>
      <w:r w:rsidRPr="003B184A">
        <w:rPr>
          <w:rFonts w:eastAsia="Calibri"/>
          <w:lang w:eastAsia="en-US"/>
        </w:rPr>
        <w:t>corporal.</w:t>
      </w:r>
      <w:r w:rsidRPr="003B184A">
        <w:rPr>
          <w:rFonts w:eastAsia="Calibri"/>
          <w:vertAlign w:val="superscript"/>
          <w:lang w:eastAsia="en-US"/>
        </w:rPr>
        <w:t>(</w:t>
      </w:r>
      <w:proofErr w:type="gramEnd"/>
      <w:r w:rsidRPr="003B184A">
        <w:rPr>
          <w:rFonts w:eastAsia="Calibri"/>
          <w:vertAlign w:val="superscript"/>
          <w:lang w:eastAsia="en-US"/>
        </w:rPr>
        <w:t>5)</w:t>
      </w:r>
      <w:r w:rsidRPr="003B184A">
        <w:rPr>
          <w:rFonts w:eastAsia="Calibri"/>
          <w:color w:val="FF0000"/>
          <w:lang w:val="es-ES" w:eastAsia="en-US"/>
        </w:rPr>
        <w:t xml:space="preserve"> </w:t>
      </w:r>
    </w:p>
    <w:p w14:paraId="09BCC4F1" w14:textId="77777777" w:rsidR="003B184A" w:rsidRPr="003B184A" w:rsidRDefault="003B184A" w:rsidP="003B184A">
      <w:pPr>
        <w:spacing w:line="360" w:lineRule="auto"/>
        <w:jc w:val="both"/>
        <w:rPr>
          <w:rFonts w:eastAsia="Calibri"/>
          <w:color w:val="FF0000"/>
          <w:lang w:val="es-ES" w:eastAsia="en-US"/>
        </w:rPr>
      </w:pPr>
      <w:r w:rsidRPr="003B184A">
        <w:rPr>
          <w:rFonts w:eastAsia="Calibri"/>
          <w:i/>
          <w:lang w:val="es-ES" w:eastAsia="en-US"/>
        </w:rPr>
        <w:t>Ramírez Herrera</w:t>
      </w:r>
      <w:r w:rsidRPr="003B184A">
        <w:rPr>
          <w:rFonts w:eastAsia="Calibri"/>
          <w:lang w:val="es-ES" w:eastAsia="en-US"/>
        </w:rPr>
        <w:t xml:space="preserve"> y </w:t>
      </w:r>
      <w:proofErr w:type="gramStart"/>
      <w:r w:rsidRPr="003B184A">
        <w:rPr>
          <w:rFonts w:eastAsia="Calibri"/>
          <w:lang w:val="es-ES" w:eastAsia="en-US"/>
        </w:rPr>
        <w:t>otros,</w:t>
      </w:r>
      <w:r w:rsidRPr="003B184A">
        <w:rPr>
          <w:rFonts w:eastAsia="Calibri"/>
          <w:vertAlign w:val="superscript"/>
          <w:lang w:val="es-ES" w:eastAsia="en-US"/>
        </w:rPr>
        <w:t>(</w:t>
      </w:r>
      <w:proofErr w:type="gramEnd"/>
      <w:r w:rsidRPr="003B184A">
        <w:rPr>
          <w:rFonts w:eastAsia="Calibri"/>
          <w:vertAlign w:val="superscript"/>
          <w:lang w:val="es-ES" w:eastAsia="en-US"/>
        </w:rPr>
        <w:t>5)</w:t>
      </w:r>
      <w:r w:rsidRPr="003B184A">
        <w:rPr>
          <w:rFonts w:eastAsia="Calibri"/>
          <w:lang w:val="es-ES" w:eastAsia="en-US"/>
        </w:rPr>
        <w:t xml:space="preserve"> en una exploración realizada en Colombia, en estudiantes universitarios, establece que el </w:t>
      </w:r>
      <w:proofErr w:type="spellStart"/>
      <w:r w:rsidRPr="003B184A">
        <w:rPr>
          <w:rFonts w:eastAsia="Calibri"/>
          <w:lang w:val="es-ES" w:eastAsia="en-US"/>
        </w:rPr>
        <w:t>AF</w:t>
      </w:r>
      <w:proofErr w:type="spellEnd"/>
      <w:r w:rsidRPr="003B184A">
        <w:rPr>
          <w:rFonts w:eastAsia="Calibri"/>
          <w:lang w:val="es-ES" w:eastAsia="en-US"/>
        </w:rPr>
        <w:t xml:space="preserve"> puede ser un indicador del estado nutricional en adultos y niños, como también un marcador pronóstico de condiciones clínicas y para monitorizar la progre</w:t>
      </w:r>
      <w:r w:rsidRPr="003B184A">
        <w:rPr>
          <w:rFonts w:eastAsia="Calibri"/>
          <w:lang w:val="es-ES" w:eastAsia="en-US"/>
        </w:rPr>
        <w:softHyphen/>
        <w:t>sión de enfermedades.</w:t>
      </w:r>
    </w:p>
    <w:p w14:paraId="29DBF824" w14:textId="77777777" w:rsidR="003B184A" w:rsidRPr="003B184A" w:rsidRDefault="003B184A" w:rsidP="003B184A">
      <w:pPr>
        <w:spacing w:line="360" w:lineRule="auto"/>
        <w:jc w:val="both"/>
        <w:rPr>
          <w:rFonts w:eastAsia="Calibri"/>
          <w:lang w:eastAsia="en-US"/>
        </w:rPr>
      </w:pPr>
      <w:r w:rsidRPr="003B184A">
        <w:rPr>
          <w:rFonts w:eastAsia="Calibri"/>
          <w:lang w:eastAsia="en-US"/>
        </w:rPr>
        <w:t xml:space="preserve">Aunque aún es escasa la evidencia de la utilidad del método bioeléctrico en este tipo de enfermos, la persistencia del azote pandémico, la experiencia acumulada al respecto y la preocupación de gobiernos y autoridades sanitarias pudieran dar origen a futuras investigaciones que aprovechen las bondades de esta técnica. </w:t>
      </w:r>
    </w:p>
    <w:p w14:paraId="76CB4575" w14:textId="77777777" w:rsidR="003B184A" w:rsidRPr="003B184A" w:rsidRDefault="003B184A" w:rsidP="003B184A">
      <w:pPr>
        <w:spacing w:line="360" w:lineRule="auto"/>
        <w:jc w:val="both"/>
        <w:rPr>
          <w:color w:val="000000"/>
          <w:lang w:eastAsia="en-US"/>
        </w:rPr>
      </w:pPr>
      <w:r w:rsidRPr="003B184A">
        <w:rPr>
          <w:rFonts w:eastAsia="Calibri"/>
          <w:lang w:eastAsia="en-US"/>
        </w:rPr>
        <w:t xml:space="preserve">No se han encontrado evidencias de estudios sobre el tema en Cuba. Las limitaciones en el acceso a tecnologías de avanzada, así como a reactivos de laboratorio durante el alza de los casos de la COVID-19, entorpecieron </w:t>
      </w:r>
      <w:r w:rsidRPr="003B184A">
        <w:rPr>
          <w:color w:val="000000"/>
          <w:lang w:eastAsia="en-US"/>
        </w:rPr>
        <w:t xml:space="preserve">el diagnóstico oportuno y los tratamientos adecuados de estos pacientes. </w:t>
      </w:r>
    </w:p>
    <w:p w14:paraId="6F34852C" w14:textId="77777777" w:rsidR="003B184A" w:rsidRPr="003B184A" w:rsidRDefault="003B184A" w:rsidP="003B184A">
      <w:pPr>
        <w:spacing w:line="360" w:lineRule="auto"/>
        <w:jc w:val="both"/>
        <w:rPr>
          <w:color w:val="000000"/>
          <w:lang w:eastAsia="en-US"/>
        </w:rPr>
      </w:pPr>
      <w:r w:rsidRPr="003B184A">
        <w:rPr>
          <w:color w:val="000000"/>
          <w:lang w:eastAsia="en-US"/>
        </w:rPr>
        <w:t>Es novedoso obtener, a través de la BIA, una herramienta que permita al personal médico y de enfermería, medir de manera no invasiva, parámetros biológicos que posibiliten diagnosticar precozmente cambios sistémicos graves en los contagiados por el nuevo coronavirus.</w:t>
      </w:r>
    </w:p>
    <w:p w14:paraId="4CE5E9EF" w14:textId="77777777" w:rsidR="003B184A" w:rsidRPr="003B184A" w:rsidRDefault="003B184A" w:rsidP="003B184A">
      <w:pPr>
        <w:spacing w:line="360" w:lineRule="auto"/>
        <w:jc w:val="both"/>
        <w:rPr>
          <w:rFonts w:eastAsia="Calibri"/>
          <w:lang w:eastAsia="en-US"/>
        </w:rPr>
      </w:pPr>
      <w:r w:rsidRPr="003B184A">
        <w:rPr>
          <w:rFonts w:eastAsia="Calibri"/>
          <w:lang w:eastAsia="en-US"/>
        </w:rPr>
        <w:t>El presente trabajo tiene como objetivo caracterizar aspectos clínicos, bioeléctricos, epidemiológicos y nutricionales de enfermos de la COVID-19.</w:t>
      </w:r>
    </w:p>
    <w:p w14:paraId="2B4C66E5" w14:textId="77777777" w:rsidR="003B184A" w:rsidRPr="003B184A" w:rsidRDefault="003B184A" w:rsidP="003B184A">
      <w:pPr>
        <w:spacing w:line="360" w:lineRule="auto"/>
        <w:jc w:val="both"/>
        <w:rPr>
          <w:rFonts w:eastAsia="Calibri"/>
          <w:lang w:eastAsia="en-US"/>
        </w:rPr>
      </w:pPr>
    </w:p>
    <w:p w14:paraId="2D141657" w14:textId="77777777" w:rsidR="003B184A" w:rsidRPr="003B184A" w:rsidRDefault="003B184A" w:rsidP="003B184A">
      <w:pPr>
        <w:spacing w:line="360" w:lineRule="auto"/>
        <w:jc w:val="both"/>
        <w:rPr>
          <w:rFonts w:eastAsia="Calibri"/>
          <w:lang w:eastAsia="en-US"/>
        </w:rPr>
      </w:pPr>
    </w:p>
    <w:p w14:paraId="780727F7" w14:textId="77777777" w:rsidR="002B564E" w:rsidRDefault="002B564E">
      <w:pPr>
        <w:rPr>
          <w:rFonts w:eastAsia="Calibri"/>
          <w:b/>
          <w:bCs/>
          <w:sz w:val="32"/>
          <w:szCs w:val="32"/>
          <w:lang w:eastAsia="en-US"/>
        </w:rPr>
      </w:pPr>
      <w:r>
        <w:rPr>
          <w:rFonts w:eastAsia="Calibri"/>
          <w:b/>
          <w:bCs/>
          <w:sz w:val="32"/>
          <w:szCs w:val="32"/>
          <w:lang w:eastAsia="en-US"/>
        </w:rPr>
        <w:br w:type="page"/>
      </w:r>
    </w:p>
    <w:p w14:paraId="76A9D574" w14:textId="5866BA55" w:rsidR="003B184A" w:rsidRPr="003B184A" w:rsidRDefault="003B184A" w:rsidP="003B184A">
      <w:pPr>
        <w:spacing w:line="360" w:lineRule="auto"/>
        <w:jc w:val="center"/>
        <w:rPr>
          <w:rFonts w:eastAsia="Calibri"/>
          <w:b/>
          <w:bCs/>
          <w:sz w:val="32"/>
          <w:szCs w:val="32"/>
          <w:lang w:eastAsia="en-US"/>
        </w:rPr>
      </w:pPr>
      <w:r w:rsidRPr="003B184A">
        <w:rPr>
          <w:rFonts w:eastAsia="Calibri"/>
          <w:b/>
          <w:bCs/>
          <w:sz w:val="32"/>
          <w:szCs w:val="32"/>
          <w:lang w:eastAsia="en-US"/>
        </w:rPr>
        <w:lastRenderedPageBreak/>
        <w:t>MÉTODOS</w:t>
      </w:r>
    </w:p>
    <w:p w14:paraId="6C6EB8C7" w14:textId="77777777" w:rsidR="003B184A" w:rsidRPr="003B184A" w:rsidRDefault="003B184A" w:rsidP="003B184A">
      <w:pPr>
        <w:spacing w:line="360" w:lineRule="auto"/>
        <w:jc w:val="center"/>
        <w:rPr>
          <w:rFonts w:eastAsia="Calibri"/>
          <w:b/>
          <w:bCs/>
          <w:sz w:val="28"/>
          <w:szCs w:val="28"/>
          <w:lang w:eastAsia="en-US"/>
        </w:rPr>
      </w:pPr>
      <w:r w:rsidRPr="003B184A">
        <w:rPr>
          <w:rFonts w:eastAsia="Calibri"/>
          <w:b/>
          <w:bCs/>
          <w:sz w:val="28"/>
          <w:szCs w:val="28"/>
          <w:lang w:eastAsia="en-US"/>
        </w:rPr>
        <w:t>Diseño</w:t>
      </w:r>
    </w:p>
    <w:p w14:paraId="6EB38B06" w14:textId="77777777" w:rsidR="003B184A" w:rsidRPr="003B184A" w:rsidRDefault="003B184A" w:rsidP="003B184A">
      <w:pPr>
        <w:spacing w:line="360" w:lineRule="auto"/>
        <w:jc w:val="both"/>
        <w:rPr>
          <w:rFonts w:eastAsia="Calibri"/>
          <w:bCs/>
          <w:lang w:eastAsia="en-US"/>
        </w:rPr>
      </w:pPr>
      <w:r w:rsidRPr="003B184A">
        <w:rPr>
          <w:rFonts w:eastAsia="Calibri"/>
          <w:bCs/>
          <w:lang w:eastAsia="en-US"/>
        </w:rPr>
        <w:t>Se efectuó un estudio observacional y descriptivo, desde julio de 2021 hasta agosto de 2021, en el Hospital Militar “Dr. Joaquín Castillo Duany”, de Santiago de Cuba, Cuba.</w:t>
      </w:r>
    </w:p>
    <w:p w14:paraId="78E95232" w14:textId="77777777" w:rsidR="003B184A" w:rsidRPr="003B184A" w:rsidRDefault="003B184A" w:rsidP="003B184A">
      <w:pPr>
        <w:spacing w:line="360" w:lineRule="auto"/>
        <w:jc w:val="center"/>
        <w:rPr>
          <w:rFonts w:eastAsia="Calibri"/>
          <w:b/>
          <w:bCs/>
          <w:sz w:val="28"/>
          <w:szCs w:val="28"/>
          <w:lang w:eastAsia="en-US"/>
        </w:rPr>
      </w:pPr>
      <w:r w:rsidRPr="003B184A">
        <w:rPr>
          <w:rFonts w:eastAsia="Calibri"/>
          <w:b/>
          <w:bCs/>
          <w:sz w:val="28"/>
          <w:szCs w:val="28"/>
          <w:lang w:eastAsia="en-US"/>
        </w:rPr>
        <w:t>Sujetos</w:t>
      </w:r>
    </w:p>
    <w:p w14:paraId="2A035375" w14:textId="77777777" w:rsidR="003B184A" w:rsidRPr="003B184A" w:rsidRDefault="003B184A" w:rsidP="003B184A">
      <w:pPr>
        <w:spacing w:line="360" w:lineRule="auto"/>
        <w:jc w:val="both"/>
        <w:rPr>
          <w:rFonts w:eastAsia="Calibri"/>
          <w:bCs/>
          <w:lang w:val="es-MX" w:eastAsia="en-US"/>
        </w:rPr>
      </w:pPr>
      <w:r w:rsidRPr="003B184A">
        <w:rPr>
          <w:rFonts w:eastAsia="Calibri"/>
          <w:bCs/>
          <w:lang w:val="es-ES" w:eastAsia="en-US"/>
        </w:rPr>
        <w:t>Se calculó una muestra de 206 pacientes y se incluyeron 312. La selección de los participantes en el estudio se realizó mediante muestreo aleatorio simple. Este proceso se realizó con el algoritmo incluido en el paquete estadístico SPSS en su versión 25.0 para Windows.</w:t>
      </w:r>
    </w:p>
    <w:p w14:paraId="5CA57CC1" w14:textId="77777777" w:rsidR="003B184A" w:rsidRPr="003B184A" w:rsidRDefault="003B184A" w:rsidP="003B184A">
      <w:pPr>
        <w:spacing w:line="360" w:lineRule="auto"/>
        <w:jc w:val="both"/>
        <w:rPr>
          <w:rFonts w:eastAsia="Calibri"/>
          <w:bCs/>
          <w:vertAlign w:val="superscript"/>
          <w:lang w:eastAsia="en-US"/>
        </w:rPr>
      </w:pPr>
      <w:r w:rsidRPr="003B184A">
        <w:rPr>
          <w:rFonts w:eastAsia="Calibri"/>
          <w:bCs/>
          <w:lang w:eastAsia="en-US"/>
        </w:rPr>
        <w:t>Fueron seleccionados pacientes confirmados con la COVID-19, diagnosticados por la prueba de reacción en cadena de la polimerasa con reverso transcripción (</w:t>
      </w:r>
      <w:proofErr w:type="spellStart"/>
      <w:r w:rsidRPr="003B184A">
        <w:rPr>
          <w:rFonts w:eastAsia="Calibri"/>
          <w:bCs/>
          <w:lang w:eastAsia="en-US"/>
        </w:rPr>
        <w:t>RT</w:t>
      </w:r>
      <w:proofErr w:type="spellEnd"/>
      <w:r w:rsidRPr="003B184A">
        <w:rPr>
          <w:rFonts w:eastAsia="Calibri"/>
          <w:bCs/>
          <w:lang w:eastAsia="en-US"/>
        </w:rPr>
        <w:t>-PCR</w:t>
      </w:r>
      <w:proofErr w:type="gramStart"/>
      <w:r w:rsidRPr="003B184A">
        <w:rPr>
          <w:rFonts w:eastAsia="Calibri"/>
          <w:bCs/>
          <w:lang w:eastAsia="en-US"/>
        </w:rPr>
        <w:t>).</w:t>
      </w:r>
      <w:r w:rsidRPr="003B184A">
        <w:rPr>
          <w:rFonts w:eastAsia="Calibri"/>
          <w:bCs/>
          <w:vertAlign w:val="superscript"/>
          <w:lang w:eastAsia="en-US"/>
        </w:rPr>
        <w:t>(</w:t>
      </w:r>
      <w:proofErr w:type="gramEnd"/>
      <w:r w:rsidRPr="003B184A">
        <w:rPr>
          <w:rFonts w:eastAsia="Calibri"/>
          <w:bCs/>
          <w:vertAlign w:val="superscript"/>
          <w:lang w:eastAsia="en-US"/>
        </w:rPr>
        <w:t xml:space="preserve">6) </w:t>
      </w:r>
      <w:r w:rsidRPr="003B184A">
        <w:rPr>
          <w:rFonts w:eastAsia="Calibri"/>
          <w:bCs/>
          <w:lang w:eastAsia="en-US"/>
        </w:rPr>
        <w:t>Se incluyeron quienes dieron su aprobación para participar en el estudio; en los casos que por su estado fueron incapaces de ejercer este derecho, la aprobación se solicitó al familiar a cargo.</w:t>
      </w:r>
    </w:p>
    <w:p w14:paraId="53AFDC5E" w14:textId="77777777" w:rsidR="003B184A" w:rsidRPr="003B184A" w:rsidRDefault="003B184A" w:rsidP="003B184A">
      <w:pPr>
        <w:spacing w:line="360" w:lineRule="auto"/>
        <w:jc w:val="both"/>
        <w:rPr>
          <w:rFonts w:eastAsia="Calibri"/>
          <w:bCs/>
          <w:lang w:eastAsia="en-US"/>
        </w:rPr>
      </w:pPr>
      <w:r w:rsidRPr="003B184A">
        <w:rPr>
          <w:rFonts w:eastAsia="Calibri"/>
          <w:bCs/>
          <w:lang w:eastAsia="en-US"/>
        </w:rPr>
        <w:t xml:space="preserve">Se excluyeron a los menores de 18 años de edad, pacientes con implantes de marcapaso u otro dispositivo eléctrico, con clavos óseos intramedulares, prótesis articulares o portadores de algún otro material de osteosíntesis, los afectados por enfermedades que condujeron a la retención </w:t>
      </w:r>
      <w:proofErr w:type="spellStart"/>
      <w:r w:rsidRPr="003B184A">
        <w:rPr>
          <w:rFonts w:eastAsia="Calibri"/>
          <w:bCs/>
          <w:lang w:eastAsia="en-US"/>
        </w:rPr>
        <w:t>hidrosalina</w:t>
      </w:r>
      <w:proofErr w:type="spellEnd"/>
      <w:r w:rsidRPr="003B184A">
        <w:rPr>
          <w:rFonts w:eastAsia="Calibri"/>
          <w:bCs/>
          <w:lang w:eastAsia="en-US"/>
        </w:rPr>
        <w:t xml:space="preserve"> (insuficiencia renal, insuficiencia hepática), los que padecían de insuficiencia cardíaca, enfermedad pulmonar obstructiva crónica y pacientes embarazadas.</w:t>
      </w:r>
    </w:p>
    <w:p w14:paraId="1CA5DD57" w14:textId="77777777" w:rsidR="003B184A" w:rsidRPr="003B184A" w:rsidRDefault="003B184A" w:rsidP="003B184A">
      <w:pPr>
        <w:spacing w:line="360" w:lineRule="auto"/>
        <w:jc w:val="both"/>
        <w:rPr>
          <w:rFonts w:eastAsia="Calibri"/>
          <w:bCs/>
          <w:lang w:eastAsia="en-US"/>
        </w:rPr>
      </w:pPr>
      <w:r w:rsidRPr="003B184A">
        <w:rPr>
          <w:rFonts w:eastAsia="Calibri"/>
          <w:bCs/>
          <w:lang w:eastAsia="en-US"/>
        </w:rPr>
        <w:t xml:space="preserve">Para el cálculo de la muestra se empleó el programa bioestadístico </w:t>
      </w:r>
      <w:proofErr w:type="spellStart"/>
      <w:r w:rsidRPr="003B184A">
        <w:rPr>
          <w:rFonts w:eastAsia="Calibri"/>
          <w:bCs/>
          <w:lang w:eastAsia="en-US"/>
        </w:rPr>
        <w:t>GRANMO</w:t>
      </w:r>
      <w:proofErr w:type="spellEnd"/>
      <w:r w:rsidRPr="003B184A">
        <w:rPr>
          <w:rFonts w:eastAsia="Calibri"/>
          <w:bCs/>
          <w:lang w:eastAsia="en-US"/>
        </w:rPr>
        <w:t xml:space="preserve">. Se aceptó un riesgo alfa de 0,05, riesgo beta de 0,20 y tipo de contraste bilateral, con tasa de enfermos entre los no expuestos de 0,5, riesgo relativo mínimo a detectar de 1,4, razón entre el número de no expuestos y de expuestos de 1, la proporción prevista de pérdidas de seguimiento fue de 0; se utilizó la aproximación de Poisson. </w:t>
      </w:r>
    </w:p>
    <w:p w14:paraId="22290842" w14:textId="77777777" w:rsidR="003B184A" w:rsidRPr="003B184A" w:rsidRDefault="003B184A" w:rsidP="003B184A">
      <w:pPr>
        <w:spacing w:line="360" w:lineRule="auto"/>
        <w:jc w:val="center"/>
        <w:rPr>
          <w:rFonts w:eastAsia="Calibri"/>
          <w:b/>
          <w:bCs/>
          <w:sz w:val="28"/>
          <w:szCs w:val="28"/>
          <w:lang w:eastAsia="en-US"/>
        </w:rPr>
      </w:pPr>
      <w:r w:rsidRPr="003B184A">
        <w:rPr>
          <w:rFonts w:eastAsia="Calibri"/>
          <w:b/>
          <w:bCs/>
          <w:sz w:val="28"/>
          <w:szCs w:val="28"/>
          <w:lang w:eastAsia="en-US"/>
        </w:rPr>
        <w:t>Variables</w:t>
      </w:r>
    </w:p>
    <w:p w14:paraId="1B2E818E" w14:textId="77777777" w:rsidR="003B184A" w:rsidRPr="003B184A" w:rsidRDefault="003B184A" w:rsidP="002B564E">
      <w:pPr>
        <w:spacing w:line="360" w:lineRule="auto"/>
        <w:jc w:val="center"/>
        <w:rPr>
          <w:rFonts w:eastAsia="Calibri"/>
          <w:b/>
          <w:bCs/>
          <w:sz w:val="28"/>
          <w:szCs w:val="28"/>
          <w:lang w:eastAsia="en-US"/>
        </w:rPr>
      </w:pPr>
    </w:p>
    <w:p w14:paraId="622CD331" w14:textId="77777777" w:rsidR="003B184A" w:rsidRPr="003B184A" w:rsidRDefault="003B184A" w:rsidP="002B564E">
      <w:pPr>
        <w:numPr>
          <w:ilvl w:val="0"/>
          <w:numId w:val="4"/>
        </w:numPr>
        <w:spacing w:line="360" w:lineRule="auto"/>
        <w:ind w:left="284" w:hanging="284"/>
        <w:contextualSpacing/>
        <w:jc w:val="both"/>
        <w:rPr>
          <w:rFonts w:eastAsia="Calibri"/>
          <w:bCs/>
          <w:lang w:eastAsia="en-US"/>
        </w:rPr>
      </w:pPr>
      <w:r w:rsidRPr="003B184A">
        <w:rPr>
          <w:rFonts w:eastAsia="Calibri"/>
          <w:bCs/>
          <w:lang w:eastAsia="en-US"/>
        </w:rPr>
        <w:t xml:space="preserve">Edad: agrupada en 18-29 años, 30-39 años, 40-49 años, 50-59 años y los de 60 años y más. </w:t>
      </w:r>
    </w:p>
    <w:p w14:paraId="6CAED7E3" w14:textId="77777777" w:rsidR="003B184A" w:rsidRPr="003B184A" w:rsidRDefault="003B184A" w:rsidP="002B564E">
      <w:pPr>
        <w:numPr>
          <w:ilvl w:val="0"/>
          <w:numId w:val="4"/>
        </w:numPr>
        <w:spacing w:line="360" w:lineRule="auto"/>
        <w:ind w:left="284" w:hanging="284"/>
        <w:contextualSpacing/>
        <w:jc w:val="both"/>
        <w:rPr>
          <w:rFonts w:eastAsia="Calibri"/>
          <w:bCs/>
          <w:lang w:eastAsia="en-US"/>
        </w:rPr>
      </w:pPr>
      <w:r w:rsidRPr="003B184A">
        <w:rPr>
          <w:rFonts w:eastAsia="Calibri"/>
          <w:bCs/>
          <w:lang w:eastAsia="en-US"/>
        </w:rPr>
        <w:t xml:space="preserve">Sexo. </w:t>
      </w:r>
    </w:p>
    <w:p w14:paraId="0A9D1E8C" w14:textId="77777777" w:rsidR="003B184A" w:rsidRPr="003B184A" w:rsidRDefault="003B184A" w:rsidP="002B564E">
      <w:pPr>
        <w:numPr>
          <w:ilvl w:val="0"/>
          <w:numId w:val="4"/>
        </w:numPr>
        <w:spacing w:line="360" w:lineRule="auto"/>
        <w:ind w:left="284" w:hanging="284"/>
        <w:contextualSpacing/>
        <w:jc w:val="both"/>
        <w:rPr>
          <w:rFonts w:eastAsia="Calibri"/>
          <w:bCs/>
          <w:color w:val="FF0000"/>
          <w:lang w:eastAsia="en-US"/>
        </w:rPr>
      </w:pPr>
      <w:r w:rsidRPr="003B184A">
        <w:rPr>
          <w:rFonts w:eastAsia="Calibri"/>
          <w:bCs/>
          <w:lang w:eastAsia="en-US"/>
        </w:rPr>
        <w:t>Intensidad de la enfermedad según el Protocolo de actuación nacional para la COVID-19, versión 1.6:</w:t>
      </w:r>
      <w:r w:rsidRPr="003B184A">
        <w:rPr>
          <w:rFonts w:eastAsia="Calibri"/>
          <w:bCs/>
          <w:vertAlign w:val="superscript"/>
          <w:lang w:eastAsia="en-US"/>
        </w:rPr>
        <w:t>(7)</w:t>
      </w:r>
      <w:r w:rsidRPr="003B184A">
        <w:rPr>
          <w:rFonts w:eastAsia="Calibri"/>
          <w:bCs/>
          <w:lang w:eastAsia="en-US"/>
        </w:rPr>
        <w:t xml:space="preserve"> leves, moderados, graves y críticos.</w:t>
      </w:r>
    </w:p>
    <w:p w14:paraId="48A996BC" w14:textId="77777777" w:rsidR="003B184A" w:rsidRPr="003B184A" w:rsidRDefault="003B184A" w:rsidP="002B564E">
      <w:pPr>
        <w:numPr>
          <w:ilvl w:val="0"/>
          <w:numId w:val="4"/>
        </w:numPr>
        <w:spacing w:line="360" w:lineRule="auto"/>
        <w:ind w:left="284" w:hanging="284"/>
        <w:contextualSpacing/>
        <w:jc w:val="both"/>
        <w:rPr>
          <w:rFonts w:eastAsia="Calibri"/>
          <w:bCs/>
          <w:color w:val="FF0000"/>
          <w:lang w:eastAsia="en-US"/>
        </w:rPr>
      </w:pPr>
      <w:r w:rsidRPr="003B184A">
        <w:rPr>
          <w:rFonts w:eastAsia="Calibri"/>
          <w:bCs/>
          <w:lang w:eastAsia="en-US"/>
        </w:rPr>
        <w:lastRenderedPageBreak/>
        <w:t>Estado nutricional definido mediante la fórmula de Quetelet: índice de masa corporal (IMC)= peso (kg)/talla (</w:t>
      </w:r>
      <w:proofErr w:type="spellStart"/>
      <w:r w:rsidRPr="003B184A">
        <w:rPr>
          <w:rFonts w:eastAsia="Calibri"/>
          <w:bCs/>
          <w:lang w:eastAsia="en-US"/>
        </w:rPr>
        <w:t>m</w:t>
      </w:r>
      <w:r w:rsidRPr="003B184A">
        <w:rPr>
          <w:rFonts w:eastAsia="Calibri"/>
          <w:bCs/>
          <w:vertAlign w:val="superscript"/>
          <w:lang w:eastAsia="en-US"/>
        </w:rPr>
        <w:t>2</w:t>
      </w:r>
      <w:proofErr w:type="spellEnd"/>
      <w:r w:rsidRPr="003B184A">
        <w:rPr>
          <w:rFonts w:eastAsia="Calibri"/>
          <w:bCs/>
          <w:lang w:eastAsia="en-US"/>
        </w:rPr>
        <w:t xml:space="preserve">). Teniendo en cuenta los puntos de corte registrados por la Organización de las Naciones Unidas para la Alimentación y la Agricultura / Organización Mundial de la Salud, se clasificaron en: delgado (16-18,4), </w:t>
      </w:r>
      <w:proofErr w:type="spellStart"/>
      <w:r w:rsidRPr="003B184A">
        <w:rPr>
          <w:rFonts w:eastAsia="Calibri"/>
          <w:bCs/>
          <w:lang w:eastAsia="en-US"/>
        </w:rPr>
        <w:t>normopeso</w:t>
      </w:r>
      <w:proofErr w:type="spellEnd"/>
      <w:r w:rsidRPr="003B184A">
        <w:rPr>
          <w:rFonts w:eastAsia="Calibri"/>
          <w:bCs/>
          <w:lang w:eastAsia="en-US"/>
        </w:rPr>
        <w:t xml:space="preserve"> (18,5-24,9), sobrepeso (25-29,9) y obeso (≥ 30</w:t>
      </w:r>
      <w:proofErr w:type="gramStart"/>
      <w:r w:rsidRPr="003B184A">
        <w:rPr>
          <w:rFonts w:eastAsia="Calibri"/>
          <w:bCs/>
          <w:lang w:eastAsia="en-US"/>
        </w:rPr>
        <w:t>).</w:t>
      </w:r>
      <w:r w:rsidRPr="003B184A">
        <w:rPr>
          <w:rFonts w:eastAsia="Calibri"/>
          <w:bCs/>
          <w:vertAlign w:val="superscript"/>
          <w:lang w:eastAsia="en-US"/>
        </w:rPr>
        <w:t>(</w:t>
      </w:r>
      <w:proofErr w:type="gramEnd"/>
      <w:r w:rsidRPr="003B184A">
        <w:rPr>
          <w:rFonts w:eastAsia="Calibri"/>
          <w:bCs/>
          <w:vertAlign w:val="superscript"/>
          <w:lang w:eastAsia="en-US"/>
        </w:rPr>
        <w:t>8)</w:t>
      </w:r>
      <w:r w:rsidRPr="003B184A">
        <w:rPr>
          <w:rFonts w:eastAsia="Calibri"/>
          <w:bCs/>
          <w:lang w:eastAsia="en-US"/>
        </w:rPr>
        <w:t xml:space="preserve"> El peso de los pacientes expresado en kg fue medido en una pesa médica, con capacidad máxima de 160 kg y precisión de 100 g y sello de calibración adecuado. En los que, por su condición física o clínica, no pudieron ser evaluados por este método, se les calculó el peso estimado en cama, según fórmula de </w:t>
      </w:r>
      <w:proofErr w:type="gramStart"/>
      <w:r w:rsidRPr="003B184A">
        <w:rPr>
          <w:rFonts w:eastAsia="Calibri"/>
          <w:bCs/>
          <w:lang w:eastAsia="en-US"/>
        </w:rPr>
        <w:t>Rabito.</w:t>
      </w:r>
      <w:r w:rsidRPr="003B184A">
        <w:rPr>
          <w:rFonts w:eastAsia="Calibri"/>
          <w:bCs/>
          <w:vertAlign w:val="superscript"/>
          <w:lang w:eastAsia="en-US"/>
        </w:rPr>
        <w:t>(</w:t>
      </w:r>
      <w:proofErr w:type="gramEnd"/>
      <w:r w:rsidRPr="003B184A">
        <w:rPr>
          <w:rFonts w:eastAsia="Calibri"/>
          <w:bCs/>
          <w:vertAlign w:val="superscript"/>
          <w:lang w:eastAsia="en-US"/>
        </w:rPr>
        <w:t xml:space="preserve">9)  </w:t>
      </w:r>
    </w:p>
    <w:p w14:paraId="2D0874C7" w14:textId="77777777" w:rsidR="003B184A" w:rsidRPr="003B184A" w:rsidRDefault="003B184A" w:rsidP="002B564E">
      <w:pPr>
        <w:numPr>
          <w:ilvl w:val="0"/>
          <w:numId w:val="4"/>
        </w:numPr>
        <w:spacing w:line="360" w:lineRule="auto"/>
        <w:ind w:left="284" w:hanging="284"/>
        <w:contextualSpacing/>
        <w:jc w:val="both"/>
        <w:rPr>
          <w:rFonts w:eastAsia="Calibri"/>
          <w:bCs/>
          <w:lang w:eastAsia="en-US"/>
        </w:rPr>
      </w:pPr>
      <w:r w:rsidRPr="003B184A">
        <w:rPr>
          <w:rFonts w:eastAsia="Calibri"/>
          <w:bCs/>
          <w:lang w:eastAsia="en-US"/>
        </w:rPr>
        <w:t>Ángulo de fase (</w:t>
      </w:r>
      <w:proofErr w:type="spellStart"/>
      <w:r w:rsidRPr="003B184A">
        <w:rPr>
          <w:rFonts w:eastAsia="Calibri"/>
          <w:bCs/>
          <w:lang w:eastAsia="en-US"/>
        </w:rPr>
        <w:t>AF</w:t>
      </w:r>
      <w:proofErr w:type="spellEnd"/>
      <w:r w:rsidRPr="003B184A">
        <w:rPr>
          <w:rFonts w:eastAsia="Calibri"/>
          <w:bCs/>
          <w:lang w:eastAsia="en-US"/>
        </w:rPr>
        <w:t>) medido en grados.</w:t>
      </w:r>
    </w:p>
    <w:p w14:paraId="3874BEE6" w14:textId="77777777" w:rsidR="003B184A" w:rsidRPr="003B184A" w:rsidRDefault="003B184A" w:rsidP="002B564E">
      <w:pPr>
        <w:numPr>
          <w:ilvl w:val="0"/>
          <w:numId w:val="4"/>
        </w:numPr>
        <w:spacing w:line="360" w:lineRule="auto"/>
        <w:ind w:left="284" w:hanging="284"/>
        <w:contextualSpacing/>
        <w:jc w:val="both"/>
        <w:rPr>
          <w:rFonts w:eastAsia="Calibri"/>
          <w:bCs/>
          <w:lang w:eastAsia="en-US"/>
        </w:rPr>
      </w:pPr>
      <w:r w:rsidRPr="003B184A">
        <w:rPr>
          <w:rFonts w:eastAsia="Calibri"/>
          <w:bCs/>
          <w:lang w:eastAsia="en-US"/>
        </w:rPr>
        <w:t>Estado al egreso (vivos y fallecidos).</w:t>
      </w:r>
    </w:p>
    <w:p w14:paraId="71CC57C4" w14:textId="77777777" w:rsidR="003B184A" w:rsidRPr="003B184A" w:rsidRDefault="003B184A" w:rsidP="002B564E">
      <w:pPr>
        <w:numPr>
          <w:ilvl w:val="0"/>
          <w:numId w:val="4"/>
        </w:numPr>
        <w:spacing w:line="360" w:lineRule="auto"/>
        <w:ind w:left="284" w:hanging="284"/>
        <w:contextualSpacing/>
        <w:jc w:val="both"/>
        <w:rPr>
          <w:rFonts w:eastAsia="Calibri"/>
          <w:bCs/>
          <w:lang w:eastAsia="en-US"/>
        </w:rPr>
      </w:pPr>
      <w:r w:rsidRPr="003B184A">
        <w:rPr>
          <w:rFonts w:eastAsia="Calibri"/>
          <w:bCs/>
          <w:lang w:eastAsia="en-US"/>
        </w:rPr>
        <w:t>Días de evolución de la enfermedad: considerados los días desde el ingreso hospitalario, hasta el egreso de los enfermos.</w:t>
      </w:r>
    </w:p>
    <w:p w14:paraId="474FEEB7" w14:textId="77777777" w:rsidR="003B184A" w:rsidRPr="003B184A" w:rsidRDefault="003B184A" w:rsidP="002B564E">
      <w:pPr>
        <w:spacing w:line="360" w:lineRule="auto"/>
        <w:jc w:val="center"/>
        <w:rPr>
          <w:rFonts w:eastAsia="Calibri"/>
          <w:b/>
          <w:bCs/>
          <w:sz w:val="28"/>
          <w:szCs w:val="28"/>
          <w:lang w:eastAsia="en-US"/>
        </w:rPr>
      </w:pPr>
    </w:p>
    <w:p w14:paraId="6085CDB4" w14:textId="77777777" w:rsidR="003B184A" w:rsidRPr="003B184A" w:rsidRDefault="003B184A" w:rsidP="003B184A">
      <w:pPr>
        <w:spacing w:line="360" w:lineRule="auto"/>
        <w:jc w:val="center"/>
        <w:rPr>
          <w:rFonts w:eastAsia="Calibri"/>
          <w:b/>
          <w:bCs/>
          <w:sz w:val="28"/>
          <w:szCs w:val="28"/>
          <w:lang w:eastAsia="en-US"/>
        </w:rPr>
      </w:pPr>
      <w:r w:rsidRPr="003B184A">
        <w:rPr>
          <w:rFonts w:eastAsia="Calibri"/>
          <w:b/>
          <w:bCs/>
          <w:sz w:val="28"/>
          <w:szCs w:val="28"/>
          <w:lang w:eastAsia="en-US"/>
        </w:rPr>
        <w:t xml:space="preserve">Procedimientos </w:t>
      </w:r>
    </w:p>
    <w:p w14:paraId="08314976" w14:textId="77777777" w:rsidR="003B184A" w:rsidRPr="003B184A" w:rsidRDefault="003B184A" w:rsidP="003B184A">
      <w:pPr>
        <w:spacing w:line="360" w:lineRule="auto"/>
        <w:jc w:val="both"/>
        <w:rPr>
          <w:rFonts w:eastAsia="Calibri"/>
          <w:color w:val="FF0000"/>
          <w:u w:val="single"/>
          <w:lang w:eastAsia="en-US"/>
        </w:rPr>
      </w:pPr>
      <w:r w:rsidRPr="003B184A">
        <w:rPr>
          <w:rFonts w:eastAsia="Calibri"/>
          <w:bCs/>
          <w:lang w:eastAsia="en-US"/>
        </w:rPr>
        <w:t xml:space="preserve">Se diseñó y empleó una planilla recolectora de datos, los cuales se obtuvieron mediante la revisión de las historias clínicas. La información obtenida se registró en una hoja de cálculo del programa Microsoft Excel. </w:t>
      </w:r>
    </w:p>
    <w:p w14:paraId="65DBE9E3" w14:textId="77777777" w:rsidR="003B184A" w:rsidRPr="003B184A" w:rsidRDefault="003B184A" w:rsidP="003B184A">
      <w:pPr>
        <w:spacing w:line="360" w:lineRule="auto"/>
        <w:jc w:val="both"/>
        <w:rPr>
          <w:rFonts w:eastAsia="Calibri"/>
          <w:bCs/>
          <w:lang w:eastAsia="en-US"/>
        </w:rPr>
      </w:pPr>
      <w:r w:rsidRPr="003B184A">
        <w:rPr>
          <w:rFonts w:eastAsia="Calibri"/>
          <w:bCs/>
          <w:lang w:eastAsia="en-US"/>
        </w:rPr>
        <w:t>La medición de la BIA se realizó a los pacientes al momento del ingreso hospitalario y posteriormente al tercer y quinto días durante su internamiento.</w:t>
      </w:r>
      <w:r w:rsidRPr="003B184A">
        <w:rPr>
          <w:rFonts w:eastAsia="Calibri"/>
          <w:lang w:eastAsia="en-US"/>
        </w:rPr>
        <w:t xml:space="preserve"> </w:t>
      </w:r>
      <w:r w:rsidRPr="003B184A">
        <w:rPr>
          <w:rFonts w:eastAsia="Calibri"/>
          <w:bCs/>
          <w:lang w:eastAsia="en-US"/>
        </w:rPr>
        <w:t>Para esto, el equipo fue calibrado con un dispositivo de valores eléctricos conocidos, suministrado por el fabricante (</w:t>
      </w:r>
      <w:proofErr w:type="spellStart"/>
      <w:r w:rsidRPr="003B184A">
        <w:rPr>
          <w:rFonts w:eastAsia="Calibri"/>
          <w:bCs/>
          <w:lang w:eastAsia="en-US"/>
        </w:rPr>
        <w:t>Phantom</w:t>
      </w:r>
      <w:proofErr w:type="spellEnd"/>
      <w:r w:rsidRPr="003B184A">
        <w:rPr>
          <w:rFonts w:eastAsia="Calibri"/>
          <w:bCs/>
          <w:lang w:eastAsia="en-US"/>
        </w:rPr>
        <w:t xml:space="preserve">), con un error de lectura de </w:t>
      </w:r>
      <w:r w:rsidRPr="003B184A">
        <w:rPr>
          <w:rFonts w:eastAsia="Calibri"/>
          <w:bCs/>
          <w:lang w:eastAsia="en-US"/>
        </w:rPr>
        <w:sym w:font="Symbol" w:char="F0B1"/>
      </w:r>
      <w:r w:rsidRPr="003B184A">
        <w:rPr>
          <w:rFonts w:eastAsia="Calibri"/>
          <w:bCs/>
          <w:lang w:eastAsia="en-US"/>
        </w:rPr>
        <w:t xml:space="preserve"> 1 %. Se empleó el analizador de BIA, </w:t>
      </w:r>
      <w:proofErr w:type="spellStart"/>
      <w:r w:rsidRPr="003B184A">
        <w:rPr>
          <w:rFonts w:eastAsia="Calibri"/>
          <w:bCs/>
          <w:lang w:eastAsia="en-US"/>
        </w:rPr>
        <w:t>BioScan</w:t>
      </w:r>
      <w:proofErr w:type="spellEnd"/>
      <w:r w:rsidRPr="003B184A">
        <w:rPr>
          <w:rFonts w:eastAsia="Calibri"/>
          <w:bCs/>
          <w:lang w:eastAsia="en-US"/>
        </w:rPr>
        <w:t xml:space="preserve"> 98, modelo </w:t>
      </w:r>
      <w:proofErr w:type="spellStart"/>
      <w:r w:rsidRPr="003B184A">
        <w:rPr>
          <w:rFonts w:eastAsia="Calibri"/>
          <w:bCs/>
          <w:lang w:eastAsia="en-US"/>
        </w:rPr>
        <w:t>BL</w:t>
      </w:r>
      <w:proofErr w:type="spellEnd"/>
      <w:r w:rsidRPr="003B184A">
        <w:rPr>
          <w:rFonts w:eastAsia="Calibri"/>
          <w:bCs/>
          <w:lang w:eastAsia="en-US"/>
        </w:rPr>
        <w:t>-960141 (Biológica, Barcelona, España); se usó el método tetrapolar de medición a una sola frecuencia (50 kHz).</w:t>
      </w:r>
    </w:p>
    <w:p w14:paraId="40A8A83E" w14:textId="77777777" w:rsidR="003B184A" w:rsidRPr="003B184A" w:rsidRDefault="003B184A" w:rsidP="003B184A">
      <w:pPr>
        <w:spacing w:line="360" w:lineRule="auto"/>
        <w:jc w:val="both"/>
        <w:rPr>
          <w:rFonts w:eastAsia="Calibri"/>
          <w:color w:val="FF0000"/>
          <w:lang w:eastAsia="en-US"/>
        </w:rPr>
      </w:pPr>
      <w:r w:rsidRPr="003B184A">
        <w:rPr>
          <w:rFonts w:eastAsia="Calibri"/>
          <w:lang w:eastAsia="en-US"/>
        </w:rPr>
        <w:t>Los enfermos se colocaron sobre una superficie no conductora, en decúbito supino, sin prendas ni almohada bajo la cabeza; los brazos separados 30 </w:t>
      </w:r>
      <w:r w:rsidRPr="003B184A">
        <w:rPr>
          <w:rFonts w:eastAsia="Calibri"/>
          <w:vertAlign w:val="superscript"/>
          <w:lang w:eastAsia="en-US"/>
        </w:rPr>
        <w:t>o</w:t>
      </w:r>
      <w:r w:rsidRPr="003B184A">
        <w:rPr>
          <w:rFonts w:eastAsia="Calibri"/>
          <w:lang w:eastAsia="en-US"/>
        </w:rPr>
        <w:t xml:space="preserve"> del tórax y las piernas abiertas en ángulo de 45 °. Previa limpieza de la piel con alcohol, se instalaron 4 electrodos, 2 proximales (entre las epífisis distales del cúbito y del radio, al nivel de la eminencia pisciforme) e igual número en posición distal (cara anterior de la pierna, en el punto medio entre ambos maléolos</w:t>
      </w:r>
      <w:proofErr w:type="gramStart"/>
      <w:r w:rsidRPr="003B184A">
        <w:rPr>
          <w:rFonts w:eastAsia="Calibri"/>
          <w:lang w:eastAsia="en-US"/>
        </w:rPr>
        <w:t>).</w:t>
      </w:r>
      <w:r w:rsidRPr="003B184A">
        <w:rPr>
          <w:rFonts w:eastAsia="Calibri"/>
          <w:vertAlign w:val="superscript"/>
          <w:lang w:eastAsia="en-US"/>
        </w:rPr>
        <w:t>(</w:t>
      </w:r>
      <w:proofErr w:type="gramEnd"/>
      <w:r w:rsidRPr="003B184A">
        <w:rPr>
          <w:rFonts w:eastAsia="Calibri"/>
          <w:vertAlign w:val="superscript"/>
          <w:lang w:eastAsia="en-US"/>
        </w:rPr>
        <w:t>10)</w:t>
      </w:r>
      <w:r w:rsidRPr="003B184A">
        <w:rPr>
          <w:rFonts w:eastAsia="Calibri"/>
          <w:lang w:eastAsia="en-US"/>
        </w:rPr>
        <w:t xml:space="preserve"> </w:t>
      </w:r>
    </w:p>
    <w:p w14:paraId="214B3941" w14:textId="77777777" w:rsidR="003B184A" w:rsidRPr="003B184A" w:rsidRDefault="003B184A" w:rsidP="003B184A">
      <w:pPr>
        <w:spacing w:line="360" w:lineRule="auto"/>
        <w:jc w:val="center"/>
        <w:rPr>
          <w:rFonts w:eastAsia="Calibri"/>
          <w:b/>
          <w:bCs/>
          <w:sz w:val="28"/>
          <w:szCs w:val="28"/>
          <w:lang w:eastAsia="en-US"/>
        </w:rPr>
      </w:pPr>
      <w:r w:rsidRPr="003B184A">
        <w:rPr>
          <w:rFonts w:eastAsia="Calibri"/>
          <w:b/>
          <w:bCs/>
          <w:sz w:val="28"/>
          <w:szCs w:val="28"/>
          <w:lang w:eastAsia="en-US"/>
        </w:rPr>
        <w:lastRenderedPageBreak/>
        <w:t>Procesamiento</w:t>
      </w:r>
    </w:p>
    <w:p w14:paraId="5DE02736" w14:textId="77777777" w:rsidR="003B184A" w:rsidRPr="003B184A" w:rsidRDefault="003B184A" w:rsidP="003B184A">
      <w:pPr>
        <w:spacing w:line="360" w:lineRule="auto"/>
        <w:jc w:val="both"/>
        <w:rPr>
          <w:rFonts w:eastAsia="Calibri"/>
          <w:bCs/>
          <w:lang w:eastAsia="en-US"/>
        </w:rPr>
      </w:pPr>
      <w:r w:rsidRPr="003B184A">
        <w:rPr>
          <w:rFonts w:eastAsia="Calibri"/>
          <w:bCs/>
          <w:lang w:eastAsia="en-US"/>
        </w:rPr>
        <w:t xml:space="preserve">El análisis estadístico se realizó con el programa SPSS versión 25.0. Para las variables categóricas se determinaron las frecuencias absolutas y el porcentaje. Para las cuantitativas se obtuvieron las medias y desviaciones estándar (DE), se calculó el </w:t>
      </w:r>
      <w:proofErr w:type="gramStart"/>
      <w:r w:rsidRPr="003B184A">
        <w:rPr>
          <w:rFonts w:eastAsia="Calibri"/>
          <w:bCs/>
          <w:i/>
          <w:iCs/>
          <w:lang w:eastAsia="en-US"/>
        </w:rPr>
        <w:t>ji</w:t>
      </w:r>
      <w:r w:rsidRPr="003B184A">
        <w:rPr>
          <w:rFonts w:eastAsia="Calibri"/>
          <w:bCs/>
          <w:lang w:eastAsia="en-US"/>
        </w:rPr>
        <w:t xml:space="preserve"> cuadrado</w:t>
      </w:r>
      <w:proofErr w:type="gramEnd"/>
      <w:r w:rsidRPr="003B184A">
        <w:rPr>
          <w:rFonts w:eastAsia="Calibri"/>
          <w:bCs/>
          <w:lang w:eastAsia="en-US"/>
        </w:rPr>
        <w:t xml:space="preserve"> de Pearson, con nivel de significación α= 0,05.</w:t>
      </w:r>
    </w:p>
    <w:p w14:paraId="7B4D3016" w14:textId="77777777" w:rsidR="003B184A" w:rsidRPr="003B184A" w:rsidRDefault="003B184A" w:rsidP="003B184A">
      <w:pPr>
        <w:spacing w:line="360" w:lineRule="auto"/>
        <w:jc w:val="both"/>
        <w:rPr>
          <w:rFonts w:eastAsia="Calibri"/>
          <w:bCs/>
          <w:lang w:eastAsia="en-US"/>
        </w:rPr>
      </w:pPr>
      <w:r w:rsidRPr="003B184A">
        <w:rPr>
          <w:rFonts w:eastAsia="Calibri"/>
          <w:bCs/>
          <w:lang w:eastAsia="en-US"/>
        </w:rPr>
        <w:t>Los resultados se muestran en tablas y gráficos estadísticos para facilitar su interpretación y comprensión.</w:t>
      </w:r>
    </w:p>
    <w:p w14:paraId="5B3AA44B" w14:textId="77777777" w:rsidR="003B184A" w:rsidRPr="003B184A" w:rsidRDefault="003B184A" w:rsidP="003B184A">
      <w:pPr>
        <w:spacing w:line="360" w:lineRule="auto"/>
        <w:jc w:val="center"/>
        <w:rPr>
          <w:rFonts w:eastAsia="Calibri"/>
          <w:b/>
          <w:bCs/>
          <w:sz w:val="28"/>
          <w:szCs w:val="28"/>
          <w:lang w:eastAsia="en-US"/>
        </w:rPr>
      </w:pPr>
      <w:r w:rsidRPr="003B184A">
        <w:rPr>
          <w:rFonts w:eastAsia="Calibri"/>
          <w:b/>
          <w:bCs/>
          <w:sz w:val="28"/>
          <w:szCs w:val="28"/>
          <w:lang w:eastAsia="en-US"/>
        </w:rPr>
        <w:t>Aspectos bioéticos</w:t>
      </w:r>
    </w:p>
    <w:p w14:paraId="73BDA517" w14:textId="77777777" w:rsidR="003B184A" w:rsidRPr="003B184A" w:rsidRDefault="003B184A" w:rsidP="003B184A">
      <w:pPr>
        <w:spacing w:line="360" w:lineRule="auto"/>
        <w:jc w:val="both"/>
        <w:rPr>
          <w:rFonts w:eastAsia="Calibri"/>
          <w:vertAlign w:val="superscript"/>
          <w:lang w:eastAsia="en-US"/>
        </w:rPr>
      </w:pPr>
      <w:r w:rsidRPr="003B184A">
        <w:rPr>
          <w:rFonts w:eastAsia="Calibri"/>
          <w:lang w:eastAsia="en-US"/>
        </w:rPr>
        <w:t xml:space="preserve">La investigación se realizó previa autorización del Consejo Científico y de la Dirección del centro. Se cumplieron los principios éticos contenidos en la Declaración de Helsinki para las investigaciones con seres </w:t>
      </w:r>
      <w:proofErr w:type="gramStart"/>
      <w:r w:rsidRPr="003B184A">
        <w:rPr>
          <w:rFonts w:eastAsia="Calibri"/>
          <w:lang w:eastAsia="en-US"/>
        </w:rPr>
        <w:t>humanos.</w:t>
      </w:r>
      <w:r w:rsidRPr="003B184A">
        <w:rPr>
          <w:rFonts w:eastAsia="Calibri"/>
          <w:vertAlign w:val="superscript"/>
          <w:lang w:eastAsia="en-US"/>
        </w:rPr>
        <w:t>(</w:t>
      </w:r>
      <w:proofErr w:type="gramEnd"/>
      <w:r w:rsidRPr="003B184A">
        <w:rPr>
          <w:rFonts w:eastAsia="Calibri"/>
          <w:vertAlign w:val="superscript"/>
          <w:lang w:eastAsia="en-US"/>
        </w:rPr>
        <w:t xml:space="preserve">11) </w:t>
      </w:r>
    </w:p>
    <w:p w14:paraId="4D734702" w14:textId="77777777" w:rsidR="003B184A" w:rsidRPr="003B184A" w:rsidRDefault="003B184A" w:rsidP="003B184A">
      <w:pPr>
        <w:spacing w:line="360" w:lineRule="auto"/>
        <w:jc w:val="both"/>
        <w:rPr>
          <w:rFonts w:eastAsia="Calibri"/>
          <w:vertAlign w:val="superscript"/>
          <w:lang w:eastAsia="en-US"/>
        </w:rPr>
      </w:pPr>
    </w:p>
    <w:p w14:paraId="5A78080B" w14:textId="77777777" w:rsidR="003B184A" w:rsidRPr="003B184A" w:rsidRDefault="003B184A" w:rsidP="003B184A">
      <w:pPr>
        <w:spacing w:line="360" w:lineRule="auto"/>
        <w:jc w:val="both"/>
        <w:rPr>
          <w:rFonts w:eastAsia="Calibri"/>
          <w:vertAlign w:val="superscript"/>
          <w:lang w:eastAsia="en-US"/>
        </w:rPr>
      </w:pPr>
    </w:p>
    <w:p w14:paraId="49D9728D" w14:textId="77777777" w:rsidR="003B184A" w:rsidRPr="003B184A" w:rsidRDefault="003B184A" w:rsidP="003B184A">
      <w:pPr>
        <w:spacing w:line="360" w:lineRule="auto"/>
        <w:jc w:val="center"/>
        <w:rPr>
          <w:rFonts w:eastAsia="Calibri"/>
          <w:color w:val="FF0000"/>
          <w:sz w:val="32"/>
          <w:szCs w:val="32"/>
          <w:lang w:eastAsia="en-US"/>
        </w:rPr>
      </w:pPr>
      <w:r w:rsidRPr="003B184A">
        <w:rPr>
          <w:rFonts w:eastAsia="Calibri"/>
          <w:b/>
          <w:bCs/>
          <w:sz w:val="32"/>
          <w:szCs w:val="32"/>
          <w:lang w:eastAsia="en-US"/>
        </w:rPr>
        <w:t>RESULTADOS</w:t>
      </w:r>
    </w:p>
    <w:p w14:paraId="360C5BEC" w14:textId="77777777" w:rsidR="003B184A" w:rsidRPr="003B184A" w:rsidRDefault="003B184A" w:rsidP="003B184A">
      <w:pPr>
        <w:spacing w:line="360" w:lineRule="auto"/>
        <w:jc w:val="both"/>
        <w:rPr>
          <w:rFonts w:eastAsia="Calibri"/>
          <w:lang w:eastAsia="en-US"/>
        </w:rPr>
      </w:pPr>
      <w:r w:rsidRPr="003B184A">
        <w:rPr>
          <w:rFonts w:eastAsia="Calibri"/>
          <w:lang w:eastAsia="en-US"/>
        </w:rPr>
        <w:t>En la tabla 1 se observa que la media de edad de los pacientes estudiados fue de 56,7 años (DE ± 17,2) y rango de 76 años. Predominaron los pacientes del sexo masculino, con 221 enfermos (70,8 %) y el grupo etario de 60 y más años (43,3 %). Más de la mitad de los pacientes del sexo femenino (57,1 %) pertenecían a este último grupo.</w:t>
      </w:r>
    </w:p>
    <w:p w14:paraId="132F3844" w14:textId="77777777" w:rsidR="003B184A" w:rsidRPr="003B184A" w:rsidRDefault="003B184A" w:rsidP="003B184A">
      <w:pPr>
        <w:spacing w:line="360" w:lineRule="auto"/>
        <w:jc w:val="both"/>
        <w:rPr>
          <w:rFonts w:eastAsia="Calibri"/>
          <w:lang w:eastAsia="en-US"/>
        </w:rPr>
      </w:pPr>
      <w:r w:rsidRPr="003B184A">
        <w:rPr>
          <w:rFonts w:eastAsia="Calibri"/>
          <w:lang w:eastAsia="en-US"/>
        </w:rPr>
        <w:t xml:space="preserve">Al referirse a los enfermos según sexo y estado nutricional se aprecia, de forma general, mayor frecuencia del grupo </w:t>
      </w:r>
      <w:proofErr w:type="gramStart"/>
      <w:r w:rsidRPr="003B184A">
        <w:rPr>
          <w:rFonts w:eastAsia="Calibri"/>
          <w:lang w:eastAsia="en-US"/>
        </w:rPr>
        <w:t>de los sobrepeso</w:t>
      </w:r>
      <w:proofErr w:type="gramEnd"/>
      <w:r w:rsidRPr="003B184A">
        <w:rPr>
          <w:rFonts w:eastAsia="Calibri"/>
          <w:lang w:eastAsia="en-US"/>
        </w:rPr>
        <w:t>; al mismo tiempo, la obesidad fue más preponderante en el sexo femenino (26,4 %).</w:t>
      </w:r>
    </w:p>
    <w:p w14:paraId="158E3FC7" w14:textId="77777777" w:rsidR="003B184A" w:rsidRPr="003B184A" w:rsidRDefault="003B184A" w:rsidP="003B184A">
      <w:pPr>
        <w:spacing w:line="360" w:lineRule="auto"/>
        <w:jc w:val="both"/>
        <w:rPr>
          <w:rFonts w:eastAsia="Calibri"/>
          <w:lang w:eastAsia="en-US"/>
        </w:rPr>
      </w:pPr>
      <w:r w:rsidRPr="003B184A">
        <w:rPr>
          <w:rFonts w:eastAsia="Calibri"/>
          <w:lang w:eastAsia="en-US"/>
        </w:rPr>
        <w:t>Se constató que la mayoría de los pacientes presentó una forma leve de la enfermedad, independientemente del sexo. Las del sexo femenino, por su parte, fueron las más afectadas con 19,8 y 24,2 % de este grupo, con evolución a estados de grave y crítico, comparado con los del sexo masculino, con 10,0 y 16,7 %.</w:t>
      </w:r>
    </w:p>
    <w:p w14:paraId="049C4E83" w14:textId="77777777" w:rsidR="003B184A" w:rsidRPr="003B184A" w:rsidRDefault="003B184A" w:rsidP="003B184A">
      <w:pPr>
        <w:spacing w:line="360" w:lineRule="auto"/>
        <w:jc w:val="center"/>
        <w:rPr>
          <w:rFonts w:eastAsia="Calibri"/>
          <w:b/>
          <w:bCs/>
          <w:sz w:val="22"/>
          <w:szCs w:val="22"/>
          <w:lang w:eastAsia="en-US"/>
        </w:rPr>
      </w:pPr>
    </w:p>
    <w:p w14:paraId="5E2914C7" w14:textId="77777777" w:rsidR="002B564E" w:rsidRDefault="002B564E">
      <w:pPr>
        <w:rPr>
          <w:rFonts w:eastAsia="Calibri"/>
          <w:b/>
          <w:bCs/>
          <w:sz w:val="22"/>
          <w:szCs w:val="22"/>
          <w:lang w:eastAsia="en-US"/>
        </w:rPr>
      </w:pPr>
      <w:r>
        <w:rPr>
          <w:rFonts w:eastAsia="Calibri"/>
          <w:b/>
          <w:bCs/>
          <w:sz w:val="22"/>
          <w:szCs w:val="22"/>
          <w:lang w:eastAsia="en-US"/>
        </w:rPr>
        <w:br w:type="page"/>
      </w:r>
    </w:p>
    <w:p w14:paraId="7B7CB0E8" w14:textId="124E3A8E" w:rsidR="003B184A" w:rsidRPr="003B184A" w:rsidRDefault="003B184A" w:rsidP="003B184A">
      <w:pPr>
        <w:spacing w:line="360" w:lineRule="auto"/>
        <w:jc w:val="center"/>
        <w:rPr>
          <w:rFonts w:eastAsia="Calibri"/>
          <w:bCs/>
          <w:sz w:val="22"/>
          <w:szCs w:val="22"/>
          <w:lang w:eastAsia="en-US"/>
        </w:rPr>
      </w:pPr>
      <w:r w:rsidRPr="003B184A">
        <w:rPr>
          <w:rFonts w:eastAsia="Calibri"/>
          <w:b/>
          <w:bCs/>
          <w:sz w:val="22"/>
          <w:szCs w:val="22"/>
          <w:lang w:eastAsia="en-US"/>
        </w:rPr>
        <w:lastRenderedPageBreak/>
        <w:t xml:space="preserve">Tabla 1 - </w:t>
      </w:r>
      <w:r w:rsidRPr="003B184A">
        <w:rPr>
          <w:rFonts w:eastAsia="Calibri"/>
          <w:bCs/>
          <w:sz w:val="22"/>
          <w:szCs w:val="22"/>
          <w:lang w:eastAsia="en-US"/>
        </w:rPr>
        <w:t>Pacientes según sexo, en relación con el grupo etario, estado nutricional e intensidad de la enfermedad</w:t>
      </w:r>
    </w:p>
    <w:p w14:paraId="799BB2C2" w14:textId="38F73F3A" w:rsidR="003B184A" w:rsidRPr="003B184A" w:rsidRDefault="005140B6" w:rsidP="003B184A">
      <w:pPr>
        <w:spacing w:line="360" w:lineRule="auto"/>
        <w:jc w:val="center"/>
        <w:rPr>
          <w:rFonts w:eastAsia="Calibri"/>
          <w:b/>
          <w:bCs/>
          <w:lang w:eastAsia="en-US"/>
        </w:rPr>
      </w:pPr>
      <w:r w:rsidRPr="00971C1C">
        <w:rPr>
          <w:bCs/>
          <w:noProof/>
          <w:lang w:val="es-ES" w:eastAsia="es-ES"/>
        </w:rPr>
        <w:drawing>
          <wp:inline distT="0" distB="0" distL="0" distR="0" wp14:anchorId="00416D77" wp14:editId="69111617">
            <wp:extent cx="4057650" cy="4638675"/>
            <wp:effectExtent l="0" t="0" r="0" b="9525"/>
            <wp:docPr id="3" name="Imagen 3" descr="G:\21.7.23\2995\t01_299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1.7.23\2995\t01_2995.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0" cy="4638675"/>
                    </a:xfrm>
                    <a:prstGeom prst="rect">
                      <a:avLst/>
                    </a:prstGeom>
                    <a:noFill/>
                    <a:ln>
                      <a:noFill/>
                    </a:ln>
                  </pic:spPr>
                </pic:pic>
              </a:graphicData>
            </a:graphic>
          </wp:inline>
        </w:drawing>
      </w:r>
    </w:p>
    <w:p w14:paraId="3BD0A8C2" w14:textId="77777777" w:rsidR="003B184A" w:rsidRPr="003B184A" w:rsidRDefault="003B184A" w:rsidP="003B184A">
      <w:pPr>
        <w:spacing w:line="360" w:lineRule="auto"/>
        <w:jc w:val="center"/>
        <w:rPr>
          <w:rFonts w:eastAsia="Calibri"/>
          <w:sz w:val="16"/>
          <w:szCs w:val="16"/>
          <w:lang w:eastAsia="en-US"/>
        </w:rPr>
      </w:pPr>
      <w:proofErr w:type="gramStart"/>
      <w:r w:rsidRPr="003B184A">
        <w:rPr>
          <w:rFonts w:eastAsia="Calibri"/>
          <w:sz w:val="16"/>
          <w:szCs w:val="16"/>
          <w:lang w:eastAsia="en-US"/>
        </w:rPr>
        <w:t>Ji cuadrado</w:t>
      </w:r>
      <w:proofErr w:type="gramEnd"/>
      <w:r w:rsidRPr="003B184A">
        <w:rPr>
          <w:rFonts w:eastAsia="Calibri"/>
          <w:sz w:val="16"/>
          <w:szCs w:val="16"/>
          <w:lang w:eastAsia="en-US"/>
        </w:rPr>
        <w:t xml:space="preserve"> de Pearson= 12,9; p&lt; 0,005.</w:t>
      </w:r>
    </w:p>
    <w:p w14:paraId="4EE6F3DE" w14:textId="77777777" w:rsidR="003B184A" w:rsidRDefault="003B184A" w:rsidP="003B184A">
      <w:pPr>
        <w:spacing w:line="360" w:lineRule="auto"/>
        <w:jc w:val="both"/>
        <w:rPr>
          <w:rFonts w:eastAsia="Calibri"/>
          <w:bCs/>
          <w:lang w:eastAsia="en-US"/>
        </w:rPr>
      </w:pPr>
    </w:p>
    <w:p w14:paraId="1A094F9E" w14:textId="77777777" w:rsidR="003B184A" w:rsidRPr="003B184A" w:rsidRDefault="003B184A" w:rsidP="003B184A">
      <w:pPr>
        <w:spacing w:line="360" w:lineRule="auto"/>
        <w:jc w:val="both"/>
        <w:rPr>
          <w:rFonts w:eastAsia="Calibri"/>
          <w:bCs/>
          <w:lang w:eastAsia="en-US"/>
        </w:rPr>
      </w:pPr>
      <w:r w:rsidRPr="003B184A">
        <w:rPr>
          <w:rFonts w:eastAsia="Calibri"/>
          <w:bCs/>
          <w:lang w:eastAsia="en-US"/>
        </w:rPr>
        <w:t>Al particularizar en la intensidad de la enfermedad y su relación con los grupos etarios (tabla 2) llama la atención, que fueron los enfermos de 60 y más años de edad los que evolucionaron con mayor frecuencia a estados más graves, con 18,5 % y 28,9 % de graves y críticos respectivamente.</w:t>
      </w:r>
    </w:p>
    <w:p w14:paraId="324E576A" w14:textId="77777777" w:rsidR="003B184A" w:rsidRPr="003B184A" w:rsidRDefault="003B184A" w:rsidP="003B184A">
      <w:pPr>
        <w:spacing w:line="360" w:lineRule="auto"/>
        <w:jc w:val="center"/>
        <w:rPr>
          <w:rFonts w:eastAsia="Calibri"/>
          <w:b/>
          <w:bCs/>
          <w:sz w:val="22"/>
          <w:szCs w:val="22"/>
          <w:lang w:eastAsia="en-US"/>
        </w:rPr>
      </w:pPr>
    </w:p>
    <w:p w14:paraId="464B0032" w14:textId="77777777" w:rsidR="002B564E" w:rsidRDefault="002B564E">
      <w:pPr>
        <w:rPr>
          <w:rFonts w:eastAsia="Calibri"/>
          <w:b/>
          <w:bCs/>
          <w:sz w:val="22"/>
          <w:szCs w:val="22"/>
          <w:lang w:eastAsia="en-US"/>
        </w:rPr>
      </w:pPr>
      <w:r>
        <w:rPr>
          <w:rFonts w:eastAsia="Calibri"/>
          <w:b/>
          <w:bCs/>
          <w:sz w:val="22"/>
          <w:szCs w:val="22"/>
          <w:lang w:eastAsia="en-US"/>
        </w:rPr>
        <w:br w:type="page"/>
      </w:r>
    </w:p>
    <w:p w14:paraId="027C5CF8" w14:textId="352E24EA" w:rsidR="003B184A" w:rsidRPr="003B184A" w:rsidRDefault="003B184A" w:rsidP="003B184A">
      <w:pPr>
        <w:spacing w:line="360" w:lineRule="auto"/>
        <w:jc w:val="center"/>
        <w:rPr>
          <w:rFonts w:eastAsia="Calibri"/>
          <w:sz w:val="22"/>
          <w:szCs w:val="22"/>
          <w:lang w:eastAsia="en-US"/>
        </w:rPr>
      </w:pPr>
      <w:r w:rsidRPr="003B184A">
        <w:rPr>
          <w:rFonts w:eastAsia="Calibri"/>
          <w:b/>
          <w:bCs/>
          <w:sz w:val="22"/>
          <w:szCs w:val="22"/>
          <w:lang w:eastAsia="en-US"/>
        </w:rPr>
        <w:lastRenderedPageBreak/>
        <w:t>Tabla 2 –</w:t>
      </w:r>
      <w:r w:rsidRPr="003B184A">
        <w:rPr>
          <w:rFonts w:eastAsia="Calibri"/>
          <w:sz w:val="22"/>
          <w:szCs w:val="22"/>
          <w:lang w:eastAsia="en-US"/>
        </w:rPr>
        <w:t xml:space="preserve"> Pacientes según grupo etario e intensidad de la enfermedad</w:t>
      </w:r>
    </w:p>
    <w:p w14:paraId="601E8FA3" w14:textId="07B5451F" w:rsidR="005140B6" w:rsidRDefault="005140B6" w:rsidP="003B184A">
      <w:pPr>
        <w:spacing w:line="360" w:lineRule="auto"/>
        <w:jc w:val="center"/>
        <w:rPr>
          <w:i/>
          <w:iCs/>
          <w:sz w:val="16"/>
          <w:szCs w:val="16"/>
          <w:lang w:eastAsia="es-ES"/>
        </w:rPr>
      </w:pPr>
      <w:r w:rsidRPr="00971C1C">
        <w:rPr>
          <w:bCs/>
          <w:noProof/>
          <w:lang w:val="es-ES" w:eastAsia="es-ES"/>
        </w:rPr>
        <w:drawing>
          <wp:inline distT="0" distB="0" distL="0" distR="0" wp14:anchorId="50297C8B" wp14:editId="629BC8DF">
            <wp:extent cx="4314825" cy="2000250"/>
            <wp:effectExtent l="0" t="0" r="9525" b="0"/>
            <wp:docPr id="4" name="Imagen 4" descr="G:\21.7.23\2995\t02_299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1.7.23\2995\t02_2995.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2000250"/>
                    </a:xfrm>
                    <a:prstGeom prst="rect">
                      <a:avLst/>
                    </a:prstGeom>
                    <a:noFill/>
                    <a:ln>
                      <a:noFill/>
                    </a:ln>
                  </pic:spPr>
                </pic:pic>
              </a:graphicData>
            </a:graphic>
          </wp:inline>
        </w:drawing>
      </w:r>
    </w:p>
    <w:p w14:paraId="30625B9F" w14:textId="2CD77133" w:rsidR="003B184A" w:rsidRPr="003B184A" w:rsidRDefault="003B184A" w:rsidP="003B184A">
      <w:pPr>
        <w:spacing w:line="360" w:lineRule="auto"/>
        <w:jc w:val="center"/>
        <w:rPr>
          <w:rFonts w:eastAsia="Calibri"/>
          <w:sz w:val="16"/>
          <w:szCs w:val="16"/>
          <w:lang w:eastAsia="en-US"/>
        </w:rPr>
      </w:pPr>
      <w:proofErr w:type="gramStart"/>
      <w:r w:rsidRPr="003B184A">
        <w:rPr>
          <w:i/>
          <w:iCs/>
          <w:sz w:val="16"/>
          <w:szCs w:val="16"/>
          <w:lang w:eastAsia="es-ES"/>
        </w:rPr>
        <w:t>Ji</w:t>
      </w:r>
      <w:r w:rsidRPr="003B184A">
        <w:rPr>
          <w:sz w:val="16"/>
          <w:szCs w:val="16"/>
          <w:lang w:eastAsia="es-ES"/>
        </w:rPr>
        <w:t xml:space="preserve"> cuadrado</w:t>
      </w:r>
      <w:proofErr w:type="gramEnd"/>
      <w:r w:rsidRPr="003B184A">
        <w:rPr>
          <w:sz w:val="16"/>
          <w:szCs w:val="16"/>
          <w:lang w:eastAsia="es-ES"/>
        </w:rPr>
        <w:t xml:space="preserve"> de Pearson= 38,3; p&lt; 0,001.</w:t>
      </w:r>
    </w:p>
    <w:p w14:paraId="4861C1B2" w14:textId="77777777" w:rsidR="003B184A" w:rsidRPr="003B184A" w:rsidRDefault="003B184A" w:rsidP="003B184A">
      <w:pPr>
        <w:spacing w:line="360" w:lineRule="auto"/>
        <w:jc w:val="center"/>
        <w:rPr>
          <w:rFonts w:eastAsia="Calibri"/>
          <w:b/>
          <w:bCs/>
          <w:lang w:eastAsia="en-US"/>
        </w:rPr>
      </w:pPr>
    </w:p>
    <w:p w14:paraId="2C2E6D37" w14:textId="77777777" w:rsidR="003B184A" w:rsidRPr="003B184A" w:rsidRDefault="003B184A" w:rsidP="003B184A">
      <w:pPr>
        <w:spacing w:line="360" w:lineRule="auto"/>
        <w:jc w:val="both"/>
        <w:rPr>
          <w:rFonts w:eastAsia="Calibri"/>
          <w:bCs/>
          <w:lang w:eastAsia="en-US"/>
        </w:rPr>
      </w:pPr>
      <w:r w:rsidRPr="003B184A">
        <w:rPr>
          <w:rFonts w:eastAsia="Calibri"/>
          <w:bCs/>
          <w:lang w:eastAsia="en-US"/>
        </w:rPr>
        <w:t xml:space="preserve">Según empeoró el estado de los enfermos, en relación con los días de evolución de la enfermedad, disminuyeron los valores del </w:t>
      </w:r>
      <w:proofErr w:type="spellStart"/>
      <w:r w:rsidRPr="003B184A">
        <w:rPr>
          <w:rFonts w:eastAsia="Calibri"/>
          <w:bCs/>
          <w:lang w:eastAsia="en-US"/>
        </w:rPr>
        <w:t>AF</w:t>
      </w:r>
      <w:proofErr w:type="spellEnd"/>
      <w:r w:rsidRPr="003B184A">
        <w:rPr>
          <w:rFonts w:eastAsia="Calibri"/>
          <w:bCs/>
          <w:lang w:eastAsia="en-US"/>
        </w:rPr>
        <w:t>; se detectaron las peores cifras (&lt; 5,30</w:t>
      </w:r>
      <w:r w:rsidRPr="003B184A">
        <w:rPr>
          <w:rFonts w:eastAsia="Calibri"/>
          <w:bCs/>
          <w:vertAlign w:val="superscript"/>
          <w:lang w:eastAsia="en-US"/>
        </w:rPr>
        <w:t>0</w:t>
      </w:r>
      <w:r w:rsidRPr="003B184A">
        <w:rPr>
          <w:rFonts w:eastAsia="Calibri"/>
          <w:bCs/>
          <w:lang w:eastAsia="en-US"/>
        </w:rPr>
        <w:t>), entre los afectados que llegaron al estado de críticos (Fig. 1).</w:t>
      </w:r>
    </w:p>
    <w:p w14:paraId="0C209DCB" w14:textId="65B9432B" w:rsidR="003B184A" w:rsidRPr="003B184A" w:rsidRDefault="003B184A" w:rsidP="003B184A">
      <w:pPr>
        <w:spacing w:line="360" w:lineRule="auto"/>
        <w:jc w:val="center"/>
        <w:rPr>
          <w:rFonts w:eastAsia="Calibri"/>
          <w:bCs/>
          <w:lang w:eastAsia="en-US"/>
        </w:rPr>
      </w:pPr>
      <w:r w:rsidRPr="003B184A">
        <w:rPr>
          <w:rFonts w:eastAsia="Calibri"/>
          <w:noProof/>
          <w:lang w:eastAsia="en-US"/>
        </w:rPr>
        <w:drawing>
          <wp:inline distT="0" distB="0" distL="0" distR="0" wp14:anchorId="318092BA" wp14:editId="422D7A4A">
            <wp:extent cx="4606290" cy="3053715"/>
            <wp:effectExtent l="0" t="0" r="0" b="0"/>
            <wp:docPr id="21180444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6290" cy="3053715"/>
                    </a:xfrm>
                    <a:prstGeom prst="rect">
                      <a:avLst/>
                    </a:prstGeom>
                    <a:noFill/>
                    <a:ln>
                      <a:noFill/>
                    </a:ln>
                  </pic:spPr>
                </pic:pic>
              </a:graphicData>
            </a:graphic>
          </wp:inline>
        </w:drawing>
      </w:r>
    </w:p>
    <w:p w14:paraId="5A521ACF" w14:textId="77777777" w:rsidR="003B184A" w:rsidRPr="003B184A" w:rsidRDefault="003B184A" w:rsidP="003B184A">
      <w:pPr>
        <w:spacing w:line="360" w:lineRule="auto"/>
        <w:jc w:val="center"/>
        <w:rPr>
          <w:rFonts w:eastAsia="Calibri"/>
          <w:b/>
          <w:bCs/>
          <w:sz w:val="22"/>
          <w:szCs w:val="22"/>
          <w:lang w:eastAsia="en-US"/>
        </w:rPr>
      </w:pPr>
      <w:r w:rsidRPr="003B184A">
        <w:rPr>
          <w:rFonts w:eastAsia="Calibri"/>
          <w:b/>
          <w:bCs/>
          <w:sz w:val="22"/>
          <w:szCs w:val="22"/>
          <w:lang w:eastAsia="en-US"/>
        </w:rPr>
        <w:t xml:space="preserve">Fig. 1 – </w:t>
      </w:r>
      <w:r w:rsidRPr="003B184A">
        <w:rPr>
          <w:rFonts w:eastAsia="Calibri"/>
          <w:bCs/>
          <w:sz w:val="22"/>
          <w:szCs w:val="22"/>
          <w:lang w:eastAsia="en-US"/>
        </w:rPr>
        <w:t xml:space="preserve">Pacientes según variación del </w:t>
      </w:r>
      <w:proofErr w:type="spellStart"/>
      <w:r w:rsidRPr="003B184A">
        <w:rPr>
          <w:rFonts w:eastAsia="Calibri"/>
          <w:bCs/>
          <w:sz w:val="22"/>
          <w:szCs w:val="22"/>
          <w:lang w:eastAsia="en-US"/>
        </w:rPr>
        <w:t>AF</w:t>
      </w:r>
      <w:proofErr w:type="spellEnd"/>
      <w:r w:rsidRPr="003B184A">
        <w:rPr>
          <w:rFonts w:eastAsia="Calibri"/>
          <w:bCs/>
          <w:sz w:val="22"/>
          <w:szCs w:val="22"/>
          <w:lang w:eastAsia="en-US"/>
        </w:rPr>
        <w:t>, en relación con los días de evolución e intensidad de la enfermedad.</w:t>
      </w:r>
    </w:p>
    <w:p w14:paraId="1ADB5B88" w14:textId="77777777" w:rsidR="003B184A" w:rsidRPr="003B184A" w:rsidRDefault="003B184A" w:rsidP="003B184A">
      <w:pPr>
        <w:spacing w:line="360" w:lineRule="auto"/>
        <w:jc w:val="center"/>
        <w:rPr>
          <w:rFonts w:eastAsia="Calibri"/>
          <w:bCs/>
          <w:lang w:eastAsia="en-US"/>
        </w:rPr>
      </w:pPr>
    </w:p>
    <w:p w14:paraId="6C532C32" w14:textId="77777777" w:rsidR="003B184A" w:rsidRPr="003B184A" w:rsidRDefault="003B184A" w:rsidP="003B184A">
      <w:pPr>
        <w:spacing w:line="360" w:lineRule="auto"/>
        <w:jc w:val="both"/>
        <w:rPr>
          <w:rFonts w:eastAsia="Calibri"/>
          <w:lang w:eastAsia="en-US"/>
        </w:rPr>
      </w:pPr>
      <w:r w:rsidRPr="003B184A">
        <w:rPr>
          <w:rFonts w:eastAsia="Calibri"/>
          <w:lang w:eastAsia="en-US"/>
        </w:rPr>
        <w:lastRenderedPageBreak/>
        <w:t xml:space="preserve">En la figura 2 se muestra que fueron los egresados fallecidos, los de valores de </w:t>
      </w:r>
      <w:proofErr w:type="spellStart"/>
      <w:r w:rsidRPr="003B184A">
        <w:rPr>
          <w:rFonts w:eastAsia="Calibri"/>
          <w:lang w:eastAsia="en-US"/>
        </w:rPr>
        <w:t>AF</w:t>
      </w:r>
      <w:proofErr w:type="spellEnd"/>
      <w:r w:rsidRPr="003B184A">
        <w:rPr>
          <w:rFonts w:eastAsia="Calibri"/>
          <w:lang w:eastAsia="en-US"/>
        </w:rPr>
        <w:t xml:space="preserve"> más bajos, desde el primer día de su ingreso hospitalario.</w:t>
      </w:r>
    </w:p>
    <w:p w14:paraId="4DD3786B" w14:textId="0E3AC0C5" w:rsidR="003B184A" w:rsidRPr="003B184A" w:rsidRDefault="003B184A" w:rsidP="003B184A">
      <w:pPr>
        <w:spacing w:line="360" w:lineRule="auto"/>
        <w:jc w:val="center"/>
        <w:rPr>
          <w:rFonts w:eastAsia="Calibri"/>
          <w:b/>
          <w:bCs/>
          <w:lang w:eastAsia="en-US"/>
        </w:rPr>
      </w:pPr>
      <w:r w:rsidRPr="003B184A">
        <w:rPr>
          <w:rFonts w:eastAsia="Calibri"/>
          <w:b/>
          <w:noProof/>
          <w:lang w:eastAsia="en-US"/>
        </w:rPr>
        <w:drawing>
          <wp:inline distT="0" distB="0" distL="0" distR="0" wp14:anchorId="3421D5C4" wp14:editId="394E5C61">
            <wp:extent cx="4149090" cy="2863850"/>
            <wp:effectExtent l="0" t="0" r="0" b="0"/>
            <wp:docPr id="8688068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9090" cy="2863850"/>
                    </a:xfrm>
                    <a:prstGeom prst="rect">
                      <a:avLst/>
                    </a:prstGeom>
                    <a:noFill/>
                    <a:ln>
                      <a:noFill/>
                    </a:ln>
                  </pic:spPr>
                </pic:pic>
              </a:graphicData>
            </a:graphic>
          </wp:inline>
        </w:drawing>
      </w:r>
    </w:p>
    <w:p w14:paraId="44BF7D42" w14:textId="77777777" w:rsidR="003B184A" w:rsidRPr="003B184A" w:rsidRDefault="003B184A" w:rsidP="003B184A">
      <w:pPr>
        <w:spacing w:line="360" w:lineRule="auto"/>
        <w:jc w:val="center"/>
        <w:rPr>
          <w:rFonts w:eastAsia="Calibri"/>
          <w:bCs/>
          <w:sz w:val="22"/>
          <w:szCs w:val="22"/>
          <w:lang w:eastAsia="en-US"/>
        </w:rPr>
      </w:pPr>
      <w:r w:rsidRPr="003B184A">
        <w:rPr>
          <w:rFonts w:eastAsia="Calibri"/>
          <w:b/>
          <w:bCs/>
          <w:sz w:val="22"/>
          <w:szCs w:val="22"/>
          <w:lang w:eastAsia="en-US"/>
        </w:rPr>
        <w:t xml:space="preserve">Fig. 2 – </w:t>
      </w:r>
      <w:r w:rsidRPr="003B184A">
        <w:rPr>
          <w:rFonts w:eastAsia="Calibri"/>
          <w:bCs/>
          <w:sz w:val="22"/>
          <w:szCs w:val="22"/>
          <w:lang w:eastAsia="en-US"/>
        </w:rPr>
        <w:t xml:space="preserve">Pacientes según variación del </w:t>
      </w:r>
      <w:proofErr w:type="spellStart"/>
      <w:r w:rsidRPr="003B184A">
        <w:rPr>
          <w:rFonts w:eastAsia="Calibri"/>
          <w:bCs/>
          <w:sz w:val="22"/>
          <w:szCs w:val="22"/>
          <w:lang w:eastAsia="en-US"/>
        </w:rPr>
        <w:t>AF</w:t>
      </w:r>
      <w:proofErr w:type="spellEnd"/>
      <w:r w:rsidRPr="003B184A">
        <w:rPr>
          <w:rFonts w:eastAsia="Calibri"/>
          <w:bCs/>
          <w:sz w:val="22"/>
          <w:szCs w:val="22"/>
          <w:lang w:eastAsia="en-US"/>
        </w:rPr>
        <w:t>, en relación con los días de evolución de la enfermedad y estado al egreso.</w:t>
      </w:r>
    </w:p>
    <w:p w14:paraId="01352565" w14:textId="77777777" w:rsidR="003B184A" w:rsidRPr="003B184A" w:rsidRDefault="003B184A" w:rsidP="003B184A">
      <w:pPr>
        <w:spacing w:line="360" w:lineRule="auto"/>
        <w:jc w:val="center"/>
        <w:rPr>
          <w:rFonts w:eastAsia="Calibri"/>
          <w:b/>
          <w:bCs/>
          <w:lang w:eastAsia="en-US"/>
        </w:rPr>
      </w:pPr>
    </w:p>
    <w:p w14:paraId="6EE8540D" w14:textId="77777777" w:rsidR="003B184A" w:rsidRPr="003B184A" w:rsidRDefault="003B184A" w:rsidP="003B184A">
      <w:pPr>
        <w:spacing w:line="360" w:lineRule="auto"/>
        <w:jc w:val="both"/>
        <w:rPr>
          <w:rFonts w:eastAsia="Calibri"/>
          <w:lang w:eastAsia="en-US"/>
        </w:rPr>
      </w:pPr>
      <w:r w:rsidRPr="003B184A">
        <w:rPr>
          <w:rFonts w:eastAsia="Calibri"/>
          <w:lang w:eastAsia="en-US"/>
        </w:rPr>
        <w:t xml:space="preserve">Fallecieron un total de 69 pacientes (22,1 %). Al particularizar respecto al sexo, se aprecia predominio de los fallecidos del sexo femenino, con 28,6 %, respecto a 19,5 % del sexo masculino </w:t>
      </w:r>
      <w:r w:rsidRPr="003B184A">
        <w:rPr>
          <w:rFonts w:eastAsia="Calibri"/>
          <w:bCs/>
          <w:lang w:eastAsia="en-US"/>
        </w:rPr>
        <w:t>(Fig. 3).</w:t>
      </w:r>
    </w:p>
    <w:p w14:paraId="61ED780C" w14:textId="3237A25B" w:rsidR="003B184A" w:rsidRPr="003B184A" w:rsidRDefault="003B184A" w:rsidP="003B184A">
      <w:pPr>
        <w:spacing w:line="360" w:lineRule="auto"/>
        <w:jc w:val="center"/>
        <w:rPr>
          <w:rFonts w:eastAsia="Calibri"/>
          <w:lang w:eastAsia="en-US"/>
        </w:rPr>
      </w:pPr>
      <w:r w:rsidRPr="003B184A">
        <w:rPr>
          <w:rFonts w:eastAsia="Calibri"/>
          <w:noProof/>
          <w:lang w:eastAsia="en-US"/>
        </w:rPr>
        <w:lastRenderedPageBreak/>
        <w:drawing>
          <wp:inline distT="0" distB="0" distL="0" distR="0" wp14:anchorId="582F36C0" wp14:editId="40E527E0">
            <wp:extent cx="4149090" cy="2812415"/>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9090" cy="2812415"/>
                    </a:xfrm>
                    <a:prstGeom prst="rect">
                      <a:avLst/>
                    </a:prstGeom>
                    <a:noFill/>
                    <a:ln>
                      <a:noFill/>
                    </a:ln>
                  </pic:spPr>
                </pic:pic>
              </a:graphicData>
            </a:graphic>
          </wp:inline>
        </w:drawing>
      </w:r>
    </w:p>
    <w:p w14:paraId="6E235D5E" w14:textId="77777777" w:rsidR="003B184A" w:rsidRPr="003B184A" w:rsidRDefault="003B184A" w:rsidP="003B184A">
      <w:pPr>
        <w:spacing w:line="360" w:lineRule="auto"/>
        <w:jc w:val="center"/>
        <w:rPr>
          <w:rFonts w:eastAsia="Calibri"/>
          <w:bCs/>
          <w:sz w:val="22"/>
          <w:szCs w:val="22"/>
          <w:lang w:eastAsia="en-US"/>
        </w:rPr>
      </w:pPr>
      <w:r w:rsidRPr="003B184A">
        <w:rPr>
          <w:rFonts w:eastAsia="Calibri"/>
          <w:b/>
          <w:bCs/>
          <w:sz w:val="22"/>
          <w:szCs w:val="22"/>
          <w:lang w:eastAsia="en-US"/>
        </w:rPr>
        <w:t xml:space="preserve">Fig. 3 – </w:t>
      </w:r>
      <w:r w:rsidRPr="003B184A">
        <w:rPr>
          <w:rFonts w:eastAsia="Calibri"/>
          <w:bCs/>
          <w:sz w:val="22"/>
          <w:szCs w:val="22"/>
          <w:lang w:eastAsia="en-US"/>
        </w:rPr>
        <w:t>Pacientes según sexo y estado al egreso.</w:t>
      </w:r>
    </w:p>
    <w:p w14:paraId="4F991E74" w14:textId="77777777" w:rsidR="00F57DDD" w:rsidRDefault="00F57DDD" w:rsidP="003B184A">
      <w:pPr>
        <w:spacing w:line="360" w:lineRule="auto"/>
        <w:jc w:val="center"/>
        <w:rPr>
          <w:rFonts w:eastAsia="Calibri"/>
          <w:b/>
          <w:bCs/>
          <w:sz w:val="32"/>
          <w:szCs w:val="32"/>
          <w:lang w:eastAsia="en-US"/>
        </w:rPr>
      </w:pPr>
    </w:p>
    <w:p w14:paraId="5DC1C666" w14:textId="4FF39B49" w:rsidR="003B184A" w:rsidRPr="003B184A" w:rsidRDefault="003B184A" w:rsidP="003B184A">
      <w:pPr>
        <w:spacing w:line="360" w:lineRule="auto"/>
        <w:jc w:val="center"/>
        <w:rPr>
          <w:rFonts w:eastAsia="Calibri"/>
          <w:b/>
          <w:bCs/>
          <w:sz w:val="32"/>
          <w:szCs w:val="32"/>
          <w:lang w:eastAsia="en-US"/>
        </w:rPr>
      </w:pPr>
      <w:r w:rsidRPr="003B184A">
        <w:rPr>
          <w:rFonts w:eastAsia="Calibri"/>
          <w:b/>
          <w:bCs/>
          <w:sz w:val="32"/>
          <w:szCs w:val="32"/>
          <w:lang w:eastAsia="en-US"/>
        </w:rPr>
        <w:t>DISCUSIÓN</w:t>
      </w:r>
    </w:p>
    <w:p w14:paraId="6DE51C94" w14:textId="77777777" w:rsidR="003B184A" w:rsidRPr="003B184A" w:rsidRDefault="003B184A" w:rsidP="003B184A">
      <w:pPr>
        <w:spacing w:line="360" w:lineRule="auto"/>
        <w:jc w:val="both"/>
        <w:rPr>
          <w:rFonts w:eastAsia="Calibri"/>
          <w:lang w:eastAsia="en-US"/>
        </w:rPr>
      </w:pPr>
      <w:r w:rsidRPr="003B184A">
        <w:rPr>
          <w:rFonts w:eastAsia="Calibri"/>
          <w:lang w:eastAsia="en-US"/>
        </w:rPr>
        <w:t xml:space="preserve">Son variados los reportes de investigadores sobre la preponderancia de uno u otro sexo. </w:t>
      </w:r>
      <w:proofErr w:type="spellStart"/>
      <w:r w:rsidRPr="003B184A">
        <w:rPr>
          <w:rFonts w:eastAsia="Calibri"/>
          <w:i/>
          <w:lang w:eastAsia="en-US"/>
        </w:rPr>
        <w:t>Jaqueti</w:t>
      </w:r>
      <w:proofErr w:type="spellEnd"/>
      <w:r w:rsidRPr="003B184A">
        <w:rPr>
          <w:rFonts w:eastAsia="Calibri"/>
          <w:i/>
          <w:lang w:eastAsia="en-US"/>
        </w:rPr>
        <w:t xml:space="preserve"> Aroca</w:t>
      </w:r>
      <w:r w:rsidRPr="003B184A">
        <w:rPr>
          <w:rFonts w:eastAsia="Calibri"/>
          <w:lang w:eastAsia="en-US"/>
        </w:rPr>
        <w:t xml:space="preserve"> y </w:t>
      </w:r>
      <w:proofErr w:type="gramStart"/>
      <w:r w:rsidRPr="003B184A">
        <w:rPr>
          <w:rFonts w:eastAsia="Calibri"/>
          <w:lang w:eastAsia="en-US"/>
        </w:rPr>
        <w:t>otros</w:t>
      </w:r>
      <w:r w:rsidRPr="003B184A">
        <w:rPr>
          <w:rFonts w:eastAsia="Calibri"/>
          <w:vertAlign w:val="superscript"/>
          <w:lang w:eastAsia="en-US"/>
        </w:rPr>
        <w:t>(</w:t>
      </w:r>
      <w:proofErr w:type="gramEnd"/>
      <w:r w:rsidRPr="003B184A">
        <w:rPr>
          <w:rFonts w:eastAsia="Calibri"/>
          <w:vertAlign w:val="superscript"/>
          <w:lang w:eastAsia="en-US"/>
        </w:rPr>
        <w:t xml:space="preserve">12) </w:t>
      </w:r>
      <w:r w:rsidRPr="003B184A">
        <w:rPr>
          <w:rFonts w:eastAsia="Calibri"/>
          <w:lang w:eastAsia="en-US"/>
        </w:rPr>
        <w:t xml:space="preserve">contabilizan mayor transmisión en los hombres, lo cual coincide con los resultados del presente estudio. </w:t>
      </w:r>
      <w:r w:rsidRPr="003B184A">
        <w:rPr>
          <w:rFonts w:eastAsia="Calibri"/>
          <w:i/>
          <w:lang w:eastAsia="en-US"/>
        </w:rPr>
        <w:t>Guzmán</w:t>
      </w:r>
      <w:r w:rsidRPr="003B184A">
        <w:rPr>
          <w:rFonts w:eastAsia="Calibri"/>
          <w:lang w:eastAsia="en-US"/>
        </w:rPr>
        <w:t xml:space="preserve"> y </w:t>
      </w:r>
      <w:proofErr w:type="gramStart"/>
      <w:r w:rsidRPr="003B184A">
        <w:rPr>
          <w:rFonts w:eastAsia="Calibri"/>
          <w:lang w:eastAsia="en-US"/>
        </w:rPr>
        <w:t>otros</w:t>
      </w:r>
      <w:r w:rsidRPr="003B184A">
        <w:rPr>
          <w:rFonts w:eastAsia="Calibri"/>
          <w:vertAlign w:val="superscript"/>
          <w:lang w:eastAsia="en-US"/>
        </w:rPr>
        <w:t>(</w:t>
      </w:r>
      <w:proofErr w:type="gramEnd"/>
      <w:r w:rsidRPr="003B184A">
        <w:rPr>
          <w:rFonts w:eastAsia="Calibri"/>
          <w:vertAlign w:val="superscript"/>
          <w:lang w:eastAsia="en-US"/>
        </w:rPr>
        <w:t xml:space="preserve">2) </w:t>
      </w:r>
      <w:r w:rsidRPr="003B184A">
        <w:rPr>
          <w:rFonts w:eastAsia="Calibri"/>
          <w:lang w:eastAsia="en-US"/>
        </w:rPr>
        <w:t>hallaron predominio del sexo femenino; con medianas de edad de 65 y 44 años respectivamente, hechos diferentes a los resultados del presente trabajo.</w:t>
      </w:r>
    </w:p>
    <w:p w14:paraId="09865EB1" w14:textId="77777777" w:rsidR="003B184A" w:rsidRPr="003B184A" w:rsidRDefault="003B184A" w:rsidP="003B184A">
      <w:pPr>
        <w:spacing w:line="360" w:lineRule="auto"/>
        <w:jc w:val="both"/>
        <w:rPr>
          <w:rFonts w:eastAsia="Calibri"/>
          <w:strike/>
          <w:lang w:eastAsia="en-US"/>
        </w:rPr>
      </w:pPr>
      <w:r w:rsidRPr="003B184A">
        <w:rPr>
          <w:rFonts w:eastAsia="Calibri"/>
          <w:lang w:eastAsia="en-US"/>
        </w:rPr>
        <w:t xml:space="preserve">En </w:t>
      </w:r>
      <w:proofErr w:type="gramStart"/>
      <w:r w:rsidRPr="003B184A">
        <w:rPr>
          <w:rFonts w:eastAsia="Calibri"/>
          <w:lang w:eastAsia="en-US"/>
        </w:rPr>
        <w:t>Colombia,</w:t>
      </w:r>
      <w:r w:rsidRPr="003B184A">
        <w:rPr>
          <w:rFonts w:eastAsia="Calibri"/>
          <w:vertAlign w:val="superscript"/>
          <w:lang w:eastAsia="en-US"/>
        </w:rPr>
        <w:t>(</w:t>
      </w:r>
      <w:proofErr w:type="gramEnd"/>
      <w:r w:rsidRPr="003B184A">
        <w:rPr>
          <w:rFonts w:eastAsia="Calibri"/>
          <w:vertAlign w:val="superscript"/>
          <w:lang w:eastAsia="en-US"/>
        </w:rPr>
        <w:t xml:space="preserve">13) </w:t>
      </w:r>
      <w:r w:rsidRPr="003B184A">
        <w:rPr>
          <w:rFonts w:eastAsia="Calibri"/>
          <w:lang w:eastAsia="en-US"/>
        </w:rPr>
        <w:t xml:space="preserve">para el 3 de julio de 2020, se habían confirmado 106 110 casos, 57 176 (53,9 %) hombres y 48 934 (46,1 %) mujeres. Las frecuencias de casos de contagios confirmados eran similares entre ambos sexos, sin embargo, la investigación expone divergencias en relación con los resultados de este estudio, al recalcar, que con independencia de que son infectados por el virus un número similar de hembras y varones, se recoge mayor gravedad de la enfermedad entre los varones.  El estudio asevera </w:t>
      </w:r>
      <w:proofErr w:type="gramStart"/>
      <w:r w:rsidRPr="003B184A">
        <w:rPr>
          <w:rFonts w:eastAsia="Calibri"/>
          <w:lang w:eastAsia="en-US"/>
        </w:rPr>
        <w:t>que</w:t>
      </w:r>
      <w:proofErr w:type="gramEnd"/>
      <w:r w:rsidRPr="003B184A">
        <w:rPr>
          <w:rFonts w:eastAsia="Calibri"/>
          <w:lang w:eastAsia="en-US"/>
        </w:rPr>
        <w:t xml:space="preserve"> de los 3641 fallecidos, 2258 (62,0 %) fueron del sexo masculino y 1383 (38,0 %) del femenino. </w:t>
      </w:r>
    </w:p>
    <w:p w14:paraId="02EB68C6" w14:textId="77777777" w:rsidR="003B184A" w:rsidRPr="003B184A" w:rsidRDefault="003B184A" w:rsidP="003B184A">
      <w:pPr>
        <w:spacing w:line="360" w:lineRule="auto"/>
        <w:jc w:val="both"/>
        <w:rPr>
          <w:rFonts w:eastAsia="Calibri"/>
          <w:lang w:eastAsia="en-US"/>
        </w:rPr>
      </w:pPr>
      <w:r w:rsidRPr="003B184A">
        <w:rPr>
          <w:rFonts w:eastAsia="Calibri"/>
          <w:lang w:eastAsia="en-US"/>
        </w:rPr>
        <w:t xml:space="preserve">Autores como </w:t>
      </w:r>
      <w:proofErr w:type="spellStart"/>
      <w:r w:rsidRPr="003B184A">
        <w:rPr>
          <w:rFonts w:eastAsia="Calibri"/>
          <w:i/>
          <w:lang w:eastAsia="en-US"/>
        </w:rPr>
        <w:t>Samada</w:t>
      </w:r>
      <w:proofErr w:type="spellEnd"/>
      <w:r w:rsidRPr="003B184A">
        <w:rPr>
          <w:rFonts w:eastAsia="Calibri"/>
          <w:i/>
          <w:lang w:eastAsia="en-US"/>
        </w:rPr>
        <w:t xml:space="preserve"> Suárez</w:t>
      </w:r>
      <w:r w:rsidRPr="003B184A">
        <w:rPr>
          <w:rFonts w:eastAsia="Calibri"/>
          <w:lang w:eastAsia="en-US"/>
        </w:rPr>
        <w:t xml:space="preserve"> y </w:t>
      </w:r>
      <w:proofErr w:type="gramStart"/>
      <w:r w:rsidRPr="003B184A">
        <w:rPr>
          <w:rFonts w:eastAsia="Calibri"/>
          <w:lang w:eastAsia="en-US"/>
        </w:rPr>
        <w:t>otros,</w:t>
      </w:r>
      <w:r w:rsidRPr="003B184A">
        <w:rPr>
          <w:rFonts w:eastAsia="Calibri"/>
          <w:vertAlign w:val="superscript"/>
          <w:lang w:eastAsia="en-US"/>
        </w:rPr>
        <w:t>(</w:t>
      </w:r>
      <w:proofErr w:type="gramEnd"/>
      <w:r w:rsidRPr="003B184A">
        <w:rPr>
          <w:rFonts w:eastAsia="Calibri"/>
          <w:vertAlign w:val="superscript"/>
          <w:lang w:eastAsia="en-US"/>
        </w:rPr>
        <w:t>14)</w:t>
      </w:r>
      <w:r w:rsidRPr="003B184A">
        <w:rPr>
          <w:rFonts w:eastAsia="Calibri"/>
          <w:color w:val="FF0000"/>
          <w:vertAlign w:val="superscript"/>
          <w:lang w:eastAsia="en-US"/>
        </w:rPr>
        <w:t xml:space="preserve"> </w:t>
      </w:r>
      <w:r w:rsidRPr="003B184A">
        <w:rPr>
          <w:rFonts w:eastAsia="Calibri"/>
          <w:lang w:eastAsia="en-US"/>
        </w:rPr>
        <w:t>hacen hincapié en el riesgo significativamente mayor, de enfermedad grave y muerte de los hombres en relación con las mujeres.</w:t>
      </w:r>
    </w:p>
    <w:p w14:paraId="1C1F1773" w14:textId="77777777" w:rsidR="003B184A" w:rsidRPr="003B184A" w:rsidRDefault="003B184A" w:rsidP="003B184A">
      <w:pPr>
        <w:spacing w:line="360" w:lineRule="auto"/>
        <w:jc w:val="both"/>
        <w:rPr>
          <w:rFonts w:eastAsia="Calibri"/>
          <w:lang w:eastAsia="en-US"/>
        </w:rPr>
      </w:pPr>
      <w:r w:rsidRPr="003B184A">
        <w:rPr>
          <w:rFonts w:eastAsia="Calibri"/>
          <w:lang w:eastAsia="en-US"/>
        </w:rPr>
        <w:t xml:space="preserve">En una revisión sistemática realizada por </w:t>
      </w:r>
      <w:r w:rsidRPr="003B184A">
        <w:rPr>
          <w:rFonts w:eastAsia="Calibri"/>
          <w:i/>
          <w:lang w:eastAsia="en-US"/>
        </w:rPr>
        <w:t>Alfonso Guerra</w:t>
      </w:r>
      <w:r w:rsidRPr="003B184A">
        <w:rPr>
          <w:rFonts w:eastAsia="Calibri"/>
          <w:lang w:eastAsia="en-US"/>
        </w:rPr>
        <w:t xml:space="preserve"> y </w:t>
      </w:r>
      <w:proofErr w:type="gramStart"/>
      <w:r w:rsidRPr="003B184A">
        <w:rPr>
          <w:rFonts w:eastAsia="Calibri"/>
          <w:lang w:eastAsia="en-US"/>
        </w:rPr>
        <w:t>otros</w:t>
      </w:r>
      <w:r w:rsidRPr="003B184A">
        <w:rPr>
          <w:rFonts w:eastAsia="Calibri"/>
          <w:vertAlign w:val="superscript"/>
          <w:lang w:eastAsia="en-US"/>
        </w:rPr>
        <w:t>(</w:t>
      </w:r>
      <w:proofErr w:type="gramEnd"/>
      <w:r w:rsidRPr="003B184A">
        <w:rPr>
          <w:rFonts w:eastAsia="Calibri"/>
          <w:vertAlign w:val="superscript"/>
          <w:lang w:eastAsia="en-US"/>
        </w:rPr>
        <w:t>15)</w:t>
      </w:r>
      <w:r w:rsidRPr="003B184A">
        <w:rPr>
          <w:rFonts w:eastAsia="Calibri"/>
          <w:lang w:eastAsia="en-US"/>
        </w:rPr>
        <w:t xml:space="preserve"> sobre la relación entre la obesidad y las formas graves de la COVID-19, los investigadores muestran asociación entre el exceso de peso y la </w:t>
      </w:r>
      <w:r w:rsidRPr="003B184A">
        <w:rPr>
          <w:rFonts w:eastAsia="Calibri"/>
          <w:lang w:eastAsia="en-US"/>
        </w:rPr>
        <w:lastRenderedPageBreak/>
        <w:t>evolución negativa de la enfermedad; lo justifican por diversos mecanismos biológicos, como la inflamación crónica, la disfunción metabólica, la deficiencia de vitamina D, entre otros, así como también por dificultades en el manejo clínico, todo relacionado con la obesidad.</w:t>
      </w:r>
      <w:r w:rsidRPr="003B184A">
        <w:rPr>
          <w:rFonts w:eastAsia="Calibri"/>
          <w:vertAlign w:val="superscript"/>
          <w:lang w:eastAsia="en-US"/>
        </w:rPr>
        <w:t xml:space="preserve">  </w:t>
      </w:r>
      <w:r w:rsidRPr="003B184A">
        <w:rPr>
          <w:rFonts w:eastAsia="Calibri"/>
          <w:lang w:eastAsia="en-US"/>
        </w:rPr>
        <w:t>En relación con esta especificidad, se haya coincidencia con lo expuesto en la presente investigación.</w:t>
      </w:r>
    </w:p>
    <w:p w14:paraId="6FD34E00" w14:textId="77777777" w:rsidR="003B184A" w:rsidRPr="003B184A" w:rsidRDefault="003B184A" w:rsidP="003B184A">
      <w:pPr>
        <w:spacing w:line="360" w:lineRule="auto"/>
        <w:jc w:val="both"/>
        <w:rPr>
          <w:rFonts w:eastAsia="Calibri"/>
          <w:color w:val="FF0000"/>
          <w:lang w:eastAsia="en-US"/>
        </w:rPr>
      </w:pPr>
      <w:r w:rsidRPr="003B184A">
        <w:rPr>
          <w:rFonts w:eastAsia="Calibri"/>
          <w:lang w:eastAsia="en-US"/>
        </w:rPr>
        <w:t xml:space="preserve">La edad se ha definido como otro de los factores de riesgo de mayor relevancia; en este sentido </w:t>
      </w:r>
      <w:r w:rsidRPr="003B184A">
        <w:rPr>
          <w:rFonts w:eastAsia="Calibri"/>
          <w:i/>
          <w:lang w:eastAsia="en-US"/>
        </w:rPr>
        <w:t xml:space="preserve">Wu </w:t>
      </w:r>
      <w:r w:rsidRPr="003B184A">
        <w:rPr>
          <w:rFonts w:eastAsia="Calibri"/>
          <w:lang w:eastAsia="en-US"/>
        </w:rPr>
        <w:t xml:space="preserve">y </w:t>
      </w:r>
      <w:proofErr w:type="gramStart"/>
      <w:r w:rsidRPr="003B184A">
        <w:rPr>
          <w:rFonts w:eastAsia="Calibri"/>
          <w:lang w:eastAsia="en-US"/>
        </w:rPr>
        <w:t>otros</w:t>
      </w:r>
      <w:r w:rsidRPr="003B184A">
        <w:rPr>
          <w:rFonts w:eastAsia="Calibri"/>
          <w:vertAlign w:val="superscript"/>
          <w:lang w:eastAsia="en-US"/>
        </w:rPr>
        <w:t>(</w:t>
      </w:r>
      <w:proofErr w:type="gramEnd"/>
      <w:r w:rsidRPr="003B184A">
        <w:rPr>
          <w:rFonts w:eastAsia="Calibri"/>
          <w:vertAlign w:val="superscript"/>
          <w:lang w:eastAsia="en-US"/>
        </w:rPr>
        <w:t xml:space="preserve">16) </w:t>
      </w:r>
      <w:r w:rsidRPr="003B184A">
        <w:rPr>
          <w:rFonts w:eastAsia="Calibri"/>
          <w:lang w:eastAsia="en-US"/>
        </w:rPr>
        <w:t xml:space="preserve">encontraron mayor prevalencia en los afectados que superaban los 60 años de edad y especifican que con la longevidad, aumenta la probabilidad de evolucionar hacia formas más graves de la enfermedad. Lo anterior coincide con lo hallado en este estudio, sin embargo, esta variable se muestra de manera diferente en Latinoamérica, pues en 2020 se registró la enfermedad en argentinos, con una mediana de 37 años de </w:t>
      </w:r>
      <w:proofErr w:type="gramStart"/>
      <w:r w:rsidRPr="003B184A">
        <w:rPr>
          <w:rFonts w:eastAsia="Calibri"/>
          <w:lang w:eastAsia="en-US"/>
        </w:rPr>
        <w:t>edad.</w:t>
      </w:r>
      <w:r w:rsidRPr="003B184A">
        <w:rPr>
          <w:rFonts w:eastAsia="Calibri"/>
          <w:vertAlign w:val="superscript"/>
          <w:lang w:eastAsia="en-US"/>
        </w:rPr>
        <w:t>(</w:t>
      </w:r>
      <w:proofErr w:type="gramEnd"/>
      <w:r w:rsidRPr="003B184A">
        <w:rPr>
          <w:rFonts w:eastAsia="Calibri"/>
          <w:vertAlign w:val="superscript"/>
          <w:lang w:eastAsia="en-US"/>
        </w:rPr>
        <w:t xml:space="preserve">17) </w:t>
      </w:r>
    </w:p>
    <w:p w14:paraId="186441D3" w14:textId="77777777" w:rsidR="003B184A" w:rsidRPr="003B184A" w:rsidRDefault="003B184A" w:rsidP="003B184A">
      <w:pPr>
        <w:spacing w:line="360" w:lineRule="auto"/>
        <w:jc w:val="both"/>
        <w:rPr>
          <w:rFonts w:eastAsia="Calibri"/>
          <w:color w:val="FF0000"/>
          <w:lang w:eastAsia="en-US"/>
        </w:rPr>
      </w:pPr>
      <w:r w:rsidRPr="003B184A">
        <w:rPr>
          <w:rFonts w:eastAsia="Calibri"/>
          <w:lang w:eastAsia="en-US"/>
        </w:rPr>
        <w:t xml:space="preserve">En Cuba, </w:t>
      </w:r>
      <w:r w:rsidRPr="003B184A">
        <w:rPr>
          <w:rFonts w:eastAsia="Calibri"/>
          <w:i/>
          <w:lang w:eastAsia="en-US"/>
        </w:rPr>
        <w:t>González Lara</w:t>
      </w:r>
      <w:r w:rsidRPr="003B184A">
        <w:rPr>
          <w:rFonts w:eastAsia="Calibri"/>
          <w:lang w:eastAsia="en-US"/>
        </w:rPr>
        <w:t xml:space="preserve"> y </w:t>
      </w:r>
      <w:proofErr w:type="gramStart"/>
      <w:r w:rsidRPr="003B184A">
        <w:rPr>
          <w:rFonts w:eastAsia="Calibri"/>
          <w:lang w:eastAsia="en-US"/>
        </w:rPr>
        <w:t>otros,</w:t>
      </w:r>
      <w:r w:rsidRPr="003B184A">
        <w:rPr>
          <w:rFonts w:eastAsia="Calibri"/>
          <w:vertAlign w:val="superscript"/>
          <w:lang w:eastAsia="en-US"/>
        </w:rPr>
        <w:t>(</w:t>
      </w:r>
      <w:proofErr w:type="gramEnd"/>
      <w:r w:rsidRPr="003B184A">
        <w:rPr>
          <w:rFonts w:eastAsia="Calibri"/>
          <w:vertAlign w:val="superscript"/>
          <w:lang w:eastAsia="en-US"/>
        </w:rPr>
        <w:t>18)</w:t>
      </w:r>
      <w:r w:rsidRPr="003B184A">
        <w:rPr>
          <w:rFonts w:eastAsia="Calibri"/>
          <w:lang w:eastAsia="en-US"/>
        </w:rPr>
        <w:t xml:space="preserve"> en una exploración realizada en Santiago de Cuba, comenta, que, con independencia de la magnitud del riesgo, según el género y grupo etario, lo significativo es que el virus puede propagarse con mucha facilidad entre las personas que viven en proximidad con otras.</w:t>
      </w:r>
    </w:p>
    <w:p w14:paraId="593DFDD0" w14:textId="77777777" w:rsidR="003B184A" w:rsidRPr="003B184A" w:rsidRDefault="003B184A" w:rsidP="003B184A">
      <w:pPr>
        <w:spacing w:line="360" w:lineRule="auto"/>
        <w:jc w:val="both"/>
        <w:rPr>
          <w:rFonts w:eastAsia="Calibri"/>
          <w:lang w:eastAsia="en-US"/>
        </w:rPr>
      </w:pPr>
      <w:r w:rsidRPr="003B184A">
        <w:rPr>
          <w:rFonts w:eastAsia="Calibri"/>
          <w:color w:val="000000"/>
          <w:lang w:eastAsia="en-US"/>
        </w:rPr>
        <w:t xml:space="preserve">La BIA y específicamente el </w:t>
      </w:r>
      <w:proofErr w:type="spellStart"/>
      <w:r w:rsidRPr="003B184A">
        <w:rPr>
          <w:rFonts w:eastAsia="Calibri"/>
          <w:color w:val="000000"/>
          <w:lang w:eastAsia="en-US"/>
        </w:rPr>
        <w:t>AF</w:t>
      </w:r>
      <w:proofErr w:type="spellEnd"/>
      <w:r w:rsidRPr="003B184A">
        <w:rPr>
          <w:rFonts w:eastAsia="Calibri"/>
          <w:color w:val="000000"/>
          <w:lang w:eastAsia="en-US"/>
        </w:rPr>
        <w:t xml:space="preserve">, ha sido ampliamente utilizado como </w:t>
      </w:r>
      <w:r w:rsidRPr="003B184A">
        <w:rPr>
          <w:rFonts w:eastAsia="Calibri"/>
          <w:lang w:eastAsia="en-US"/>
        </w:rPr>
        <w:t xml:space="preserve">predictor, en la insuficiencia </w:t>
      </w:r>
      <w:proofErr w:type="gramStart"/>
      <w:r w:rsidRPr="003B184A">
        <w:rPr>
          <w:rFonts w:eastAsia="Calibri"/>
          <w:lang w:eastAsia="en-US"/>
        </w:rPr>
        <w:t>cardiaca</w:t>
      </w:r>
      <w:r w:rsidRPr="003B184A">
        <w:rPr>
          <w:rFonts w:eastAsia="Calibri"/>
          <w:vertAlign w:val="superscript"/>
          <w:lang w:eastAsia="en-US"/>
        </w:rPr>
        <w:t>(</w:t>
      </w:r>
      <w:proofErr w:type="gramEnd"/>
      <w:r w:rsidRPr="003B184A">
        <w:rPr>
          <w:rFonts w:eastAsia="Calibri"/>
          <w:vertAlign w:val="superscript"/>
          <w:lang w:eastAsia="en-US"/>
        </w:rPr>
        <w:t xml:space="preserve">19) </w:t>
      </w:r>
      <w:r w:rsidRPr="003B184A">
        <w:rPr>
          <w:rFonts w:eastAsia="Calibri"/>
          <w:lang w:eastAsia="en-US"/>
        </w:rPr>
        <w:t>y para el monitoreo de los aparatos respiratorio y neurológico.</w:t>
      </w:r>
      <w:r w:rsidRPr="003B184A">
        <w:rPr>
          <w:rFonts w:eastAsia="Calibri"/>
          <w:vertAlign w:val="superscript"/>
          <w:lang w:eastAsia="en-US"/>
        </w:rPr>
        <w:t xml:space="preserve">(20) </w:t>
      </w:r>
      <w:r w:rsidRPr="003B184A">
        <w:rPr>
          <w:rFonts w:eastAsia="Calibri"/>
          <w:lang w:eastAsia="en-US"/>
        </w:rPr>
        <w:t>Un estudio realizado en pacientes críticamente enfermos por la COVID-19 muestra también la utilidad de esta técnica;</w:t>
      </w:r>
      <w:r w:rsidRPr="003B184A">
        <w:rPr>
          <w:rFonts w:eastAsia="Calibri"/>
          <w:vertAlign w:val="superscript"/>
          <w:lang w:eastAsia="en-US"/>
        </w:rPr>
        <w:t xml:space="preserve">(21) </w:t>
      </w:r>
      <w:r w:rsidRPr="003B184A">
        <w:rPr>
          <w:rFonts w:eastAsia="Calibri"/>
          <w:lang w:eastAsia="en-US"/>
        </w:rPr>
        <w:t>aunque aún es escasa la evidencia del posible beneficio de la BIA en este tipo de enfermos.</w:t>
      </w:r>
    </w:p>
    <w:p w14:paraId="3A3EFD50" w14:textId="77777777" w:rsidR="003B184A" w:rsidRPr="003B184A" w:rsidRDefault="003B184A" w:rsidP="003B184A">
      <w:pPr>
        <w:spacing w:line="360" w:lineRule="auto"/>
        <w:jc w:val="both"/>
        <w:rPr>
          <w:rFonts w:eastAsia="Calibri"/>
          <w:color w:val="FF0000"/>
          <w:lang w:eastAsia="en-US"/>
        </w:rPr>
      </w:pPr>
      <w:r w:rsidRPr="003B184A">
        <w:rPr>
          <w:rFonts w:eastAsia="Calibri"/>
          <w:color w:val="000000"/>
          <w:lang w:eastAsia="en-US"/>
        </w:rPr>
        <w:t xml:space="preserve">En los afectados con mayor intensidad (graves y críticos) y peor evolución (fallecidos) de la presente investigación se obtuvieron los valores más bajos del </w:t>
      </w:r>
      <w:proofErr w:type="spellStart"/>
      <w:r w:rsidRPr="003B184A">
        <w:rPr>
          <w:rFonts w:eastAsia="Calibri"/>
          <w:color w:val="000000"/>
          <w:lang w:eastAsia="en-US"/>
        </w:rPr>
        <w:t>AF</w:t>
      </w:r>
      <w:proofErr w:type="spellEnd"/>
      <w:r w:rsidRPr="003B184A">
        <w:rPr>
          <w:rFonts w:eastAsia="Calibri"/>
          <w:color w:val="000000"/>
          <w:lang w:eastAsia="en-US"/>
        </w:rPr>
        <w:t xml:space="preserve">. Estos resultados coinciden con los de un estudio en </w:t>
      </w:r>
      <w:proofErr w:type="gramStart"/>
      <w:r w:rsidRPr="003B184A">
        <w:rPr>
          <w:rFonts w:eastAsia="Calibri"/>
          <w:color w:val="000000"/>
          <w:lang w:eastAsia="en-US"/>
        </w:rPr>
        <w:t>Brasil</w:t>
      </w:r>
      <w:r w:rsidRPr="003B184A">
        <w:rPr>
          <w:rFonts w:eastAsia="Calibri"/>
          <w:color w:val="000000"/>
          <w:vertAlign w:val="superscript"/>
          <w:lang w:eastAsia="en-US"/>
        </w:rPr>
        <w:t>(</w:t>
      </w:r>
      <w:proofErr w:type="gramEnd"/>
      <w:r w:rsidRPr="003B184A">
        <w:rPr>
          <w:rFonts w:eastAsia="Calibri"/>
          <w:color w:val="000000"/>
          <w:vertAlign w:val="superscript"/>
          <w:lang w:eastAsia="en-US"/>
        </w:rPr>
        <w:t xml:space="preserve">22) </w:t>
      </w:r>
      <w:r w:rsidRPr="003B184A">
        <w:rPr>
          <w:rFonts w:eastAsia="Calibri"/>
          <w:color w:val="000000"/>
          <w:lang w:eastAsia="en-US"/>
        </w:rPr>
        <w:t xml:space="preserve">en el cual se explica que bajos valores del </w:t>
      </w:r>
      <w:proofErr w:type="spellStart"/>
      <w:r w:rsidRPr="003B184A">
        <w:rPr>
          <w:rFonts w:eastAsia="Calibri"/>
          <w:color w:val="000000"/>
          <w:lang w:eastAsia="en-US"/>
        </w:rPr>
        <w:t>AF</w:t>
      </w:r>
      <w:proofErr w:type="spellEnd"/>
      <w:r w:rsidRPr="003B184A">
        <w:rPr>
          <w:rFonts w:eastAsia="Calibri"/>
          <w:color w:val="000000"/>
          <w:lang w:eastAsia="en-US"/>
        </w:rPr>
        <w:t xml:space="preserve"> se asociaron significativamente a peor pronóstico, en diversas situaciones clínicas en que la integridad de la membrana celular está afectada y existen alteraciones en el equilibro de fluidos.</w:t>
      </w:r>
      <w:r w:rsidRPr="003B184A">
        <w:rPr>
          <w:rFonts w:eastAsia="Calibri"/>
          <w:color w:val="000000"/>
          <w:vertAlign w:val="superscript"/>
          <w:lang w:eastAsia="en-US"/>
        </w:rPr>
        <w:t xml:space="preserve"> </w:t>
      </w:r>
    </w:p>
    <w:p w14:paraId="1D88BD5B" w14:textId="77777777" w:rsidR="003B184A" w:rsidRPr="003B184A" w:rsidRDefault="003B184A" w:rsidP="003B184A">
      <w:pPr>
        <w:spacing w:line="360" w:lineRule="auto"/>
        <w:jc w:val="both"/>
        <w:rPr>
          <w:rFonts w:eastAsia="Calibri"/>
          <w:bCs/>
          <w:color w:val="FF0000"/>
          <w:lang w:eastAsia="en-US"/>
        </w:rPr>
      </w:pPr>
      <w:r w:rsidRPr="003B184A">
        <w:rPr>
          <w:rFonts w:eastAsia="Calibri"/>
          <w:bCs/>
          <w:lang w:eastAsia="en-US"/>
        </w:rPr>
        <w:t xml:space="preserve">Los factores fisiopatológicos, similares a los descritos anteriormente, se encuentran en pacientes gravemente afectados por la COVID-19, como consecuencia de la tormenta de citoquinas e </w:t>
      </w:r>
      <w:proofErr w:type="spellStart"/>
      <w:r w:rsidRPr="003B184A">
        <w:rPr>
          <w:rFonts w:eastAsia="Calibri"/>
          <w:bCs/>
          <w:lang w:eastAsia="en-US"/>
        </w:rPr>
        <w:t>hiperinflamación</w:t>
      </w:r>
      <w:proofErr w:type="spellEnd"/>
      <w:r w:rsidRPr="003B184A">
        <w:rPr>
          <w:rFonts w:eastAsia="Calibri"/>
          <w:bCs/>
          <w:lang w:eastAsia="en-US"/>
        </w:rPr>
        <w:t xml:space="preserve"> consiguiente; uno de los problemas más difíciles al que se enfrentan los médicos que asisten a los pacientes más gravemente afectados por la infección del SARS-CoV-</w:t>
      </w:r>
      <w:proofErr w:type="gramStart"/>
      <w:r w:rsidRPr="003B184A">
        <w:rPr>
          <w:rFonts w:eastAsia="Calibri"/>
          <w:bCs/>
          <w:lang w:eastAsia="en-US"/>
        </w:rPr>
        <w:t>2.</w:t>
      </w:r>
      <w:r w:rsidRPr="003B184A">
        <w:rPr>
          <w:rFonts w:eastAsia="Calibri"/>
          <w:bCs/>
          <w:vertAlign w:val="superscript"/>
          <w:lang w:eastAsia="en-US"/>
        </w:rPr>
        <w:t>(</w:t>
      </w:r>
      <w:proofErr w:type="gramEnd"/>
      <w:r w:rsidRPr="003B184A">
        <w:rPr>
          <w:rFonts w:eastAsia="Calibri"/>
          <w:bCs/>
          <w:vertAlign w:val="superscript"/>
          <w:lang w:eastAsia="en-US"/>
        </w:rPr>
        <w:t xml:space="preserve">23) </w:t>
      </w:r>
    </w:p>
    <w:p w14:paraId="21D516FD" w14:textId="77777777" w:rsidR="003B184A" w:rsidRPr="003B184A" w:rsidRDefault="003B184A" w:rsidP="003B184A">
      <w:pPr>
        <w:spacing w:line="360" w:lineRule="auto"/>
        <w:jc w:val="both"/>
        <w:rPr>
          <w:rFonts w:eastAsia="Calibri"/>
          <w:bCs/>
          <w:lang w:val="es-ES" w:eastAsia="en-US"/>
        </w:rPr>
      </w:pPr>
      <w:r w:rsidRPr="003B184A">
        <w:rPr>
          <w:rFonts w:eastAsia="Calibri"/>
          <w:bCs/>
          <w:lang w:eastAsia="en-US"/>
        </w:rPr>
        <w:lastRenderedPageBreak/>
        <w:t xml:space="preserve">Las variaciones en los valores del </w:t>
      </w:r>
      <w:proofErr w:type="spellStart"/>
      <w:r w:rsidRPr="003B184A">
        <w:rPr>
          <w:rFonts w:eastAsia="Calibri"/>
          <w:bCs/>
          <w:lang w:eastAsia="en-US"/>
        </w:rPr>
        <w:t>AF</w:t>
      </w:r>
      <w:proofErr w:type="spellEnd"/>
      <w:r w:rsidRPr="003B184A">
        <w:rPr>
          <w:rFonts w:eastAsia="Calibri"/>
          <w:bCs/>
          <w:lang w:eastAsia="en-US"/>
        </w:rPr>
        <w:t xml:space="preserve"> pudiesen detectar tempranamente cambios corporales que revelen el comienzo del proceso de </w:t>
      </w:r>
      <w:proofErr w:type="spellStart"/>
      <w:r w:rsidRPr="003B184A">
        <w:rPr>
          <w:rFonts w:eastAsia="Calibri"/>
          <w:bCs/>
          <w:lang w:eastAsia="en-US"/>
        </w:rPr>
        <w:t>hiperinflamación</w:t>
      </w:r>
      <w:proofErr w:type="spellEnd"/>
      <w:r w:rsidRPr="003B184A">
        <w:rPr>
          <w:rFonts w:eastAsia="Calibri"/>
          <w:bCs/>
          <w:lang w:eastAsia="en-US"/>
        </w:rPr>
        <w:t xml:space="preserve"> y así predecir el momento óptimo para iniciar el tratamiento con fármacos inmunomoduladores.</w:t>
      </w:r>
      <w:r w:rsidRPr="003B184A">
        <w:rPr>
          <w:rFonts w:eastAsia="Calibri"/>
          <w:bCs/>
          <w:lang w:val="es-ES" w:eastAsia="en-US"/>
        </w:rPr>
        <w:t xml:space="preserve"> </w:t>
      </w:r>
    </w:p>
    <w:p w14:paraId="06DFB3F7" w14:textId="77777777" w:rsidR="003B184A" w:rsidRPr="003B184A" w:rsidRDefault="003B184A" w:rsidP="003B184A">
      <w:pPr>
        <w:spacing w:line="360" w:lineRule="auto"/>
        <w:jc w:val="both"/>
        <w:rPr>
          <w:rFonts w:eastAsia="Calibri"/>
          <w:bCs/>
          <w:lang w:eastAsia="en-US"/>
        </w:rPr>
      </w:pPr>
      <w:r w:rsidRPr="003B184A">
        <w:rPr>
          <w:rFonts w:eastAsia="Calibri"/>
          <w:bCs/>
          <w:lang w:val="es-ES" w:eastAsia="en-US"/>
        </w:rPr>
        <w:t xml:space="preserve">Sobre la mortalidad, en un estudio </w:t>
      </w:r>
      <w:r w:rsidRPr="003B184A">
        <w:rPr>
          <w:rFonts w:eastAsia="Calibri"/>
          <w:bCs/>
          <w:lang w:eastAsia="en-US"/>
        </w:rPr>
        <w:t>realizado en los EE.UU. de abril a mayo de 2021</w:t>
      </w:r>
      <w:r w:rsidRPr="003B184A">
        <w:rPr>
          <w:rFonts w:eastAsia="Calibri"/>
          <w:bCs/>
          <w:vertAlign w:val="superscript"/>
          <w:lang w:val="es-ES" w:eastAsia="en-US"/>
        </w:rPr>
        <w:t xml:space="preserve">(24) </w:t>
      </w:r>
      <w:r w:rsidRPr="003B184A">
        <w:rPr>
          <w:rFonts w:eastAsia="Calibri"/>
          <w:bCs/>
          <w:lang w:eastAsia="en-US"/>
        </w:rPr>
        <w:t>se reporta mayor mortalidad entre los hombres, resultados que difieren con los de esta investigación.</w:t>
      </w:r>
      <w:r w:rsidRPr="003B184A">
        <w:rPr>
          <w:rFonts w:eastAsia="Calibri"/>
          <w:bCs/>
          <w:vertAlign w:val="superscript"/>
          <w:lang w:eastAsia="en-US"/>
        </w:rPr>
        <w:t xml:space="preserve">  </w:t>
      </w:r>
      <w:r w:rsidRPr="003B184A">
        <w:rPr>
          <w:rFonts w:eastAsia="Calibri"/>
          <w:lang w:eastAsia="en-US"/>
        </w:rPr>
        <w:t>En ese mismo estudio se</w:t>
      </w:r>
      <w:r w:rsidRPr="003B184A">
        <w:rPr>
          <w:rFonts w:eastAsia="Calibri"/>
          <w:bCs/>
          <w:lang w:eastAsia="en-US"/>
        </w:rPr>
        <w:t xml:space="preserve"> reporta mucha variabilidad geográfica en cuanto a la peor evolución de los pacientes con la COVID-19, en relación con el sexo. Lo justifican más por el momento de la pandemia, en el cual se realizó la investigación y lo atribuyen también a factores estatales subyacentes; concluyen que las situaciones relacionadas con el género/sexo y otras de carácter contextual, son las responsables de las disparidades sexuales de la enfermedad. Por lo tanto, los enfoques de un solo elemento, están mal posicionados para explicarlos.</w:t>
      </w:r>
    </w:p>
    <w:p w14:paraId="4F07CC38" w14:textId="77777777" w:rsidR="003B184A" w:rsidRPr="003B184A" w:rsidRDefault="003B184A" w:rsidP="003B184A">
      <w:pPr>
        <w:spacing w:line="360" w:lineRule="auto"/>
        <w:jc w:val="both"/>
        <w:rPr>
          <w:rFonts w:eastAsia="Calibri"/>
          <w:bCs/>
          <w:lang w:eastAsia="en-US"/>
        </w:rPr>
      </w:pPr>
      <w:r w:rsidRPr="003B184A">
        <w:rPr>
          <w:rFonts w:eastAsia="Calibri"/>
          <w:bCs/>
          <w:lang w:eastAsia="en-US"/>
        </w:rPr>
        <w:t>Se concluye que es manifiesta la asociación entre el sexo femenino, la mayor edad y la obesidad con una peor evolución de la enfermedad en los pacientes afectados. Se confirma el ángulo de fase como la principal variable de la bioimpedancia eléctrica relacionada con la evolución y mortalidad de este tipo de pacientes.</w:t>
      </w:r>
    </w:p>
    <w:p w14:paraId="793250BD" w14:textId="77777777" w:rsidR="003B184A" w:rsidRPr="003B184A" w:rsidRDefault="003B184A" w:rsidP="003B184A">
      <w:pPr>
        <w:spacing w:line="360" w:lineRule="auto"/>
        <w:jc w:val="both"/>
        <w:rPr>
          <w:rFonts w:eastAsia="Calibri"/>
          <w:bCs/>
          <w:lang w:eastAsia="en-US"/>
        </w:rPr>
      </w:pPr>
    </w:p>
    <w:p w14:paraId="1A505F0B" w14:textId="77777777" w:rsidR="003B184A" w:rsidRPr="003B184A" w:rsidRDefault="003B184A" w:rsidP="003B184A">
      <w:pPr>
        <w:spacing w:line="360" w:lineRule="auto"/>
        <w:jc w:val="both"/>
        <w:rPr>
          <w:rFonts w:eastAsia="Calibri"/>
          <w:bCs/>
          <w:lang w:eastAsia="en-US"/>
        </w:rPr>
      </w:pPr>
    </w:p>
    <w:p w14:paraId="185AF08E" w14:textId="77777777" w:rsidR="003B184A" w:rsidRPr="003B184A" w:rsidRDefault="003B184A" w:rsidP="003B184A">
      <w:pPr>
        <w:spacing w:line="360" w:lineRule="auto"/>
        <w:jc w:val="center"/>
        <w:rPr>
          <w:rFonts w:eastAsia="Calibri"/>
          <w:b/>
          <w:bCs/>
          <w:sz w:val="32"/>
          <w:szCs w:val="32"/>
          <w:lang w:eastAsia="en-US"/>
        </w:rPr>
      </w:pPr>
      <w:r w:rsidRPr="003B184A">
        <w:rPr>
          <w:rFonts w:eastAsia="Calibri"/>
          <w:b/>
          <w:bCs/>
          <w:sz w:val="32"/>
          <w:szCs w:val="32"/>
          <w:lang w:eastAsia="en-US"/>
        </w:rPr>
        <w:t>REFERENCIAS BIBLIOGRÁFICAS</w:t>
      </w:r>
    </w:p>
    <w:p w14:paraId="73CB3CF7" w14:textId="77777777" w:rsidR="003B184A" w:rsidRPr="003B184A" w:rsidRDefault="003B184A" w:rsidP="003B184A">
      <w:pPr>
        <w:spacing w:line="360" w:lineRule="auto"/>
        <w:rPr>
          <w:rFonts w:eastAsia="Calibri"/>
          <w:lang w:eastAsia="en-US"/>
        </w:rPr>
      </w:pPr>
      <w:r w:rsidRPr="003B184A">
        <w:rPr>
          <w:rFonts w:eastAsia="Calibri"/>
          <w:lang w:eastAsia="en-US"/>
        </w:rPr>
        <w:t xml:space="preserve">1. </w:t>
      </w:r>
      <w:proofErr w:type="spellStart"/>
      <w:r w:rsidRPr="003B184A">
        <w:rPr>
          <w:rFonts w:eastAsia="Calibri"/>
          <w:lang w:eastAsia="en-US"/>
        </w:rPr>
        <w:t>Millan</w:t>
      </w:r>
      <w:proofErr w:type="spellEnd"/>
      <w:r w:rsidRPr="003B184A">
        <w:rPr>
          <w:rFonts w:eastAsia="Calibri"/>
          <w:lang w:eastAsia="en-US"/>
        </w:rPr>
        <w:t xml:space="preserve"> Oñate J, Rodríguez-Morales AJ, Camacho-Moreno G, Mendoza Ramírez H, Rodríguez-Sabogal IA, Álvarez-Moreno C. A new </w:t>
      </w:r>
      <w:proofErr w:type="spellStart"/>
      <w:r w:rsidRPr="003B184A">
        <w:rPr>
          <w:rFonts w:eastAsia="Calibri"/>
          <w:lang w:eastAsia="en-US"/>
        </w:rPr>
        <w:t>emerging</w:t>
      </w:r>
      <w:proofErr w:type="spellEnd"/>
      <w:r w:rsidRPr="003B184A">
        <w:rPr>
          <w:rFonts w:eastAsia="Calibri"/>
          <w:lang w:eastAsia="en-US"/>
        </w:rPr>
        <w:t xml:space="preserve"> </w:t>
      </w:r>
      <w:proofErr w:type="spellStart"/>
      <w:r w:rsidRPr="003B184A">
        <w:rPr>
          <w:rFonts w:eastAsia="Calibri"/>
          <w:lang w:eastAsia="en-US"/>
        </w:rPr>
        <w:t>zoonotic</w:t>
      </w:r>
      <w:proofErr w:type="spellEnd"/>
      <w:r w:rsidRPr="003B184A">
        <w:rPr>
          <w:rFonts w:eastAsia="Calibri"/>
          <w:lang w:eastAsia="en-US"/>
        </w:rPr>
        <w:t xml:space="preserve"> virus </w:t>
      </w:r>
      <w:proofErr w:type="spellStart"/>
      <w:r w:rsidRPr="003B184A">
        <w:rPr>
          <w:rFonts w:eastAsia="Calibri"/>
          <w:lang w:eastAsia="en-US"/>
        </w:rPr>
        <w:t>of</w:t>
      </w:r>
      <w:proofErr w:type="spellEnd"/>
      <w:r w:rsidRPr="003B184A">
        <w:rPr>
          <w:rFonts w:eastAsia="Calibri"/>
          <w:lang w:eastAsia="en-US"/>
        </w:rPr>
        <w:t xml:space="preserve"> </w:t>
      </w:r>
      <w:proofErr w:type="spellStart"/>
      <w:r w:rsidRPr="003B184A">
        <w:rPr>
          <w:rFonts w:eastAsia="Calibri"/>
          <w:lang w:eastAsia="en-US"/>
        </w:rPr>
        <w:t>concern</w:t>
      </w:r>
      <w:proofErr w:type="spellEnd"/>
      <w:r w:rsidRPr="003B184A">
        <w:rPr>
          <w:rFonts w:eastAsia="Calibri"/>
          <w:lang w:eastAsia="en-US"/>
        </w:rPr>
        <w:t xml:space="preserve">: </w:t>
      </w:r>
      <w:proofErr w:type="spellStart"/>
      <w:r w:rsidRPr="003B184A">
        <w:rPr>
          <w:rFonts w:eastAsia="Calibri"/>
          <w:lang w:eastAsia="en-US"/>
        </w:rPr>
        <w:t>the</w:t>
      </w:r>
      <w:proofErr w:type="spellEnd"/>
      <w:r w:rsidRPr="003B184A">
        <w:rPr>
          <w:rFonts w:eastAsia="Calibri"/>
          <w:lang w:eastAsia="en-US"/>
        </w:rPr>
        <w:t xml:space="preserve"> 2019 novel Coronavirus (COVID-19). </w:t>
      </w:r>
      <w:proofErr w:type="spellStart"/>
      <w:r w:rsidRPr="003B184A">
        <w:rPr>
          <w:rFonts w:eastAsia="Calibri"/>
          <w:lang w:eastAsia="en-US"/>
        </w:rPr>
        <w:t>Infection</w:t>
      </w:r>
      <w:proofErr w:type="spellEnd"/>
      <w:r w:rsidRPr="003B184A">
        <w:rPr>
          <w:rFonts w:eastAsia="Calibri"/>
          <w:lang w:eastAsia="en-US"/>
        </w:rPr>
        <w:t xml:space="preserve">. 2020 [acceso: 29/04/2020]; 24(3):187-92. Disponible en: </w:t>
      </w:r>
      <w:hyperlink r:id="rId14" w:history="1">
        <w:r w:rsidRPr="003B184A">
          <w:rPr>
            <w:rFonts w:eastAsia="Calibri"/>
            <w:color w:val="0563C1"/>
            <w:lang w:eastAsia="en-US"/>
          </w:rPr>
          <w:t>http://www.scielo.org.co/pdf/inf/v24n3/0123-9392-inf-24-03-187.pdf</w:t>
        </w:r>
      </w:hyperlink>
      <w:r w:rsidRPr="003B184A">
        <w:rPr>
          <w:rFonts w:eastAsia="Calibri"/>
          <w:lang w:eastAsia="en-US"/>
        </w:rPr>
        <w:t xml:space="preserve"> </w:t>
      </w:r>
    </w:p>
    <w:p w14:paraId="56EED793" w14:textId="77777777" w:rsidR="003B184A" w:rsidRPr="003B184A" w:rsidRDefault="003B184A" w:rsidP="003B184A">
      <w:pPr>
        <w:spacing w:line="360" w:lineRule="auto"/>
        <w:rPr>
          <w:rFonts w:eastAsia="Calibri"/>
          <w:lang w:eastAsia="en-US"/>
        </w:rPr>
      </w:pPr>
      <w:r w:rsidRPr="003B184A">
        <w:rPr>
          <w:rFonts w:eastAsia="Calibri"/>
          <w:lang w:eastAsia="en-US"/>
        </w:rPr>
        <w:t xml:space="preserve">2. Guzmán Del </w:t>
      </w:r>
      <w:proofErr w:type="spellStart"/>
      <w:r w:rsidRPr="003B184A">
        <w:rPr>
          <w:rFonts w:eastAsia="Calibri"/>
          <w:lang w:eastAsia="en-US"/>
        </w:rPr>
        <w:t>Giudice</w:t>
      </w:r>
      <w:proofErr w:type="spellEnd"/>
      <w:r w:rsidRPr="003B184A">
        <w:rPr>
          <w:rFonts w:eastAsia="Calibri"/>
          <w:lang w:eastAsia="en-US"/>
        </w:rPr>
        <w:t xml:space="preserve"> OE, </w:t>
      </w:r>
      <w:proofErr w:type="spellStart"/>
      <w:r w:rsidRPr="003B184A">
        <w:rPr>
          <w:rFonts w:eastAsia="Calibri"/>
          <w:lang w:eastAsia="en-US"/>
        </w:rPr>
        <w:t>Lucchesi</w:t>
      </w:r>
      <w:proofErr w:type="spellEnd"/>
      <w:r w:rsidRPr="003B184A">
        <w:rPr>
          <w:rFonts w:eastAsia="Calibri"/>
          <w:lang w:eastAsia="en-US"/>
        </w:rPr>
        <w:t xml:space="preserve"> Vásquez EP, Trelles De Belaúnde M, Pinedo Gonzales RH, Camere Torrealva MA, Daly A, et al. Características clínicas y epidemiológicas de 25 casos de COVID-19 atendidos en la Clínica Delgado de Lima. </w:t>
      </w:r>
      <w:proofErr w:type="spellStart"/>
      <w:r w:rsidRPr="003B184A">
        <w:rPr>
          <w:rFonts w:eastAsia="Calibri"/>
          <w:lang w:eastAsia="en-US"/>
        </w:rPr>
        <w:t>Rev</w:t>
      </w:r>
      <w:proofErr w:type="spellEnd"/>
      <w:r w:rsidRPr="003B184A">
        <w:rPr>
          <w:rFonts w:eastAsia="Calibri"/>
          <w:lang w:eastAsia="en-US"/>
        </w:rPr>
        <w:t xml:space="preserve"> </w:t>
      </w:r>
      <w:proofErr w:type="spellStart"/>
      <w:r w:rsidRPr="003B184A">
        <w:rPr>
          <w:rFonts w:eastAsia="Calibri"/>
          <w:lang w:eastAsia="en-US"/>
        </w:rPr>
        <w:t>Soc</w:t>
      </w:r>
      <w:proofErr w:type="spellEnd"/>
      <w:r w:rsidRPr="003B184A">
        <w:rPr>
          <w:rFonts w:eastAsia="Calibri"/>
          <w:lang w:eastAsia="en-US"/>
        </w:rPr>
        <w:t xml:space="preserve"> </w:t>
      </w:r>
      <w:proofErr w:type="spellStart"/>
      <w:r w:rsidRPr="003B184A">
        <w:rPr>
          <w:rFonts w:eastAsia="Calibri"/>
          <w:lang w:eastAsia="en-US"/>
        </w:rPr>
        <w:t>Peru</w:t>
      </w:r>
      <w:proofErr w:type="spellEnd"/>
      <w:r w:rsidRPr="003B184A">
        <w:rPr>
          <w:rFonts w:eastAsia="Calibri"/>
          <w:lang w:eastAsia="en-US"/>
        </w:rPr>
        <w:t xml:space="preserve"> </w:t>
      </w:r>
      <w:proofErr w:type="spellStart"/>
      <w:r w:rsidRPr="003B184A">
        <w:rPr>
          <w:rFonts w:eastAsia="Calibri"/>
          <w:lang w:eastAsia="en-US"/>
        </w:rPr>
        <w:t>Med</w:t>
      </w:r>
      <w:proofErr w:type="spellEnd"/>
      <w:r w:rsidRPr="003B184A">
        <w:rPr>
          <w:rFonts w:eastAsia="Calibri"/>
          <w:lang w:eastAsia="en-US"/>
        </w:rPr>
        <w:t xml:space="preserve"> Interna. 2020 [acceso: 29/04/2020]; 33(1):15-24. Disponible en: </w:t>
      </w:r>
      <w:hyperlink r:id="rId15" w:history="1">
        <w:r w:rsidRPr="003B184A">
          <w:rPr>
            <w:rFonts w:eastAsia="Calibri"/>
            <w:color w:val="0563C1"/>
            <w:lang w:eastAsia="en-US"/>
          </w:rPr>
          <w:t>http://revistamedicinainterna.net/index.php/spmi/article/view/506</w:t>
        </w:r>
      </w:hyperlink>
      <w:r w:rsidRPr="003B184A">
        <w:rPr>
          <w:rFonts w:eastAsia="Calibri"/>
          <w:lang w:eastAsia="en-US"/>
        </w:rPr>
        <w:t xml:space="preserve">  </w:t>
      </w:r>
    </w:p>
    <w:p w14:paraId="23D10862" w14:textId="77777777" w:rsidR="003B184A" w:rsidRPr="003B184A" w:rsidRDefault="003B184A" w:rsidP="003B184A">
      <w:pPr>
        <w:spacing w:line="360" w:lineRule="auto"/>
        <w:rPr>
          <w:rFonts w:eastAsia="Calibri"/>
          <w:lang w:eastAsia="en-US"/>
        </w:rPr>
      </w:pPr>
      <w:r w:rsidRPr="003B184A">
        <w:rPr>
          <w:rFonts w:eastAsia="Calibri"/>
          <w:lang w:eastAsia="en-US"/>
        </w:rPr>
        <w:lastRenderedPageBreak/>
        <w:t xml:space="preserve">3. </w:t>
      </w:r>
      <w:proofErr w:type="spellStart"/>
      <w:r w:rsidRPr="003B184A">
        <w:rPr>
          <w:rFonts w:eastAsia="Calibri"/>
          <w:lang w:eastAsia="en-US"/>
        </w:rPr>
        <w:t>Xaverius</w:t>
      </w:r>
      <w:proofErr w:type="spellEnd"/>
      <w:r w:rsidRPr="003B184A">
        <w:rPr>
          <w:rFonts w:eastAsia="Calibri"/>
          <w:lang w:eastAsia="en-US"/>
        </w:rPr>
        <w:t xml:space="preserve"> </w:t>
      </w:r>
      <w:proofErr w:type="spellStart"/>
      <w:r w:rsidRPr="003B184A">
        <w:rPr>
          <w:rFonts w:eastAsia="Calibri"/>
          <w:lang w:eastAsia="en-US"/>
        </w:rPr>
        <w:t>Moonen</w:t>
      </w:r>
      <w:proofErr w:type="spellEnd"/>
      <w:r w:rsidRPr="003B184A">
        <w:rPr>
          <w:rFonts w:eastAsia="Calibri"/>
          <w:lang w:eastAsia="en-US"/>
        </w:rPr>
        <w:t xml:space="preserve"> </w:t>
      </w:r>
      <w:proofErr w:type="spellStart"/>
      <w:r w:rsidRPr="003B184A">
        <w:rPr>
          <w:rFonts w:eastAsia="Calibri"/>
          <w:lang w:eastAsia="en-US"/>
        </w:rPr>
        <w:t>HPF</w:t>
      </w:r>
      <w:proofErr w:type="spellEnd"/>
      <w:r w:rsidRPr="003B184A">
        <w:rPr>
          <w:rFonts w:eastAsia="Calibri"/>
          <w:lang w:eastAsia="en-US"/>
        </w:rPr>
        <w:t xml:space="preserve">, Louise van </w:t>
      </w:r>
      <w:proofErr w:type="spellStart"/>
      <w:r w:rsidRPr="003B184A">
        <w:rPr>
          <w:rFonts w:eastAsia="Calibri"/>
          <w:lang w:eastAsia="en-US"/>
        </w:rPr>
        <w:t>Zanten</w:t>
      </w:r>
      <w:proofErr w:type="spellEnd"/>
      <w:r w:rsidRPr="003B184A">
        <w:rPr>
          <w:rFonts w:eastAsia="Calibri"/>
          <w:lang w:eastAsia="en-US"/>
        </w:rPr>
        <w:t xml:space="preserve"> </w:t>
      </w:r>
      <w:proofErr w:type="spellStart"/>
      <w:r w:rsidRPr="003B184A">
        <w:rPr>
          <w:rFonts w:eastAsia="Calibri"/>
          <w:lang w:eastAsia="en-US"/>
        </w:rPr>
        <w:t>FJ</w:t>
      </w:r>
      <w:proofErr w:type="spellEnd"/>
      <w:r w:rsidRPr="003B184A">
        <w:rPr>
          <w:rFonts w:eastAsia="Calibri"/>
          <w:lang w:eastAsia="en-US"/>
        </w:rPr>
        <w:t xml:space="preserve">, </w:t>
      </w:r>
      <w:proofErr w:type="spellStart"/>
      <w:r w:rsidRPr="003B184A">
        <w:rPr>
          <w:rFonts w:eastAsia="Calibri"/>
          <w:lang w:eastAsia="en-US"/>
        </w:rPr>
        <w:t>Driessen</w:t>
      </w:r>
      <w:proofErr w:type="spellEnd"/>
      <w:r w:rsidRPr="003B184A">
        <w:rPr>
          <w:rFonts w:eastAsia="Calibri"/>
          <w:lang w:eastAsia="en-US"/>
        </w:rPr>
        <w:t xml:space="preserve"> L, de </w:t>
      </w:r>
      <w:proofErr w:type="spellStart"/>
      <w:r w:rsidRPr="003B184A">
        <w:rPr>
          <w:rFonts w:eastAsia="Calibri"/>
          <w:lang w:eastAsia="en-US"/>
        </w:rPr>
        <w:t>Smet</w:t>
      </w:r>
      <w:proofErr w:type="spellEnd"/>
      <w:r w:rsidRPr="003B184A">
        <w:rPr>
          <w:rFonts w:eastAsia="Calibri"/>
          <w:lang w:eastAsia="en-US"/>
        </w:rPr>
        <w:t xml:space="preserve"> V, </w:t>
      </w:r>
      <w:proofErr w:type="spellStart"/>
      <w:r w:rsidRPr="003B184A">
        <w:rPr>
          <w:rFonts w:eastAsia="Calibri"/>
          <w:lang w:eastAsia="en-US"/>
        </w:rPr>
        <w:t>Slingerland-Boot</w:t>
      </w:r>
      <w:proofErr w:type="spellEnd"/>
      <w:r w:rsidRPr="003B184A">
        <w:rPr>
          <w:rFonts w:eastAsia="Calibri"/>
          <w:lang w:eastAsia="en-US"/>
        </w:rPr>
        <w:t xml:space="preserve"> R, </w:t>
      </w:r>
      <w:proofErr w:type="spellStart"/>
      <w:r w:rsidRPr="003B184A">
        <w:rPr>
          <w:rFonts w:eastAsia="Calibri"/>
          <w:lang w:eastAsia="en-US"/>
        </w:rPr>
        <w:t>Mensink</w:t>
      </w:r>
      <w:proofErr w:type="spellEnd"/>
      <w:r w:rsidRPr="003B184A">
        <w:rPr>
          <w:rFonts w:eastAsia="Calibri"/>
          <w:lang w:eastAsia="en-US"/>
        </w:rPr>
        <w:t xml:space="preserve"> M, Hubert van </w:t>
      </w:r>
      <w:proofErr w:type="spellStart"/>
      <w:r w:rsidRPr="003B184A">
        <w:rPr>
          <w:rFonts w:eastAsia="Calibri"/>
          <w:lang w:eastAsia="en-US"/>
        </w:rPr>
        <w:t>Zanten</w:t>
      </w:r>
      <w:proofErr w:type="spellEnd"/>
      <w:r w:rsidRPr="003B184A">
        <w:rPr>
          <w:rFonts w:eastAsia="Calibri"/>
          <w:lang w:eastAsia="en-US"/>
        </w:rPr>
        <w:t xml:space="preserve"> AR. </w:t>
      </w:r>
      <w:r w:rsidRPr="003B184A">
        <w:rPr>
          <w:rFonts w:eastAsia="Calibri"/>
          <w:lang w:val="en-US" w:eastAsia="en-US"/>
        </w:rPr>
        <w:t xml:space="preserve">Association of bioelectric impedance analysis body composition and disease severity in COVID-19 hospital ward and ICU patients: The </w:t>
      </w:r>
      <w:proofErr w:type="spellStart"/>
      <w:r w:rsidRPr="003B184A">
        <w:rPr>
          <w:rFonts w:eastAsia="Calibri"/>
          <w:lang w:val="en-US" w:eastAsia="en-US"/>
        </w:rPr>
        <w:t>BIAC</w:t>
      </w:r>
      <w:proofErr w:type="spellEnd"/>
      <w:r w:rsidRPr="003B184A">
        <w:rPr>
          <w:rFonts w:eastAsia="Calibri"/>
          <w:lang w:val="en-US" w:eastAsia="en-US"/>
        </w:rPr>
        <w:t xml:space="preserve">-19 study. </w:t>
      </w:r>
      <w:proofErr w:type="spellStart"/>
      <w:r w:rsidRPr="003B184A">
        <w:rPr>
          <w:rFonts w:eastAsia="Calibri"/>
          <w:lang w:eastAsia="en-US"/>
        </w:rPr>
        <w:t>Clinical</w:t>
      </w:r>
      <w:proofErr w:type="spellEnd"/>
      <w:r w:rsidRPr="003B184A">
        <w:rPr>
          <w:rFonts w:eastAsia="Calibri"/>
          <w:lang w:eastAsia="en-US"/>
        </w:rPr>
        <w:t xml:space="preserve"> </w:t>
      </w:r>
      <w:proofErr w:type="spellStart"/>
      <w:r w:rsidRPr="003B184A">
        <w:rPr>
          <w:rFonts w:eastAsia="Calibri"/>
          <w:lang w:eastAsia="en-US"/>
        </w:rPr>
        <w:t>Nutrition</w:t>
      </w:r>
      <w:proofErr w:type="spellEnd"/>
      <w:r w:rsidRPr="003B184A">
        <w:rPr>
          <w:rFonts w:eastAsia="Calibri"/>
          <w:lang w:eastAsia="en-US"/>
        </w:rPr>
        <w:t xml:space="preserve">. 2021 [acceso: 29/01/2023]; 40: 2328-36. </w:t>
      </w:r>
      <w:proofErr w:type="spellStart"/>
      <w:r w:rsidRPr="003B184A">
        <w:rPr>
          <w:rFonts w:eastAsia="Calibri"/>
          <w:lang w:eastAsia="en-US"/>
        </w:rPr>
        <w:t>DOI</w:t>
      </w:r>
      <w:proofErr w:type="spellEnd"/>
      <w:r w:rsidRPr="003B184A">
        <w:rPr>
          <w:rFonts w:eastAsia="Calibri"/>
          <w:lang w:eastAsia="en-US"/>
        </w:rPr>
        <w:t>: 10.1016/</w:t>
      </w:r>
      <w:proofErr w:type="spellStart"/>
      <w:r w:rsidRPr="003B184A">
        <w:rPr>
          <w:rFonts w:eastAsia="Calibri"/>
          <w:lang w:eastAsia="en-US"/>
        </w:rPr>
        <w:t>j.clnu.2020.10.023</w:t>
      </w:r>
      <w:proofErr w:type="spellEnd"/>
      <w:r w:rsidRPr="003B184A">
        <w:rPr>
          <w:rFonts w:eastAsia="Calibri"/>
          <w:lang w:eastAsia="en-US"/>
        </w:rPr>
        <w:t xml:space="preserve"> </w:t>
      </w:r>
    </w:p>
    <w:p w14:paraId="253B533F" w14:textId="77777777" w:rsidR="003B184A" w:rsidRPr="003B184A" w:rsidRDefault="003B184A" w:rsidP="003B184A">
      <w:pPr>
        <w:spacing w:line="360" w:lineRule="auto"/>
        <w:rPr>
          <w:rFonts w:eastAsia="Calibri"/>
          <w:lang w:eastAsia="en-US"/>
        </w:rPr>
      </w:pPr>
      <w:r w:rsidRPr="003B184A">
        <w:rPr>
          <w:rFonts w:eastAsia="Calibri"/>
          <w:lang w:eastAsia="en-US"/>
        </w:rPr>
        <w:t xml:space="preserve">4. Cala Calviño L, Rodríguez Casero R, Reyes </w:t>
      </w:r>
      <w:proofErr w:type="spellStart"/>
      <w:r w:rsidRPr="003B184A">
        <w:rPr>
          <w:rFonts w:eastAsia="Calibri"/>
          <w:lang w:eastAsia="en-US"/>
        </w:rPr>
        <w:t>Coyado</w:t>
      </w:r>
      <w:proofErr w:type="spellEnd"/>
      <w:r w:rsidRPr="003B184A">
        <w:rPr>
          <w:rFonts w:eastAsia="Calibri"/>
          <w:lang w:eastAsia="en-US"/>
        </w:rPr>
        <w:t xml:space="preserve"> M, Morris Quevedo </w:t>
      </w:r>
      <w:proofErr w:type="spellStart"/>
      <w:r w:rsidRPr="003B184A">
        <w:rPr>
          <w:rFonts w:eastAsia="Calibri"/>
          <w:lang w:eastAsia="en-US"/>
        </w:rPr>
        <w:t>HJ</w:t>
      </w:r>
      <w:proofErr w:type="spellEnd"/>
      <w:r w:rsidRPr="003B184A">
        <w:rPr>
          <w:rFonts w:eastAsia="Calibri"/>
          <w:lang w:eastAsia="en-US"/>
        </w:rPr>
        <w:t xml:space="preserve">. Composición corporal estimada por bioimpedancia eléctrica en ratas </w:t>
      </w:r>
      <w:proofErr w:type="spellStart"/>
      <w:r w:rsidRPr="003B184A">
        <w:rPr>
          <w:rFonts w:eastAsia="Calibri"/>
          <w:lang w:eastAsia="en-US"/>
        </w:rPr>
        <w:t>wistar</w:t>
      </w:r>
      <w:proofErr w:type="spellEnd"/>
      <w:r w:rsidRPr="003B184A">
        <w:rPr>
          <w:rFonts w:eastAsia="Calibri"/>
          <w:lang w:eastAsia="en-US"/>
        </w:rPr>
        <w:t xml:space="preserve"> tras administración de lecitina de soya. En: Segundo congreso virtual de ciencias básicas biomédicas en Granma. Manzanillo: </w:t>
      </w:r>
      <w:proofErr w:type="spellStart"/>
      <w:r w:rsidRPr="003B184A">
        <w:rPr>
          <w:rFonts w:eastAsia="Calibri"/>
          <w:lang w:eastAsia="en-US"/>
        </w:rPr>
        <w:t>Cibamanz</w:t>
      </w:r>
      <w:proofErr w:type="spellEnd"/>
      <w:r w:rsidRPr="003B184A">
        <w:rPr>
          <w:rFonts w:eastAsia="Calibri"/>
          <w:lang w:eastAsia="en-US"/>
        </w:rPr>
        <w:t xml:space="preserve">; 2021 [acceso: 08/02/2023]. Disponible en: </w:t>
      </w:r>
      <w:hyperlink r:id="rId16" w:history="1">
        <w:r w:rsidRPr="003B184A">
          <w:rPr>
            <w:rFonts w:eastAsia="Calibri"/>
            <w:color w:val="0563C1"/>
            <w:lang w:eastAsia="en-US"/>
          </w:rPr>
          <w:t>https://cibamanz2021.sld.cu/index.php/cibamanz/cibamanz2021/paper/viewFile/88/125</w:t>
        </w:r>
      </w:hyperlink>
      <w:r w:rsidRPr="003B184A">
        <w:rPr>
          <w:rFonts w:eastAsia="Calibri"/>
          <w:lang w:eastAsia="en-US"/>
        </w:rPr>
        <w:t xml:space="preserve"> </w:t>
      </w:r>
    </w:p>
    <w:p w14:paraId="6FF561D7" w14:textId="77777777" w:rsidR="003B184A" w:rsidRPr="003B184A" w:rsidRDefault="003B184A" w:rsidP="003B184A">
      <w:pPr>
        <w:spacing w:line="360" w:lineRule="auto"/>
        <w:rPr>
          <w:rFonts w:eastAsia="Calibri"/>
          <w:lang w:eastAsia="en-US"/>
        </w:rPr>
      </w:pPr>
      <w:r w:rsidRPr="003B184A">
        <w:rPr>
          <w:rFonts w:eastAsia="Calibri"/>
          <w:lang w:eastAsia="en-US"/>
        </w:rPr>
        <w:t xml:space="preserve">5. Ramírez Herrera </w:t>
      </w:r>
      <w:proofErr w:type="spellStart"/>
      <w:r w:rsidRPr="003B184A">
        <w:rPr>
          <w:rFonts w:eastAsia="Calibri"/>
          <w:lang w:eastAsia="en-US"/>
        </w:rPr>
        <w:t>CJ</w:t>
      </w:r>
      <w:proofErr w:type="spellEnd"/>
      <w:r w:rsidRPr="003B184A">
        <w:rPr>
          <w:rFonts w:eastAsia="Calibri"/>
          <w:lang w:eastAsia="en-US"/>
        </w:rPr>
        <w:t xml:space="preserve">, Pico Tarazona </w:t>
      </w:r>
      <w:proofErr w:type="spellStart"/>
      <w:r w:rsidRPr="003B184A">
        <w:rPr>
          <w:rFonts w:eastAsia="Calibri"/>
          <w:lang w:eastAsia="en-US"/>
        </w:rPr>
        <w:t>JC</w:t>
      </w:r>
      <w:proofErr w:type="spellEnd"/>
      <w:r w:rsidRPr="003B184A">
        <w:rPr>
          <w:rFonts w:eastAsia="Calibri"/>
          <w:lang w:eastAsia="en-US"/>
        </w:rPr>
        <w:t xml:space="preserve">, Sánchez IA, Garavito Peña FR, Mendoza Romero D, Castro Jiménez LE. Ángulo de fase como indicador de riesgo cardiovascular en estudiantes universitarios. </w:t>
      </w:r>
      <w:proofErr w:type="spellStart"/>
      <w:r w:rsidRPr="003B184A">
        <w:rPr>
          <w:rFonts w:eastAsia="Calibri"/>
          <w:lang w:eastAsia="en-US"/>
        </w:rPr>
        <w:t>Rev</w:t>
      </w:r>
      <w:proofErr w:type="spellEnd"/>
      <w:r w:rsidRPr="003B184A">
        <w:rPr>
          <w:rFonts w:eastAsia="Calibri"/>
          <w:lang w:eastAsia="en-US"/>
        </w:rPr>
        <w:t xml:space="preserve"> </w:t>
      </w:r>
      <w:proofErr w:type="spellStart"/>
      <w:r w:rsidRPr="003B184A">
        <w:rPr>
          <w:rFonts w:eastAsia="Calibri"/>
          <w:lang w:eastAsia="en-US"/>
        </w:rPr>
        <w:t>Colomb</w:t>
      </w:r>
      <w:proofErr w:type="spellEnd"/>
      <w:r w:rsidRPr="003B184A">
        <w:rPr>
          <w:rFonts w:eastAsia="Calibri"/>
          <w:lang w:eastAsia="en-US"/>
        </w:rPr>
        <w:t xml:space="preserve"> </w:t>
      </w:r>
      <w:proofErr w:type="spellStart"/>
      <w:r w:rsidRPr="003B184A">
        <w:rPr>
          <w:rFonts w:eastAsia="Calibri"/>
          <w:lang w:eastAsia="en-US"/>
        </w:rPr>
        <w:t>Cardiol</w:t>
      </w:r>
      <w:proofErr w:type="spellEnd"/>
      <w:r w:rsidRPr="003B184A">
        <w:rPr>
          <w:rFonts w:eastAsia="Calibri"/>
          <w:lang w:eastAsia="en-US"/>
        </w:rPr>
        <w:t xml:space="preserve">. 2021; 28(6):656-64. </w:t>
      </w:r>
      <w:proofErr w:type="spellStart"/>
      <w:r w:rsidRPr="003B184A">
        <w:rPr>
          <w:rFonts w:eastAsia="Calibri"/>
          <w:lang w:eastAsia="en-US"/>
        </w:rPr>
        <w:t>DOI</w:t>
      </w:r>
      <w:proofErr w:type="spellEnd"/>
      <w:r w:rsidRPr="003B184A">
        <w:rPr>
          <w:rFonts w:eastAsia="Calibri"/>
          <w:lang w:eastAsia="en-US"/>
        </w:rPr>
        <w:t>: 10.24875/</w:t>
      </w:r>
      <w:proofErr w:type="spellStart"/>
      <w:r w:rsidRPr="003B184A">
        <w:rPr>
          <w:rFonts w:eastAsia="Calibri"/>
          <w:lang w:eastAsia="en-US"/>
        </w:rPr>
        <w:t>RCCAR.M21000109</w:t>
      </w:r>
      <w:proofErr w:type="spellEnd"/>
    </w:p>
    <w:p w14:paraId="33B759A9" w14:textId="77777777" w:rsidR="003B184A" w:rsidRPr="003B184A" w:rsidRDefault="003B184A" w:rsidP="003B184A">
      <w:pPr>
        <w:spacing w:line="360" w:lineRule="auto"/>
        <w:rPr>
          <w:rFonts w:eastAsia="Calibri"/>
          <w:lang w:eastAsia="en-US"/>
        </w:rPr>
      </w:pPr>
      <w:r w:rsidRPr="003B184A">
        <w:rPr>
          <w:rFonts w:eastAsia="Calibri"/>
          <w:lang w:eastAsia="en-US"/>
        </w:rPr>
        <w:t xml:space="preserve">6. Palacios Cruz M, Santos E, Velázquez Cervantes MA, León Juárez M. COVID-19, una emergencia de salud pública mundial. </w:t>
      </w:r>
      <w:proofErr w:type="spellStart"/>
      <w:r w:rsidRPr="003B184A">
        <w:rPr>
          <w:rFonts w:eastAsia="Calibri"/>
          <w:lang w:eastAsia="en-US"/>
        </w:rPr>
        <w:t>Rev</w:t>
      </w:r>
      <w:proofErr w:type="spellEnd"/>
      <w:r w:rsidRPr="003B184A">
        <w:rPr>
          <w:rFonts w:eastAsia="Calibri"/>
          <w:lang w:eastAsia="en-US"/>
        </w:rPr>
        <w:t xml:space="preserve"> Clin Esp. 2020 [acceso: 11/02/2023]; 221(1):55-61. Disponible en: </w:t>
      </w:r>
      <w:hyperlink r:id="rId17" w:history="1">
        <w:r w:rsidRPr="003B184A">
          <w:rPr>
            <w:rFonts w:eastAsia="Calibri"/>
            <w:color w:val="0563C1"/>
            <w:lang w:eastAsia="en-US"/>
          </w:rPr>
          <w:t>https://www.ncbi.nlm.nih.gov/pmc/articles/PMC7102523/pdf/main.pdf</w:t>
        </w:r>
      </w:hyperlink>
      <w:r w:rsidRPr="003B184A">
        <w:rPr>
          <w:rFonts w:eastAsia="Calibri"/>
          <w:lang w:eastAsia="en-US"/>
        </w:rPr>
        <w:t xml:space="preserve"> </w:t>
      </w:r>
    </w:p>
    <w:p w14:paraId="1BF7793F" w14:textId="77777777" w:rsidR="003B184A" w:rsidRPr="003B184A" w:rsidRDefault="003B184A" w:rsidP="003B184A">
      <w:pPr>
        <w:spacing w:line="360" w:lineRule="auto"/>
        <w:rPr>
          <w:rFonts w:eastAsia="Calibri"/>
          <w:lang w:eastAsia="en-US"/>
        </w:rPr>
      </w:pPr>
      <w:r w:rsidRPr="003B184A">
        <w:rPr>
          <w:rFonts w:eastAsia="Calibri"/>
          <w:lang w:eastAsia="en-US"/>
        </w:rPr>
        <w:t xml:space="preserve">7.  Ministerio de Salud Pública de Cuba. Protocolo de actuación nacional para la COVID-19. Versión 1.6. La Habana: Ministerio de salud pública; 2021. [acceso: 04/02/2023]. Disponible en: </w:t>
      </w:r>
      <w:hyperlink r:id="rId18" w:history="1">
        <w:r w:rsidRPr="003B184A">
          <w:rPr>
            <w:rFonts w:eastAsia="Calibri"/>
            <w:color w:val="0563C1"/>
            <w:lang w:eastAsia="en-US"/>
          </w:rPr>
          <w:t>https://covid19cubadata.github.io/protocolos/protocolo-version-6.pdf</w:t>
        </w:r>
      </w:hyperlink>
      <w:r w:rsidRPr="003B184A">
        <w:rPr>
          <w:rFonts w:eastAsia="Calibri"/>
          <w:lang w:eastAsia="en-US"/>
        </w:rPr>
        <w:t xml:space="preserve"> </w:t>
      </w:r>
    </w:p>
    <w:p w14:paraId="7FF318FC" w14:textId="77777777" w:rsidR="003B184A" w:rsidRPr="003B184A" w:rsidRDefault="003B184A" w:rsidP="003B184A">
      <w:pPr>
        <w:spacing w:line="360" w:lineRule="auto"/>
        <w:rPr>
          <w:rFonts w:eastAsia="Calibri"/>
          <w:lang w:eastAsia="en-US"/>
        </w:rPr>
      </w:pPr>
      <w:r w:rsidRPr="003B184A">
        <w:rPr>
          <w:rFonts w:eastAsia="Calibri"/>
          <w:lang w:eastAsia="en-US"/>
        </w:rPr>
        <w:t xml:space="preserve">8. Miranda Pérez Y, Peña González M, Ochoa Roca </w:t>
      </w:r>
      <w:proofErr w:type="spellStart"/>
      <w:r w:rsidRPr="003B184A">
        <w:rPr>
          <w:rFonts w:eastAsia="Calibri"/>
          <w:lang w:eastAsia="en-US"/>
        </w:rPr>
        <w:t>TZ</w:t>
      </w:r>
      <w:proofErr w:type="spellEnd"/>
      <w:r w:rsidRPr="003B184A">
        <w:rPr>
          <w:rFonts w:eastAsia="Calibri"/>
          <w:lang w:eastAsia="en-US"/>
        </w:rPr>
        <w:t xml:space="preserve">, Sanz Candía M, Velázquez Garcés M. Caracterización nutricional del adulto mayor en el policlínico. </w:t>
      </w:r>
      <w:proofErr w:type="spellStart"/>
      <w:r w:rsidRPr="003B184A">
        <w:rPr>
          <w:rFonts w:eastAsia="Calibri"/>
          <w:lang w:eastAsia="en-US"/>
        </w:rPr>
        <w:t>CCM</w:t>
      </w:r>
      <w:proofErr w:type="spellEnd"/>
      <w:r w:rsidRPr="003B184A">
        <w:rPr>
          <w:rFonts w:eastAsia="Calibri"/>
          <w:lang w:eastAsia="en-US"/>
        </w:rPr>
        <w:t xml:space="preserve">. 2019 [acceso: 17/02/2023]; 23(1):122-43. Disponible en: </w:t>
      </w:r>
      <w:hyperlink r:id="rId19" w:history="1">
        <w:r w:rsidRPr="003B184A">
          <w:rPr>
            <w:rFonts w:eastAsia="Calibri"/>
            <w:color w:val="0563C1"/>
            <w:lang w:eastAsia="en-US"/>
          </w:rPr>
          <w:t>http://scielo.sld.cu/pdf/ccm/v23n1/1560-4381-ccm-23-01-122.pdf</w:t>
        </w:r>
      </w:hyperlink>
      <w:r w:rsidRPr="003B184A">
        <w:rPr>
          <w:rFonts w:eastAsia="Calibri"/>
          <w:lang w:eastAsia="en-US"/>
        </w:rPr>
        <w:t xml:space="preserve">  </w:t>
      </w:r>
    </w:p>
    <w:p w14:paraId="2C12771B" w14:textId="77777777" w:rsidR="003B184A" w:rsidRPr="003B184A" w:rsidRDefault="003B184A" w:rsidP="003B184A">
      <w:pPr>
        <w:spacing w:line="360" w:lineRule="auto"/>
        <w:rPr>
          <w:rFonts w:eastAsia="Calibri"/>
          <w:lang w:eastAsia="en-US"/>
        </w:rPr>
      </w:pPr>
      <w:r w:rsidRPr="003B184A">
        <w:rPr>
          <w:rFonts w:eastAsia="Calibri"/>
          <w:lang w:eastAsia="en-US"/>
        </w:rPr>
        <w:t xml:space="preserve">9. Matos Chamorro </w:t>
      </w:r>
      <w:proofErr w:type="spellStart"/>
      <w:r w:rsidRPr="003B184A">
        <w:rPr>
          <w:rFonts w:eastAsia="Calibri"/>
          <w:lang w:eastAsia="en-US"/>
        </w:rPr>
        <w:t>DRA</w:t>
      </w:r>
      <w:proofErr w:type="spellEnd"/>
      <w:r w:rsidRPr="003B184A">
        <w:rPr>
          <w:rFonts w:eastAsia="Calibri"/>
          <w:lang w:eastAsia="en-US"/>
        </w:rPr>
        <w:t xml:space="preserve">, Lucero </w:t>
      </w:r>
      <w:proofErr w:type="spellStart"/>
      <w:r w:rsidRPr="003B184A">
        <w:rPr>
          <w:rFonts w:eastAsia="Calibri"/>
          <w:lang w:eastAsia="en-US"/>
        </w:rPr>
        <w:t>Ccencho</w:t>
      </w:r>
      <w:proofErr w:type="spellEnd"/>
      <w:r w:rsidRPr="003B184A">
        <w:rPr>
          <w:rFonts w:eastAsia="Calibri"/>
          <w:lang w:eastAsia="en-US"/>
        </w:rPr>
        <w:t xml:space="preserve"> </w:t>
      </w:r>
      <w:proofErr w:type="spellStart"/>
      <w:r w:rsidRPr="003B184A">
        <w:rPr>
          <w:rFonts w:eastAsia="Calibri"/>
          <w:lang w:eastAsia="en-US"/>
        </w:rPr>
        <w:t>YY</w:t>
      </w:r>
      <w:proofErr w:type="spellEnd"/>
      <w:r w:rsidRPr="003B184A">
        <w:rPr>
          <w:rFonts w:eastAsia="Calibri"/>
          <w:lang w:eastAsia="en-US"/>
        </w:rPr>
        <w:t xml:space="preserve">, Molina Miranda MN. Evaluación de modelos matemáticos para estimar el peso y talla en pacientes adultos usando CRM, </w:t>
      </w:r>
      <w:proofErr w:type="spellStart"/>
      <w:r w:rsidRPr="003B184A">
        <w:rPr>
          <w:rFonts w:eastAsia="Calibri"/>
          <w:lang w:eastAsia="en-US"/>
        </w:rPr>
        <w:t>RMSE</w:t>
      </w:r>
      <w:proofErr w:type="spellEnd"/>
      <w:r w:rsidRPr="003B184A">
        <w:rPr>
          <w:rFonts w:eastAsia="Calibri"/>
          <w:lang w:eastAsia="en-US"/>
        </w:rPr>
        <w:t xml:space="preserve">, Pearson y </w:t>
      </w:r>
      <w:proofErr w:type="spellStart"/>
      <w:r w:rsidRPr="003B184A">
        <w:rPr>
          <w:rFonts w:eastAsia="Calibri"/>
          <w:lang w:eastAsia="en-US"/>
        </w:rPr>
        <w:t>Bland</w:t>
      </w:r>
      <w:proofErr w:type="spellEnd"/>
      <w:r w:rsidRPr="003B184A">
        <w:rPr>
          <w:rFonts w:eastAsia="Calibri"/>
          <w:lang w:eastAsia="en-US"/>
        </w:rPr>
        <w:t xml:space="preserve"> Altman. </w:t>
      </w:r>
      <w:proofErr w:type="spellStart"/>
      <w:r w:rsidRPr="003B184A">
        <w:rPr>
          <w:rFonts w:eastAsia="Calibri"/>
          <w:lang w:eastAsia="en-US"/>
        </w:rPr>
        <w:t>Rev</w:t>
      </w:r>
      <w:proofErr w:type="spellEnd"/>
      <w:r w:rsidRPr="003B184A">
        <w:rPr>
          <w:rFonts w:eastAsia="Calibri"/>
          <w:lang w:eastAsia="en-US"/>
        </w:rPr>
        <w:t xml:space="preserve"> </w:t>
      </w:r>
      <w:proofErr w:type="spellStart"/>
      <w:r w:rsidRPr="003B184A">
        <w:rPr>
          <w:rFonts w:eastAsia="Calibri"/>
          <w:lang w:eastAsia="en-US"/>
        </w:rPr>
        <w:t>Nutr</w:t>
      </w:r>
      <w:proofErr w:type="spellEnd"/>
      <w:r w:rsidRPr="003B184A">
        <w:rPr>
          <w:rFonts w:eastAsia="Calibri"/>
          <w:lang w:eastAsia="en-US"/>
        </w:rPr>
        <w:t xml:space="preserve"> </w:t>
      </w:r>
      <w:proofErr w:type="spellStart"/>
      <w:r w:rsidRPr="003B184A">
        <w:rPr>
          <w:rFonts w:eastAsia="Calibri"/>
          <w:lang w:eastAsia="en-US"/>
        </w:rPr>
        <w:t>Clín</w:t>
      </w:r>
      <w:proofErr w:type="spellEnd"/>
      <w:r w:rsidRPr="003B184A">
        <w:rPr>
          <w:rFonts w:eastAsia="Calibri"/>
          <w:lang w:eastAsia="en-US"/>
        </w:rPr>
        <w:t xml:space="preserve"> </w:t>
      </w:r>
      <w:proofErr w:type="spellStart"/>
      <w:r w:rsidRPr="003B184A">
        <w:rPr>
          <w:rFonts w:eastAsia="Calibri"/>
          <w:lang w:eastAsia="en-US"/>
        </w:rPr>
        <w:t>Diet</w:t>
      </w:r>
      <w:proofErr w:type="spellEnd"/>
      <w:r w:rsidRPr="003B184A">
        <w:rPr>
          <w:rFonts w:eastAsia="Calibri"/>
          <w:lang w:eastAsia="en-US"/>
        </w:rPr>
        <w:t xml:space="preserve"> </w:t>
      </w:r>
      <w:proofErr w:type="spellStart"/>
      <w:r w:rsidRPr="003B184A">
        <w:rPr>
          <w:rFonts w:eastAsia="Calibri"/>
          <w:lang w:eastAsia="en-US"/>
        </w:rPr>
        <w:t>Hosp</w:t>
      </w:r>
      <w:proofErr w:type="spellEnd"/>
      <w:r w:rsidRPr="003B184A">
        <w:rPr>
          <w:rFonts w:eastAsia="Calibri"/>
          <w:lang w:eastAsia="en-US"/>
        </w:rPr>
        <w:t xml:space="preserve">. 2022; 42(1):152-9. </w:t>
      </w:r>
      <w:proofErr w:type="spellStart"/>
      <w:r w:rsidRPr="003B184A">
        <w:rPr>
          <w:rFonts w:eastAsia="Calibri"/>
          <w:lang w:eastAsia="en-US"/>
        </w:rPr>
        <w:t>DOI</w:t>
      </w:r>
      <w:proofErr w:type="spellEnd"/>
      <w:r w:rsidRPr="003B184A">
        <w:rPr>
          <w:rFonts w:eastAsia="Calibri"/>
          <w:lang w:eastAsia="en-US"/>
        </w:rPr>
        <w:t>: 10.12873/</w:t>
      </w:r>
      <w:proofErr w:type="spellStart"/>
      <w:r w:rsidRPr="003B184A">
        <w:rPr>
          <w:rFonts w:eastAsia="Calibri"/>
          <w:lang w:eastAsia="en-US"/>
        </w:rPr>
        <w:t>421matos</w:t>
      </w:r>
      <w:proofErr w:type="spellEnd"/>
      <w:r w:rsidRPr="003B184A">
        <w:rPr>
          <w:rFonts w:eastAsia="Calibri"/>
          <w:lang w:eastAsia="en-US"/>
        </w:rPr>
        <w:t xml:space="preserve"> </w:t>
      </w:r>
    </w:p>
    <w:p w14:paraId="5B700E83" w14:textId="77777777" w:rsidR="003B184A" w:rsidRPr="003B184A" w:rsidRDefault="003B184A" w:rsidP="003B184A">
      <w:pPr>
        <w:spacing w:line="360" w:lineRule="auto"/>
        <w:rPr>
          <w:rFonts w:eastAsia="Calibri"/>
          <w:lang w:eastAsia="en-US"/>
        </w:rPr>
      </w:pPr>
      <w:r w:rsidRPr="003B184A">
        <w:rPr>
          <w:rFonts w:eastAsia="Calibri"/>
          <w:lang w:eastAsia="en-US"/>
        </w:rPr>
        <w:t xml:space="preserve">10. Cruz R. El análisis de bioimpedancia eléctrica. Nutrición clínica. </w:t>
      </w:r>
      <w:proofErr w:type="spellStart"/>
      <w:r w:rsidRPr="003B184A">
        <w:rPr>
          <w:rFonts w:eastAsia="Calibri"/>
          <w:lang w:eastAsia="en-US"/>
        </w:rPr>
        <w:t>Iidenut</w:t>
      </w:r>
      <w:proofErr w:type="spellEnd"/>
      <w:r w:rsidRPr="003B184A">
        <w:rPr>
          <w:rFonts w:eastAsia="Calibri"/>
          <w:lang w:eastAsia="en-US"/>
        </w:rPr>
        <w:t xml:space="preserve">. 2022 [actualizado: 25/07/2022; acceso: 22/03/2023]. Disponible en: </w:t>
      </w:r>
      <w:hyperlink r:id="rId20" w:history="1">
        <w:r w:rsidRPr="003B184A">
          <w:rPr>
            <w:rFonts w:eastAsia="Calibri"/>
            <w:color w:val="0563C1"/>
            <w:lang w:eastAsia="en-US"/>
          </w:rPr>
          <w:t>https://www.iidenut.org/instituto/2022/07/25/el-analisis-de-impedancia-bioelectrica/</w:t>
        </w:r>
      </w:hyperlink>
      <w:r w:rsidRPr="003B184A">
        <w:rPr>
          <w:rFonts w:eastAsia="Calibri"/>
          <w:lang w:eastAsia="en-US"/>
        </w:rPr>
        <w:t xml:space="preserve"> </w:t>
      </w:r>
    </w:p>
    <w:p w14:paraId="74E9B145" w14:textId="77777777" w:rsidR="003B184A" w:rsidRPr="003B184A" w:rsidRDefault="003B184A" w:rsidP="003B184A">
      <w:pPr>
        <w:spacing w:line="360" w:lineRule="auto"/>
        <w:rPr>
          <w:rFonts w:eastAsia="Calibri"/>
          <w:lang w:eastAsia="en-US"/>
        </w:rPr>
      </w:pPr>
      <w:r w:rsidRPr="003B184A">
        <w:rPr>
          <w:rFonts w:eastAsia="Calibri"/>
          <w:lang w:eastAsia="en-US"/>
        </w:rPr>
        <w:lastRenderedPageBreak/>
        <w:t xml:space="preserve">11. Asociación Médica Mundial. Declaración de Helsinki de la AMM – Principios éticos para las investigaciones médicas en seres humanos. Brasil, Fortaleza: AMM; 2013. [acceso: 08/02/2023]. Disponible en: </w:t>
      </w:r>
      <w:hyperlink r:id="rId21" w:history="1">
        <w:r w:rsidRPr="003B184A">
          <w:rPr>
            <w:rFonts w:eastAsia="Calibri"/>
            <w:color w:val="0563C1"/>
            <w:lang w:eastAsia="en-US"/>
          </w:rPr>
          <w:t>https://www.wma.net/es/policies-post/declaracion-de-helsinki-de-la-amm-principios-eticos-para-las-investigaciones-medicas-en-seres-humanos/</w:t>
        </w:r>
      </w:hyperlink>
      <w:r w:rsidRPr="003B184A">
        <w:rPr>
          <w:rFonts w:eastAsia="Calibri"/>
          <w:lang w:eastAsia="en-US"/>
        </w:rPr>
        <w:t xml:space="preserve">   </w:t>
      </w:r>
    </w:p>
    <w:p w14:paraId="4442A3AB" w14:textId="77777777" w:rsidR="003B184A" w:rsidRPr="003B184A" w:rsidRDefault="003B184A" w:rsidP="003B184A">
      <w:pPr>
        <w:spacing w:line="360" w:lineRule="auto"/>
        <w:rPr>
          <w:rFonts w:eastAsia="Calibri"/>
          <w:lang w:eastAsia="en-US"/>
        </w:rPr>
      </w:pPr>
      <w:r w:rsidRPr="003B184A">
        <w:rPr>
          <w:rFonts w:eastAsia="Calibri"/>
          <w:lang w:eastAsia="en-US"/>
        </w:rPr>
        <w:t xml:space="preserve">12. </w:t>
      </w:r>
      <w:proofErr w:type="spellStart"/>
      <w:r w:rsidRPr="003B184A">
        <w:rPr>
          <w:rFonts w:eastAsia="Calibri"/>
          <w:lang w:eastAsia="en-US"/>
        </w:rPr>
        <w:t>Jaqueti</w:t>
      </w:r>
      <w:proofErr w:type="spellEnd"/>
      <w:r w:rsidRPr="003B184A">
        <w:rPr>
          <w:rFonts w:eastAsia="Calibri"/>
          <w:lang w:eastAsia="en-US"/>
        </w:rPr>
        <w:t xml:space="preserve"> Aroca J, Molina Esteban LM, García Arata I, García Martínez J. COVID-19 en pacientes españoles e inmigrantes en un área sanitaria de Madrid. </w:t>
      </w:r>
      <w:proofErr w:type="spellStart"/>
      <w:r w:rsidRPr="003B184A">
        <w:rPr>
          <w:rFonts w:eastAsia="Calibri"/>
          <w:lang w:eastAsia="en-US"/>
        </w:rPr>
        <w:t>Rev</w:t>
      </w:r>
      <w:proofErr w:type="spellEnd"/>
      <w:r w:rsidRPr="003B184A">
        <w:rPr>
          <w:rFonts w:eastAsia="Calibri"/>
          <w:lang w:eastAsia="en-US"/>
        </w:rPr>
        <w:t xml:space="preserve"> </w:t>
      </w:r>
      <w:proofErr w:type="gramStart"/>
      <w:r w:rsidRPr="003B184A">
        <w:rPr>
          <w:rFonts w:eastAsia="Calibri"/>
          <w:lang w:eastAsia="en-US"/>
        </w:rPr>
        <w:t>Española</w:t>
      </w:r>
      <w:proofErr w:type="gramEnd"/>
      <w:r w:rsidRPr="003B184A">
        <w:rPr>
          <w:rFonts w:eastAsia="Calibri"/>
          <w:lang w:eastAsia="en-US"/>
        </w:rPr>
        <w:t xml:space="preserve"> </w:t>
      </w:r>
      <w:proofErr w:type="spellStart"/>
      <w:r w:rsidRPr="003B184A">
        <w:rPr>
          <w:rFonts w:eastAsia="Calibri"/>
          <w:lang w:eastAsia="en-US"/>
        </w:rPr>
        <w:t>Quimioter</w:t>
      </w:r>
      <w:proofErr w:type="spellEnd"/>
      <w:r w:rsidRPr="003B184A">
        <w:rPr>
          <w:rFonts w:eastAsia="Calibri"/>
          <w:lang w:eastAsia="en-US"/>
        </w:rPr>
        <w:t xml:space="preserve">. 2020 [acceso: 28/05/2020]; 33(4):289-91. Disponible en: </w:t>
      </w:r>
      <w:hyperlink r:id="rId22" w:history="1">
        <w:r w:rsidRPr="003B184A">
          <w:rPr>
            <w:rFonts w:eastAsia="Calibri"/>
            <w:color w:val="0563C1"/>
            <w:lang w:eastAsia="en-US"/>
          </w:rPr>
          <w:t>https://seq.es/wp-content/uploads/2020/05/jaqueti20may2020.pdf</w:t>
        </w:r>
      </w:hyperlink>
      <w:r w:rsidRPr="003B184A">
        <w:rPr>
          <w:rFonts w:eastAsia="Calibri"/>
          <w:lang w:eastAsia="en-US"/>
        </w:rPr>
        <w:t xml:space="preserve">   </w:t>
      </w:r>
    </w:p>
    <w:p w14:paraId="4B8DBDD9" w14:textId="77777777" w:rsidR="003B184A" w:rsidRPr="003B184A" w:rsidRDefault="003B184A" w:rsidP="003B184A">
      <w:pPr>
        <w:spacing w:line="360" w:lineRule="auto"/>
        <w:rPr>
          <w:rFonts w:eastAsia="Calibri"/>
          <w:lang w:eastAsia="en-US"/>
        </w:rPr>
      </w:pPr>
      <w:r w:rsidRPr="003B184A">
        <w:rPr>
          <w:rFonts w:eastAsia="Calibri"/>
          <w:lang w:eastAsia="en-US"/>
        </w:rPr>
        <w:t xml:space="preserve">13. Cortés </w:t>
      </w:r>
      <w:proofErr w:type="spellStart"/>
      <w:r w:rsidRPr="003B184A">
        <w:rPr>
          <w:rFonts w:eastAsia="Calibri"/>
          <w:lang w:eastAsia="en-US"/>
        </w:rPr>
        <w:t>AE</w:t>
      </w:r>
      <w:proofErr w:type="spellEnd"/>
      <w:r w:rsidRPr="003B184A">
        <w:rPr>
          <w:rFonts w:eastAsia="Calibri"/>
          <w:lang w:eastAsia="en-US"/>
        </w:rPr>
        <w:t xml:space="preserve">, García Ubaque </w:t>
      </w:r>
      <w:proofErr w:type="spellStart"/>
      <w:r w:rsidRPr="003B184A">
        <w:rPr>
          <w:rFonts w:eastAsia="Calibri"/>
          <w:lang w:eastAsia="en-US"/>
        </w:rPr>
        <w:t>JC</w:t>
      </w:r>
      <w:proofErr w:type="spellEnd"/>
      <w:r w:rsidRPr="003B184A">
        <w:rPr>
          <w:rFonts w:eastAsia="Calibri"/>
          <w:lang w:eastAsia="en-US"/>
        </w:rPr>
        <w:t xml:space="preserve">, Becerra CE. Comportamiento por sexo y género de la pandemia de COVID-19 en Colombia. Rev. Salud Pública. 2020 [acceso: 03/07/2023]; 22(6): 575-81. Disponible en: </w:t>
      </w:r>
      <w:hyperlink r:id="rId23" w:history="1">
        <w:r w:rsidRPr="003B184A">
          <w:rPr>
            <w:rFonts w:eastAsia="Calibri"/>
            <w:color w:val="0563C1"/>
            <w:lang w:eastAsia="en-US"/>
          </w:rPr>
          <w:t>https://scielosp.org/pdf/rsap/2020.v22n6/575-581/es</w:t>
        </w:r>
      </w:hyperlink>
      <w:r w:rsidRPr="003B184A">
        <w:rPr>
          <w:rFonts w:eastAsia="Calibri"/>
          <w:lang w:eastAsia="en-US"/>
        </w:rPr>
        <w:t xml:space="preserve"> </w:t>
      </w:r>
    </w:p>
    <w:p w14:paraId="17B908CC" w14:textId="77777777" w:rsidR="003B184A" w:rsidRPr="003B184A" w:rsidRDefault="003B184A" w:rsidP="003B184A">
      <w:pPr>
        <w:spacing w:line="360" w:lineRule="auto"/>
        <w:rPr>
          <w:rFonts w:eastAsia="Calibri"/>
          <w:lang w:eastAsia="en-US"/>
        </w:rPr>
      </w:pPr>
      <w:r w:rsidRPr="003B184A">
        <w:rPr>
          <w:rFonts w:eastAsia="Calibri"/>
          <w:lang w:eastAsia="en-US"/>
        </w:rPr>
        <w:t xml:space="preserve">14. </w:t>
      </w:r>
      <w:proofErr w:type="spellStart"/>
      <w:r w:rsidRPr="003B184A">
        <w:rPr>
          <w:rFonts w:eastAsia="Calibri"/>
          <w:lang w:eastAsia="en-US"/>
        </w:rPr>
        <w:t>Samada</w:t>
      </w:r>
      <w:proofErr w:type="spellEnd"/>
      <w:r w:rsidRPr="003B184A">
        <w:rPr>
          <w:rFonts w:eastAsia="Calibri"/>
          <w:lang w:eastAsia="en-US"/>
        </w:rPr>
        <w:t xml:space="preserve"> Suárez M, Hernández Perera </w:t>
      </w:r>
      <w:proofErr w:type="spellStart"/>
      <w:r w:rsidRPr="003B184A">
        <w:rPr>
          <w:rFonts w:eastAsia="Calibri"/>
          <w:lang w:eastAsia="en-US"/>
        </w:rPr>
        <w:t>JC</w:t>
      </w:r>
      <w:proofErr w:type="spellEnd"/>
      <w:r w:rsidRPr="003B184A">
        <w:rPr>
          <w:rFonts w:eastAsia="Calibri"/>
          <w:lang w:eastAsia="en-US"/>
        </w:rPr>
        <w:t xml:space="preserve">. ¿Predomina la mortalidad por la </w:t>
      </w:r>
      <w:proofErr w:type="spellStart"/>
      <w:r w:rsidRPr="003B184A">
        <w:rPr>
          <w:rFonts w:eastAsia="Calibri"/>
          <w:lang w:eastAsia="en-US"/>
        </w:rPr>
        <w:t>Covid-19</w:t>
      </w:r>
      <w:proofErr w:type="spellEnd"/>
      <w:r w:rsidRPr="003B184A">
        <w:rPr>
          <w:rFonts w:eastAsia="Calibri"/>
          <w:lang w:eastAsia="en-US"/>
        </w:rPr>
        <w:t xml:space="preserve"> en el sexo masculino? Boletín Científico del </w:t>
      </w:r>
      <w:proofErr w:type="spellStart"/>
      <w:r w:rsidRPr="003B184A">
        <w:rPr>
          <w:rFonts w:eastAsia="Calibri"/>
          <w:lang w:eastAsia="en-US"/>
        </w:rPr>
        <w:t>CIMEQ</w:t>
      </w:r>
      <w:proofErr w:type="spellEnd"/>
      <w:r w:rsidRPr="003B184A">
        <w:rPr>
          <w:rFonts w:eastAsia="Calibri"/>
          <w:lang w:eastAsia="en-US"/>
        </w:rPr>
        <w:t xml:space="preserve">. 2020 [acceso: 08/02/2023]; 1(15):6-7. Disponible en: </w:t>
      </w:r>
      <w:hyperlink r:id="rId24" w:history="1">
        <w:r w:rsidRPr="003B184A">
          <w:rPr>
            <w:rFonts w:eastAsia="Calibri"/>
            <w:color w:val="0563C1"/>
            <w:lang w:eastAsia="en-US"/>
          </w:rPr>
          <w:t>http://instituciones.sld.cu/bolcimeq/2020/06/29/predomina-la-mortalidad-por-la-covid-19-en-el-sexo-masculino/</w:t>
        </w:r>
      </w:hyperlink>
      <w:r w:rsidRPr="003B184A">
        <w:rPr>
          <w:rFonts w:eastAsia="Calibri"/>
          <w:lang w:eastAsia="en-US"/>
        </w:rPr>
        <w:t xml:space="preserve">  </w:t>
      </w:r>
    </w:p>
    <w:p w14:paraId="30934138" w14:textId="77777777" w:rsidR="003B184A" w:rsidRPr="003B184A" w:rsidRDefault="003B184A" w:rsidP="003B184A">
      <w:pPr>
        <w:spacing w:line="360" w:lineRule="auto"/>
        <w:rPr>
          <w:rFonts w:eastAsia="Calibri"/>
          <w:lang w:eastAsia="en-US"/>
        </w:rPr>
      </w:pPr>
      <w:r w:rsidRPr="003B184A">
        <w:rPr>
          <w:rFonts w:eastAsia="Calibri"/>
          <w:lang w:eastAsia="en-US"/>
        </w:rPr>
        <w:t xml:space="preserve">15. Alfonso Guerra JP, Jiménez Acosta S, Alfonso Julia </w:t>
      </w:r>
      <w:proofErr w:type="spellStart"/>
      <w:r w:rsidRPr="003B184A">
        <w:rPr>
          <w:rFonts w:eastAsia="Calibri"/>
          <w:lang w:eastAsia="en-US"/>
        </w:rPr>
        <w:t>JM</w:t>
      </w:r>
      <w:proofErr w:type="spellEnd"/>
      <w:r w:rsidRPr="003B184A">
        <w:rPr>
          <w:rFonts w:eastAsia="Calibri"/>
          <w:lang w:eastAsia="en-US"/>
        </w:rPr>
        <w:t xml:space="preserve">. Relación entre la obesidad y la </w:t>
      </w:r>
      <w:proofErr w:type="spellStart"/>
      <w:r w:rsidRPr="003B184A">
        <w:rPr>
          <w:rFonts w:eastAsia="Calibri"/>
          <w:lang w:eastAsia="en-US"/>
        </w:rPr>
        <w:t>Covid-19</w:t>
      </w:r>
      <w:proofErr w:type="spellEnd"/>
      <w:r w:rsidRPr="003B184A">
        <w:rPr>
          <w:rFonts w:eastAsia="Calibri"/>
          <w:lang w:eastAsia="en-US"/>
        </w:rPr>
        <w:t xml:space="preserve">. </w:t>
      </w:r>
      <w:proofErr w:type="spellStart"/>
      <w:r w:rsidRPr="003B184A">
        <w:rPr>
          <w:rFonts w:eastAsia="Calibri"/>
          <w:lang w:eastAsia="en-US"/>
        </w:rPr>
        <w:t>Rev</w:t>
      </w:r>
      <w:proofErr w:type="spellEnd"/>
      <w:r w:rsidRPr="003B184A">
        <w:rPr>
          <w:rFonts w:eastAsia="Calibri"/>
          <w:lang w:eastAsia="en-US"/>
        </w:rPr>
        <w:t xml:space="preserve"> </w:t>
      </w:r>
      <w:proofErr w:type="spellStart"/>
      <w:r w:rsidRPr="003B184A">
        <w:rPr>
          <w:rFonts w:eastAsia="Calibri"/>
          <w:lang w:eastAsia="en-US"/>
        </w:rPr>
        <w:t>Cub</w:t>
      </w:r>
      <w:proofErr w:type="spellEnd"/>
      <w:r w:rsidRPr="003B184A">
        <w:rPr>
          <w:rFonts w:eastAsia="Calibri"/>
          <w:lang w:eastAsia="en-US"/>
        </w:rPr>
        <w:t xml:space="preserve"> </w:t>
      </w:r>
      <w:proofErr w:type="spellStart"/>
      <w:r w:rsidRPr="003B184A">
        <w:rPr>
          <w:rFonts w:eastAsia="Calibri"/>
          <w:lang w:eastAsia="en-US"/>
        </w:rPr>
        <w:t>Med</w:t>
      </w:r>
      <w:proofErr w:type="spellEnd"/>
      <w:r w:rsidRPr="003B184A">
        <w:rPr>
          <w:rFonts w:eastAsia="Calibri"/>
          <w:lang w:eastAsia="en-US"/>
        </w:rPr>
        <w:t xml:space="preserve">. 2021 [acceso: 08/02/2023]; 60(4):1-8. Disponible en: </w:t>
      </w:r>
      <w:hyperlink r:id="rId25" w:history="1">
        <w:r w:rsidRPr="003B184A">
          <w:rPr>
            <w:rFonts w:eastAsia="Calibri"/>
            <w:color w:val="0563C1"/>
            <w:lang w:eastAsia="en-US"/>
          </w:rPr>
          <w:t>http://scielo.sld.cu/pdf/med/v60n4/1561-302X-med-60-04-e2397.pdf</w:t>
        </w:r>
      </w:hyperlink>
      <w:r w:rsidRPr="003B184A">
        <w:rPr>
          <w:rFonts w:eastAsia="Calibri"/>
          <w:lang w:eastAsia="en-US"/>
        </w:rPr>
        <w:t xml:space="preserve"> </w:t>
      </w:r>
    </w:p>
    <w:p w14:paraId="1C39C348" w14:textId="77777777" w:rsidR="003B184A" w:rsidRPr="003B184A" w:rsidRDefault="003B184A" w:rsidP="003B184A">
      <w:pPr>
        <w:spacing w:line="360" w:lineRule="auto"/>
        <w:rPr>
          <w:rFonts w:eastAsia="Calibri"/>
          <w:lang w:eastAsia="en-US"/>
        </w:rPr>
      </w:pPr>
      <w:r w:rsidRPr="003B184A">
        <w:rPr>
          <w:rFonts w:eastAsia="Calibri"/>
          <w:lang w:val="en-US" w:eastAsia="en-US"/>
        </w:rPr>
        <w:t xml:space="preserve">16. Wu Z, McGoogan JM. Characteristics of and Important Lessons </w:t>
      </w:r>
      <w:proofErr w:type="gramStart"/>
      <w:r w:rsidRPr="003B184A">
        <w:rPr>
          <w:rFonts w:eastAsia="Calibri"/>
          <w:lang w:val="en-US" w:eastAsia="en-US"/>
        </w:rPr>
        <w:t>From</w:t>
      </w:r>
      <w:proofErr w:type="gramEnd"/>
      <w:r w:rsidRPr="003B184A">
        <w:rPr>
          <w:rFonts w:eastAsia="Calibri"/>
          <w:lang w:val="en-US" w:eastAsia="en-US"/>
        </w:rPr>
        <w:t xml:space="preserve"> the Coronavirus Disease 2019 (COVID-19) Outbreak in China: Summary of a Report of 72 314 Cases From the Chinese Center for Disease Control and Prevention. </w:t>
      </w:r>
      <w:r w:rsidRPr="003B184A">
        <w:rPr>
          <w:rFonts w:eastAsia="Calibri"/>
          <w:lang w:eastAsia="en-US"/>
        </w:rPr>
        <w:t xml:space="preserve">JAMA. 2020 [acceso: 08/02/2023]; 323(13):1239-42. Disponible en: </w:t>
      </w:r>
      <w:hyperlink r:id="rId26" w:history="1">
        <w:r w:rsidRPr="003B184A">
          <w:rPr>
            <w:rFonts w:eastAsia="Calibri"/>
            <w:color w:val="0563C1"/>
            <w:lang w:eastAsia="en-US"/>
          </w:rPr>
          <w:t>https://pubmed.ncbi.nlm.nih.gov/32091533/</w:t>
        </w:r>
      </w:hyperlink>
      <w:r w:rsidRPr="003B184A">
        <w:rPr>
          <w:rFonts w:eastAsia="Calibri"/>
          <w:lang w:eastAsia="en-US"/>
        </w:rPr>
        <w:t xml:space="preserve"> </w:t>
      </w:r>
    </w:p>
    <w:p w14:paraId="6F057500" w14:textId="77777777" w:rsidR="003B184A" w:rsidRPr="003B184A" w:rsidRDefault="003B184A" w:rsidP="003B184A">
      <w:pPr>
        <w:spacing w:line="360" w:lineRule="auto"/>
        <w:rPr>
          <w:rFonts w:eastAsia="Calibri"/>
          <w:lang w:eastAsia="en-US"/>
        </w:rPr>
      </w:pPr>
      <w:r w:rsidRPr="003B184A">
        <w:rPr>
          <w:rFonts w:eastAsia="Calibri"/>
          <w:lang w:eastAsia="en-US"/>
        </w:rPr>
        <w:t xml:space="preserve">17. Rearte A, María </w:t>
      </w:r>
      <w:proofErr w:type="spellStart"/>
      <w:r w:rsidRPr="003B184A">
        <w:rPr>
          <w:rFonts w:eastAsia="Calibri"/>
          <w:lang w:eastAsia="en-US"/>
        </w:rPr>
        <w:t>Baldani</w:t>
      </w:r>
      <w:proofErr w:type="spellEnd"/>
      <w:r w:rsidRPr="003B184A">
        <w:rPr>
          <w:rFonts w:eastAsia="Calibri"/>
          <w:lang w:eastAsia="en-US"/>
        </w:rPr>
        <w:t xml:space="preserve"> </w:t>
      </w:r>
      <w:proofErr w:type="spellStart"/>
      <w:r w:rsidRPr="003B184A">
        <w:rPr>
          <w:rFonts w:eastAsia="Calibri"/>
          <w:lang w:eastAsia="en-US"/>
        </w:rPr>
        <w:t>AE</w:t>
      </w:r>
      <w:proofErr w:type="spellEnd"/>
      <w:r w:rsidRPr="003B184A">
        <w:rPr>
          <w:rFonts w:eastAsia="Calibri"/>
          <w:lang w:eastAsia="en-US"/>
        </w:rPr>
        <w:t xml:space="preserve">, </w:t>
      </w:r>
      <w:proofErr w:type="spellStart"/>
      <w:r w:rsidRPr="003B184A">
        <w:rPr>
          <w:rFonts w:eastAsia="Calibri"/>
          <w:lang w:eastAsia="en-US"/>
        </w:rPr>
        <w:t>Barcena</w:t>
      </w:r>
      <w:proofErr w:type="spellEnd"/>
      <w:r w:rsidRPr="003B184A">
        <w:rPr>
          <w:rFonts w:eastAsia="Calibri"/>
          <w:lang w:eastAsia="en-US"/>
        </w:rPr>
        <w:t xml:space="preserve"> </w:t>
      </w:r>
      <w:proofErr w:type="spellStart"/>
      <w:r w:rsidRPr="003B184A">
        <w:rPr>
          <w:rFonts w:eastAsia="Calibri"/>
          <w:lang w:eastAsia="en-US"/>
        </w:rPr>
        <w:t>Barbeira</w:t>
      </w:r>
      <w:proofErr w:type="spellEnd"/>
      <w:r w:rsidRPr="003B184A">
        <w:rPr>
          <w:rFonts w:eastAsia="Calibri"/>
          <w:lang w:eastAsia="en-US"/>
        </w:rPr>
        <w:t xml:space="preserve"> P, Domínguez CS, </w:t>
      </w:r>
      <w:proofErr w:type="spellStart"/>
      <w:r w:rsidRPr="003B184A">
        <w:rPr>
          <w:rFonts w:eastAsia="Calibri"/>
          <w:lang w:eastAsia="en-US"/>
        </w:rPr>
        <w:t>Laurora</w:t>
      </w:r>
      <w:proofErr w:type="spellEnd"/>
      <w:r w:rsidRPr="003B184A">
        <w:rPr>
          <w:rFonts w:eastAsia="Calibri"/>
          <w:lang w:eastAsia="en-US"/>
        </w:rPr>
        <w:t xml:space="preserve"> MA, Pesce M, et al. Características epidemiológicas de los primeros 116 974 casos de COVID-19 en Argentina, 2020. Rev. argent. salud pública. 2020 [acceso: 26/11/2021]; 12 (</w:t>
      </w:r>
      <w:proofErr w:type="spellStart"/>
      <w:r w:rsidRPr="003B184A">
        <w:rPr>
          <w:rFonts w:eastAsia="Calibri"/>
          <w:lang w:eastAsia="en-US"/>
        </w:rPr>
        <w:t>supl.1</w:t>
      </w:r>
      <w:proofErr w:type="spellEnd"/>
      <w:proofErr w:type="gramStart"/>
      <w:r w:rsidRPr="003B184A">
        <w:rPr>
          <w:rFonts w:eastAsia="Calibri"/>
          <w:lang w:eastAsia="en-US"/>
        </w:rPr>
        <w:t>):[</w:t>
      </w:r>
      <w:proofErr w:type="gramEnd"/>
      <w:r w:rsidRPr="003B184A">
        <w:rPr>
          <w:rFonts w:eastAsia="Calibri"/>
          <w:lang w:eastAsia="en-US"/>
        </w:rPr>
        <w:t xml:space="preserve">aprox. 9 </w:t>
      </w:r>
      <w:proofErr w:type="spellStart"/>
      <w:r w:rsidRPr="003B184A">
        <w:rPr>
          <w:rFonts w:eastAsia="Calibri"/>
          <w:lang w:eastAsia="en-US"/>
        </w:rPr>
        <w:t>pant</w:t>
      </w:r>
      <w:proofErr w:type="spellEnd"/>
      <w:r w:rsidRPr="003B184A">
        <w:rPr>
          <w:rFonts w:eastAsia="Calibri"/>
          <w:lang w:eastAsia="en-US"/>
        </w:rPr>
        <w:t xml:space="preserve">.]. Disponible en: </w:t>
      </w:r>
      <w:hyperlink r:id="rId27" w:history="1">
        <w:r w:rsidRPr="003B184A">
          <w:rPr>
            <w:rFonts w:eastAsia="Calibri"/>
            <w:color w:val="0563C1"/>
            <w:lang w:eastAsia="en-US"/>
          </w:rPr>
          <w:t>http://www.scielo.org.ar/scielo.php?script=sci_arttext&amp;pid=S1853-810X2020000300005&amp;lng=es&amp;nrm=iso&amp;tlng=es</w:t>
        </w:r>
      </w:hyperlink>
      <w:r w:rsidRPr="003B184A">
        <w:rPr>
          <w:rFonts w:eastAsia="Calibri"/>
          <w:lang w:eastAsia="en-US"/>
        </w:rPr>
        <w:t xml:space="preserve"> </w:t>
      </w:r>
    </w:p>
    <w:p w14:paraId="3F6664A8" w14:textId="77777777" w:rsidR="003B184A" w:rsidRPr="003B184A" w:rsidRDefault="003B184A" w:rsidP="003B184A">
      <w:pPr>
        <w:spacing w:line="360" w:lineRule="auto"/>
        <w:rPr>
          <w:rFonts w:eastAsia="Calibri"/>
          <w:lang w:eastAsia="en-US"/>
        </w:rPr>
      </w:pPr>
      <w:r w:rsidRPr="003B184A">
        <w:rPr>
          <w:rFonts w:eastAsia="Calibri"/>
          <w:lang w:eastAsia="en-US"/>
        </w:rPr>
        <w:lastRenderedPageBreak/>
        <w:t xml:space="preserve">18. González Lara D, Sánchez Hernández E, Labrada Chacón L, Ferrer Castro JE, Moreno reyes </w:t>
      </w:r>
      <w:proofErr w:type="spellStart"/>
      <w:r w:rsidRPr="003B184A">
        <w:rPr>
          <w:rFonts w:eastAsia="Calibri"/>
          <w:lang w:eastAsia="en-US"/>
        </w:rPr>
        <w:t>JC</w:t>
      </w:r>
      <w:proofErr w:type="spellEnd"/>
      <w:r w:rsidRPr="003B184A">
        <w:rPr>
          <w:rFonts w:eastAsia="Calibri"/>
          <w:lang w:eastAsia="en-US"/>
        </w:rPr>
        <w:t xml:space="preserve">. Características clínico epidemiológicas de pacientes sospechosos y confirmados con la </w:t>
      </w:r>
      <w:proofErr w:type="spellStart"/>
      <w:r w:rsidRPr="003B184A">
        <w:rPr>
          <w:rFonts w:eastAsia="Calibri"/>
          <w:lang w:eastAsia="en-US"/>
        </w:rPr>
        <w:t>covid-19</w:t>
      </w:r>
      <w:proofErr w:type="spellEnd"/>
      <w:r w:rsidRPr="003B184A">
        <w:rPr>
          <w:rFonts w:eastAsia="Calibri"/>
          <w:lang w:eastAsia="en-US"/>
        </w:rPr>
        <w:t xml:space="preserve"> en una comunidad con régimen de cuarentena. </w:t>
      </w:r>
      <w:proofErr w:type="spellStart"/>
      <w:r w:rsidRPr="003B184A">
        <w:rPr>
          <w:rFonts w:eastAsia="Calibri"/>
          <w:lang w:eastAsia="en-US"/>
        </w:rPr>
        <w:t>MEDISAN</w:t>
      </w:r>
      <w:proofErr w:type="spellEnd"/>
      <w:r w:rsidRPr="003B184A">
        <w:rPr>
          <w:rFonts w:eastAsia="Calibri"/>
          <w:lang w:eastAsia="en-US"/>
        </w:rPr>
        <w:t xml:space="preserve">. 2022 [acceso: 08/02/2023]; 26(2):342-54. Disponible en: </w:t>
      </w:r>
      <w:hyperlink r:id="rId28" w:history="1">
        <w:r w:rsidRPr="003B184A">
          <w:rPr>
            <w:rFonts w:eastAsia="Calibri"/>
            <w:color w:val="0563C1"/>
            <w:lang w:eastAsia="en-US"/>
          </w:rPr>
          <w:t>https://medisan.sld.cu/index.php/san/article/view/4045/html</w:t>
        </w:r>
      </w:hyperlink>
      <w:r w:rsidRPr="003B184A">
        <w:rPr>
          <w:rFonts w:eastAsia="Calibri"/>
          <w:lang w:eastAsia="en-US"/>
        </w:rPr>
        <w:t xml:space="preserve">  </w:t>
      </w:r>
    </w:p>
    <w:p w14:paraId="56304AFC" w14:textId="77777777" w:rsidR="003B184A" w:rsidRPr="003B184A" w:rsidRDefault="003B184A" w:rsidP="003B184A">
      <w:pPr>
        <w:spacing w:line="360" w:lineRule="auto"/>
        <w:rPr>
          <w:rFonts w:eastAsia="Calibri"/>
          <w:lang w:eastAsia="en-US"/>
        </w:rPr>
      </w:pPr>
      <w:r w:rsidRPr="003B184A">
        <w:rPr>
          <w:rFonts w:eastAsia="Calibri"/>
          <w:lang w:val="en-US" w:eastAsia="en-US"/>
        </w:rPr>
        <w:t xml:space="preserve">19. Donner Alves F, Correa Souza G, Badin </w:t>
      </w:r>
      <w:proofErr w:type="spellStart"/>
      <w:r w:rsidRPr="003B184A">
        <w:rPr>
          <w:rFonts w:eastAsia="Calibri"/>
          <w:lang w:val="en-US" w:eastAsia="en-US"/>
        </w:rPr>
        <w:t>Aliti</w:t>
      </w:r>
      <w:proofErr w:type="spellEnd"/>
      <w:r w:rsidRPr="003B184A">
        <w:rPr>
          <w:rFonts w:eastAsia="Calibri"/>
          <w:lang w:val="en-US" w:eastAsia="en-US"/>
        </w:rPr>
        <w:t xml:space="preserve"> G, </w:t>
      </w:r>
      <w:proofErr w:type="spellStart"/>
      <w:r w:rsidRPr="003B184A">
        <w:rPr>
          <w:rFonts w:eastAsia="Calibri"/>
          <w:lang w:val="en-US" w:eastAsia="en-US"/>
        </w:rPr>
        <w:t>Rejane</w:t>
      </w:r>
      <w:proofErr w:type="spellEnd"/>
      <w:r w:rsidRPr="003B184A">
        <w:rPr>
          <w:rFonts w:eastAsia="Calibri"/>
          <w:lang w:val="en-US" w:eastAsia="en-US"/>
        </w:rPr>
        <w:t xml:space="preserve"> </w:t>
      </w:r>
      <w:proofErr w:type="spellStart"/>
      <w:r w:rsidRPr="003B184A">
        <w:rPr>
          <w:rFonts w:eastAsia="Calibri"/>
          <w:lang w:val="en-US" w:eastAsia="en-US"/>
        </w:rPr>
        <w:t>Rabelo</w:t>
      </w:r>
      <w:proofErr w:type="spellEnd"/>
      <w:r w:rsidRPr="003B184A">
        <w:rPr>
          <w:rFonts w:eastAsia="Calibri"/>
          <w:lang w:val="en-US" w:eastAsia="en-US"/>
        </w:rPr>
        <w:t xml:space="preserve">-Silva E, Clausell N, </w:t>
      </w:r>
      <w:proofErr w:type="spellStart"/>
      <w:r w:rsidRPr="003B184A">
        <w:rPr>
          <w:rFonts w:eastAsia="Calibri"/>
          <w:lang w:val="en-US" w:eastAsia="en-US"/>
        </w:rPr>
        <w:t>Biolo</w:t>
      </w:r>
      <w:proofErr w:type="spellEnd"/>
      <w:r w:rsidRPr="003B184A">
        <w:rPr>
          <w:rFonts w:eastAsia="Calibri"/>
          <w:lang w:val="en-US" w:eastAsia="en-US"/>
        </w:rPr>
        <w:t xml:space="preserve"> A. Dynamic changes in bioelectrical impedance vector analysis and phase angle in acute decompensated heart failure. </w:t>
      </w:r>
      <w:proofErr w:type="spellStart"/>
      <w:r w:rsidRPr="003B184A">
        <w:rPr>
          <w:rFonts w:eastAsia="Calibri"/>
          <w:lang w:eastAsia="en-US"/>
        </w:rPr>
        <w:t>Rev</w:t>
      </w:r>
      <w:proofErr w:type="spellEnd"/>
      <w:r w:rsidRPr="003B184A">
        <w:rPr>
          <w:rFonts w:eastAsia="Calibri"/>
          <w:lang w:eastAsia="en-US"/>
        </w:rPr>
        <w:t xml:space="preserve"> </w:t>
      </w:r>
      <w:proofErr w:type="spellStart"/>
      <w:r w:rsidRPr="003B184A">
        <w:rPr>
          <w:rFonts w:eastAsia="Calibri"/>
          <w:lang w:eastAsia="en-US"/>
        </w:rPr>
        <w:t>Nutrition</w:t>
      </w:r>
      <w:proofErr w:type="spellEnd"/>
      <w:r w:rsidRPr="003B184A">
        <w:rPr>
          <w:rFonts w:eastAsia="Calibri"/>
          <w:lang w:eastAsia="en-US"/>
        </w:rPr>
        <w:t xml:space="preserve">. 2015 [acceso: 08/02/2023]; 31(1):84-9. Disponible en: </w:t>
      </w:r>
      <w:hyperlink r:id="rId29" w:history="1">
        <w:r w:rsidRPr="003B184A">
          <w:rPr>
            <w:rFonts w:eastAsia="Calibri"/>
            <w:color w:val="0563C1"/>
            <w:lang w:eastAsia="en-US"/>
          </w:rPr>
          <w:t>https://pubmed.ncbi.nlm.nih.gov/25466653/</w:t>
        </w:r>
      </w:hyperlink>
      <w:r w:rsidRPr="003B184A">
        <w:rPr>
          <w:rFonts w:eastAsia="Calibri"/>
          <w:lang w:eastAsia="en-US"/>
        </w:rPr>
        <w:t xml:space="preserve">  </w:t>
      </w:r>
    </w:p>
    <w:p w14:paraId="15B98A1B" w14:textId="77777777" w:rsidR="003B184A" w:rsidRPr="003B184A" w:rsidRDefault="003B184A" w:rsidP="003B184A">
      <w:pPr>
        <w:spacing w:line="360" w:lineRule="auto"/>
        <w:rPr>
          <w:rFonts w:eastAsia="Calibri"/>
          <w:lang w:eastAsia="en-US"/>
        </w:rPr>
      </w:pPr>
      <w:r w:rsidRPr="003B184A">
        <w:rPr>
          <w:rFonts w:eastAsia="Calibri"/>
          <w:lang w:eastAsia="en-US"/>
        </w:rPr>
        <w:t xml:space="preserve">20. Alvero Cruz </w:t>
      </w:r>
      <w:proofErr w:type="spellStart"/>
      <w:r w:rsidRPr="003B184A">
        <w:rPr>
          <w:rFonts w:eastAsia="Calibri"/>
          <w:lang w:eastAsia="en-US"/>
        </w:rPr>
        <w:t>JR</w:t>
      </w:r>
      <w:proofErr w:type="spellEnd"/>
      <w:r w:rsidRPr="003B184A">
        <w:rPr>
          <w:rFonts w:eastAsia="Calibri"/>
          <w:lang w:eastAsia="en-US"/>
        </w:rPr>
        <w:t xml:space="preserve">, Correas Gómez L, </w:t>
      </w:r>
      <w:proofErr w:type="spellStart"/>
      <w:r w:rsidRPr="003B184A">
        <w:rPr>
          <w:rFonts w:eastAsia="Calibri"/>
          <w:lang w:eastAsia="en-US"/>
        </w:rPr>
        <w:t>Ronconi</w:t>
      </w:r>
      <w:proofErr w:type="spellEnd"/>
      <w:r w:rsidRPr="003B184A">
        <w:rPr>
          <w:rFonts w:eastAsia="Calibri"/>
          <w:lang w:eastAsia="en-US"/>
        </w:rPr>
        <w:t xml:space="preserve"> M, Fernández Vázquez R, Porta </w:t>
      </w:r>
      <w:proofErr w:type="spellStart"/>
      <w:r w:rsidRPr="003B184A">
        <w:rPr>
          <w:rFonts w:eastAsia="Calibri"/>
          <w:lang w:eastAsia="en-US"/>
        </w:rPr>
        <w:t>Manzañido</w:t>
      </w:r>
      <w:proofErr w:type="spellEnd"/>
      <w:r w:rsidRPr="003B184A">
        <w:rPr>
          <w:rFonts w:eastAsia="Calibri"/>
          <w:lang w:eastAsia="en-US"/>
        </w:rPr>
        <w:t xml:space="preserve"> J. La bioimpedancia eléctrica como método de estimación de la composición corporal: normas prácticas de utilización. </w:t>
      </w:r>
      <w:proofErr w:type="spellStart"/>
      <w:r w:rsidRPr="003B184A">
        <w:rPr>
          <w:rFonts w:eastAsia="Calibri"/>
          <w:lang w:eastAsia="en-US"/>
        </w:rPr>
        <w:t>Rev</w:t>
      </w:r>
      <w:proofErr w:type="spellEnd"/>
      <w:r w:rsidRPr="003B184A">
        <w:rPr>
          <w:rFonts w:eastAsia="Calibri"/>
          <w:lang w:eastAsia="en-US"/>
        </w:rPr>
        <w:t xml:space="preserve"> </w:t>
      </w:r>
      <w:proofErr w:type="spellStart"/>
      <w:r w:rsidRPr="003B184A">
        <w:rPr>
          <w:rFonts w:eastAsia="Calibri"/>
          <w:lang w:eastAsia="en-US"/>
        </w:rPr>
        <w:t>Andal</w:t>
      </w:r>
      <w:proofErr w:type="spellEnd"/>
      <w:r w:rsidRPr="003B184A">
        <w:rPr>
          <w:rFonts w:eastAsia="Calibri"/>
          <w:lang w:eastAsia="en-US"/>
        </w:rPr>
        <w:t xml:space="preserve"> </w:t>
      </w:r>
      <w:proofErr w:type="spellStart"/>
      <w:r w:rsidRPr="003B184A">
        <w:rPr>
          <w:rFonts w:eastAsia="Calibri"/>
          <w:lang w:eastAsia="en-US"/>
        </w:rPr>
        <w:t>Med</w:t>
      </w:r>
      <w:proofErr w:type="spellEnd"/>
      <w:r w:rsidRPr="003B184A">
        <w:rPr>
          <w:rFonts w:eastAsia="Calibri"/>
          <w:lang w:eastAsia="en-US"/>
        </w:rPr>
        <w:t xml:space="preserve"> Deporte. 2011 [acceso: 01/03/2023]; 4(4</w:t>
      </w:r>
      <w:proofErr w:type="gramStart"/>
      <w:r w:rsidRPr="003B184A">
        <w:rPr>
          <w:rFonts w:eastAsia="Calibri"/>
          <w:lang w:eastAsia="en-US"/>
        </w:rPr>
        <w:t>):[</w:t>
      </w:r>
      <w:proofErr w:type="gramEnd"/>
      <w:r w:rsidRPr="003B184A">
        <w:rPr>
          <w:rFonts w:eastAsia="Calibri"/>
          <w:lang w:eastAsia="en-US"/>
        </w:rPr>
        <w:t xml:space="preserve">aprox. 7 </w:t>
      </w:r>
      <w:proofErr w:type="spellStart"/>
      <w:r w:rsidRPr="003B184A">
        <w:rPr>
          <w:rFonts w:eastAsia="Calibri"/>
          <w:lang w:eastAsia="en-US"/>
        </w:rPr>
        <w:t>pant</w:t>
      </w:r>
      <w:proofErr w:type="spellEnd"/>
      <w:r w:rsidRPr="003B184A">
        <w:rPr>
          <w:rFonts w:eastAsia="Calibri"/>
          <w:lang w:eastAsia="en-US"/>
        </w:rPr>
        <w:t xml:space="preserve">.]. Disponible en: </w:t>
      </w:r>
      <w:hyperlink r:id="rId30" w:history="1">
        <w:r w:rsidRPr="003B184A">
          <w:rPr>
            <w:rFonts w:eastAsia="Calibri"/>
            <w:color w:val="0563C1"/>
            <w:lang w:eastAsia="en-US"/>
          </w:rPr>
          <w:t>http://www.redalyc.org/pdf/3233/323327668006.pdf</w:t>
        </w:r>
      </w:hyperlink>
      <w:r w:rsidRPr="003B184A">
        <w:rPr>
          <w:rFonts w:eastAsia="Calibri"/>
          <w:lang w:eastAsia="en-US"/>
        </w:rPr>
        <w:t xml:space="preserve">   </w:t>
      </w:r>
    </w:p>
    <w:p w14:paraId="09F3D826" w14:textId="77777777" w:rsidR="003B184A" w:rsidRPr="003B184A" w:rsidRDefault="003B184A" w:rsidP="003B184A">
      <w:pPr>
        <w:spacing w:line="360" w:lineRule="auto"/>
        <w:rPr>
          <w:rFonts w:eastAsia="Calibri"/>
          <w:lang w:eastAsia="en-US"/>
        </w:rPr>
      </w:pPr>
      <w:r w:rsidRPr="003B184A">
        <w:rPr>
          <w:rFonts w:eastAsia="Calibri"/>
          <w:lang w:eastAsia="en-US"/>
        </w:rPr>
        <w:t xml:space="preserve">21. Osuna Padilla IA, Rodríguez Moguel </w:t>
      </w:r>
      <w:proofErr w:type="spellStart"/>
      <w:r w:rsidRPr="003B184A">
        <w:rPr>
          <w:rFonts w:eastAsia="Calibri"/>
          <w:lang w:eastAsia="en-US"/>
        </w:rPr>
        <w:t>NC</w:t>
      </w:r>
      <w:proofErr w:type="spellEnd"/>
      <w:r w:rsidRPr="003B184A">
        <w:rPr>
          <w:rFonts w:eastAsia="Calibri"/>
          <w:lang w:eastAsia="en-US"/>
        </w:rPr>
        <w:t xml:space="preserve">, Rodríguez Llamazares S, Aguilar Vargas A, Casas Aparicio GA, Ríos Ayala MA, et al. </w:t>
      </w:r>
      <w:r w:rsidRPr="003B184A">
        <w:rPr>
          <w:rFonts w:eastAsia="Calibri"/>
          <w:lang w:val="en-US" w:eastAsia="en-US"/>
        </w:rPr>
        <w:t>Low phase angle is associated with 60-</w:t>
      </w:r>
      <w:proofErr w:type="spellStart"/>
      <w:r w:rsidRPr="003B184A">
        <w:rPr>
          <w:rFonts w:eastAsia="Calibri"/>
          <w:lang w:val="en-US" w:eastAsia="en-US"/>
        </w:rPr>
        <w:t>daymortality</w:t>
      </w:r>
      <w:proofErr w:type="spellEnd"/>
      <w:r w:rsidRPr="003B184A">
        <w:rPr>
          <w:rFonts w:eastAsia="Calibri"/>
          <w:lang w:val="en-US" w:eastAsia="en-US"/>
        </w:rPr>
        <w:t xml:space="preserve"> in critically ill patients with COVID-19. </w:t>
      </w:r>
      <w:proofErr w:type="spellStart"/>
      <w:r w:rsidRPr="003B184A">
        <w:rPr>
          <w:rFonts w:eastAsia="Calibri"/>
          <w:lang w:eastAsia="en-US"/>
        </w:rPr>
        <w:t>JPEN</w:t>
      </w:r>
      <w:proofErr w:type="spellEnd"/>
      <w:r w:rsidRPr="003B184A">
        <w:rPr>
          <w:rFonts w:eastAsia="Calibri"/>
          <w:lang w:eastAsia="en-US"/>
        </w:rPr>
        <w:t xml:space="preserve"> J </w:t>
      </w:r>
      <w:proofErr w:type="spellStart"/>
      <w:r w:rsidRPr="003B184A">
        <w:rPr>
          <w:rFonts w:eastAsia="Calibri"/>
          <w:lang w:eastAsia="en-US"/>
        </w:rPr>
        <w:t>Parenter</w:t>
      </w:r>
      <w:proofErr w:type="spellEnd"/>
      <w:r w:rsidRPr="003B184A">
        <w:rPr>
          <w:rFonts w:eastAsia="Calibri"/>
          <w:lang w:eastAsia="en-US"/>
        </w:rPr>
        <w:t xml:space="preserve"> Enteral </w:t>
      </w:r>
      <w:proofErr w:type="spellStart"/>
      <w:r w:rsidRPr="003B184A">
        <w:rPr>
          <w:rFonts w:eastAsia="Calibri"/>
          <w:lang w:eastAsia="en-US"/>
        </w:rPr>
        <w:t>Nutr</w:t>
      </w:r>
      <w:proofErr w:type="spellEnd"/>
      <w:r w:rsidRPr="003B184A">
        <w:rPr>
          <w:rFonts w:eastAsia="Calibri"/>
          <w:lang w:eastAsia="en-US"/>
        </w:rPr>
        <w:t xml:space="preserve">. 2022 [acceso: 24/01/2022]; 46(4):828-35. Disponible en: </w:t>
      </w:r>
      <w:hyperlink r:id="rId31" w:history="1">
        <w:r w:rsidRPr="003B184A">
          <w:rPr>
            <w:rFonts w:eastAsia="Calibri"/>
            <w:color w:val="0563C1"/>
            <w:lang w:eastAsia="en-US"/>
          </w:rPr>
          <w:t>https://www.ncbi.nlm.nih.gov/pmc/articles/PMC8420520/</w:t>
        </w:r>
      </w:hyperlink>
      <w:r w:rsidRPr="003B184A">
        <w:rPr>
          <w:rFonts w:eastAsia="Calibri"/>
          <w:lang w:eastAsia="en-US"/>
        </w:rPr>
        <w:t xml:space="preserve"> </w:t>
      </w:r>
    </w:p>
    <w:p w14:paraId="6AB7CEF8" w14:textId="77777777" w:rsidR="003B184A" w:rsidRPr="003B184A" w:rsidRDefault="003B184A" w:rsidP="003B184A">
      <w:pPr>
        <w:spacing w:line="360" w:lineRule="auto"/>
        <w:rPr>
          <w:rFonts w:eastAsia="Calibri"/>
          <w:lang w:eastAsia="en-US"/>
        </w:rPr>
      </w:pPr>
      <w:r w:rsidRPr="003B184A">
        <w:rPr>
          <w:rFonts w:eastAsia="Calibri"/>
          <w:lang w:eastAsia="en-US"/>
        </w:rPr>
        <w:t xml:space="preserve">22. Lima e Silva </w:t>
      </w:r>
      <w:proofErr w:type="spellStart"/>
      <w:r w:rsidRPr="003B184A">
        <w:rPr>
          <w:rFonts w:eastAsia="Calibri"/>
          <w:lang w:eastAsia="en-US"/>
        </w:rPr>
        <w:t>RR</w:t>
      </w:r>
      <w:proofErr w:type="spellEnd"/>
      <w:r w:rsidRPr="003B184A">
        <w:rPr>
          <w:rFonts w:eastAsia="Calibri"/>
          <w:lang w:eastAsia="en-US"/>
        </w:rPr>
        <w:t xml:space="preserve">, Sabino </w:t>
      </w:r>
      <w:proofErr w:type="spellStart"/>
      <w:r w:rsidRPr="003B184A">
        <w:rPr>
          <w:rFonts w:eastAsia="Calibri"/>
          <w:lang w:eastAsia="en-US"/>
        </w:rPr>
        <w:t>Pinho</w:t>
      </w:r>
      <w:proofErr w:type="spellEnd"/>
      <w:r w:rsidRPr="003B184A">
        <w:rPr>
          <w:rFonts w:eastAsia="Calibri"/>
          <w:lang w:eastAsia="en-US"/>
        </w:rPr>
        <w:t xml:space="preserve"> CP, </w:t>
      </w:r>
      <w:proofErr w:type="spellStart"/>
      <w:r w:rsidRPr="003B184A">
        <w:rPr>
          <w:rFonts w:eastAsia="Calibri"/>
          <w:lang w:eastAsia="en-US"/>
        </w:rPr>
        <w:t>Galvao</w:t>
      </w:r>
      <w:proofErr w:type="spellEnd"/>
      <w:r w:rsidRPr="003B184A">
        <w:rPr>
          <w:rFonts w:eastAsia="Calibri"/>
          <w:lang w:eastAsia="en-US"/>
        </w:rPr>
        <w:t xml:space="preserve"> </w:t>
      </w:r>
      <w:proofErr w:type="spellStart"/>
      <w:r w:rsidRPr="003B184A">
        <w:rPr>
          <w:rFonts w:eastAsia="Calibri"/>
          <w:lang w:eastAsia="en-US"/>
        </w:rPr>
        <w:t>Rodrígues</w:t>
      </w:r>
      <w:proofErr w:type="spellEnd"/>
      <w:r w:rsidRPr="003B184A">
        <w:rPr>
          <w:rFonts w:eastAsia="Calibri"/>
          <w:lang w:eastAsia="en-US"/>
        </w:rPr>
        <w:t xml:space="preserve"> I, De Moura Monteiro Junior </w:t>
      </w:r>
      <w:proofErr w:type="spellStart"/>
      <w:r w:rsidRPr="003B184A">
        <w:rPr>
          <w:rFonts w:eastAsia="Calibri"/>
          <w:lang w:eastAsia="en-US"/>
        </w:rPr>
        <w:t>JG</w:t>
      </w:r>
      <w:proofErr w:type="spellEnd"/>
      <w:r w:rsidRPr="003B184A">
        <w:rPr>
          <w:rFonts w:eastAsia="Calibri"/>
          <w:lang w:eastAsia="en-US"/>
        </w:rPr>
        <w:t xml:space="preserve">. Ángulo de fase como indicador del estado nutricional y pronóstico en pacientes críticos. </w:t>
      </w:r>
      <w:proofErr w:type="spellStart"/>
      <w:r w:rsidRPr="003B184A">
        <w:rPr>
          <w:rFonts w:eastAsia="Calibri"/>
          <w:lang w:eastAsia="en-US"/>
        </w:rPr>
        <w:t>Nutr</w:t>
      </w:r>
      <w:proofErr w:type="spellEnd"/>
      <w:r w:rsidRPr="003B184A">
        <w:rPr>
          <w:rFonts w:eastAsia="Calibri"/>
          <w:lang w:eastAsia="en-US"/>
        </w:rPr>
        <w:t xml:space="preserve"> </w:t>
      </w:r>
      <w:proofErr w:type="spellStart"/>
      <w:r w:rsidRPr="003B184A">
        <w:rPr>
          <w:rFonts w:eastAsia="Calibri"/>
          <w:lang w:eastAsia="en-US"/>
        </w:rPr>
        <w:t>Hosp</w:t>
      </w:r>
      <w:proofErr w:type="spellEnd"/>
      <w:r w:rsidRPr="003B184A">
        <w:rPr>
          <w:rFonts w:eastAsia="Calibri"/>
          <w:lang w:eastAsia="en-US"/>
        </w:rPr>
        <w:t xml:space="preserve">. 2015 [acceso: 24/01/2022]; 31(3):1278-85. </w:t>
      </w:r>
      <w:proofErr w:type="spellStart"/>
      <w:r w:rsidRPr="003B184A">
        <w:rPr>
          <w:rFonts w:eastAsia="Calibri"/>
          <w:lang w:eastAsia="en-US"/>
        </w:rPr>
        <w:t>DOI</w:t>
      </w:r>
      <w:proofErr w:type="spellEnd"/>
      <w:r w:rsidRPr="003B184A">
        <w:rPr>
          <w:rFonts w:eastAsia="Calibri"/>
          <w:lang w:eastAsia="en-US"/>
        </w:rPr>
        <w:t>: 10.3305/</w:t>
      </w:r>
      <w:proofErr w:type="spellStart"/>
      <w:r w:rsidRPr="003B184A">
        <w:rPr>
          <w:rFonts w:eastAsia="Calibri"/>
          <w:lang w:eastAsia="en-US"/>
        </w:rPr>
        <w:t>nh.2015.31.3.8014</w:t>
      </w:r>
      <w:proofErr w:type="spellEnd"/>
      <w:r w:rsidRPr="003B184A">
        <w:rPr>
          <w:rFonts w:eastAsia="Calibri"/>
          <w:lang w:eastAsia="en-US"/>
        </w:rPr>
        <w:t xml:space="preserve"> </w:t>
      </w:r>
    </w:p>
    <w:p w14:paraId="288BDD88" w14:textId="77777777" w:rsidR="003B184A" w:rsidRPr="003B184A" w:rsidRDefault="003B184A" w:rsidP="003B184A">
      <w:pPr>
        <w:spacing w:line="360" w:lineRule="auto"/>
        <w:rPr>
          <w:rFonts w:eastAsia="Calibri"/>
          <w:lang w:eastAsia="en-US"/>
        </w:rPr>
      </w:pPr>
      <w:r w:rsidRPr="003B184A">
        <w:rPr>
          <w:rFonts w:eastAsia="Calibri"/>
          <w:lang w:eastAsia="en-US"/>
        </w:rPr>
        <w:t xml:space="preserve">23. Miranda Pedroso M. Tormenta de citoquinas en la infección por SARS-CoV-2 (COVID-19). </w:t>
      </w:r>
      <w:proofErr w:type="spellStart"/>
      <w:r w:rsidRPr="003B184A">
        <w:rPr>
          <w:rFonts w:eastAsia="Calibri"/>
          <w:lang w:eastAsia="en-US"/>
        </w:rPr>
        <w:t>Rev</w:t>
      </w:r>
      <w:proofErr w:type="spellEnd"/>
      <w:r w:rsidRPr="003B184A">
        <w:rPr>
          <w:rFonts w:eastAsia="Calibri"/>
          <w:lang w:eastAsia="en-US"/>
        </w:rPr>
        <w:t xml:space="preserve"> </w:t>
      </w:r>
      <w:proofErr w:type="spellStart"/>
      <w:r w:rsidRPr="003B184A">
        <w:rPr>
          <w:rFonts w:eastAsia="Calibri"/>
          <w:lang w:eastAsia="en-US"/>
        </w:rPr>
        <w:t>Cub</w:t>
      </w:r>
      <w:proofErr w:type="spellEnd"/>
      <w:r w:rsidRPr="003B184A">
        <w:rPr>
          <w:rFonts w:eastAsia="Calibri"/>
          <w:lang w:eastAsia="en-US"/>
        </w:rPr>
        <w:t xml:space="preserve"> de </w:t>
      </w:r>
      <w:proofErr w:type="spellStart"/>
      <w:r w:rsidRPr="003B184A">
        <w:rPr>
          <w:rFonts w:eastAsia="Calibri"/>
          <w:lang w:eastAsia="en-US"/>
        </w:rPr>
        <w:t>Med</w:t>
      </w:r>
      <w:proofErr w:type="spellEnd"/>
      <w:r w:rsidRPr="003B184A">
        <w:rPr>
          <w:rFonts w:eastAsia="Calibri"/>
          <w:lang w:eastAsia="en-US"/>
        </w:rPr>
        <w:t xml:space="preserve"> Intensiva y Emergencias. 2021 [acceso: 26/01/2023]; 20(3):1-24. Disponible en: </w:t>
      </w:r>
      <w:hyperlink r:id="rId32" w:history="1">
        <w:r w:rsidRPr="003B184A">
          <w:rPr>
            <w:rFonts w:eastAsia="Calibri"/>
            <w:color w:val="0563C1"/>
            <w:lang w:eastAsia="en-US"/>
          </w:rPr>
          <w:t>https://revmie.sld.cu/index.php/mie/article/view/830</w:t>
        </w:r>
      </w:hyperlink>
      <w:r w:rsidRPr="003B184A">
        <w:rPr>
          <w:rFonts w:eastAsia="Calibri"/>
          <w:lang w:eastAsia="en-US"/>
        </w:rPr>
        <w:t xml:space="preserve"> </w:t>
      </w:r>
    </w:p>
    <w:p w14:paraId="18BE714B" w14:textId="77777777" w:rsidR="003B184A" w:rsidRPr="003B184A" w:rsidRDefault="003B184A" w:rsidP="003B184A">
      <w:pPr>
        <w:spacing w:line="360" w:lineRule="auto"/>
        <w:rPr>
          <w:rFonts w:eastAsia="Calibri"/>
          <w:lang w:eastAsia="en-US"/>
        </w:rPr>
      </w:pPr>
      <w:r w:rsidRPr="003B184A">
        <w:rPr>
          <w:rFonts w:eastAsia="Calibri"/>
          <w:lang w:val="en-US" w:eastAsia="en-US"/>
        </w:rPr>
        <w:t xml:space="preserve">24. Danielsen AC, Lee </w:t>
      </w:r>
      <w:proofErr w:type="spellStart"/>
      <w:r w:rsidRPr="003B184A">
        <w:rPr>
          <w:rFonts w:eastAsia="Calibri"/>
          <w:lang w:val="en-US" w:eastAsia="en-US"/>
        </w:rPr>
        <w:t>KMN</w:t>
      </w:r>
      <w:proofErr w:type="spellEnd"/>
      <w:r w:rsidRPr="003B184A">
        <w:rPr>
          <w:rFonts w:eastAsia="Calibri"/>
          <w:lang w:val="en-US" w:eastAsia="en-US"/>
        </w:rPr>
        <w:t xml:space="preserve">, </w:t>
      </w:r>
      <w:proofErr w:type="spellStart"/>
      <w:r w:rsidRPr="003B184A">
        <w:rPr>
          <w:rFonts w:eastAsia="Calibri"/>
          <w:lang w:val="en-US" w:eastAsia="en-US"/>
        </w:rPr>
        <w:t>Boulicault</w:t>
      </w:r>
      <w:proofErr w:type="spellEnd"/>
      <w:r w:rsidRPr="003B184A">
        <w:rPr>
          <w:rFonts w:eastAsia="Calibri"/>
          <w:lang w:val="en-US" w:eastAsia="en-US"/>
        </w:rPr>
        <w:t xml:space="preserve"> M, </w:t>
      </w:r>
      <w:proofErr w:type="spellStart"/>
      <w:r w:rsidRPr="003B184A">
        <w:rPr>
          <w:rFonts w:eastAsia="Calibri"/>
          <w:lang w:val="en-US" w:eastAsia="en-US"/>
        </w:rPr>
        <w:t>Rushovich</w:t>
      </w:r>
      <w:proofErr w:type="spellEnd"/>
      <w:r w:rsidRPr="003B184A">
        <w:rPr>
          <w:rFonts w:eastAsia="Calibri"/>
          <w:lang w:val="en-US" w:eastAsia="en-US"/>
        </w:rPr>
        <w:t xml:space="preserve"> T, Gompers A, Tarrant A, et al. Sex disparities in COVID-19 outcomes in the United States: Quantifying and contextualizing variation. </w:t>
      </w:r>
      <w:r w:rsidRPr="003B184A">
        <w:rPr>
          <w:rFonts w:eastAsia="Calibri"/>
          <w:lang w:eastAsia="en-US"/>
        </w:rPr>
        <w:t xml:space="preserve">Social </w:t>
      </w:r>
      <w:proofErr w:type="spellStart"/>
      <w:r w:rsidRPr="003B184A">
        <w:rPr>
          <w:rFonts w:eastAsia="Calibri"/>
          <w:lang w:eastAsia="en-US"/>
        </w:rPr>
        <w:t>Science</w:t>
      </w:r>
      <w:proofErr w:type="spellEnd"/>
      <w:r w:rsidRPr="003B184A">
        <w:rPr>
          <w:rFonts w:eastAsia="Calibri"/>
          <w:lang w:eastAsia="en-US"/>
        </w:rPr>
        <w:t xml:space="preserve"> &amp; Medicine. 2022 [acceso: 01/02/2022]; 294: 114716. </w:t>
      </w:r>
      <w:proofErr w:type="spellStart"/>
      <w:r w:rsidRPr="003B184A">
        <w:rPr>
          <w:rFonts w:eastAsia="Calibri"/>
          <w:lang w:eastAsia="en-US"/>
        </w:rPr>
        <w:t>DOI</w:t>
      </w:r>
      <w:proofErr w:type="spellEnd"/>
      <w:r w:rsidRPr="003B184A">
        <w:rPr>
          <w:rFonts w:eastAsia="Calibri"/>
          <w:lang w:eastAsia="en-US"/>
        </w:rPr>
        <w:t>: 10.1016/</w:t>
      </w:r>
      <w:proofErr w:type="spellStart"/>
      <w:r w:rsidRPr="003B184A">
        <w:rPr>
          <w:rFonts w:eastAsia="Calibri"/>
          <w:lang w:eastAsia="en-US"/>
        </w:rPr>
        <w:t>j.socscimed.2022.114716</w:t>
      </w:r>
      <w:proofErr w:type="spellEnd"/>
    </w:p>
    <w:p w14:paraId="5D0CF747" w14:textId="77777777" w:rsidR="003B184A" w:rsidRPr="003B184A" w:rsidRDefault="003B184A" w:rsidP="003B184A">
      <w:pPr>
        <w:spacing w:line="360" w:lineRule="auto"/>
        <w:jc w:val="center"/>
        <w:rPr>
          <w:rFonts w:eastAsia="Calibri"/>
          <w:b/>
          <w:bCs/>
          <w:lang w:eastAsia="en-US"/>
        </w:rPr>
      </w:pPr>
    </w:p>
    <w:p w14:paraId="55773F00" w14:textId="77777777" w:rsidR="003B184A" w:rsidRPr="003B184A" w:rsidRDefault="003B184A" w:rsidP="003B184A">
      <w:pPr>
        <w:spacing w:line="360" w:lineRule="auto"/>
        <w:jc w:val="center"/>
        <w:rPr>
          <w:rFonts w:eastAsia="Calibri"/>
          <w:b/>
          <w:bCs/>
          <w:lang w:eastAsia="en-US"/>
        </w:rPr>
      </w:pPr>
    </w:p>
    <w:p w14:paraId="5AB8C588" w14:textId="77777777" w:rsidR="003B184A" w:rsidRPr="003B184A" w:rsidRDefault="003B184A" w:rsidP="003B184A">
      <w:pPr>
        <w:spacing w:line="360" w:lineRule="auto"/>
        <w:jc w:val="center"/>
        <w:rPr>
          <w:rFonts w:eastAsia="Calibri"/>
          <w:lang w:eastAsia="en-US"/>
        </w:rPr>
      </w:pPr>
      <w:r w:rsidRPr="003B184A">
        <w:rPr>
          <w:rFonts w:eastAsia="Calibri"/>
          <w:b/>
          <w:bCs/>
          <w:lang w:eastAsia="en-US"/>
        </w:rPr>
        <w:t>Conflictos de interés</w:t>
      </w:r>
    </w:p>
    <w:p w14:paraId="7D7EC6C6" w14:textId="77777777" w:rsidR="003B184A" w:rsidRPr="003B184A" w:rsidRDefault="003B184A" w:rsidP="003B184A">
      <w:pPr>
        <w:tabs>
          <w:tab w:val="left" w:pos="2592"/>
        </w:tabs>
        <w:spacing w:line="360" w:lineRule="auto"/>
        <w:jc w:val="both"/>
        <w:rPr>
          <w:rFonts w:eastAsia="Calibri"/>
          <w:lang w:eastAsia="en-US"/>
        </w:rPr>
      </w:pPr>
      <w:r w:rsidRPr="003B184A">
        <w:rPr>
          <w:rFonts w:eastAsia="Calibri"/>
          <w:lang w:eastAsia="en-US"/>
        </w:rPr>
        <w:lastRenderedPageBreak/>
        <w:t>Los autores plantean que no tienen conflictos de interés.</w:t>
      </w:r>
    </w:p>
    <w:p w14:paraId="039C8801" w14:textId="77777777" w:rsidR="003B184A" w:rsidRPr="003B184A" w:rsidRDefault="003B184A" w:rsidP="003B184A">
      <w:pPr>
        <w:autoSpaceDE w:val="0"/>
        <w:autoSpaceDN w:val="0"/>
        <w:adjustRightInd w:val="0"/>
        <w:spacing w:line="360" w:lineRule="auto"/>
        <w:jc w:val="center"/>
        <w:rPr>
          <w:rFonts w:eastAsia="Calibri"/>
          <w:b/>
          <w:bCs/>
          <w:color w:val="000000"/>
          <w:lang w:eastAsia="en-US"/>
        </w:rPr>
      </w:pPr>
    </w:p>
    <w:p w14:paraId="271A3B66" w14:textId="77777777" w:rsidR="003B184A" w:rsidRPr="003B184A" w:rsidRDefault="003B184A" w:rsidP="003B184A">
      <w:pPr>
        <w:autoSpaceDE w:val="0"/>
        <w:autoSpaceDN w:val="0"/>
        <w:adjustRightInd w:val="0"/>
        <w:spacing w:line="360" w:lineRule="auto"/>
        <w:jc w:val="center"/>
        <w:rPr>
          <w:rFonts w:eastAsia="Calibri"/>
          <w:color w:val="000000"/>
          <w:lang w:eastAsia="en-US"/>
        </w:rPr>
      </w:pPr>
      <w:r w:rsidRPr="003B184A">
        <w:rPr>
          <w:rFonts w:eastAsia="Calibri"/>
          <w:b/>
          <w:bCs/>
          <w:color w:val="000000"/>
          <w:lang w:eastAsia="en-US"/>
        </w:rPr>
        <w:t>Contribuciones de los autores</w:t>
      </w:r>
    </w:p>
    <w:p w14:paraId="346571E6" w14:textId="77777777" w:rsidR="003B184A" w:rsidRPr="003B184A" w:rsidRDefault="003B184A" w:rsidP="003B184A">
      <w:pPr>
        <w:autoSpaceDE w:val="0"/>
        <w:autoSpaceDN w:val="0"/>
        <w:adjustRightInd w:val="0"/>
        <w:spacing w:line="360" w:lineRule="auto"/>
        <w:jc w:val="both"/>
        <w:rPr>
          <w:rFonts w:eastAsia="Calibri"/>
          <w:iCs/>
          <w:color w:val="000000"/>
          <w:lang w:val="es-ES" w:eastAsia="en-US"/>
        </w:rPr>
      </w:pPr>
      <w:r w:rsidRPr="003B184A">
        <w:rPr>
          <w:rFonts w:eastAsia="Calibri"/>
          <w:iCs/>
          <w:color w:val="000000"/>
          <w:lang w:val="es-ES" w:eastAsia="en-US"/>
        </w:rPr>
        <w:t xml:space="preserve">Conceptualización: </w:t>
      </w:r>
      <w:r w:rsidRPr="003B184A">
        <w:rPr>
          <w:rFonts w:eastAsia="Calibri"/>
          <w:i/>
          <w:iCs/>
          <w:color w:val="000000"/>
          <w:lang w:val="es-ES" w:eastAsia="en-US"/>
        </w:rPr>
        <w:t>Jacno Erik Ferrer Castro.</w:t>
      </w:r>
    </w:p>
    <w:p w14:paraId="32CF6716" w14:textId="77777777" w:rsidR="003B184A" w:rsidRPr="003B184A" w:rsidRDefault="003B184A" w:rsidP="003B184A">
      <w:pPr>
        <w:autoSpaceDE w:val="0"/>
        <w:autoSpaceDN w:val="0"/>
        <w:adjustRightInd w:val="0"/>
        <w:spacing w:line="360" w:lineRule="auto"/>
        <w:jc w:val="both"/>
        <w:rPr>
          <w:rFonts w:eastAsia="Calibri"/>
          <w:i/>
          <w:iCs/>
          <w:color w:val="000000"/>
          <w:lang w:val="es-ES" w:eastAsia="en-US"/>
        </w:rPr>
      </w:pPr>
      <w:r w:rsidRPr="003B184A">
        <w:rPr>
          <w:rFonts w:eastAsia="Calibri"/>
          <w:iCs/>
          <w:color w:val="000000"/>
          <w:lang w:val="es-ES" w:eastAsia="en-US"/>
        </w:rPr>
        <w:t xml:space="preserve">Curación de datos: </w:t>
      </w:r>
      <w:proofErr w:type="spellStart"/>
      <w:r w:rsidRPr="003B184A">
        <w:rPr>
          <w:rFonts w:eastAsia="Calibri"/>
          <w:i/>
          <w:iCs/>
          <w:color w:val="000000"/>
          <w:lang w:val="es-ES" w:eastAsia="en-US"/>
        </w:rPr>
        <w:t>Zahilyn</w:t>
      </w:r>
      <w:proofErr w:type="spellEnd"/>
      <w:r w:rsidRPr="003B184A">
        <w:rPr>
          <w:rFonts w:eastAsia="Calibri"/>
          <w:i/>
          <w:iCs/>
          <w:color w:val="000000"/>
          <w:lang w:val="es-ES" w:eastAsia="en-US"/>
        </w:rPr>
        <w:t xml:space="preserve"> Rodríguez González.</w:t>
      </w:r>
    </w:p>
    <w:p w14:paraId="59B28B5C" w14:textId="77777777" w:rsidR="003B184A" w:rsidRPr="003B184A" w:rsidRDefault="003B184A" w:rsidP="003B184A">
      <w:pPr>
        <w:autoSpaceDE w:val="0"/>
        <w:autoSpaceDN w:val="0"/>
        <w:adjustRightInd w:val="0"/>
        <w:spacing w:line="360" w:lineRule="auto"/>
        <w:jc w:val="both"/>
        <w:rPr>
          <w:rFonts w:eastAsia="Calibri"/>
          <w:i/>
          <w:iCs/>
          <w:color w:val="000000"/>
          <w:lang w:val="es-ES" w:eastAsia="en-US"/>
        </w:rPr>
      </w:pPr>
      <w:r w:rsidRPr="003B184A">
        <w:rPr>
          <w:rFonts w:eastAsia="Calibri"/>
          <w:iCs/>
          <w:color w:val="000000"/>
          <w:lang w:val="es-ES" w:eastAsia="en-US"/>
        </w:rPr>
        <w:t xml:space="preserve">Investigación: </w:t>
      </w:r>
      <w:r w:rsidRPr="003B184A">
        <w:rPr>
          <w:rFonts w:eastAsia="Calibri"/>
          <w:i/>
          <w:iCs/>
          <w:color w:val="000000"/>
          <w:lang w:val="es-ES" w:eastAsia="en-US"/>
        </w:rPr>
        <w:t>Jacno Erik Ferrer Castro, Mariela García Terrero, Isley Ramírez Arzuaga.</w:t>
      </w:r>
    </w:p>
    <w:p w14:paraId="3199367E" w14:textId="77777777" w:rsidR="003B184A" w:rsidRPr="003B184A" w:rsidRDefault="003B184A" w:rsidP="003B184A">
      <w:pPr>
        <w:autoSpaceDE w:val="0"/>
        <w:autoSpaceDN w:val="0"/>
        <w:adjustRightInd w:val="0"/>
        <w:spacing w:line="360" w:lineRule="auto"/>
        <w:jc w:val="both"/>
        <w:rPr>
          <w:rFonts w:eastAsia="Calibri"/>
          <w:i/>
          <w:iCs/>
          <w:color w:val="000000"/>
          <w:lang w:val="es-ES" w:eastAsia="en-US"/>
        </w:rPr>
      </w:pPr>
      <w:r w:rsidRPr="003B184A">
        <w:rPr>
          <w:rFonts w:eastAsia="Calibri"/>
          <w:iCs/>
          <w:color w:val="000000"/>
          <w:lang w:val="es-ES" w:eastAsia="en-US"/>
        </w:rPr>
        <w:t xml:space="preserve">Análisis formal: </w:t>
      </w:r>
      <w:r w:rsidRPr="003B184A">
        <w:rPr>
          <w:rFonts w:eastAsia="Calibri"/>
          <w:i/>
          <w:iCs/>
          <w:color w:val="000000"/>
          <w:lang w:val="es-ES" w:eastAsia="en-US"/>
        </w:rPr>
        <w:t>Jacno Erik Ferrer Castro, Germán del Río Caballero.</w:t>
      </w:r>
    </w:p>
    <w:p w14:paraId="5DCC5318" w14:textId="77777777" w:rsidR="003B184A" w:rsidRPr="003B184A" w:rsidRDefault="003B184A" w:rsidP="003B184A">
      <w:pPr>
        <w:autoSpaceDE w:val="0"/>
        <w:autoSpaceDN w:val="0"/>
        <w:adjustRightInd w:val="0"/>
        <w:spacing w:line="360" w:lineRule="auto"/>
        <w:jc w:val="both"/>
        <w:rPr>
          <w:rFonts w:eastAsia="Calibri"/>
          <w:i/>
          <w:iCs/>
          <w:color w:val="000000"/>
          <w:lang w:val="es-ES" w:eastAsia="en-US"/>
        </w:rPr>
      </w:pPr>
      <w:r w:rsidRPr="003B184A">
        <w:rPr>
          <w:rFonts w:eastAsia="Calibri"/>
          <w:iCs/>
          <w:color w:val="000000"/>
          <w:lang w:val="es-ES" w:eastAsia="en-US"/>
        </w:rPr>
        <w:t xml:space="preserve">Metodología: </w:t>
      </w:r>
      <w:r w:rsidRPr="003B184A">
        <w:rPr>
          <w:rFonts w:eastAsia="Calibri"/>
          <w:i/>
          <w:iCs/>
          <w:color w:val="000000"/>
          <w:lang w:val="es-ES" w:eastAsia="en-US"/>
        </w:rPr>
        <w:t>Jacno Erik Ferrer Castro, Germán del Río Caballero.</w:t>
      </w:r>
    </w:p>
    <w:p w14:paraId="029C98F6" w14:textId="77777777" w:rsidR="003B184A" w:rsidRPr="003B184A" w:rsidRDefault="003B184A" w:rsidP="003B184A">
      <w:pPr>
        <w:autoSpaceDE w:val="0"/>
        <w:autoSpaceDN w:val="0"/>
        <w:adjustRightInd w:val="0"/>
        <w:spacing w:line="360" w:lineRule="auto"/>
        <w:jc w:val="both"/>
        <w:rPr>
          <w:rFonts w:eastAsia="Calibri"/>
          <w:i/>
          <w:iCs/>
          <w:color w:val="000000"/>
          <w:lang w:val="es-ES" w:eastAsia="en-US"/>
        </w:rPr>
      </w:pPr>
      <w:r w:rsidRPr="003B184A">
        <w:rPr>
          <w:rFonts w:eastAsia="Calibri"/>
          <w:iCs/>
          <w:color w:val="000000"/>
          <w:lang w:val="es-ES" w:eastAsia="en-US"/>
        </w:rPr>
        <w:t>Administración del proyecto:</w:t>
      </w:r>
      <w:r w:rsidRPr="003B184A">
        <w:rPr>
          <w:rFonts w:eastAsia="Calibri"/>
          <w:sz w:val="22"/>
          <w:szCs w:val="22"/>
          <w:lang w:eastAsia="en-US"/>
        </w:rPr>
        <w:t xml:space="preserve"> </w:t>
      </w:r>
      <w:r w:rsidRPr="003B184A">
        <w:rPr>
          <w:rFonts w:eastAsia="Calibri"/>
          <w:i/>
          <w:iCs/>
          <w:color w:val="000000"/>
          <w:lang w:val="es-ES" w:eastAsia="en-US"/>
        </w:rPr>
        <w:t>Jacno Erik Ferrer Castro.</w:t>
      </w:r>
    </w:p>
    <w:p w14:paraId="4CA4D5A8" w14:textId="77777777" w:rsidR="003B184A" w:rsidRPr="003B184A" w:rsidRDefault="003B184A" w:rsidP="003B184A">
      <w:pPr>
        <w:autoSpaceDE w:val="0"/>
        <w:autoSpaceDN w:val="0"/>
        <w:adjustRightInd w:val="0"/>
        <w:spacing w:line="360" w:lineRule="auto"/>
        <w:jc w:val="both"/>
        <w:rPr>
          <w:rFonts w:eastAsia="Calibri"/>
          <w:iCs/>
          <w:color w:val="000000"/>
          <w:lang w:val="es-ES" w:eastAsia="en-US"/>
        </w:rPr>
      </w:pPr>
      <w:r w:rsidRPr="003B184A">
        <w:rPr>
          <w:rFonts w:eastAsia="Calibri"/>
          <w:iCs/>
          <w:color w:val="000000"/>
          <w:lang w:val="es-ES" w:eastAsia="en-US"/>
        </w:rPr>
        <w:t xml:space="preserve">Supervisión: </w:t>
      </w:r>
      <w:r w:rsidRPr="003B184A">
        <w:rPr>
          <w:rFonts w:eastAsia="Calibri"/>
          <w:i/>
          <w:color w:val="000000"/>
          <w:lang w:val="es-ES" w:eastAsia="en-US"/>
        </w:rPr>
        <w:t>Jacno Erik Ferrer Castro.</w:t>
      </w:r>
    </w:p>
    <w:p w14:paraId="6AA56207" w14:textId="77777777" w:rsidR="003B184A" w:rsidRPr="003B184A" w:rsidRDefault="003B184A" w:rsidP="003B184A">
      <w:pPr>
        <w:autoSpaceDE w:val="0"/>
        <w:autoSpaceDN w:val="0"/>
        <w:adjustRightInd w:val="0"/>
        <w:spacing w:line="360" w:lineRule="auto"/>
        <w:jc w:val="both"/>
        <w:rPr>
          <w:rFonts w:eastAsia="Calibri"/>
          <w:iCs/>
          <w:color w:val="000000"/>
          <w:lang w:val="es-ES" w:eastAsia="en-US"/>
        </w:rPr>
      </w:pPr>
      <w:r w:rsidRPr="003B184A">
        <w:rPr>
          <w:rFonts w:eastAsia="Calibri"/>
          <w:iCs/>
          <w:color w:val="000000"/>
          <w:lang w:val="es-ES" w:eastAsia="en-US"/>
        </w:rPr>
        <w:t xml:space="preserve">Visualización: </w:t>
      </w:r>
      <w:r w:rsidRPr="003B184A">
        <w:rPr>
          <w:rFonts w:eastAsia="Calibri"/>
          <w:i/>
          <w:iCs/>
          <w:color w:val="000000"/>
          <w:lang w:val="es-ES" w:eastAsia="en-US"/>
        </w:rPr>
        <w:t xml:space="preserve">Jacno Erik Ferrer Castro, </w:t>
      </w:r>
      <w:proofErr w:type="spellStart"/>
      <w:r w:rsidRPr="003B184A">
        <w:rPr>
          <w:rFonts w:eastAsia="Calibri"/>
          <w:i/>
          <w:iCs/>
          <w:color w:val="000000"/>
          <w:lang w:val="es-ES" w:eastAsia="en-US"/>
        </w:rPr>
        <w:t>Zahilyn</w:t>
      </w:r>
      <w:proofErr w:type="spellEnd"/>
      <w:r w:rsidRPr="003B184A">
        <w:rPr>
          <w:rFonts w:eastAsia="Calibri"/>
          <w:i/>
          <w:iCs/>
          <w:color w:val="000000"/>
          <w:lang w:val="es-ES" w:eastAsia="en-US"/>
        </w:rPr>
        <w:t xml:space="preserve"> Rodríguez González.</w:t>
      </w:r>
    </w:p>
    <w:p w14:paraId="65AE88C6" w14:textId="77777777" w:rsidR="003B184A" w:rsidRPr="003B184A" w:rsidRDefault="003B184A" w:rsidP="003B184A">
      <w:pPr>
        <w:autoSpaceDE w:val="0"/>
        <w:autoSpaceDN w:val="0"/>
        <w:adjustRightInd w:val="0"/>
        <w:spacing w:line="360" w:lineRule="auto"/>
        <w:jc w:val="both"/>
        <w:rPr>
          <w:rFonts w:eastAsia="Calibri"/>
          <w:i/>
          <w:iCs/>
          <w:color w:val="000000"/>
          <w:lang w:val="es-ES" w:eastAsia="en-US"/>
        </w:rPr>
      </w:pPr>
      <w:r w:rsidRPr="003B184A">
        <w:rPr>
          <w:rFonts w:eastAsia="Calibri"/>
          <w:iCs/>
          <w:color w:val="000000"/>
          <w:lang w:val="es-ES" w:eastAsia="en-US"/>
        </w:rPr>
        <w:t xml:space="preserve">Redacción – borrador original: </w:t>
      </w:r>
      <w:r w:rsidRPr="003B184A">
        <w:rPr>
          <w:rFonts w:eastAsia="Calibri"/>
          <w:i/>
          <w:iCs/>
          <w:color w:val="000000"/>
          <w:lang w:val="es-ES" w:eastAsia="en-US"/>
        </w:rPr>
        <w:t>Jacno Erik Ferrer Castro.</w:t>
      </w:r>
    </w:p>
    <w:p w14:paraId="73C1F2C9" w14:textId="77777777" w:rsidR="003B184A" w:rsidRPr="003B184A" w:rsidRDefault="003B184A" w:rsidP="003B184A">
      <w:pPr>
        <w:autoSpaceDE w:val="0"/>
        <w:autoSpaceDN w:val="0"/>
        <w:adjustRightInd w:val="0"/>
        <w:spacing w:line="360" w:lineRule="auto"/>
        <w:rPr>
          <w:rFonts w:eastAsia="Calibri"/>
          <w:lang w:val="es-ES" w:eastAsia="en-US"/>
        </w:rPr>
      </w:pPr>
    </w:p>
    <w:p w14:paraId="065D4244" w14:textId="77777777" w:rsidR="00675476" w:rsidRPr="0055115D" w:rsidRDefault="00675476" w:rsidP="00EA1FEF">
      <w:pPr>
        <w:pStyle w:val="PDFRevista"/>
      </w:pPr>
    </w:p>
    <w:sectPr w:rsidR="00675476" w:rsidRPr="0055115D" w:rsidSect="00FD3DF8">
      <w:headerReference w:type="default" r:id="rId33"/>
      <w:footerReference w:type="even" r:id="rId34"/>
      <w:footerReference w:type="default" r:id="rId3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ABC04" w14:textId="77777777" w:rsidR="00C242FA" w:rsidRDefault="00C242FA">
      <w:r>
        <w:separator/>
      </w:r>
    </w:p>
  </w:endnote>
  <w:endnote w:type="continuationSeparator" w:id="0">
    <w:p w14:paraId="0105AF14" w14:textId="77777777" w:rsidR="00C242FA" w:rsidRDefault="00C2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7C5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4ABD6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E3D1" w14:textId="41B75B26" w:rsidR="000F3690" w:rsidRPr="00AE044C" w:rsidRDefault="003B184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E205352" wp14:editId="27534CD5">
              <wp:simplePos x="0" y="0"/>
              <wp:positionH relativeFrom="column">
                <wp:posOffset>3810</wp:posOffset>
              </wp:positionH>
              <wp:positionV relativeFrom="paragraph">
                <wp:posOffset>50165</wp:posOffset>
              </wp:positionV>
              <wp:extent cx="6286500" cy="19050"/>
              <wp:effectExtent l="19050" t="19050" r="0" b="0"/>
              <wp:wrapNone/>
              <wp:docPr id="5268545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1D4D76"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091AE87"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FE15693"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2C2FDAD" w14:textId="35D21300"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B184A" w:rsidRPr="003B184A">
      <w:rPr>
        <w:rFonts w:ascii="Verdana" w:hAnsi="Verdana"/>
        <w:noProof/>
        <w:sz w:val="18"/>
        <w:szCs w:val="18"/>
        <w:lang w:val="en-US" w:eastAsia="en-US"/>
      </w:rPr>
      <w:drawing>
        <wp:inline distT="0" distB="0" distL="0" distR="0" wp14:anchorId="5929301A" wp14:editId="1D3282D6">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64D4" w14:textId="77777777" w:rsidR="00C242FA" w:rsidRDefault="00C242FA">
      <w:r>
        <w:separator/>
      </w:r>
    </w:p>
  </w:footnote>
  <w:footnote w:type="continuationSeparator" w:id="0">
    <w:p w14:paraId="2B0E46C4" w14:textId="77777777" w:rsidR="00C242FA" w:rsidRDefault="00C2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D0C3" w14:textId="42C400AD" w:rsidR="00CC376A" w:rsidRPr="00AE044C" w:rsidRDefault="003B184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02302995</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6F2ECF8" wp14:editId="608AAAB6">
          <wp:simplePos x="0" y="0"/>
          <wp:positionH relativeFrom="column">
            <wp:posOffset>2540</wp:posOffset>
          </wp:positionH>
          <wp:positionV relativeFrom="paragraph">
            <wp:posOffset>-598805</wp:posOffset>
          </wp:positionV>
          <wp:extent cx="6333490" cy="593725"/>
          <wp:effectExtent l="0" t="0" r="0" b="0"/>
          <wp:wrapNone/>
          <wp:docPr id="46063087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7987D" w14:textId="433AEA6D" w:rsidR="00A477DE" w:rsidRDefault="003B184A">
    <w:r>
      <w:rPr>
        <w:noProof/>
      </w:rPr>
      <mc:AlternateContent>
        <mc:Choice Requires="wps">
          <w:drawing>
            <wp:anchor distT="0" distB="0" distL="114300" distR="114300" simplePos="0" relativeHeight="251654144" behindDoc="0" locked="0" layoutInCell="1" allowOverlap="1" wp14:anchorId="4079DD01" wp14:editId="79441086">
              <wp:simplePos x="0" y="0"/>
              <wp:positionH relativeFrom="column">
                <wp:posOffset>635</wp:posOffset>
              </wp:positionH>
              <wp:positionV relativeFrom="paragraph">
                <wp:posOffset>42545</wp:posOffset>
              </wp:positionV>
              <wp:extent cx="6307455" cy="28575"/>
              <wp:effectExtent l="19050" t="19050" r="17145" b="9525"/>
              <wp:wrapNone/>
              <wp:docPr id="28583478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A099B5"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2539"/>
    <w:multiLevelType w:val="hybridMultilevel"/>
    <w:tmpl w:val="4F5A8CB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2281622E"/>
    <w:multiLevelType w:val="hybridMultilevel"/>
    <w:tmpl w:val="A0987F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D5065D8"/>
    <w:multiLevelType w:val="hybridMultilevel"/>
    <w:tmpl w:val="207E0114"/>
    <w:lvl w:ilvl="0" w:tplc="67FA50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D4CA4"/>
    <w:multiLevelType w:val="hybridMultilevel"/>
    <w:tmpl w:val="AD38BFB6"/>
    <w:lvl w:ilvl="0" w:tplc="4D9CECD8">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0291865">
    <w:abstractNumId w:val="2"/>
  </w:num>
  <w:num w:numId="2" w16cid:durableId="959997149">
    <w:abstractNumId w:val="1"/>
  </w:num>
  <w:num w:numId="3" w16cid:durableId="1061714851">
    <w:abstractNumId w:val="3"/>
  </w:num>
  <w:num w:numId="4" w16cid:durableId="1553230023">
    <w:abstractNumId w:val="4"/>
  </w:num>
  <w:num w:numId="5" w16cid:durableId="190402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4A"/>
    <w:rsid w:val="00057F45"/>
    <w:rsid w:val="000D3958"/>
    <w:rsid w:val="000F3690"/>
    <w:rsid w:val="001221D1"/>
    <w:rsid w:val="00165CB5"/>
    <w:rsid w:val="00180CE9"/>
    <w:rsid w:val="00230DD5"/>
    <w:rsid w:val="00250AE9"/>
    <w:rsid w:val="002B564E"/>
    <w:rsid w:val="00380D64"/>
    <w:rsid w:val="00391509"/>
    <w:rsid w:val="003B184A"/>
    <w:rsid w:val="003E03D5"/>
    <w:rsid w:val="00486BFA"/>
    <w:rsid w:val="00493701"/>
    <w:rsid w:val="004E2065"/>
    <w:rsid w:val="005140B6"/>
    <w:rsid w:val="005508A2"/>
    <w:rsid w:val="0055115D"/>
    <w:rsid w:val="00566F71"/>
    <w:rsid w:val="005918BD"/>
    <w:rsid w:val="006173A6"/>
    <w:rsid w:val="00675476"/>
    <w:rsid w:val="007C430F"/>
    <w:rsid w:val="007D2D0C"/>
    <w:rsid w:val="007D614D"/>
    <w:rsid w:val="00814C16"/>
    <w:rsid w:val="00915D3C"/>
    <w:rsid w:val="00960D6A"/>
    <w:rsid w:val="009A0560"/>
    <w:rsid w:val="009B0917"/>
    <w:rsid w:val="009F0F96"/>
    <w:rsid w:val="00A23C0C"/>
    <w:rsid w:val="00A477DE"/>
    <w:rsid w:val="00A66186"/>
    <w:rsid w:val="00A71E65"/>
    <w:rsid w:val="00AE044C"/>
    <w:rsid w:val="00B31971"/>
    <w:rsid w:val="00B4380A"/>
    <w:rsid w:val="00B66ECB"/>
    <w:rsid w:val="00C242FA"/>
    <w:rsid w:val="00C7523A"/>
    <w:rsid w:val="00CC1B6E"/>
    <w:rsid w:val="00CC376A"/>
    <w:rsid w:val="00CC48A1"/>
    <w:rsid w:val="00CF50E0"/>
    <w:rsid w:val="00D85951"/>
    <w:rsid w:val="00E62606"/>
    <w:rsid w:val="00EA1FEF"/>
    <w:rsid w:val="00EC5A6B"/>
    <w:rsid w:val="00EE301D"/>
    <w:rsid w:val="00F57DD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994FE"/>
  <w15:docId w15:val="{45082DB7-9D1D-412D-961A-B5DE4864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3B184A"/>
  </w:style>
  <w:style w:type="paragraph" w:customStyle="1" w:styleId="Default">
    <w:name w:val="Default"/>
    <w:rsid w:val="003B184A"/>
    <w:pPr>
      <w:autoSpaceDE w:val="0"/>
      <w:autoSpaceDN w:val="0"/>
      <w:adjustRightInd w:val="0"/>
    </w:pPr>
    <w:rPr>
      <w:rFonts w:eastAsia="Calibri"/>
      <w:color w:val="000000"/>
      <w:sz w:val="24"/>
      <w:szCs w:val="24"/>
    </w:rPr>
  </w:style>
  <w:style w:type="table" w:customStyle="1" w:styleId="Tablaconcuadrcula1">
    <w:name w:val="Tabla con cuadrícula1"/>
    <w:basedOn w:val="Tablanormal"/>
    <w:next w:val="Tablaconcuadrcula"/>
    <w:uiPriority w:val="39"/>
    <w:rsid w:val="003B18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B184A"/>
    <w:pPr>
      <w:ind w:left="720"/>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B184A"/>
    <w:pPr>
      <w:spacing w:after="160" w:line="259" w:lineRule="auto"/>
      <w:ind w:left="720"/>
      <w:contextualSpacing/>
      <w:jc w:val="both"/>
    </w:pPr>
    <w:rPr>
      <w:rFonts w:ascii="Calibri" w:eastAsia="Calibri" w:hAnsi="Calibri"/>
      <w:sz w:val="22"/>
      <w:szCs w:val="22"/>
      <w:lang w:eastAsia="en-US"/>
    </w:rPr>
  </w:style>
  <w:style w:type="character" w:styleId="Refdecomentario">
    <w:name w:val="annotation reference"/>
    <w:uiPriority w:val="99"/>
    <w:semiHidden/>
    <w:unhideWhenUsed/>
    <w:rsid w:val="003B184A"/>
    <w:rPr>
      <w:sz w:val="16"/>
      <w:szCs w:val="16"/>
    </w:rPr>
  </w:style>
  <w:style w:type="paragraph" w:styleId="Textocomentario">
    <w:name w:val="annotation text"/>
    <w:basedOn w:val="Normal"/>
    <w:link w:val="TextocomentarioCar"/>
    <w:uiPriority w:val="99"/>
    <w:semiHidden/>
    <w:unhideWhenUsed/>
    <w:rsid w:val="003B184A"/>
    <w:pPr>
      <w:spacing w:after="160"/>
      <w:ind w:left="720"/>
      <w:jc w:val="both"/>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semiHidden/>
    <w:rsid w:val="003B184A"/>
    <w:rPr>
      <w:rFonts w:ascii="Calibri" w:eastAsia="Calibri" w:hAnsi="Calibri"/>
      <w:lang w:val="es-ES_tradnl"/>
    </w:rPr>
  </w:style>
  <w:style w:type="paragraph" w:styleId="Asuntodelcomentario">
    <w:name w:val="annotation subject"/>
    <w:basedOn w:val="Textocomentario"/>
    <w:next w:val="Textocomentario"/>
    <w:link w:val="AsuntodelcomentarioCar"/>
    <w:uiPriority w:val="99"/>
    <w:semiHidden/>
    <w:unhideWhenUsed/>
    <w:rsid w:val="003B184A"/>
    <w:rPr>
      <w:b/>
      <w:bCs/>
    </w:rPr>
  </w:style>
  <w:style w:type="character" w:customStyle="1" w:styleId="AsuntodelcomentarioCar">
    <w:name w:val="Asunto del comentario Car"/>
    <w:basedOn w:val="TextocomentarioCar"/>
    <w:link w:val="Asuntodelcomentario"/>
    <w:uiPriority w:val="99"/>
    <w:semiHidden/>
    <w:rsid w:val="003B184A"/>
    <w:rPr>
      <w:rFonts w:ascii="Calibri" w:eastAsia="Calibri" w:hAnsi="Calibri"/>
      <w:b/>
      <w:bCs/>
      <w:lang w:val="es-ES_tradnl"/>
    </w:rPr>
  </w:style>
  <w:style w:type="character" w:customStyle="1" w:styleId="cit">
    <w:name w:val="cit"/>
    <w:basedOn w:val="Fuentedeprrafopredeter"/>
    <w:rsid w:val="003B184A"/>
  </w:style>
  <w:style w:type="character" w:customStyle="1" w:styleId="citation-doi">
    <w:name w:val="citation-doi"/>
    <w:basedOn w:val="Fuentedeprrafopredeter"/>
    <w:rsid w:val="003B184A"/>
  </w:style>
  <w:style w:type="paragraph" w:styleId="Textoindependiente">
    <w:name w:val="Body Text"/>
    <w:basedOn w:val="Normal"/>
    <w:link w:val="TextoindependienteCar"/>
    <w:uiPriority w:val="99"/>
    <w:unhideWhenUsed/>
    <w:rsid w:val="003B184A"/>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3B184A"/>
    <w:rPr>
      <w:rFonts w:ascii="Arial" w:hAnsi="Arial" w:cs="Arial"/>
      <w:sz w:val="12"/>
      <w:szCs w:val="12"/>
      <w:lang w:val="es-ES" w:eastAsia="es-ES"/>
    </w:rPr>
  </w:style>
  <w:style w:type="character" w:styleId="nfasis">
    <w:name w:val="Emphasis"/>
    <w:uiPriority w:val="20"/>
    <w:qFormat/>
    <w:rsid w:val="003B184A"/>
    <w:rPr>
      <w:i/>
      <w:iCs/>
    </w:rPr>
  </w:style>
  <w:style w:type="character" w:styleId="Textoennegrita">
    <w:name w:val="Strong"/>
    <w:uiPriority w:val="22"/>
    <w:qFormat/>
    <w:rsid w:val="003B184A"/>
    <w:rPr>
      <w:b/>
      <w:bCs/>
    </w:rPr>
  </w:style>
  <w:style w:type="paragraph" w:styleId="Revisin">
    <w:name w:val="Revision"/>
    <w:hidden/>
    <w:uiPriority w:val="99"/>
    <w:semiHidden/>
    <w:rsid w:val="003B184A"/>
    <w:rPr>
      <w:rFonts w:ascii="Calibri" w:eastAsia="Calibri" w:hAnsi="Calibri"/>
      <w:sz w:val="22"/>
      <w:szCs w:val="22"/>
      <w:lang w:val="es-ES_tradnl"/>
    </w:rPr>
  </w:style>
  <w:style w:type="character" w:customStyle="1" w:styleId="Mencinsinresolver1">
    <w:name w:val="Mención sin resolver1"/>
    <w:uiPriority w:val="99"/>
    <w:semiHidden/>
    <w:unhideWhenUsed/>
    <w:rsid w:val="003B1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no.erik@infomed.sld.cu" TargetMode="External"/><Relationship Id="rId13" Type="http://schemas.openxmlformats.org/officeDocument/2006/relationships/image" Target="media/image5.jpeg"/><Relationship Id="rId18" Type="http://schemas.openxmlformats.org/officeDocument/2006/relationships/hyperlink" Target="https://covid19cubadata.github.io/protocolos/protocolo-version-6.pdf" TargetMode="External"/><Relationship Id="rId26" Type="http://schemas.openxmlformats.org/officeDocument/2006/relationships/hyperlink" Target="https://pubmed.ncbi.nlm.nih.gov/32091533/" TargetMode="External"/><Relationship Id="rId3" Type="http://schemas.openxmlformats.org/officeDocument/2006/relationships/settings" Target="settings.xml"/><Relationship Id="rId21" Type="http://schemas.openxmlformats.org/officeDocument/2006/relationships/hyperlink" Target="https://www.wma.net/es/policies-post/declaracion-de-helsinki-de-la-amm-principios-eticos-para-las-investigaciones-medicas-en-seres-humanos/" TargetMode="External"/><Relationship Id="rId34" Type="http://schemas.openxmlformats.org/officeDocument/2006/relationships/footer" Target="footer1.xml"/><Relationship Id="rId7" Type="http://schemas.openxmlformats.org/officeDocument/2006/relationships/hyperlink" Target="https://orcid.org/0000-0001-8605-4795" TargetMode="External"/><Relationship Id="rId12" Type="http://schemas.openxmlformats.org/officeDocument/2006/relationships/image" Target="media/image4.jpeg"/><Relationship Id="rId17" Type="http://schemas.openxmlformats.org/officeDocument/2006/relationships/hyperlink" Target="https://www.ncbi.nlm.nih.gov/pmc/articles/PMC7102523/pdf/main.pdf" TargetMode="External"/><Relationship Id="rId25" Type="http://schemas.openxmlformats.org/officeDocument/2006/relationships/hyperlink" Target="http://scielo.sld.cu/pdf/med/v60n4/1561-302X-med-60-04-e2397.pdf"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bamanz2021.sld.cu/index.php/cibamanz/cibamanz2021/paper/viewFile/88/125" TargetMode="External"/><Relationship Id="rId20" Type="http://schemas.openxmlformats.org/officeDocument/2006/relationships/hyperlink" Target="https://www.iidenut.org/instituto/2022/07/25/el-analisis-de-impedancia-bioelectrica/" TargetMode="External"/><Relationship Id="rId29" Type="http://schemas.openxmlformats.org/officeDocument/2006/relationships/hyperlink" Target="https://pubmed.ncbi.nlm.nih.gov/254666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instituciones.sld.cu/bolcimeq/2020/06/29/predomina-la-mortalidad-por-la-covid-19-en-el-sexo-masculino/" TargetMode="External"/><Relationship Id="rId32" Type="http://schemas.openxmlformats.org/officeDocument/2006/relationships/hyperlink" Target="https://revmie.sld.cu/index.php/mie/article/view/83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evistamedicinainterna.net/index.php/spmi/article/view/506" TargetMode="External"/><Relationship Id="rId23" Type="http://schemas.openxmlformats.org/officeDocument/2006/relationships/hyperlink" Target="https://scielosp.org/pdf/rsap/2020.v22n6/575-581/es" TargetMode="External"/><Relationship Id="rId28" Type="http://schemas.openxmlformats.org/officeDocument/2006/relationships/hyperlink" Target="https://medisan.sld.cu/index.php/san/article/view/4045/html"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cielo.sld.cu/pdf/ccm/v23n1/1560-4381-ccm-23-01-122.pdf" TargetMode="External"/><Relationship Id="rId31" Type="http://schemas.openxmlformats.org/officeDocument/2006/relationships/hyperlink" Target="https://www.ncbi.nlm.nih.gov/pmc/articles/PMC842052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scielo.org.co/pdf/inf/v24n3/0123-9392-inf-24-03-187.pdf" TargetMode="External"/><Relationship Id="rId22" Type="http://schemas.openxmlformats.org/officeDocument/2006/relationships/hyperlink" Target="https://seq.es/wp-content/uploads/2020/05/jaqueti20may2020.pdf" TargetMode="External"/><Relationship Id="rId27" Type="http://schemas.openxmlformats.org/officeDocument/2006/relationships/hyperlink" Target="http://www.scielo.org.ar/scielo.php?script=sci_arttext&amp;pid=S1853-810X2020000300005&amp;lng=es&amp;nrm=iso&amp;tlng=es" TargetMode="External"/><Relationship Id="rId30" Type="http://schemas.openxmlformats.org/officeDocument/2006/relationships/hyperlink" Target="http://www.redalyc.org/pdf/3233/323327668006.pdf"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17</Pages>
  <Words>4391</Words>
  <Characters>25035</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29368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2023-08-11T21:38:00Z</cp:lastPrinted>
  <dcterms:created xsi:type="dcterms:W3CDTF">2023-08-11T21:33:00Z</dcterms:created>
  <dcterms:modified xsi:type="dcterms:W3CDTF">2023-08-11T21:40:00Z</dcterms:modified>
</cp:coreProperties>
</file>