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7F" w:rsidRPr="0096637F" w:rsidRDefault="0096637F" w:rsidP="0096637F">
      <w:pPr>
        <w:spacing w:line="360" w:lineRule="auto"/>
        <w:jc w:val="right"/>
        <w:rPr>
          <w:sz w:val="20"/>
          <w:szCs w:val="20"/>
          <w:lang w:eastAsia="es-MX"/>
        </w:rPr>
      </w:pPr>
      <w:r w:rsidRPr="0096637F">
        <w:rPr>
          <w:sz w:val="20"/>
          <w:szCs w:val="20"/>
          <w:lang w:eastAsia="es-MX"/>
        </w:rPr>
        <w:t>Artículo de investigación</w:t>
      </w:r>
    </w:p>
    <w:p w:rsidR="0096637F" w:rsidRPr="0096637F" w:rsidRDefault="0096637F" w:rsidP="0096637F">
      <w:pPr>
        <w:spacing w:line="360" w:lineRule="auto"/>
        <w:jc w:val="right"/>
        <w:rPr>
          <w:sz w:val="20"/>
          <w:szCs w:val="20"/>
          <w:lang w:eastAsia="es-MX"/>
        </w:rPr>
      </w:pPr>
    </w:p>
    <w:p w:rsidR="0096637F" w:rsidRPr="0096637F" w:rsidRDefault="0096637F" w:rsidP="0096637F">
      <w:pPr>
        <w:spacing w:line="360" w:lineRule="auto"/>
        <w:jc w:val="center"/>
        <w:rPr>
          <w:b/>
          <w:sz w:val="28"/>
          <w:szCs w:val="28"/>
          <w:lang w:eastAsia="es-MX"/>
        </w:rPr>
      </w:pPr>
      <w:r w:rsidRPr="0096637F">
        <w:rPr>
          <w:b/>
          <w:sz w:val="28"/>
          <w:szCs w:val="28"/>
          <w:lang w:eastAsia="es-MX"/>
        </w:rPr>
        <w:t>Caracterización epidemiológica y terapéutica de pacientes con fracturas maxilofaciales tratadas durante la COVID-19</w:t>
      </w:r>
    </w:p>
    <w:p w:rsidR="0096637F" w:rsidRPr="0096637F" w:rsidRDefault="0096637F" w:rsidP="0096637F">
      <w:pPr>
        <w:spacing w:line="360" w:lineRule="auto"/>
        <w:jc w:val="center"/>
        <w:rPr>
          <w:sz w:val="28"/>
          <w:szCs w:val="28"/>
          <w:lang w:val="en-US" w:eastAsia="es-MX"/>
        </w:rPr>
      </w:pPr>
      <w:r w:rsidRPr="0096637F">
        <w:rPr>
          <w:sz w:val="28"/>
          <w:szCs w:val="28"/>
          <w:lang w:val="en-US" w:eastAsia="es-MX"/>
        </w:rPr>
        <w:t>Epidemiological and therapeutic characterization of patients with maxillofacial fractures treated during COVID-19</w:t>
      </w:r>
    </w:p>
    <w:p w:rsidR="0096637F" w:rsidRPr="0096637F" w:rsidRDefault="0096637F" w:rsidP="0096637F">
      <w:pPr>
        <w:spacing w:line="360" w:lineRule="auto"/>
        <w:jc w:val="center"/>
        <w:rPr>
          <w:sz w:val="28"/>
          <w:szCs w:val="28"/>
          <w:lang w:val="en-US" w:eastAsia="es-MX"/>
        </w:rPr>
      </w:pPr>
    </w:p>
    <w:p w:rsidR="0096637F" w:rsidRPr="0096637F" w:rsidRDefault="0096637F" w:rsidP="0096637F">
      <w:pPr>
        <w:spacing w:line="360" w:lineRule="auto"/>
        <w:jc w:val="both"/>
        <w:rPr>
          <w:lang w:eastAsia="es-MX"/>
        </w:rPr>
      </w:pPr>
      <w:proofErr w:type="spellStart"/>
      <w:r w:rsidRPr="0096637F">
        <w:rPr>
          <w:lang w:eastAsia="es-MX"/>
        </w:rPr>
        <w:t>Ibraín</w:t>
      </w:r>
      <w:proofErr w:type="spellEnd"/>
      <w:r w:rsidRPr="0096637F">
        <w:rPr>
          <w:lang w:eastAsia="es-MX"/>
        </w:rPr>
        <w:t xml:space="preserve"> Enrique Corrales-Reyes</w:t>
      </w:r>
      <w:r w:rsidRPr="0096637F">
        <w:rPr>
          <w:vertAlign w:val="superscript"/>
          <w:lang w:eastAsia="es-MX"/>
        </w:rPr>
        <w:t>1</w:t>
      </w:r>
      <w:r w:rsidRPr="0096637F">
        <w:rPr>
          <w:lang w:eastAsia="es-MX"/>
        </w:rPr>
        <w:t>*</w:t>
      </w:r>
      <w:r w:rsidRPr="0096637F">
        <w:rPr>
          <w:vertAlign w:val="superscript"/>
          <w:lang w:eastAsia="es-MX"/>
        </w:rPr>
        <w:t xml:space="preserve"> </w:t>
      </w:r>
      <w:hyperlink r:id="rId7" w:history="1">
        <w:r w:rsidRPr="0096637F">
          <w:rPr>
            <w:color w:val="0563C1"/>
            <w:lang w:eastAsia="es-MX"/>
          </w:rPr>
          <w:t>https://orcid.org/0000-0002-2146-9014</w:t>
        </w:r>
      </w:hyperlink>
    </w:p>
    <w:p w:rsidR="0096637F" w:rsidRPr="0096637F" w:rsidRDefault="0096637F" w:rsidP="0096637F">
      <w:pPr>
        <w:spacing w:line="360" w:lineRule="auto"/>
        <w:jc w:val="both"/>
        <w:rPr>
          <w:lang w:eastAsia="es-MX"/>
        </w:rPr>
      </w:pPr>
      <w:r w:rsidRPr="0096637F">
        <w:rPr>
          <w:lang w:eastAsia="es-MX"/>
        </w:rPr>
        <w:t>Alejandro Ernesto Núñez-Blanco</w:t>
      </w:r>
      <w:r w:rsidRPr="0096637F">
        <w:rPr>
          <w:vertAlign w:val="superscript"/>
          <w:lang w:eastAsia="es-MX"/>
        </w:rPr>
        <w:t>1</w:t>
      </w:r>
      <w:r w:rsidRPr="0096637F">
        <w:rPr>
          <w:lang w:eastAsia="es-MX"/>
        </w:rPr>
        <w:t xml:space="preserve"> </w:t>
      </w:r>
      <w:hyperlink r:id="rId8" w:history="1">
        <w:r w:rsidRPr="0096637F">
          <w:rPr>
            <w:color w:val="0563C1"/>
            <w:lang w:eastAsia="es-MX"/>
          </w:rPr>
          <w:t>https://orcid.org/0000-0002-5237-7139</w:t>
        </w:r>
      </w:hyperlink>
    </w:p>
    <w:p w:rsidR="0096637F" w:rsidRPr="0096637F" w:rsidRDefault="0096637F" w:rsidP="0096637F">
      <w:pPr>
        <w:spacing w:line="360" w:lineRule="auto"/>
        <w:jc w:val="both"/>
        <w:rPr>
          <w:lang w:eastAsia="es-MX"/>
        </w:rPr>
      </w:pPr>
      <w:r w:rsidRPr="0096637F">
        <w:rPr>
          <w:lang w:eastAsia="es-MX"/>
        </w:rPr>
        <w:t>Denia Morales-Navarro</w:t>
      </w:r>
      <w:r w:rsidRPr="0096637F">
        <w:rPr>
          <w:vertAlign w:val="superscript"/>
          <w:lang w:eastAsia="es-MX"/>
        </w:rPr>
        <w:t>2</w:t>
      </w:r>
      <w:r w:rsidRPr="0096637F">
        <w:rPr>
          <w:lang w:eastAsia="es-MX"/>
        </w:rPr>
        <w:t xml:space="preserve"> </w:t>
      </w:r>
      <w:hyperlink r:id="rId9" w:history="1">
        <w:r w:rsidRPr="0096637F">
          <w:rPr>
            <w:color w:val="0563C1"/>
            <w:lang w:eastAsia="es-MX"/>
          </w:rPr>
          <w:t>https://orcid.org/0000-0001-6066-7235</w:t>
        </w:r>
      </w:hyperlink>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both"/>
        <w:rPr>
          <w:lang w:eastAsia="es-MX"/>
        </w:rPr>
      </w:pPr>
      <w:r w:rsidRPr="0096637F">
        <w:rPr>
          <w:vertAlign w:val="superscript"/>
          <w:lang w:eastAsia="es-MX"/>
        </w:rPr>
        <w:t>1</w:t>
      </w:r>
      <w:r w:rsidRPr="0096637F">
        <w:rPr>
          <w:lang w:eastAsia="es-MX"/>
        </w:rPr>
        <w:t>Universidad de Ciencias Médicas de Granma. Hospital General Provincial “Carlos Manuel de Céspedes”. Servicio de Cirugía Maxilofacial. Granma, Cuba.</w:t>
      </w:r>
    </w:p>
    <w:p w:rsidR="0096637F" w:rsidRPr="0096637F" w:rsidRDefault="0096637F" w:rsidP="0096637F">
      <w:pPr>
        <w:spacing w:line="360" w:lineRule="auto"/>
        <w:jc w:val="both"/>
        <w:rPr>
          <w:lang w:eastAsia="es-MX"/>
        </w:rPr>
      </w:pPr>
      <w:r w:rsidRPr="0096637F">
        <w:rPr>
          <w:vertAlign w:val="superscript"/>
          <w:lang w:eastAsia="es-MX"/>
        </w:rPr>
        <w:t>2</w:t>
      </w:r>
      <w:r w:rsidRPr="0096637F">
        <w:rPr>
          <w:lang w:eastAsia="es-MX"/>
        </w:rPr>
        <w:t>Universidad de Ciencias Médicas de La Habana. Facultad de Estomatología “Raúl González Sánchez”. La Habana, Cuba.</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both"/>
        <w:rPr>
          <w:b/>
          <w:bCs/>
          <w:lang w:eastAsia="es-MX"/>
        </w:rPr>
      </w:pPr>
      <w:r w:rsidRPr="0096637F">
        <w:rPr>
          <w:b/>
          <w:bCs/>
          <w:lang w:eastAsia="es-MX"/>
        </w:rPr>
        <w:t>*</w:t>
      </w:r>
      <w:r w:rsidRPr="0096637F">
        <w:rPr>
          <w:bCs/>
          <w:lang w:eastAsia="es-MX"/>
        </w:rPr>
        <w:t xml:space="preserve">Autor para la correspondencia. Correo electrónico: </w:t>
      </w:r>
      <w:hyperlink r:id="rId10" w:history="1">
        <w:r w:rsidRPr="0096637F">
          <w:rPr>
            <w:color w:val="0563C1"/>
            <w:lang w:eastAsia="es-MX"/>
          </w:rPr>
          <w:t>iecorralesr@gmail.com</w:t>
        </w:r>
      </w:hyperlink>
    </w:p>
    <w:p w:rsidR="0096637F" w:rsidRPr="0096637F" w:rsidRDefault="0096637F" w:rsidP="0096637F">
      <w:pPr>
        <w:spacing w:line="360" w:lineRule="auto"/>
        <w:jc w:val="center"/>
        <w:rPr>
          <w:sz w:val="28"/>
          <w:szCs w:val="28"/>
          <w:lang w:eastAsia="es-MX"/>
        </w:rPr>
      </w:pPr>
    </w:p>
    <w:p w:rsidR="0096637F" w:rsidRPr="0096637F" w:rsidRDefault="0096637F" w:rsidP="0096637F">
      <w:pPr>
        <w:spacing w:line="360" w:lineRule="auto"/>
        <w:jc w:val="both"/>
        <w:rPr>
          <w:b/>
          <w:lang w:eastAsia="es-MX"/>
        </w:rPr>
      </w:pPr>
      <w:r w:rsidRPr="0096637F">
        <w:rPr>
          <w:b/>
          <w:lang w:eastAsia="es-MX"/>
        </w:rPr>
        <w:t>RESUMEN</w:t>
      </w:r>
    </w:p>
    <w:p w:rsidR="0096637F" w:rsidRPr="0096637F" w:rsidRDefault="0096637F" w:rsidP="0096637F">
      <w:pPr>
        <w:spacing w:line="360" w:lineRule="auto"/>
        <w:jc w:val="both"/>
        <w:rPr>
          <w:lang w:eastAsia="es-MX"/>
        </w:rPr>
      </w:pPr>
      <w:r w:rsidRPr="0096637F">
        <w:rPr>
          <w:b/>
          <w:lang w:eastAsia="es-MX"/>
        </w:rPr>
        <w:t xml:space="preserve">Introducción: </w:t>
      </w:r>
      <w:r w:rsidRPr="0096637F">
        <w:rPr>
          <w:lang w:eastAsia="es-MX"/>
        </w:rPr>
        <w:t>La COVID-19 impactó en la epidemiología y terapéutica de muchas enfermedades; sin embargo, son escasas las investigaciones que abordan el área de la traumatología maxilofacial y en Cuba existe un único estudio específico publicado.</w:t>
      </w:r>
    </w:p>
    <w:p w:rsidR="0096637F" w:rsidRPr="0096637F" w:rsidRDefault="0096637F" w:rsidP="0096637F">
      <w:pPr>
        <w:spacing w:line="360" w:lineRule="auto"/>
        <w:jc w:val="both"/>
        <w:rPr>
          <w:lang w:eastAsia="es-MX"/>
        </w:rPr>
      </w:pPr>
      <w:r w:rsidRPr="0096637F">
        <w:rPr>
          <w:b/>
          <w:lang w:eastAsia="es-MX"/>
        </w:rPr>
        <w:t>Objetivo</w:t>
      </w:r>
      <w:r w:rsidRPr="0096637F">
        <w:rPr>
          <w:b/>
          <w:bCs/>
          <w:lang w:eastAsia="es-MX"/>
        </w:rPr>
        <w:t>:</w:t>
      </w:r>
      <w:r w:rsidRPr="0096637F">
        <w:rPr>
          <w:lang w:eastAsia="es-MX"/>
        </w:rPr>
        <w:t xml:space="preserve"> Caracterizar desde el punto de vista epidemiológico y terapéutico a los pacientes con fracturas maxilofaciales tratadas en un hospital universitario cubano en el contexto de la COVID-19. </w:t>
      </w:r>
    </w:p>
    <w:p w:rsidR="0096637F" w:rsidRPr="0096637F" w:rsidRDefault="0096637F" w:rsidP="0096637F">
      <w:pPr>
        <w:spacing w:line="360" w:lineRule="auto"/>
        <w:jc w:val="both"/>
        <w:rPr>
          <w:lang w:eastAsia="es-MX"/>
        </w:rPr>
      </w:pPr>
      <w:r w:rsidRPr="0096637F">
        <w:rPr>
          <w:b/>
          <w:lang w:eastAsia="es-MX"/>
        </w:rPr>
        <w:t>Métodos</w:t>
      </w:r>
      <w:r w:rsidRPr="0096637F">
        <w:rPr>
          <w:b/>
          <w:bCs/>
          <w:lang w:eastAsia="es-MX"/>
        </w:rPr>
        <w:t>:</w:t>
      </w:r>
      <w:r w:rsidRPr="0096637F">
        <w:rPr>
          <w:lang w:eastAsia="es-MX"/>
        </w:rPr>
        <w:t xml:space="preserve"> </w:t>
      </w:r>
      <w:r w:rsidRPr="0096637F">
        <w:rPr>
          <w:rFonts w:eastAsia="Calibri"/>
          <w:lang w:eastAsia="en-US"/>
        </w:rPr>
        <w:t xml:space="preserve">Se realizó una investigación observacional, descriptiva y transversal. Se estudiaron: edad, sexo, la procedencia, tipos de fracturas, lateralidad, número de trazos, localizaciones anatómicas, etiología, tratamiento, día de la semana y el mes del trauma. La información se obtuvo mediante el </w:t>
      </w:r>
      <w:r w:rsidRPr="0096637F">
        <w:rPr>
          <w:rFonts w:eastAsia="Calibri"/>
          <w:lang w:eastAsia="en-US"/>
        </w:rPr>
        <w:lastRenderedPageBreak/>
        <w:t>interrogatorio, el examen clínico y estudios radiológicos. Como medidas de resumen se utilizaron frecuencias absolutas y porcentajes.</w:t>
      </w:r>
    </w:p>
    <w:p w:rsidR="0096637F" w:rsidRPr="0096637F" w:rsidRDefault="0096637F" w:rsidP="0096637F">
      <w:pPr>
        <w:spacing w:line="360" w:lineRule="auto"/>
        <w:jc w:val="both"/>
        <w:rPr>
          <w:lang w:eastAsia="es-MX"/>
        </w:rPr>
      </w:pPr>
      <w:r w:rsidRPr="0096637F">
        <w:rPr>
          <w:b/>
          <w:lang w:eastAsia="es-MX"/>
        </w:rPr>
        <w:t>Resultados</w:t>
      </w:r>
      <w:r w:rsidRPr="0096637F">
        <w:rPr>
          <w:b/>
          <w:bCs/>
          <w:lang w:eastAsia="es-MX"/>
        </w:rPr>
        <w:t>:</w:t>
      </w:r>
      <w:r w:rsidRPr="0096637F">
        <w:rPr>
          <w:lang w:eastAsia="es-MX"/>
        </w:rPr>
        <w:t xml:space="preserve"> </w:t>
      </w:r>
      <w:r w:rsidRPr="0096637F">
        <w:rPr>
          <w:rFonts w:eastAsia="Calibri"/>
          <w:lang w:eastAsia="en-US"/>
        </w:rPr>
        <w:t xml:space="preserve">Se estudiaron a </w:t>
      </w:r>
      <w:r w:rsidRPr="0096637F">
        <w:rPr>
          <w:rFonts w:eastAsia="Calibri"/>
          <w:lang w:eastAsia="es-MX"/>
        </w:rPr>
        <w:t>54</w:t>
      </w:r>
      <w:r w:rsidRPr="0096637F">
        <w:rPr>
          <w:rFonts w:eastAsia="Calibri"/>
          <w:lang w:eastAsia="en-US"/>
        </w:rPr>
        <w:t xml:space="preserve"> pacientes, con predominio del sexo masculino (</w:t>
      </w:r>
      <w:r w:rsidRPr="0096637F">
        <w:rPr>
          <w:rFonts w:eastAsia="Calibri"/>
          <w:lang w:eastAsia="es-MX"/>
        </w:rPr>
        <w:t>90,7</w:t>
      </w:r>
      <w:r w:rsidRPr="0096637F">
        <w:rPr>
          <w:rFonts w:eastAsia="Calibri"/>
          <w:lang w:eastAsia="en-US"/>
        </w:rPr>
        <w:t xml:space="preserve"> %).</w:t>
      </w:r>
      <w:r w:rsidRPr="0096637F">
        <w:rPr>
          <w:lang w:eastAsia="es-MX"/>
        </w:rPr>
        <w:t xml:space="preserve"> El grupo de edad más representado fue el de 21-40 años.</w:t>
      </w:r>
      <w:r w:rsidRPr="0096637F">
        <w:rPr>
          <w:rFonts w:eastAsia="Calibri"/>
          <w:lang w:eastAsia="es-MX"/>
        </w:rPr>
        <w:t xml:space="preserve"> </w:t>
      </w:r>
      <w:r w:rsidRPr="0096637F">
        <w:rPr>
          <w:lang w:eastAsia="es-MX"/>
        </w:rPr>
        <w:t>Las principales etiologías fueron la violencia interpersonal y las caídas. Se diagnosticaron 151 trazos de fracturas con una media de 2,8 fracturas por paciente. Tuvieron fracturas del complejo cigomático-maxilar</w:t>
      </w:r>
      <w:r w:rsidRPr="0096637F">
        <w:rPr>
          <w:color w:val="000000"/>
          <w:lang w:eastAsia="es-MX"/>
        </w:rPr>
        <w:t xml:space="preserve"> 32 </w:t>
      </w:r>
      <w:r w:rsidRPr="0096637F">
        <w:rPr>
          <w:lang w:eastAsia="es-MX"/>
        </w:rPr>
        <w:t xml:space="preserve">pacientes (59,3 %). El ángulo y la </w:t>
      </w:r>
      <w:proofErr w:type="spellStart"/>
      <w:r w:rsidRPr="0096637F">
        <w:rPr>
          <w:lang w:eastAsia="es-MX"/>
        </w:rPr>
        <w:t>parasínfisis</w:t>
      </w:r>
      <w:proofErr w:type="spellEnd"/>
      <w:r w:rsidRPr="0096637F">
        <w:rPr>
          <w:lang w:eastAsia="es-MX"/>
        </w:rPr>
        <w:t xml:space="preserve"> mandibular fueron las localizaciones anatómicas más afectadas. Las fracturas del complejo cigomático-maxilar fueron tratadas mediante métodos conservadores (50 %), mientras que la reducción cerrada (57,1</w:t>
      </w:r>
      <w:r w:rsidR="000E5035">
        <w:rPr>
          <w:lang w:eastAsia="es-MX"/>
        </w:rPr>
        <w:t> </w:t>
      </w:r>
      <w:r w:rsidRPr="0096637F">
        <w:rPr>
          <w:lang w:eastAsia="es-MX"/>
        </w:rPr>
        <w:t xml:space="preserve">%) fue la principal modalidad terapéutica utilizada en las fracturas mandibulares. </w:t>
      </w:r>
    </w:p>
    <w:p w:rsidR="0096637F" w:rsidRPr="0096637F" w:rsidRDefault="0096637F" w:rsidP="0096637F">
      <w:pPr>
        <w:spacing w:line="360" w:lineRule="auto"/>
        <w:jc w:val="both"/>
        <w:rPr>
          <w:lang w:eastAsia="es-MX"/>
        </w:rPr>
      </w:pPr>
      <w:r w:rsidRPr="0096637F">
        <w:rPr>
          <w:b/>
          <w:lang w:eastAsia="es-MX"/>
        </w:rPr>
        <w:t>Conclusiones</w:t>
      </w:r>
      <w:r w:rsidRPr="0096637F">
        <w:rPr>
          <w:b/>
          <w:bCs/>
          <w:lang w:eastAsia="es-MX"/>
        </w:rPr>
        <w:t>:</w:t>
      </w:r>
      <w:r w:rsidRPr="0096637F">
        <w:rPr>
          <w:lang w:eastAsia="es-MX"/>
        </w:rPr>
        <w:t xml:space="preserve"> Predominan los pacientes masculinos, con edades entre la quinta y sexta décadas de la vida, afectados por fracturas del complejo cigomático-maxilar.</w:t>
      </w:r>
    </w:p>
    <w:p w:rsidR="0096637F" w:rsidRPr="0096637F" w:rsidRDefault="0096637F" w:rsidP="0096637F">
      <w:pPr>
        <w:spacing w:line="360" w:lineRule="auto"/>
        <w:jc w:val="both"/>
        <w:rPr>
          <w:lang w:eastAsia="es-MX"/>
        </w:rPr>
      </w:pPr>
      <w:r w:rsidRPr="0096637F">
        <w:rPr>
          <w:b/>
          <w:lang w:eastAsia="es-MX"/>
        </w:rPr>
        <w:t>Palabras clave</w:t>
      </w:r>
      <w:r w:rsidRPr="0096637F">
        <w:rPr>
          <w:b/>
          <w:bCs/>
          <w:lang w:eastAsia="es-MX"/>
        </w:rPr>
        <w:t>:</w:t>
      </w:r>
      <w:r w:rsidRPr="0096637F">
        <w:rPr>
          <w:lang w:eastAsia="es-MX"/>
        </w:rPr>
        <w:t xml:space="preserve"> fracturas </w:t>
      </w:r>
      <w:proofErr w:type="spellStart"/>
      <w:r w:rsidRPr="0096637F">
        <w:rPr>
          <w:lang w:eastAsia="es-MX"/>
        </w:rPr>
        <w:t>maxilomandibulares</w:t>
      </w:r>
      <w:proofErr w:type="spellEnd"/>
      <w:r w:rsidRPr="0096637F">
        <w:rPr>
          <w:lang w:eastAsia="es-MX"/>
        </w:rPr>
        <w:t>; fracturas cigomáticas; COVID-19; SARS-CoV-2; epidemiología.</w:t>
      </w:r>
    </w:p>
    <w:p w:rsidR="0096637F" w:rsidRPr="0096637F" w:rsidRDefault="0096637F" w:rsidP="0096637F">
      <w:pPr>
        <w:spacing w:line="360" w:lineRule="auto"/>
        <w:jc w:val="both"/>
        <w:rPr>
          <w:b/>
          <w:lang w:eastAsia="es-MX"/>
        </w:rPr>
      </w:pPr>
    </w:p>
    <w:p w:rsidR="0096637F" w:rsidRPr="0096637F" w:rsidRDefault="0096637F" w:rsidP="0096637F">
      <w:pPr>
        <w:spacing w:line="360" w:lineRule="auto"/>
        <w:jc w:val="both"/>
        <w:rPr>
          <w:b/>
          <w:lang w:val="en-US" w:eastAsia="es-MX"/>
        </w:rPr>
      </w:pPr>
      <w:r w:rsidRPr="0096637F">
        <w:rPr>
          <w:b/>
          <w:lang w:val="en-US" w:eastAsia="es-MX"/>
        </w:rPr>
        <w:t>ABSTRACT</w:t>
      </w:r>
    </w:p>
    <w:p w:rsidR="0096637F" w:rsidRPr="0096637F" w:rsidRDefault="0096637F" w:rsidP="0096637F">
      <w:pPr>
        <w:spacing w:line="360" w:lineRule="auto"/>
        <w:jc w:val="both"/>
        <w:rPr>
          <w:lang w:val="en-US" w:eastAsia="es-MX"/>
        </w:rPr>
      </w:pPr>
      <w:r w:rsidRPr="0096637F">
        <w:rPr>
          <w:b/>
          <w:lang w:val="en-US" w:eastAsia="es-MX"/>
        </w:rPr>
        <w:t>Introduction</w:t>
      </w:r>
      <w:r w:rsidRPr="0096637F">
        <w:rPr>
          <w:b/>
          <w:bCs/>
          <w:lang w:val="en-US" w:eastAsia="es-MX"/>
        </w:rPr>
        <w:t>:</w:t>
      </w:r>
      <w:r w:rsidRPr="0096637F">
        <w:rPr>
          <w:lang w:val="en-US" w:eastAsia="es-MX"/>
        </w:rPr>
        <w:t xml:space="preserve"> COVID-19 influenced the epidemiology and therapeutic on many diseases; however, there are only few researches in the area of the maxillofacial traumatology and in Cuba there is only one specific study published.</w:t>
      </w:r>
    </w:p>
    <w:p w:rsidR="0096637F" w:rsidRPr="0096637F" w:rsidRDefault="0096637F" w:rsidP="0096637F">
      <w:pPr>
        <w:spacing w:line="360" w:lineRule="auto"/>
        <w:jc w:val="both"/>
        <w:rPr>
          <w:lang w:val="en-US" w:eastAsia="es-MX"/>
        </w:rPr>
      </w:pPr>
      <w:r w:rsidRPr="0096637F">
        <w:rPr>
          <w:b/>
          <w:lang w:val="en-US" w:eastAsia="es-MX"/>
        </w:rPr>
        <w:t>Objective</w:t>
      </w:r>
      <w:r w:rsidRPr="0096637F">
        <w:rPr>
          <w:b/>
          <w:bCs/>
          <w:lang w:val="en-US" w:eastAsia="es-MX"/>
        </w:rPr>
        <w:t>:</w:t>
      </w:r>
      <w:r w:rsidRPr="0096637F">
        <w:rPr>
          <w:lang w:val="en-US" w:eastAsia="es-MX"/>
        </w:rPr>
        <w:t xml:space="preserve"> To characterize from an epidemiologic and therapeutic point of view the patients with maxillofacial fractures treated in a Cuban university hospital in the COVID-19 context. </w:t>
      </w:r>
    </w:p>
    <w:p w:rsidR="0096637F" w:rsidRPr="0096637F" w:rsidRDefault="0096637F" w:rsidP="0096637F">
      <w:pPr>
        <w:spacing w:line="360" w:lineRule="auto"/>
        <w:jc w:val="both"/>
        <w:rPr>
          <w:lang w:val="en-US" w:eastAsia="es-MX"/>
        </w:rPr>
      </w:pPr>
      <w:r w:rsidRPr="0096637F">
        <w:rPr>
          <w:b/>
          <w:lang w:val="en-US" w:eastAsia="es-MX"/>
        </w:rPr>
        <w:t>Methods</w:t>
      </w:r>
      <w:r w:rsidRPr="0096637F">
        <w:rPr>
          <w:b/>
          <w:bCs/>
          <w:lang w:val="en-US" w:eastAsia="es-MX"/>
        </w:rPr>
        <w:t>:</w:t>
      </w:r>
      <w:r w:rsidRPr="0096637F">
        <w:rPr>
          <w:lang w:val="en-US" w:eastAsia="es-MX"/>
        </w:rPr>
        <w:t xml:space="preserve"> An observational, descriptive and cross-sectional research </w:t>
      </w:r>
      <w:proofErr w:type="gramStart"/>
      <w:r w:rsidRPr="0096637F">
        <w:rPr>
          <w:lang w:val="en-US" w:eastAsia="es-MX"/>
        </w:rPr>
        <w:t>was performed</w:t>
      </w:r>
      <w:proofErr w:type="gramEnd"/>
      <w:r w:rsidRPr="0096637F">
        <w:rPr>
          <w:lang w:val="en-US" w:eastAsia="es-MX"/>
        </w:rPr>
        <w:t xml:space="preserve">. Age, sex, origin, types of fractures, laterality, number of traces, anatomical localizations, etiology, treatment, day of the week, and month of trauma </w:t>
      </w:r>
      <w:proofErr w:type="gramStart"/>
      <w:r w:rsidRPr="0096637F">
        <w:rPr>
          <w:lang w:val="en-US" w:eastAsia="es-MX"/>
        </w:rPr>
        <w:t>were studied</w:t>
      </w:r>
      <w:proofErr w:type="gramEnd"/>
      <w:r w:rsidRPr="0096637F">
        <w:rPr>
          <w:lang w:val="en-US" w:eastAsia="es-MX"/>
        </w:rPr>
        <w:t xml:space="preserve">. The information </w:t>
      </w:r>
      <w:proofErr w:type="gramStart"/>
      <w:r w:rsidRPr="0096637F">
        <w:rPr>
          <w:lang w:val="en-US" w:eastAsia="es-MX"/>
        </w:rPr>
        <w:t>was obtained</w:t>
      </w:r>
      <w:proofErr w:type="gramEnd"/>
      <w:r w:rsidRPr="0096637F">
        <w:rPr>
          <w:lang w:val="en-US" w:eastAsia="es-MX"/>
        </w:rPr>
        <w:t xml:space="preserve"> through questioning, clinical examination and radiological studies. Absolute frequencies and percentages </w:t>
      </w:r>
      <w:proofErr w:type="gramStart"/>
      <w:r w:rsidRPr="0096637F">
        <w:rPr>
          <w:lang w:val="en-US" w:eastAsia="es-MX"/>
        </w:rPr>
        <w:t>were used</w:t>
      </w:r>
      <w:proofErr w:type="gramEnd"/>
      <w:r w:rsidRPr="0096637F">
        <w:rPr>
          <w:lang w:val="en-US" w:eastAsia="es-MX"/>
        </w:rPr>
        <w:t xml:space="preserve"> as summary measures.</w:t>
      </w:r>
    </w:p>
    <w:p w:rsidR="0096637F" w:rsidRPr="0096637F" w:rsidRDefault="0096637F" w:rsidP="0096637F">
      <w:pPr>
        <w:spacing w:line="360" w:lineRule="auto"/>
        <w:jc w:val="both"/>
        <w:rPr>
          <w:lang w:val="en-US" w:eastAsia="es-MX"/>
        </w:rPr>
      </w:pPr>
      <w:r w:rsidRPr="0096637F">
        <w:rPr>
          <w:rFonts w:eastAsia="Calibri"/>
          <w:b/>
          <w:lang w:val="en-US" w:eastAsia="en-US"/>
        </w:rPr>
        <w:t>Results</w:t>
      </w:r>
      <w:r w:rsidRPr="0096637F">
        <w:rPr>
          <w:rFonts w:eastAsia="Calibri"/>
          <w:b/>
          <w:bCs/>
          <w:lang w:val="en-US" w:eastAsia="en-US"/>
        </w:rPr>
        <w:t>:</w:t>
      </w:r>
      <w:r w:rsidRPr="0096637F">
        <w:rPr>
          <w:rFonts w:eastAsia="Calibri"/>
          <w:lang w:val="en-US" w:eastAsia="en-US"/>
        </w:rPr>
        <w:t xml:space="preserve"> </w:t>
      </w:r>
      <w:r w:rsidRPr="0096637F">
        <w:rPr>
          <w:rFonts w:eastAsia="Calibri"/>
          <w:lang w:val="en-US" w:eastAsia="es-MX"/>
        </w:rPr>
        <w:t>54</w:t>
      </w:r>
      <w:r w:rsidRPr="0096637F">
        <w:rPr>
          <w:rFonts w:eastAsia="Calibri"/>
          <w:lang w:val="en-US" w:eastAsia="en-US"/>
        </w:rPr>
        <w:t xml:space="preserve"> patients, with a predominance of males (</w:t>
      </w:r>
      <w:r w:rsidRPr="0096637F">
        <w:rPr>
          <w:rFonts w:eastAsia="Calibri"/>
          <w:lang w:val="en-US" w:eastAsia="es-MX"/>
        </w:rPr>
        <w:t>90</w:t>
      </w:r>
      <w:r w:rsidRPr="0096637F">
        <w:rPr>
          <w:rFonts w:eastAsia="Calibri"/>
          <w:lang w:val="en-US" w:eastAsia="en-US"/>
        </w:rPr>
        <w:t>.</w:t>
      </w:r>
      <w:r w:rsidRPr="0096637F">
        <w:rPr>
          <w:rFonts w:eastAsia="Calibri"/>
          <w:lang w:val="en-US" w:eastAsia="es-MX"/>
        </w:rPr>
        <w:t>7</w:t>
      </w:r>
      <w:r w:rsidRPr="0096637F">
        <w:rPr>
          <w:rFonts w:eastAsia="Calibri"/>
          <w:lang w:val="en-US" w:eastAsia="en-US"/>
        </w:rPr>
        <w:t xml:space="preserve">%), </w:t>
      </w:r>
      <w:proofErr w:type="gramStart"/>
      <w:r w:rsidRPr="0096637F">
        <w:rPr>
          <w:rFonts w:eastAsia="Calibri"/>
          <w:lang w:val="en-US" w:eastAsia="en-US"/>
        </w:rPr>
        <w:t>were studied</w:t>
      </w:r>
      <w:proofErr w:type="gramEnd"/>
      <w:r w:rsidRPr="0096637F">
        <w:rPr>
          <w:rFonts w:eastAsia="Calibri"/>
          <w:lang w:val="en-US" w:eastAsia="en-US"/>
        </w:rPr>
        <w:t xml:space="preserve">. </w:t>
      </w:r>
      <w:r w:rsidRPr="0096637F">
        <w:rPr>
          <w:lang w:val="en-US" w:eastAsia="es-MX"/>
        </w:rPr>
        <w:t>The most represented age group was 41-60</w:t>
      </w:r>
      <w:r w:rsidRPr="0096637F">
        <w:rPr>
          <w:rFonts w:eastAsia="Calibri"/>
          <w:lang w:val="en-US" w:eastAsia="en-US"/>
        </w:rPr>
        <w:t>.</w:t>
      </w:r>
      <w:r w:rsidRPr="0096637F">
        <w:rPr>
          <w:rFonts w:eastAsia="Calibri"/>
          <w:lang w:val="en-US" w:eastAsia="es-MX"/>
        </w:rPr>
        <w:t xml:space="preserve"> Interpersonal violence and falls were the main etiologies. One hundred fifty-one fractures with an average of 2.8 fractures per patient </w:t>
      </w:r>
      <w:proofErr w:type="gramStart"/>
      <w:r w:rsidRPr="0096637F">
        <w:rPr>
          <w:rFonts w:eastAsia="Calibri"/>
          <w:lang w:val="en-US" w:eastAsia="es-MX"/>
        </w:rPr>
        <w:t>were diagnosed</w:t>
      </w:r>
      <w:proofErr w:type="gramEnd"/>
      <w:r w:rsidRPr="0096637F">
        <w:rPr>
          <w:rFonts w:eastAsia="Calibri"/>
          <w:lang w:val="en-US" w:eastAsia="es-MX"/>
        </w:rPr>
        <w:t>.</w:t>
      </w:r>
      <w:r w:rsidRPr="0096637F">
        <w:rPr>
          <w:lang w:val="en-US" w:eastAsia="es-MX"/>
        </w:rPr>
        <w:t xml:space="preserve"> </w:t>
      </w:r>
      <w:r w:rsidRPr="0096637F">
        <w:rPr>
          <w:rFonts w:eastAsia="Calibri"/>
          <w:lang w:val="en-US" w:eastAsia="es-MX"/>
        </w:rPr>
        <w:t xml:space="preserve">Thirty-two patients (59.3%) had </w:t>
      </w:r>
      <w:proofErr w:type="spellStart"/>
      <w:r w:rsidRPr="0096637F">
        <w:rPr>
          <w:rFonts w:eastAsia="Calibri"/>
          <w:lang w:val="en-US" w:eastAsia="es-MX"/>
        </w:rPr>
        <w:lastRenderedPageBreak/>
        <w:t>zygomatic</w:t>
      </w:r>
      <w:proofErr w:type="spellEnd"/>
      <w:r w:rsidRPr="0096637F">
        <w:rPr>
          <w:rFonts w:eastAsia="Calibri"/>
          <w:lang w:val="en-US" w:eastAsia="es-MX"/>
        </w:rPr>
        <w:t xml:space="preserve">-maxillary complex fractures. </w:t>
      </w:r>
      <w:r w:rsidRPr="0096637F">
        <w:rPr>
          <w:lang w:val="en-US" w:eastAsia="es-MX"/>
        </w:rPr>
        <w:t xml:space="preserve">The mandibular angle and </w:t>
      </w:r>
      <w:proofErr w:type="spellStart"/>
      <w:r w:rsidRPr="0096637F">
        <w:rPr>
          <w:lang w:val="en-US" w:eastAsia="es-MX"/>
        </w:rPr>
        <w:t>parasymphysis</w:t>
      </w:r>
      <w:proofErr w:type="spellEnd"/>
      <w:r w:rsidRPr="0096637F">
        <w:rPr>
          <w:lang w:val="en-US" w:eastAsia="es-MX"/>
        </w:rPr>
        <w:t xml:space="preserve"> were the most affected anatomical localizations. </w:t>
      </w:r>
      <w:proofErr w:type="spellStart"/>
      <w:r w:rsidRPr="0096637F">
        <w:rPr>
          <w:rFonts w:eastAsia="Calibri"/>
          <w:lang w:val="en-US" w:eastAsia="es-MX"/>
        </w:rPr>
        <w:t>Zygomatic</w:t>
      </w:r>
      <w:proofErr w:type="spellEnd"/>
      <w:r w:rsidRPr="0096637F">
        <w:rPr>
          <w:rFonts w:eastAsia="Calibri"/>
          <w:lang w:val="en-US" w:eastAsia="es-MX"/>
        </w:rPr>
        <w:t xml:space="preserve">-maxillary complex fractures </w:t>
      </w:r>
      <w:proofErr w:type="gramStart"/>
      <w:r w:rsidRPr="0096637F">
        <w:rPr>
          <w:rFonts w:eastAsia="Calibri"/>
          <w:lang w:val="en-US" w:eastAsia="es-MX"/>
        </w:rPr>
        <w:t>were treated</w:t>
      </w:r>
      <w:proofErr w:type="gramEnd"/>
      <w:r w:rsidRPr="0096637F">
        <w:rPr>
          <w:rFonts w:eastAsia="Calibri"/>
          <w:lang w:val="en-US" w:eastAsia="es-MX"/>
        </w:rPr>
        <w:t xml:space="preserve"> with non-surgical procedures (50%), while open reduction and internal fixation </w:t>
      </w:r>
      <w:r w:rsidRPr="0096637F">
        <w:rPr>
          <w:lang w:val="en-US" w:eastAsia="es-MX"/>
        </w:rPr>
        <w:t xml:space="preserve">(57.1%) was the main therapeutic modality used for treating mandibular fractures. </w:t>
      </w:r>
    </w:p>
    <w:p w:rsidR="0096637F" w:rsidRPr="0096637F" w:rsidRDefault="0096637F" w:rsidP="0096637F">
      <w:pPr>
        <w:spacing w:line="360" w:lineRule="auto"/>
        <w:jc w:val="both"/>
        <w:rPr>
          <w:lang w:val="en-US" w:eastAsia="es-MX"/>
        </w:rPr>
      </w:pPr>
      <w:r w:rsidRPr="0096637F">
        <w:rPr>
          <w:b/>
          <w:lang w:val="en-US" w:eastAsia="es-MX"/>
        </w:rPr>
        <w:t xml:space="preserve">Conclusions: </w:t>
      </w:r>
      <w:r w:rsidRPr="0096637F">
        <w:rPr>
          <w:lang w:val="en-US" w:eastAsia="es-MX"/>
        </w:rPr>
        <w:t xml:space="preserve">Male patients, with ages between the fifth and sixth decades of the life, affected by </w:t>
      </w:r>
      <w:proofErr w:type="spellStart"/>
      <w:r w:rsidRPr="0096637F">
        <w:rPr>
          <w:rFonts w:eastAsia="Calibri"/>
          <w:lang w:val="en-US" w:eastAsia="es-MX"/>
        </w:rPr>
        <w:t>zygomatic</w:t>
      </w:r>
      <w:proofErr w:type="spellEnd"/>
      <w:r w:rsidRPr="0096637F">
        <w:rPr>
          <w:rFonts w:eastAsia="Calibri"/>
          <w:lang w:val="en-US" w:eastAsia="es-MX"/>
        </w:rPr>
        <w:t>-maxillary complex fractures</w:t>
      </w:r>
      <w:r w:rsidRPr="0096637F">
        <w:rPr>
          <w:lang w:val="en-US" w:eastAsia="es-MX"/>
        </w:rPr>
        <w:t xml:space="preserve"> prevailed.</w:t>
      </w:r>
    </w:p>
    <w:p w:rsidR="0096637F" w:rsidRPr="0096637F" w:rsidRDefault="0096637F" w:rsidP="0096637F">
      <w:pPr>
        <w:spacing w:line="360" w:lineRule="auto"/>
        <w:jc w:val="both"/>
        <w:rPr>
          <w:lang w:val="en-US" w:eastAsia="es-MX"/>
        </w:rPr>
      </w:pPr>
      <w:r w:rsidRPr="0096637F">
        <w:rPr>
          <w:b/>
          <w:lang w:val="en-US" w:eastAsia="es-MX"/>
        </w:rPr>
        <w:t>Keywords</w:t>
      </w:r>
      <w:r w:rsidRPr="0096637F">
        <w:rPr>
          <w:b/>
          <w:bCs/>
          <w:lang w:val="en-US" w:eastAsia="es-MX"/>
        </w:rPr>
        <w:t>:</w:t>
      </w:r>
      <w:r w:rsidRPr="0096637F">
        <w:rPr>
          <w:lang w:val="en-US" w:eastAsia="es-MX"/>
        </w:rPr>
        <w:t xml:space="preserve"> jaw fractures; </w:t>
      </w:r>
      <w:proofErr w:type="spellStart"/>
      <w:r w:rsidRPr="0096637F">
        <w:rPr>
          <w:rFonts w:eastAsia="Calibri"/>
          <w:lang w:val="en-US" w:eastAsia="es-MX"/>
        </w:rPr>
        <w:t>zygomatic</w:t>
      </w:r>
      <w:proofErr w:type="spellEnd"/>
      <w:r w:rsidRPr="0096637F">
        <w:rPr>
          <w:lang w:val="en-US" w:eastAsia="es-MX"/>
        </w:rPr>
        <w:t xml:space="preserve"> fractures; COVID-19; SARS-CoV-2; epidemiology.</w:t>
      </w:r>
    </w:p>
    <w:p w:rsidR="0096637F" w:rsidRPr="0096637F" w:rsidRDefault="0096637F" w:rsidP="0096637F">
      <w:pPr>
        <w:spacing w:line="360" w:lineRule="auto"/>
        <w:jc w:val="both"/>
        <w:rPr>
          <w:lang w:val="en-US" w:eastAsia="es-MX"/>
        </w:rPr>
      </w:pPr>
    </w:p>
    <w:p w:rsidR="0096637F" w:rsidRPr="0096637F" w:rsidRDefault="0096637F" w:rsidP="0096637F">
      <w:pPr>
        <w:spacing w:line="360" w:lineRule="auto"/>
        <w:jc w:val="both"/>
        <w:rPr>
          <w:lang w:val="en-US" w:eastAsia="es-MX"/>
        </w:rPr>
      </w:pPr>
    </w:p>
    <w:p w:rsidR="0096637F" w:rsidRPr="0096637F" w:rsidRDefault="0096637F" w:rsidP="0096637F">
      <w:pPr>
        <w:spacing w:line="360" w:lineRule="auto"/>
        <w:jc w:val="both"/>
        <w:rPr>
          <w:lang w:eastAsia="es-MX"/>
        </w:rPr>
      </w:pPr>
      <w:r w:rsidRPr="0096637F">
        <w:rPr>
          <w:lang w:eastAsia="es-MX"/>
        </w:rPr>
        <w:t>Recibido: 04/04/2023</w:t>
      </w:r>
    </w:p>
    <w:p w:rsidR="0096637F" w:rsidRPr="0096637F" w:rsidRDefault="0096637F" w:rsidP="0096637F">
      <w:pPr>
        <w:spacing w:line="360" w:lineRule="auto"/>
        <w:jc w:val="both"/>
        <w:rPr>
          <w:lang w:eastAsia="es-MX"/>
        </w:rPr>
      </w:pPr>
      <w:r w:rsidRPr="0096637F">
        <w:rPr>
          <w:lang w:eastAsia="es-MX"/>
        </w:rPr>
        <w:t>Aprobado: 02/05/2023</w:t>
      </w:r>
    </w:p>
    <w:p w:rsidR="0096637F" w:rsidRPr="0096637F" w:rsidRDefault="0096637F" w:rsidP="0096637F">
      <w:pPr>
        <w:spacing w:line="360" w:lineRule="auto"/>
        <w:jc w:val="both"/>
        <w:rPr>
          <w:lang w:eastAsia="es-MX"/>
        </w:rPr>
      </w:pPr>
    </w:p>
    <w:p w:rsidR="0096637F" w:rsidRPr="0096637F" w:rsidRDefault="0096637F" w:rsidP="0096637F">
      <w:pPr>
        <w:spacing w:line="360" w:lineRule="auto"/>
        <w:rPr>
          <w:rFonts w:eastAsia="Calibri"/>
          <w:b/>
          <w:lang w:eastAsia="en-US"/>
        </w:rPr>
      </w:pPr>
    </w:p>
    <w:p w:rsidR="0096637F" w:rsidRPr="0096637F" w:rsidRDefault="0096637F" w:rsidP="0096637F">
      <w:pPr>
        <w:spacing w:line="360" w:lineRule="auto"/>
        <w:jc w:val="center"/>
        <w:rPr>
          <w:rFonts w:eastAsia="Calibri"/>
          <w:b/>
          <w:sz w:val="32"/>
          <w:szCs w:val="32"/>
          <w:lang w:eastAsia="en-US"/>
        </w:rPr>
      </w:pPr>
      <w:r w:rsidRPr="0096637F">
        <w:rPr>
          <w:rFonts w:eastAsia="Calibri"/>
          <w:b/>
          <w:sz w:val="32"/>
          <w:szCs w:val="32"/>
          <w:lang w:eastAsia="en-US"/>
        </w:rPr>
        <w:t>INTRODUCCIÓN</w:t>
      </w:r>
    </w:p>
    <w:p w:rsidR="0096637F" w:rsidRPr="0096637F" w:rsidRDefault="0096637F" w:rsidP="0096637F">
      <w:pPr>
        <w:spacing w:line="360" w:lineRule="auto"/>
        <w:jc w:val="both"/>
        <w:rPr>
          <w:lang w:eastAsia="es-MX"/>
        </w:rPr>
      </w:pPr>
      <w:r w:rsidRPr="0096637F">
        <w:rPr>
          <w:lang w:eastAsia="es-MX"/>
        </w:rPr>
        <w:t>Los traumatismos maxilofaciales representan un grave problema de salud pública y su epidemiología es variable.</w:t>
      </w:r>
      <w:r w:rsidRPr="0096637F">
        <w:rPr>
          <w:vertAlign w:val="superscript"/>
          <w:lang w:eastAsia="es-MX"/>
        </w:rPr>
        <w:t xml:space="preserve">(1) </w:t>
      </w:r>
      <w:r w:rsidRPr="0096637F">
        <w:rPr>
          <w:lang w:eastAsia="es-MX"/>
        </w:rPr>
        <w:t>Durante las últimas décadas, su incidencia ha aumentado en todo el mundo, debido a la creciente urbanización e industrialización, y la etiología varía entre los diferentes países debido a factores socioeconómicos, culturales y ambientales específicos del área.</w:t>
      </w:r>
      <w:r w:rsidRPr="0096637F">
        <w:rPr>
          <w:vertAlign w:val="superscript"/>
          <w:lang w:eastAsia="es-MX"/>
        </w:rPr>
        <w:t>(2)</w:t>
      </w:r>
    </w:p>
    <w:p w:rsidR="0096637F" w:rsidRPr="0096637F" w:rsidRDefault="0096637F" w:rsidP="0096637F">
      <w:pPr>
        <w:spacing w:line="360" w:lineRule="auto"/>
        <w:jc w:val="both"/>
        <w:rPr>
          <w:lang w:eastAsia="es-MX"/>
        </w:rPr>
      </w:pPr>
      <w:r w:rsidRPr="0096637F">
        <w:rPr>
          <w:lang w:eastAsia="es-MX"/>
        </w:rPr>
        <w:t>Las lesiones maxilofaciales pueden ser difíciles de evaluar, al variar desde simples laceraciones de tejidos blandos hasta fracturas complejas de huesos faciales</w:t>
      </w:r>
      <w:proofErr w:type="gramStart"/>
      <w:r w:rsidRPr="0096637F">
        <w:rPr>
          <w:lang w:eastAsia="es-MX"/>
        </w:rPr>
        <w:t>.</w:t>
      </w:r>
      <w:r w:rsidRPr="0096637F">
        <w:rPr>
          <w:vertAlign w:val="superscript"/>
          <w:lang w:eastAsia="es-MX"/>
        </w:rPr>
        <w:t>(</w:t>
      </w:r>
      <w:proofErr w:type="gramEnd"/>
      <w:r w:rsidRPr="0096637F">
        <w:rPr>
          <w:vertAlign w:val="superscript"/>
          <w:lang w:eastAsia="es-MX"/>
        </w:rPr>
        <w:t xml:space="preserve">2) </w:t>
      </w:r>
      <w:r w:rsidRPr="0096637F">
        <w:rPr>
          <w:lang w:eastAsia="es-MX"/>
        </w:rPr>
        <w:t>El trauma facial a menudo conduce a problemas funcionales, estéticos y psicológicos con grandes cargas sociales y económicas resultantes.</w:t>
      </w:r>
      <w:r w:rsidRPr="0096637F">
        <w:rPr>
          <w:vertAlign w:val="superscript"/>
          <w:lang w:eastAsia="es-MX"/>
        </w:rPr>
        <w:t>(3)</w:t>
      </w:r>
    </w:p>
    <w:p w:rsidR="0096637F" w:rsidRPr="0096637F" w:rsidRDefault="0096637F" w:rsidP="0096637F">
      <w:pPr>
        <w:spacing w:line="360" w:lineRule="auto"/>
        <w:jc w:val="both"/>
        <w:rPr>
          <w:lang w:eastAsia="es-MX"/>
        </w:rPr>
      </w:pPr>
      <w:r w:rsidRPr="0096637F">
        <w:rPr>
          <w:lang w:eastAsia="es-MX"/>
        </w:rPr>
        <w:t>La pandemia de la COVID-19 representa un desafío considerable para la prestación de servicios en términos de recursos disponibles, junto con el riesgo de infección cruzada a los equipos quirúrgicos</w:t>
      </w:r>
      <w:proofErr w:type="gramStart"/>
      <w:r w:rsidRPr="0096637F">
        <w:rPr>
          <w:lang w:eastAsia="es-MX"/>
        </w:rPr>
        <w:t>.</w:t>
      </w:r>
      <w:r w:rsidRPr="0096637F">
        <w:rPr>
          <w:vertAlign w:val="superscript"/>
          <w:lang w:eastAsia="es-MX"/>
        </w:rPr>
        <w:t>(</w:t>
      </w:r>
      <w:proofErr w:type="gramEnd"/>
      <w:r w:rsidRPr="0096637F">
        <w:rPr>
          <w:vertAlign w:val="superscript"/>
          <w:lang w:eastAsia="es-MX"/>
        </w:rPr>
        <w:t xml:space="preserve">4) </w:t>
      </w:r>
      <w:r w:rsidRPr="0096637F">
        <w:rPr>
          <w:lang w:eastAsia="es-MX"/>
        </w:rPr>
        <w:t>Su impacto en la traumatología maxilofacial es aún una cuestión de estudio, por tratarse de una enfermedad reciente. Se han desarrollado investigaciones en Francia,</w:t>
      </w:r>
      <w:r w:rsidRPr="0096637F">
        <w:rPr>
          <w:vertAlign w:val="superscript"/>
          <w:lang w:eastAsia="es-MX"/>
        </w:rPr>
        <w:t xml:space="preserve">(5) </w:t>
      </w:r>
      <w:r w:rsidRPr="0096637F">
        <w:rPr>
          <w:lang w:eastAsia="es-MX"/>
        </w:rPr>
        <w:t>Alemania,</w:t>
      </w:r>
      <w:r w:rsidRPr="0096637F">
        <w:rPr>
          <w:vertAlign w:val="superscript"/>
          <w:lang w:eastAsia="es-MX"/>
        </w:rPr>
        <w:t>(6)</w:t>
      </w:r>
      <w:r w:rsidRPr="0096637F">
        <w:rPr>
          <w:lang w:eastAsia="es-MX"/>
        </w:rPr>
        <w:t xml:space="preserve"> Australia,</w:t>
      </w:r>
      <w:r w:rsidRPr="0096637F">
        <w:rPr>
          <w:vertAlign w:val="superscript"/>
          <w:lang w:eastAsia="es-MX"/>
        </w:rPr>
        <w:t>(7)</w:t>
      </w:r>
      <w:r w:rsidRPr="0096637F">
        <w:rPr>
          <w:lang w:eastAsia="es-MX"/>
        </w:rPr>
        <w:t xml:space="preserve"> China,</w:t>
      </w:r>
      <w:r w:rsidRPr="0096637F">
        <w:rPr>
          <w:vertAlign w:val="superscript"/>
          <w:lang w:eastAsia="es-MX"/>
        </w:rPr>
        <w:t>(8)</w:t>
      </w:r>
      <w:r w:rsidRPr="0096637F">
        <w:rPr>
          <w:lang w:eastAsia="es-MX"/>
        </w:rPr>
        <w:t xml:space="preserve"> Finlandia,</w:t>
      </w:r>
      <w:r w:rsidRPr="0096637F">
        <w:rPr>
          <w:vertAlign w:val="superscript"/>
          <w:lang w:eastAsia="es-MX"/>
        </w:rPr>
        <w:t>(9)</w:t>
      </w:r>
      <w:r w:rsidRPr="0096637F">
        <w:rPr>
          <w:lang w:eastAsia="es-MX"/>
        </w:rPr>
        <w:t xml:space="preserve"> India,</w:t>
      </w:r>
      <w:r w:rsidRPr="0096637F">
        <w:rPr>
          <w:vertAlign w:val="superscript"/>
          <w:lang w:eastAsia="es-MX"/>
        </w:rPr>
        <w:t>(10,11,12)</w:t>
      </w:r>
      <w:r w:rsidRPr="0096637F">
        <w:rPr>
          <w:lang w:eastAsia="es-MX"/>
        </w:rPr>
        <w:t xml:space="preserve"> Italia,</w:t>
      </w:r>
      <w:r w:rsidRPr="0096637F">
        <w:rPr>
          <w:vertAlign w:val="superscript"/>
          <w:lang w:eastAsia="es-MX"/>
        </w:rPr>
        <w:t>(13,14,15)</w:t>
      </w:r>
      <w:r w:rsidRPr="0096637F">
        <w:rPr>
          <w:lang w:eastAsia="es-MX"/>
        </w:rPr>
        <w:t xml:space="preserve"> Reino Unido,</w:t>
      </w:r>
      <w:r w:rsidRPr="0096637F">
        <w:rPr>
          <w:vertAlign w:val="superscript"/>
          <w:lang w:eastAsia="es-MX"/>
        </w:rPr>
        <w:t xml:space="preserve">(16,17,18,19,20) </w:t>
      </w:r>
      <w:r w:rsidRPr="0096637F">
        <w:rPr>
          <w:lang w:eastAsia="es-MX"/>
        </w:rPr>
        <w:t>Corea del Sur,</w:t>
      </w:r>
      <w:r w:rsidRPr="0096637F">
        <w:rPr>
          <w:vertAlign w:val="superscript"/>
          <w:lang w:eastAsia="es-MX"/>
        </w:rPr>
        <w:t>(21)</w:t>
      </w:r>
      <w:r w:rsidRPr="0096637F">
        <w:rPr>
          <w:lang w:eastAsia="es-MX"/>
        </w:rPr>
        <w:t xml:space="preserve"> Sri Lanka,</w:t>
      </w:r>
      <w:r w:rsidRPr="0096637F">
        <w:rPr>
          <w:vertAlign w:val="superscript"/>
          <w:lang w:eastAsia="es-MX"/>
        </w:rPr>
        <w:t>(22)</w:t>
      </w:r>
      <w:r w:rsidRPr="0096637F">
        <w:rPr>
          <w:lang w:eastAsia="es-MX"/>
        </w:rPr>
        <w:t xml:space="preserve"> Turquía,</w:t>
      </w:r>
      <w:r w:rsidRPr="0096637F">
        <w:rPr>
          <w:vertAlign w:val="superscript"/>
          <w:lang w:eastAsia="es-MX"/>
        </w:rPr>
        <w:t xml:space="preserve">(23,24) </w:t>
      </w:r>
      <w:r w:rsidRPr="0096637F">
        <w:rPr>
          <w:lang w:eastAsia="es-MX"/>
        </w:rPr>
        <w:t>Portugal</w:t>
      </w:r>
      <w:r w:rsidRPr="0096637F">
        <w:rPr>
          <w:vertAlign w:val="superscript"/>
          <w:lang w:eastAsia="es-MX"/>
        </w:rPr>
        <w:t>(25)</w:t>
      </w:r>
      <w:r w:rsidRPr="0096637F">
        <w:rPr>
          <w:lang w:eastAsia="es-MX"/>
        </w:rPr>
        <w:t xml:space="preserve"> y EE. UU</w:t>
      </w:r>
      <w:proofErr w:type="gramStart"/>
      <w:r w:rsidRPr="0096637F">
        <w:rPr>
          <w:lang w:eastAsia="es-MX"/>
        </w:rPr>
        <w:t>.</w:t>
      </w:r>
      <w:r w:rsidRPr="0096637F">
        <w:rPr>
          <w:vertAlign w:val="superscript"/>
          <w:lang w:eastAsia="es-MX"/>
        </w:rPr>
        <w:t>(</w:t>
      </w:r>
      <w:proofErr w:type="gramEnd"/>
      <w:r w:rsidRPr="0096637F">
        <w:rPr>
          <w:vertAlign w:val="superscript"/>
          <w:lang w:eastAsia="es-MX"/>
        </w:rPr>
        <w:t>26,27,28,29)</w:t>
      </w:r>
      <w:r w:rsidRPr="0096637F">
        <w:rPr>
          <w:lang w:eastAsia="es-MX"/>
        </w:rPr>
        <w:t xml:space="preserve"> En Cuba, </w:t>
      </w:r>
      <w:r w:rsidRPr="0096637F">
        <w:rPr>
          <w:i/>
          <w:lang w:eastAsia="es-MX"/>
        </w:rPr>
        <w:t>Vázquez-Blanco</w:t>
      </w:r>
      <w:r w:rsidRPr="0096637F">
        <w:rPr>
          <w:lang w:eastAsia="es-MX"/>
        </w:rPr>
        <w:t xml:space="preserve"> y otros</w:t>
      </w:r>
      <w:r w:rsidRPr="0096637F">
        <w:rPr>
          <w:vertAlign w:val="superscript"/>
          <w:lang w:eastAsia="es-MX"/>
        </w:rPr>
        <w:t>(30)</w:t>
      </w:r>
      <w:r w:rsidRPr="0096637F">
        <w:rPr>
          <w:lang w:eastAsia="es-MX"/>
        </w:rPr>
        <w:t xml:space="preserve"> estudiaron las urgencias maxilofaciales atendidas en el contexto de la pandemia y de forma breve abordaron los </w:t>
      </w:r>
      <w:r w:rsidRPr="0096637F">
        <w:rPr>
          <w:lang w:eastAsia="es-MX"/>
        </w:rPr>
        <w:lastRenderedPageBreak/>
        <w:t>traumatismos maxilofaciales; sin embargo, según la revisión de la literatura, existe una única investigación</w:t>
      </w:r>
      <w:r w:rsidRPr="0096637F">
        <w:rPr>
          <w:vertAlign w:val="superscript"/>
          <w:lang w:eastAsia="es-MX"/>
        </w:rPr>
        <w:t>(31)</w:t>
      </w:r>
      <w:r w:rsidRPr="0096637F">
        <w:rPr>
          <w:lang w:eastAsia="es-MX"/>
        </w:rPr>
        <w:t xml:space="preserve"> publicada cuyo objeto de estudio fueron las fracturas maxilofaciales, por lo que es oportuno mostrar evidencias sobre esta línea de investigación.</w:t>
      </w:r>
    </w:p>
    <w:p w:rsidR="0096637F" w:rsidRPr="0096637F" w:rsidRDefault="0096637F" w:rsidP="0096637F">
      <w:pPr>
        <w:spacing w:line="360" w:lineRule="auto"/>
        <w:jc w:val="both"/>
        <w:rPr>
          <w:lang w:eastAsia="es-MX"/>
        </w:rPr>
      </w:pPr>
      <w:r w:rsidRPr="0096637F">
        <w:rPr>
          <w:lang w:eastAsia="es-MX"/>
        </w:rPr>
        <w:t>Se desarrolló este estudio con el fin de caracterizar desde el punto de vista epidemiológico y terapéutico los pacientes con fracturas maxilofaciales, tratados en un hospital universitario cubano en el contexto de la COVID-19.</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center"/>
        <w:rPr>
          <w:rFonts w:eastAsia="Calibri"/>
          <w:b/>
          <w:sz w:val="32"/>
          <w:szCs w:val="32"/>
          <w:lang w:eastAsia="en-US"/>
        </w:rPr>
      </w:pPr>
      <w:r w:rsidRPr="0096637F">
        <w:rPr>
          <w:rFonts w:eastAsia="Calibri"/>
          <w:b/>
          <w:sz w:val="32"/>
          <w:szCs w:val="32"/>
          <w:lang w:eastAsia="en-US"/>
        </w:rPr>
        <w:t>MÉTODOS</w:t>
      </w:r>
    </w:p>
    <w:p w:rsidR="0096637F" w:rsidRPr="0096637F" w:rsidRDefault="0096637F" w:rsidP="0096637F">
      <w:pPr>
        <w:spacing w:line="360" w:lineRule="auto"/>
        <w:jc w:val="center"/>
        <w:rPr>
          <w:rFonts w:eastAsia="Calibri"/>
          <w:b/>
          <w:bCs/>
          <w:sz w:val="28"/>
          <w:szCs w:val="28"/>
          <w:lang w:eastAsia="en-US"/>
        </w:rPr>
      </w:pPr>
      <w:r w:rsidRPr="0096637F">
        <w:rPr>
          <w:rFonts w:eastAsia="Calibri"/>
          <w:b/>
          <w:bCs/>
          <w:sz w:val="28"/>
          <w:szCs w:val="28"/>
          <w:lang w:eastAsia="en-US"/>
        </w:rPr>
        <w:t>Diseño</w:t>
      </w:r>
    </w:p>
    <w:p w:rsidR="0096637F" w:rsidRPr="0096637F" w:rsidRDefault="0096637F" w:rsidP="0096637F">
      <w:pPr>
        <w:spacing w:line="360" w:lineRule="auto"/>
        <w:jc w:val="both"/>
        <w:rPr>
          <w:rFonts w:eastAsia="Calibri"/>
          <w:lang w:eastAsia="en-US"/>
        </w:rPr>
      </w:pPr>
      <w:r w:rsidRPr="0096637F">
        <w:rPr>
          <w:rFonts w:eastAsia="Calibri"/>
          <w:lang w:eastAsia="en-US"/>
        </w:rPr>
        <w:t xml:space="preserve">Se realizó un estudio observacional, descriptivo y transversal, en el servicio de Cirugía Maxilofacial del Hospital General Provincial “Carlos Manuel de Céspedes”, en el período comprendido entre el 1 de enero y el 31 de diciembre de 2021. </w:t>
      </w:r>
    </w:p>
    <w:p w:rsidR="0096637F" w:rsidRPr="0096637F" w:rsidRDefault="0096637F" w:rsidP="0096637F">
      <w:pPr>
        <w:spacing w:line="360" w:lineRule="auto"/>
        <w:jc w:val="center"/>
        <w:rPr>
          <w:rFonts w:eastAsia="Calibri"/>
          <w:b/>
          <w:bCs/>
          <w:sz w:val="28"/>
          <w:szCs w:val="28"/>
          <w:lang w:eastAsia="en-US"/>
        </w:rPr>
      </w:pPr>
      <w:r w:rsidRPr="0096637F">
        <w:rPr>
          <w:rFonts w:eastAsia="Calibri"/>
          <w:b/>
          <w:bCs/>
          <w:sz w:val="28"/>
          <w:szCs w:val="28"/>
          <w:lang w:eastAsia="en-US"/>
        </w:rPr>
        <w:t>Sujetos</w:t>
      </w:r>
    </w:p>
    <w:p w:rsidR="0096637F" w:rsidRPr="0096637F" w:rsidRDefault="0096637F" w:rsidP="0096637F">
      <w:pPr>
        <w:spacing w:line="360" w:lineRule="auto"/>
        <w:jc w:val="both"/>
        <w:rPr>
          <w:lang w:eastAsia="es-MX"/>
        </w:rPr>
      </w:pPr>
      <w:r w:rsidRPr="0096637F">
        <w:rPr>
          <w:lang w:eastAsia="es-MX"/>
        </w:rPr>
        <w:t>Se trabajó con el universo, conformado por los pacientes (n= 54) con fracturas maxilofaciales (excepto las nasales) diagnosticadas de forma clínica, radiográfica y tratadas en dicho servicio. Se consideró incluir en el estudio a quienes aceptaran participar y brindasen su consentimiento informado.</w:t>
      </w:r>
      <w:bookmarkStart w:id="0" w:name="_Toc66109725"/>
      <w:r w:rsidRPr="0096637F">
        <w:rPr>
          <w:lang w:eastAsia="es-MX"/>
        </w:rPr>
        <w:t xml:space="preserve"> Todos cumplieron estos criterios.</w:t>
      </w:r>
    </w:p>
    <w:p w:rsidR="0096637F" w:rsidRPr="0096637F" w:rsidRDefault="0096637F" w:rsidP="0096637F">
      <w:pPr>
        <w:spacing w:line="360" w:lineRule="auto"/>
        <w:jc w:val="center"/>
        <w:rPr>
          <w:rFonts w:eastAsia="Calibri"/>
          <w:b/>
          <w:bCs/>
          <w:sz w:val="28"/>
          <w:szCs w:val="28"/>
          <w:lang w:eastAsia="en-US"/>
        </w:rPr>
      </w:pPr>
      <w:r w:rsidRPr="0096637F">
        <w:rPr>
          <w:b/>
          <w:bCs/>
          <w:sz w:val="28"/>
          <w:szCs w:val="28"/>
          <w:lang w:eastAsia="es-MX"/>
        </w:rPr>
        <w:t>Variables</w:t>
      </w:r>
    </w:p>
    <w:p w:rsidR="0096637F" w:rsidRPr="0096637F" w:rsidRDefault="0096637F" w:rsidP="0096637F">
      <w:pPr>
        <w:spacing w:line="360" w:lineRule="auto"/>
        <w:jc w:val="both"/>
        <w:rPr>
          <w:lang w:eastAsia="es-MX"/>
        </w:rPr>
      </w:pPr>
      <w:r w:rsidRPr="0096637F">
        <w:rPr>
          <w:lang w:eastAsia="es-MX"/>
        </w:rPr>
        <w:t xml:space="preserve">Se estudiaron las siguientes variables: la edad, el sexo, la procedencia (rural/urbana), los tipos de fracturas (complejo cigomático-maxilar, mandíbula, Le Fort I, Le Fort II y </w:t>
      </w:r>
      <w:proofErr w:type="spellStart"/>
      <w:r w:rsidRPr="0096637F">
        <w:rPr>
          <w:lang w:eastAsia="es-MX"/>
        </w:rPr>
        <w:t>panfacial</w:t>
      </w:r>
      <w:proofErr w:type="spellEnd"/>
      <w:r w:rsidRPr="0096637F">
        <w:rPr>
          <w:lang w:eastAsia="es-MX"/>
        </w:rPr>
        <w:t>), su lateralidad (bilateral, unilateral derecha y unilateral izquierda) y número de trazos, las localizaciones anatómicas de las fracturas mandibulares, la etiología (violencia interpersonal, agresiones de animales, accidentes de tránsito, accidentes laborales, accidentes domésticos y caídas), el tratamiento (conservador, reducción cerrada y reducción abierta), así como el día de la semana y el mes del trauma.</w:t>
      </w:r>
      <w:bookmarkEnd w:id="0"/>
    </w:p>
    <w:p w:rsidR="00965C3C" w:rsidRDefault="00965C3C">
      <w:pPr>
        <w:rPr>
          <w:b/>
          <w:bCs/>
          <w:sz w:val="28"/>
          <w:szCs w:val="28"/>
          <w:lang w:eastAsia="es-MX"/>
        </w:rPr>
      </w:pPr>
      <w:r>
        <w:rPr>
          <w:b/>
          <w:bCs/>
          <w:sz w:val="28"/>
          <w:szCs w:val="28"/>
          <w:lang w:eastAsia="es-MX"/>
        </w:rPr>
        <w:br w:type="page"/>
      </w:r>
    </w:p>
    <w:p w:rsidR="0096637F" w:rsidRPr="0096637F" w:rsidRDefault="0096637F" w:rsidP="0096637F">
      <w:pPr>
        <w:spacing w:line="360" w:lineRule="auto"/>
        <w:jc w:val="center"/>
        <w:rPr>
          <w:b/>
          <w:bCs/>
          <w:sz w:val="28"/>
          <w:szCs w:val="28"/>
          <w:lang w:eastAsia="es-MX"/>
        </w:rPr>
      </w:pPr>
      <w:r w:rsidRPr="0096637F">
        <w:rPr>
          <w:b/>
          <w:bCs/>
          <w:sz w:val="28"/>
          <w:szCs w:val="28"/>
          <w:lang w:eastAsia="es-MX"/>
        </w:rPr>
        <w:lastRenderedPageBreak/>
        <w:t>Procedimientos y procesamiento</w:t>
      </w:r>
    </w:p>
    <w:p w:rsidR="0096637F" w:rsidRPr="0096637F" w:rsidRDefault="0096637F" w:rsidP="0096637F">
      <w:pPr>
        <w:spacing w:line="360" w:lineRule="auto"/>
        <w:jc w:val="both"/>
        <w:rPr>
          <w:lang w:eastAsia="es-MX"/>
        </w:rPr>
      </w:pPr>
      <w:r w:rsidRPr="0096637F">
        <w:rPr>
          <w:lang w:eastAsia="es-MX"/>
        </w:rPr>
        <w:t>Se confeccionó una planilla de recolección de datos y se colocó en la consulta del cuerpo de guardia. Se les explicó a todos los residentes y especialistas que realizan guardia en este servicio cómo llenarla. Se elaboró una base de datos en el programa Microsoft Excel®, en la cual se realizó el análisis descriptivo de las variables mediante frecuencias absolutas y relativas. Se utiliza la media, mínimo y máximo para la variable edad.</w:t>
      </w:r>
    </w:p>
    <w:p w:rsidR="0096637F" w:rsidRPr="0096637F" w:rsidRDefault="0096637F" w:rsidP="0096637F">
      <w:pPr>
        <w:spacing w:line="360" w:lineRule="auto"/>
        <w:jc w:val="center"/>
        <w:rPr>
          <w:b/>
          <w:bCs/>
          <w:sz w:val="28"/>
          <w:szCs w:val="28"/>
          <w:lang w:eastAsia="es-MX"/>
        </w:rPr>
      </w:pPr>
      <w:r w:rsidRPr="0096637F">
        <w:rPr>
          <w:b/>
          <w:bCs/>
          <w:sz w:val="28"/>
          <w:szCs w:val="28"/>
          <w:lang w:eastAsia="es-MX"/>
        </w:rPr>
        <w:t>Aspectos bioéticos</w:t>
      </w:r>
    </w:p>
    <w:p w:rsidR="0096637F" w:rsidRPr="0096637F" w:rsidRDefault="0096637F" w:rsidP="0096637F">
      <w:pPr>
        <w:spacing w:line="360" w:lineRule="auto"/>
        <w:jc w:val="both"/>
        <w:rPr>
          <w:lang w:eastAsia="es-MX"/>
        </w:rPr>
      </w:pPr>
      <w:r w:rsidRPr="0096637F">
        <w:rPr>
          <w:lang w:eastAsia="es-MX"/>
        </w:rPr>
        <w:t xml:space="preserve">Se respetaron los aspectos de la Declaración de Helsinki para la investigación en seres humanos. La investigación forma parte de un megaproyecto de trauma maxilofacial aprobado por el comité de ética y el consejo científico del </w:t>
      </w:r>
      <w:r w:rsidRPr="0096637F">
        <w:rPr>
          <w:rFonts w:eastAsia="Calibri"/>
          <w:lang w:eastAsia="en-US"/>
        </w:rPr>
        <w:t>Hospital General Provincial “Carlos Manuel de Céspedes”</w:t>
      </w:r>
      <w:r w:rsidRPr="0096637F">
        <w:rPr>
          <w:lang w:eastAsia="es-MX"/>
        </w:rPr>
        <w:t xml:space="preserve">. </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both"/>
        <w:rPr>
          <w:rFonts w:eastAsia="Calibri"/>
          <w:lang w:eastAsia="en-US"/>
        </w:rPr>
      </w:pPr>
    </w:p>
    <w:p w:rsidR="0096637F" w:rsidRPr="0096637F" w:rsidRDefault="0096637F" w:rsidP="0096637F">
      <w:pPr>
        <w:spacing w:line="360" w:lineRule="auto"/>
        <w:jc w:val="center"/>
        <w:rPr>
          <w:rFonts w:eastAsia="Calibri"/>
          <w:b/>
          <w:sz w:val="32"/>
          <w:szCs w:val="32"/>
          <w:lang w:eastAsia="es-MX"/>
        </w:rPr>
      </w:pPr>
      <w:r w:rsidRPr="0096637F">
        <w:rPr>
          <w:rFonts w:eastAsia="Calibri"/>
          <w:b/>
          <w:sz w:val="32"/>
          <w:szCs w:val="32"/>
          <w:lang w:eastAsia="es-MX"/>
        </w:rPr>
        <w:t>RESULTADOS</w:t>
      </w:r>
    </w:p>
    <w:p w:rsidR="0096637F" w:rsidRPr="0096637F" w:rsidRDefault="0096637F" w:rsidP="0096637F">
      <w:pPr>
        <w:spacing w:line="360" w:lineRule="auto"/>
        <w:jc w:val="both"/>
        <w:rPr>
          <w:rFonts w:eastAsia="Calibri"/>
          <w:lang w:eastAsia="es-MX"/>
        </w:rPr>
      </w:pPr>
      <w:r w:rsidRPr="0096637F">
        <w:rPr>
          <w:rFonts w:eastAsia="Calibri"/>
          <w:lang w:eastAsia="es-MX"/>
        </w:rPr>
        <w:t xml:space="preserve">La edad media fue de 43,9 ± 19,1 años, con un mínimo y un máximo de 7 y 91 años respectivamente. El </w:t>
      </w:r>
      <w:r w:rsidRPr="0096637F">
        <w:rPr>
          <w:lang w:eastAsia="es-PE"/>
        </w:rPr>
        <w:t>90,7 % de la casuística fue de</w:t>
      </w:r>
      <w:r w:rsidRPr="0096637F">
        <w:rPr>
          <w:rFonts w:eastAsia="Calibri"/>
          <w:lang w:eastAsia="es-MX"/>
        </w:rPr>
        <w:t xml:space="preserve">l sexo masculino, con una relación hombre/mujer de 9,8:1. El </w:t>
      </w:r>
      <w:r w:rsidRPr="0096637F">
        <w:rPr>
          <w:lang w:eastAsia="es-PE"/>
        </w:rPr>
        <w:t xml:space="preserve">53,7 % </w:t>
      </w:r>
      <w:r w:rsidRPr="0096637F">
        <w:rPr>
          <w:rFonts w:eastAsia="Calibri"/>
          <w:lang w:eastAsia="es-MX"/>
        </w:rPr>
        <w:t xml:space="preserve">de los pacientes procedieron de áreas urbanas (tabla 1). </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center"/>
        <w:rPr>
          <w:sz w:val="22"/>
          <w:szCs w:val="22"/>
          <w:lang w:eastAsia="es-MX"/>
        </w:rPr>
      </w:pPr>
      <w:r w:rsidRPr="0096637F">
        <w:rPr>
          <w:rFonts w:eastAsia="Calibri"/>
          <w:b/>
          <w:sz w:val="22"/>
          <w:szCs w:val="22"/>
          <w:lang w:eastAsia="es-MX"/>
        </w:rPr>
        <w:t>Tabla 1 -</w:t>
      </w:r>
      <w:r w:rsidRPr="0096637F">
        <w:rPr>
          <w:rFonts w:eastAsia="Calibri"/>
          <w:sz w:val="22"/>
          <w:szCs w:val="22"/>
          <w:lang w:eastAsia="es-MX"/>
        </w:rPr>
        <w:t xml:space="preserve"> Características </w:t>
      </w:r>
      <w:r w:rsidRPr="0096637F">
        <w:rPr>
          <w:sz w:val="22"/>
          <w:szCs w:val="22"/>
          <w:lang w:eastAsia="es-MX"/>
        </w:rPr>
        <w:t>de los pacientes</w:t>
      </w:r>
    </w:p>
    <w:p w:rsidR="0096637F" w:rsidRDefault="00792324" w:rsidP="00792324">
      <w:pPr>
        <w:spacing w:line="360" w:lineRule="auto"/>
        <w:jc w:val="center"/>
        <w:rPr>
          <w:sz w:val="20"/>
          <w:szCs w:val="20"/>
          <w:lang w:eastAsia="es-MX"/>
        </w:rPr>
      </w:pPr>
      <w:r w:rsidRPr="00E81662">
        <w:rPr>
          <w:noProof/>
          <w:lang w:val="es-ES" w:eastAsia="es-ES"/>
        </w:rPr>
        <w:drawing>
          <wp:inline distT="0" distB="0" distL="0" distR="0" wp14:anchorId="40DC0F5E" wp14:editId="55465559">
            <wp:extent cx="2476500" cy="1905000"/>
            <wp:effectExtent l="0" t="0" r="0" b="0"/>
            <wp:docPr id="5" name="Imagen 5" descr="G:\hoy\2997\t01_299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oy\2997\t01_2997.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905000"/>
                    </a:xfrm>
                    <a:prstGeom prst="rect">
                      <a:avLst/>
                    </a:prstGeom>
                    <a:noFill/>
                    <a:ln>
                      <a:noFill/>
                    </a:ln>
                  </pic:spPr>
                </pic:pic>
              </a:graphicData>
            </a:graphic>
          </wp:inline>
        </w:drawing>
      </w:r>
    </w:p>
    <w:p w:rsidR="00792324" w:rsidRPr="0096637F" w:rsidRDefault="00792324" w:rsidP="00792324">
      <w:pPr>
        <w:spacing w:line="360" w:lineRule="auto"/>
        <w:jc w:val="center"/>
        <w:rPr>
          <w:sz w:val="20"/>
          <w:szCs w:val="20"/>
          <w:lang w:eastAsia="es-MX"/>
        </w:rPr>
      </w:pPr>
    </w:p>
    <w:p w:rsidR="0096637F" w:rsidRPr="0096637F" w:rsidRDefault="0096637F" w:rsidP="0096637F">
      <w:pPr>
        <w:spacing w:line="360" w:lineRule="auto"/>
        <w:jc w:val="both"/>
        <w:rPr>
          <w:lang w:eastAsia="es-MX"/>
        </w:rPr>
      </w:pPr>
      <w:r w:rsidRPr="0096637F">
        <w:rPr>
          <w:lang w:eastAsia="es-MX"/>
        </w:rPr>
        <w:lastRenderedPageBreak/>
        <w:t xml:space="preserve">El </w:t>
      </w:r>
      <w:r w:rsidRPr="0096637F">
        <w:rPr>
          <w:lang w:eastAsia="es-PE"/>
        </w:rPr>
        <w:t xml:space="preserve">59,3 </w:t>
      </w:r>
      <w:r w:rsidRPr="0096637F">
        <w:rPr>
          <w:lang w:eastAsia="es-MX"/>
        </w:rPr>
        <w:t xml:space="preserve">% de los pacientes tuvieron </w:t>
      </w:r>
      <w:bookmarkStart w:id="1" w:name="_Hlk67610046"/>
      <w:r w:rsidRPr="0096637F">
        <w:rPr>
          <w:lang w:eastAsia="es-MX"/>
        </w:rPr>
        <w:t>fracturas del complejo cigomático-maxilar, unilaterales derechas (</w:t>
      </w:r>
      <w:r w:rsidRPr="0096637F">
        <w:rPr>
          <w:lang w:eastAsia="es-PE"/>
        </w:rPr>
        <w:t>46,3 %</w:t>
      </w:r>
      <w:r w:rsidRPr="0096637F">
        <w:rPr>
          <w:lang w:eastAsia="es-MX"/>
        </w:rPr>
        <w:t xml:space="preserve">), causadas en igual medida por violencia interpersonal </w:t>
      </w:r>
      <w:bookmarkEnd w:id="1"/>
      <w:r w:rsidRPr="0096637F">
        <w:rPr>
          <w:lang w:eastAsia="es-MX"/>
        </w:rPr>
        <w:t>y caídas (</w:t>
      </w:r>
      <w:r w:rsidRPr="0096637F">
        <w:rPr>
          <w:lang w:eastAsia="es-PE"/>
        </w:rPr>
        <w:t xml:space="preserve">33,3 </w:t>
      </w:r>
      <w:r w:rsidRPr="0096637F">
        <w:rPr>
          <w:lang w:eastAsia="es-MX"/>
        </w:rPr>
        <w:t xml:space="preserve">%). Dentro de los accidentes de tránsito, 5 fueron en bicicletas </w:t>
      </w:r>
      <w:r w:rsidRPr="0096637F">
        <w:rPr>
          <w:rFonts w:eastAsia="Calibri"/>
          <w:lang w:eastAsia="es-MX"/>
        </w:rPr>
        <w:t>(tabla 2)</w:t>
      </w:r>
      <w:r w:rsidRPr="0096637F">
        <w:rPr>
          <w:lang w:eastAsia="es-MX"/>
        </w:rPr>
        <w:t xml:space="preserve">. </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center"/>
        <w:rPr>
          <w:lang w:eastAsia="es-MX"/>
        </w:rPr>
      </w:pPr>
      <w:r w:rsidRPr="0096637F">
        <w:rPr>
          <w:b/>
          <w:sz w:val="22"/>
          <w:szCs w:val="22"/>
          <w:lang w:eastAsia="es-MX"/>
        </w:rPr>
        <w:t>Tabla 2 -</w:t>
      </w:r>
      <w:r w:rsidRPr="0096637F">
        <w:rPr>
          <w:sz w:val="22"/>
          <w:szCs w:val="22"/>
          <w:lang w:eastAsia="es-MX"/>
        </w:rPr>
        <w:t xml:space="preserve"> Tipos de fracturas, número de trazos, lateralidad y etiologías</w:t>
      </w:r>
    </w:p>
    <w:p w:rsidR="00792324" w:rsidRDefault="00792324" w:rsidP="0096637F">
      <w:pPr>
        <w:spacing w:line="360" w:lineRule="auto"/>
        <w:jc w:val="center"/>
        <w:rPr>
          <w:sz w:val="16"/>
          <w:szCs w:val="16"/>
          <w:lang w:eastAsia="es-MX"/>
        </w:rPr>
      </w:pPr>
      <w:r w:rsidRPr="00E81662">
        <w:rPr>
          <w:noProof/>
          <w:lang w:val="es-ES" w:eastAsia="es-ES"/>
        </w:rPr>
        <w:drawing>
          <wp:inline distT="0" distB="0" distL="0" distR="0" wp14:anchorId="1828CDA4" wp14:editId="7065CD17">
            <wp:extent cx="3714750" cy="4791075"/>
            <wp:effectExtent l="0" t="0" r="0" b="9525"/>
            <wp:docPr id="3" name="Imagen 3" descr="G:\hoy\2997\t02_299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oy\2997\t02_2997.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4791075"/>
                    </a:xfrm>
                    <a:prstGeom prst="rect">
                      <a:avLst/>
                    </a:prstGeom>
                    <a:noFill/>
                    <a:ln>
                      <a:noFill/>
                    </a:ln>
                  </pic:spPr>
                </pic:pic>
              </a:graphicData>
            </a:graphic>
          </wp:inline>
        </w:drawing>
      </w:r>
    </w:p>
    <w:p w:rsidR="0096637F" w:rsidRPr="0096637F" w:rsidRDefault="0096637F" w:rsidP="0096637F">
      <w:pPr>
        <w:spacing w:line="360" w:lineRule="auto"/>
        <w:jc w:val="center"/>
        <w:rPr>
          <w:sz w:val="16"/>
          <w:szCs w:val="16"/>
          <w:lang w:eastAsia="es-MX"/>
        </w:rPr>
      </w:pPr>
      <w:r w:rsidRPr="0096637F">
        <w:rPr>
          <w:sz w:val="16"/>
          <w:szCs w:val="16"/>
          <w:lang w:eastAsia="es-MX"/>
        </w:rPr>
        <w:t>*No suma 100 % porque hubo pacientes con fracturas concomitantes.</w:t>
      </w:r>
    </w:p>
    <w:p w:rsidR="0096637F" w:rsidRPr="0096637F" w:rsidRDefault="0096637F" w:rsidP="0096637F">
      <w:pPr>
        <w:spacing w:line="360" w:lineRule="auto"/>
        <w:jc w:val="center"/>
        <w:rPr>
          <w:sz w:val="22"/>
          <w:lang w:eastAsia="es-MX"/>
        </w:rPr>
      </w:pPr>
    </w:p>
    <w:p w:rsidR="0096637F" w:rsidRPr="0096637F" w:rsidRDefault="0096637F" w:rsidP="0096637F">
      <w:pPr>
        <w:spacing w:line="360" w:lineRule="auto"/>
        <w:jc w:val="both"/>
        <w:rPr>
          <w:lang w:eastAsia="es-MX"/>
        </w:rPr>
      </w:pPr>
      <w:r w:rsidRPr="0096637F">
        <w:rPr>
          <w:lang w:eastAsia="es-MX"/>
        </w:rPr>
        <w:t xml:space="preserve">En los hombres la violencia interpersonal fue el principal factor etiológico (36,7 %), mientras que en las mujeres (80,0 %) y los pacientes de procedencia rural (48,0 %) las caídas. Las fracturas mandibulares también tuvieron esta principal etiología (42,9 %) </w:t>
      </w:r>
      <w:r w:rsidRPr="0096637F">
        <w:rPr>
          <w:rFonts w:eastAsia="Calibri"/>
          <w:lang w:eastAsia="es-MX"/>
        </w:rPr>
        <w:t>(</w:t>
      </w:r>
      <w:proofErr w:type="gramStart"/>
      <w:r w:rsidRPr="0096637F">
        <w:rPr>
          <w:rFonts w:eastAsia="Calibri"/>
          <w:lang w:eastAsia="es-MX"/>
        </w:rPr>
        <w:t>tabla</w:t>
      </w:r>
      <w:proofErr w:type="gramEnd"/>
      <w:r w:rsidRPr="0096637F">
        <w:rPr>
          <w:rFonts w:eastAsia="Calibri"/>
          <w:lang w:eastAsia="es-MX"/>
        </w:rPr>
        <w:t xml:space="preserve"> 3)</w:t>
      </w:r>
      <w:r w:rsidRPr="0096637F">
        <w:rPr>
          <w:lang w:eastAsia="es-MX"/>
        </w:rPr>
        <w:t>.</w:t>
      </w:r>
    </w:p>
    <w:p w:rsidR="0096637F" w:rsidRPr="0096637F" w:rsidRDefault="0096637F" w:rsidP="0096637F">
      <w:pPr>
        <w:spacing w:line="360" w:lineRule="auto"/>
        <w:jc w:val="both"/>
        <w:rPr>
          <w:b/>
          <w:lang w:eastAsia="es-MX"/>
        </w:rPr>
      </w:pPr>
    </w:p>
    <w:p w:rsidR="0096637F" w:rsidRPr="0096637F" w:rsidRDefault="0096637F" w:rsidP="0096637F">
      <w:pPr>
        <w:spacing w:line="360" w:lineRule="auto"/>
        <w:jc w:val="center"/>
        <w:rPr>
          <w:sz w:val="22"/>
          <w:szCs w:val="22"/>
          <w:lang w:eastAsia="es-MX"/>
        </w:rPr>
      </w:pPr>
      <w:r w:rsidRPr="0096637F">
        <w:rPr>
          <w:b/>
          <w:sz w:val="22"/>
          <w:szCs w:val="22"/>
          <w:lang w:eastAsia="es-MX"/>
        </w:rPr>
        <w:t>Tabla 3 -</w:t>
      </w:r>
      <w:r w:rsidRPr="0096637F">
        <w:rPr>
          <w:sz w:val="22"/>
          <w:szCs w:val="22"/>
          <w:lang w:eastAsia="es-MX"/>
        </w:rPr>
        <w:t xml:space="preserve"> Perfil etiológico según las características </w:t>
      </w:r>
      <w:r w:rsidRPr="0096637F">
        <w:rPr>
          <w:rFonts w:eastAsia="Calibri"/>
          <w:sz w:val="22"/>
          <w:szCs w:val="22"/>
          <w:lang w:eastAsia="es-MX"/>
        </w:rPr>
        <w:t>socioeducativas de los pacientes y los tipos de fracturas</w:t>
      </w:r>
    </w:p>
    <w:p w:rsidR="009C2DBD" w:rsidRDefault="009C2DBD" w:rsidP="0096637F">
      <w:pPr>
        <w:spacing w:line="360" w:lineRule="auto"/>
        <w:jc w:val="center"/>
        <w:rPr>
          <w:bCs/>
          <w:sz w:val="16"/>
          <w:szCs w:val="16"/>
          <w:lang w:eastAsia="es-MX"/>
        </w:rPr>
      </w:pPr>
      <w:r w:rsidRPr="00E81662">
        <w:rPr>
          <w:noProof/>
          <w:lang w:val="es-ES" w:eastAsia="es-ES"/>
        </w:rPr>
        <w:drawing>
          <wp:inline distT="0" distB="0" distL="0" distR="0" wp14:anchorId="4234C940" wp14:editId="7E196DEB">
            <wp:extent cx="5400040" cy="4033765"/>
            <wp:effectExtent l="0" t="0" r="0" b="5080"/>
            <wp:docPr id="7" name="Imagen 7" descr="G:\hoy\2997\t03_299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oy\2997\t03_2997.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033765"/>
                    </a:xfrm>
                    <a:prstGeom prst="rect">
                      <a:avLst/>
                    </a:prstGeom>
                    <a:noFill/>
                    <a:ln>
                      <a:noFill/>
                    </a:ln>
                  </pic:spPr>
                </pic:pic>
              </a:graphicData>
            </a:graphic>
          </wp:inline>
        </w:drawing>
      </w:r>
      <w:bookmarkStart w:id="2" w:name="_GoBack"/>
      <w:bookmarkEnd w:id="2"/>
    </w:p>
    <w:p w:rsidR="0096637F" w:rsidRPr="0096637F" w:rsidRDefault="0096637F" w:rsidP="0096637F">
      <w:pPr>
        <w:spacing w:line="360" w:lineRule="auto"/>
        <w:jc w:val="center"/>
        <w:rPr>
          <w:sz w:val="16"/>
          <w:szCs w:val="16"/>
          <w:lang w:eastAsia="es-MX"/>
        </w:rPr>
      </w:pPr>
      <w:r w:rsidRPr="0096637F">
        <w:rPr>
          <w:bCs/>
          <w:sz w:val="16"/>
          <w:szCs w:val="16"/>
          <w:lang w:eastAsia="es-MX"/>
        </w:rPr>
        <w:t>Nota:</w:t>
      </w:r>
      <w:r w:rsidRPr="0096637F">
        <w:rPr>
          <w:b/>
          <w:sz w:val="16"/>
          <w:szCs w:val="16"/>
          <w:lang w:eastAsia="es-MX"/>
        </w:rPr>
        <w:t xml:space="preserve"> </w:t>
      </w:r>
      <w:r w:rsidRPr="0096637F">
        <w:rPr>
          <w:sz w:val="16"/>
          <w:szCs w:val="16"/>
          <w:lang w:eastAsia="es-MX"/>
        </w:rPr>
        <w:t>violencia interpersonal (VI), tránsito (TR), laborales (LAB), domésticos (DOM), agresión de animales (AA), complejo cigomático-maxilar (CCM).</w:t>
      </w:r>
    </w:p>
    <w:p w:rsidR="0096637F" w:rsidRPr="00572B55" w:rsidRDefault="0096637F" w:rsidP="0096637F">
      <w:pPr>
        <w:jc w:val="center"/>
        <w:rPr>
          <w:lang w:eastAsia="es-MX"/>
        </w:rPr>
      </w:pPr>
    </w:p>
    <w:p w:rsidR="0096637F" w:rsidRPr="0096637F" w:rsidRDefault="0096637F" w:rsidP="0096637F">
      <w:pPr>
        <w:spacing w:line="360" w:lineRule="auto"/>
        <w:jc w:val="both"/>
        <w:rPr>
          <w:lang w:eastAsia="es-MX"/>
        </w:rPr>
      </w:pPr>
      <w:r w:rsidRPr="0096637F">
        <w:rPr>
          <w:lang w:eastAsia="es-MX"/>
        </w:rPr>
        <w:t xml:space="preserve">Se diagnosticaron 151 trazos de fracturas con una media de 2,8 fracturas por paciente. En 2 casos concomitaron fracturas mandibulares y del complejo cigomático-maxilar. Un paciente tuvo fractura del complejo cigomático-maxilar y Le Fort I y otra combinación de fracturas Le Fort I y Le Fort II. Igual número de pacientes (n= 10) tuvieron fracturas en el ángulo mandibular e igual número en la </w:t>
      </w:r>
      <w:proofErr w:type="spellStart"/>
      <w:r w:rsidRPr="0096637F">
        <w:rPr>
          <w:lang w:eastAsia="es-MX"/>
        </w:rPr>
        <w:t>parasínfisis</w:t>
      </w:r>
      <w:proofErr w:type="spellEnd"/>
      <w:r w:rsidRPr="0096637F">
        <w:rPr>
          <w:lang w:eastAsia="es-MX"/>
        </w:rPr>
        <w:t>. Sucedió de forma similar con los pacientes afectados por fracturas en el cuerpo y cóndilo mandibular (n= 5). La sínfisis fue la localización menos afectada (n= 1).</w:t>
      </w:r>
    </w:p>
    <w:p w:rsidR="0096637F" w:rsidRPr="0096637F" w:rsidRDefault="0096637F" w:rsidP="0096637F">
      <w:pPr>
        <w:spacing w:line="360" w:lineRule="auto"/>
        <w:jc w:val="both"/>
        <w:rPr>
          <w:lang w:eastAsia="es-MX"/>
        </w:rPr>
      </w:pPr>
      <w:r w:rsidRPr="0096637F">
        <w:rPr>
          <w:lang w:eastAsia="es-MX"/>
        </w:rPr>
        <w:t xml:space="preserve">El 37,0 % (n= 20) de los pacientes se trataron mediante métodos conservadores. En 21 casos (38,9 %) la reducción fue cerrada y en 13 </w:t>
      </w:r>
      <w:proofErr w:type="gramStart"/>
      <w:r w:rsidRPr="0096637F">
        <w:rPr>
          <w:lang w:eastAsia="es-MX"/>
        </w:rPr>
        <w:t>abierta</w:t>
      </w:r>
      <w:proofErr w:type="gramEnd"/>
      <w:r w:rsidRPr="0096637F">
        <w:rPr>
          <w:lang w:eastAsia="es-MX"/>
        </w:rPr>
        <w:t xml:space="preserve"> (24,1 %). Las fracturas del complejo cigomático-maxilar fueron </w:t>
      </w:r>
      <w:r w:rsidRPr="0096637F">
        <w:rPr>
          <w:lang w:eastAsia="es-MX"/>
        </w:rPr>
        <w:lastRenderedPageBreak/>
        <w:t>tratadas en mayor medida de forma conservadora (50 %), mientras que la reducción cerrada (57,1 %) fue la modalidad terapéutica más utilizada en las fracturas mandibulares (Fig. 1).</w:t>
      </w:r>
    </w:p>
    <w:p w:rsidR="0096637F" w:rsidRPr="0096637F" w:rsidRDefault="00572B55" w:rsidP="0096637F">
      <w:pPr>
        <w:spacing w:line="360" w:lineRule="auto"/>
        <w:jc w:val="center"/>
        <w:rPr>
          <w:b/>
          <w:lang w:eastAsia="es-MX"/>
        </w:rPr>
      </w:pPr>
      <w:r>
        <w:rPr>
          <w:b/>
          <w:noProof/>
          <w:lang w:val="es-ES" w:eastAsia="es-ES"/>
        </w:rPr>
        <w:drawing>
          <wp:inline distT="0" distB="0" distL="0" distR="0">
            <wp:extent cx="4835902" cy="2682815"/>
            <wp:effectExtent l="0" t="0" r="317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1_2997xml.jpg"/>
                    <pic:cNvPicPr/>
                  </pic:nvPicPr>
                  <pic:blipFill>
                    <a:blip r:embed="rId14">
                      <a:extLst>
                        <a:ext uri="{28A0092B-C50C-407E-A947-70E740481C1C}">
                          <a14:useLocalDpi xmlns:a14="http://schemas.microsoft.com/office/drawing/2010/main" val="0"/>
                        </a:ext>
                      </a:extLst>
                    </a:blip>
                    <a:stretch>
                      <a:fillRect/>
                    </a:stretch>
                  </pic:blipFill>
                  <pic:spPr>
                    <a:xfrm>
                      <a:off x="0" y="0"/>
                      <a:ext cx="4851905" cy="2691693"/>
                    </a:xfrm>
                    <a:prstGeom prst="rect">
                      <a:avLst/>
                    </a:prstGeom>
                  </pic:spPr>
                </pic:pic>
              </a:graphicData>
            </a:graphic>
          </wp:inline>
        </w:drawing>
      </w:r>
    </w:p>
    <w:p w:rsidR="0096637F" w:rsidRPr="0096637F" w:rsidRDefault="0096637F" w:rsidP="0096637F">
      <w:pPr>
        <w:spacing w:line="360" w:lineRule="auto"/>
        <w:jc w:val="center"/>
        <w:rPr>
          <w:sz w:val="22"/>
          <w:szCs w:val="22"/>
          <w:lang w:eastAsia="es-MX"/>
        </w:rPr>
      </w:pPr>
      <w:r w:rsidRPr="0096637F">
        <w:rPr>
          <w:b/>
          <w:sz w:val="22"/>
          <w:szCs w:val="22"/>
          <w:lang w:eastAsia="es-MX"/>
        </w:rPr>
        <w:t xml:space="preserve">Fig. 1 </w:t>
      </w:r>
      <w:r w:rsidRPr="0096637F">
        <w:rPr>
          <w:sz w:val="22"/>
          <w:szCs w:val="22"/>
          <w:lang w:eastAsia="es-MX"/>
        </w:rPr>
        <w:t>- Distribución de los pacientes según tipos de fracturas y tratamientos.</w:t>
      </w:r>
    </w:p>
    <w:p w:rsidR="00591072" w:rsidRDefault="00591072" w:rsidP="0096637F">
      <w:pPr>
        <w:spacing w:line="360" w:lineRule="auto"/>
        <w:jc w:val="both"/>
        <w:rPr>
          <w:lang w:eastAsia="es-MX"/>
        </w:rPr>
      </w:pPr>
    </w:p>
    <w:p w:rsidR="0096637F" w:rsidRPr="0096637F" w:rsidRDefault="0096637F" w:rsidP="0096637F">
      <w:pPr>
        <w:spacing w:line="360" w:lineRule="auto"/>
        <w:jc w:val="both"/>
        <w:rPr>
          <w:lang w:eastAsia="es-MX"/>
        </w:rPr>
      </w:pPr>
      <w:r w:rsidRPr="0096637F">
        <w:rPr>
          <w:lang w:eastAsia="es-MX"/>
        </w:rPr>
        <w:t>Según los días de la semana, los pacientes se distribuyen como sigue: lunes (n= 9; 16,7 %), martes (n= 4; 7,4 %), miércoles (n=4; 7,4 %), jueves (n= 2; 22,2 %), viernes (n= 8; 14,8 %), sábado (n= 8; 14,8 %) y domingo (n= 9; 16,7 %). El promedio mensual de pacientes fue de 5, con un mínimo de 1 y un máximo de 10, registrados en julio y octubre por ese orden. La distribución mensual es la siguiente: enero (n= 7; 12,7 %), febrero (n= 6; 11,1 %), marzo (n= 2; 3,7 %), abril (n= 7; 12,7 %), mayo (n= 4; 7,5 %), junio (n= 2; 3,7 %), julio (n= 1; 1,9 %), agosto (n= 3; 5,6 %), septiembre (n= 3; 5,6 %), octubre (n= 10; 18,5</w:t>
      </w:r>
      <w:r w:rsidR="00DF1580">
        <w:rPr>
          <w:lang w:eastAsia="es-MX"/>
        </w:rPr>
        <w:t> </w:t>
      </w:r>
      <w:r w:rsidRPr="0096637F">
        <w:rPr>
          <w:lang w:eastAsia="es-MX"/>
        </w:rPr>
        <w:t>%), noviembre (n= 6; 11,1 %) y diciembre (n= 3; 5,6 %).</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center"/>
        <w:rPr>
          <w:b/>
          <w:sz w:val="32"/>
          <w:szCs w:val="32"/>
          <w:lang w:eastAsia="es-MX"/>
        </w:rPr>
      </w:pPr>
    </w:p>
    <w:p w:rsidR="0096637F" w:rsidRPr="0096637F" w:rsidRDefault="0096637F" w:rsidP="0096637F">
      <w:pPr>
        <w:spacing w:line="360" w:lineRule="auto"/>
        <w:jc w:val="center"/>
        <w:rPr>
          <w:b/>
          <w:sz w:val="32"/>
          <w:szCs w:val="32"/>
          <w:lang w:eastAsia="es-MX"/>
        </w:rPr>
      </w:pPr>
      <w:r w:rsidRPr="0096637F">
        <w:rPr>
          <w:b/>
          <w:sz w:val="32"/>
          <w:szCs w:val="32"/>
          <w:lang w:eastAsia="es-MX"/>
        </w:rPr>
        <w:t>DISCUSIÓN</w:t>
      </w:r>
    </w:p>
    <w:p w:rsidR="0096637F" w:rsidRPr="0096637F" w:rsidRDefault="0096637F" w:rsidP="0096637F">
      <w:pPr>
        <w:spacing w:line="360" w:lineRule="auto"/>
        <w:jc w:val="both"/>
        <w:rPr>
          <w:szCs w:val="22"/>
          <w:lang w:eastAsia="es-ES"/>
        </w:rPr>
      </w:pPr>
      <w:r w:rsidRPr="0096637F">
        <w:rPr>
          <w:szCs w:val="22"/>
          <w:lang w:eastAsia="es-ES"/>
        </w:rPr>
        <w:t xml:space="preserve">Es oportuno analizar la cantidad de pacientes incluidos en este estudio, enmarcado en el contexto de la COVID-19.  A pesar de que no se midió la cantidad de estos, respecto a algún periodo </w:t>
      </w:r>
      <w:proofErr w:type="spellStart"/>
      <w:r w:rsidRPr="0096637F">
        <w:rPr>
          <w:szCs w:val="22"/>
          <w:lang w:eastAsia="es-ES"/>
        </w:rPr>
        <w:t>prepandémico</w:t>
      </w:r>
      <w:proofErr w:type="spellEnd"/>
      <w:r w:rsidRPr="0096637F">
        <w:rPr>
          <w:szCs w:val="22"/>
          <w:lang w:eastAsia="es-ES"/>
        </w:rPr>
        <w:t xml:space="preserve">, es llamativo el reducido número total. </w:t>
      </w:r>
      <w:proofErr w:type="spellStart"/>
      <w:r w:rsidRPr="0096637F">
        <w:rPr>
          <w:i/>
          <w:szCs w:val="22"/>
          <w:lang w:eastAsia="es-ES"/>
        </w:rPr>
        <w:t>Boutray</w:t>
      </w:r>
      <w:proofErr w:type="spellEnd"/>
      <w:r w:rsidRPr="0096637F">
        <w:rPr>
          <w:i/>
          <w:szCs w:val="22"/>
          <w:lang w:eastAsia="es-ES"/>
        </w:rPr>
        <w:t xml:space="preserve"> </w:t>
      </w:r>
      <w:r w:rsidRPr="0096637F">
        <w:rPr>
          <w:szCs w:val="22"/>
          <w:lang w:eastAsia="es-ES"/>
        </w:rPr>
        <w:t xml:space="preserve">y </w:t>
      </w:r>
      <w:proofErr w:type="gramStart"/>
      <w:r w:rsidRPr="0096637F">
        <w:rPr>
          <w:szCs w:val="22"/>
          <w:lang w:eastAsia="es-ES"/>
        </w:rPr>
        <w:t>otros</w:t>
      </w:r>
      <w:r w:rsidRPr="0096637F">
        <w:rPr>
          <w:szCs w:val="22"/>
          <w:vertAlign w:val="superscript"/>
          <w:lang w:eastAsia="es-ES"/>
        </w:rPr>
        <w:t>(</w:t>
      </w:r>
      <w:proofErr w:type="gramEnd"/>
      <w:r w:rsidRPr="0096637F">
        <w:rPr>
          <w:szCs w:val="22"/>
          <w:vertAlign w:val="superscript"/>
          <w:lang w:eastAsia="es-ES"/>
        </w:rPr>
        <w:t xml:space="preserve">5) </w:t>
      </w:r>
      <w:r w:rsidRPr="0096637F">
        <w:rPr>
          <w:szCs w:val="22"/>
          <w:lang w:eastAsia="es-ES"/>
        </w:rPr>
        <w:t xml:space="preserve">realizaron una investigación </w:t>
      </w:r>
      <w:proofErr w:type="spellStart"/>
      <w:r w:rsidRPr="0096637F">
        <w:rPr>
          <w:szCs w:val="22"/>
          <w:lang w:eastAsia="es-ES"/>
        </w:rPr>
        <w:t>multicéntrica</w:t>
      </w:r>
      <w:proofErr w:type="spellEnd"/>
      <w:r w:rsidRPr="0096637F">
        <w:rPr>
          <w:szCs w:val="22"/>
          <w:lang w:eastAsia="es-ES"/>
        </w:rPr>
        <w:t xml:space="preserve"> en </w:t>
      </w:r>
      <w:r w:rsidRPr="0096637F">
        <w:rPr>
          <w:szCs w:val="22"/>
          <w:lang w:eastAsia="es-ES"/>
        </w:rPr>
        <w:lastRenderedPageBreak/>
        <w:t>Francia, para evaluar la disminución de los traumatismos maxilofaciales durante el brote de la COVID</w:t>
      </w:r>
      <w:r w:rsidR="00AC763C">
        <w:rPr>
          <w:szCs w:val="22"/>
          <w:lang w:eastAsia="es-ES"/>
        </w:rPr>
        <w:noBreakHyphen/>
      </w:r>
      <w:r w:rsidRPr="0096637F">
        <w:rPr>
          <w:color w:val="000000"/>
          <w:szCs w:val="22"/>
          <w:lang w:eastAsia="es-ES"/>
        </w:rPr>
        <w:t xml:space="preserve">19 </w:t>
      </w:r>
      <w:r w:rsidRPr="0096637F">
        <w:rPr>
          <w:szCs w:val="22"/>
          <w:lang w:eastAsia="es-ES"/>
        </w:rPr>
        <w:t>y observaron una disminución significativa en los volúmenes de trauma maxilofacial, en comparación con períodos equivalentes en 2018 y 2019. Similares resultados se reportaron en Alemania</w:t>
      </w:r>
      <w:proofErr w:type="gramStart"/>
      <w:r w:rsidRPr="0096637F">
        <w:rPr>
          <w:szCs w:val="22"/>
          <w:lang w:eastAsia="es-ES"/>
        </w:rPr>
        <w:t>,</w:t>
      </w:r>
      <w:r w:rsidRPr="0096637F">
        <w:rPr>
          <w:szCs w:val="22"/>
          <w:vertAlign w:val="superscript"/>
          <w:lang w:eastAsia="es-ES"/>
        </w:rPr>
        <w:t>(</w:t>
      </w:r>
      <w:proofErr w:type="gramEnd"/>
      <w:r w:rsidRPr="0096637F">
        <w:rPr>
          <w:szCs w:val="22"/>
          <w:vertAlign w:val="superscript"/>
          <w:lang w:eastAsia="es-ES"/>
        </w:rPr>
        <w:t xml:space="preserve">6) </w:t>
      </w:r>
      <w:r w:rsidRPr="0096637F">
        <w:rPr>
          <w:szCs w:val="22"/>
          <w:lang w:eastAsia="es-ES"/>
        </w:rPr>
        <w:t>Australia,</w:t>
      </w:r>
      <w:r w:rsidRPr="0096637F">
        <w:rPr>
          <w:szCs w:val="22"/>
          <w:vertAlign w:val="superscript"/>
          <w:lang w:eastAsia="es-ES"/>
        </w:rPr>
        <w:t>(7)</w:t>
      </w:r>
      <w:r w:rsidRPr="0096637F">
        <w:rPr>
          <w:szCs w:val="22"/>
          <w:lang w:eastAsia="es-ES"/>
        </w:rPr>
        <w:t xml:space="preserve"> India,</w:t>
      </w:r>
      <w:r w:rsidRPr="0096637F">
        <w:rPr>
          <w:szCs w:val="22"/>
          <w:vertAlign w:val="superscript"/>
          <w:lang w:eastAsia="es-ES"/>
        </w:rPr>
        <w:t>(11)</w:t>
      </w:r>
      <w:r w:rsidRPr="0096637F">
        <w:rPr>
          <w:szCs w:val="22"/>
          <w:lang w:eastAsia="es-ES"/>
        </w:rPr>
        <w:t xml:space="preserve"> Reino Unido</w:t>
      </w:r>
      <w:r w:rsidRPr="0096637F">
        <w:rPr>
          <w:szCs w:val="22"/>
          <w:vertAlign w:val="superscript"/>
          <w:lang w:eastAsia="es-ES"/>
        </w:rPr>
        <w:t>(20)</w:t>
      </w:r>
      <w:r w:rsidRPr="0096637F">
        <w:rPr>
          <w:szCs w:val="22"/>
          <w:lang w:eastAsia="es-ES"/>
        </w:rPr>
        <w:t xml:space="preserve"> y en el estudio cubano referenciado;</w:t>
      </w:r>
      <w:r w:rsidRPr="0096637F">
        <w:rPr>
          <w:szCs w:val="22"/>
          <w:vertAlign w:val="superscript"/>
          <w:lang w:eastAsia="es-ES"/>
        </w:rPr>
        <w:t>(31)</w:t>
      </w:r>
      <w:r w:rsidRPr="0096637F">
        <w:rPr>
          <w:szCs w:val="22"/>
          <w:lang w:eastAsia="es-ES"/>
        </w:rPr>
        <w:t xml:space="preserve"> sin embargo, otras investigaciones</w:t>
      </w:r>
      <w:r w:rsidRPr="0096637F">
        <w:rPr>
          <w:color w:val="000000"/>
          <w:szCs w:val="22"/>
          <w:vertAlign w:val="superscript"/>
          <w:lang w:eastAsia="es-ES"/>
        </w:rPr>
        <w:t>(9,12)</w:t>
      </w:r>
      <w:r w:rsidRPr="0096637F">
        <w:rPr>
          <w:color w:val="000000"/>
          <w:szCs w:val="22"/>
          <w:lang w:eastAsia="es-ES"/>
        </w:rPr>
        <w:t xml:space="preserve"> reportan que el número de casos durante el período de restricción por la </w:t>
      </w:r>
      <w:r w:rsidRPr="0096637F">
        <w:rPr>
          <w:szCs w:val="22"/>
          <w:lang w:eastAsia="es-ES"/>
        </w:rPr>
        <w:t>COVID</w:t>
      </w:r>
      <w:r w:rsidRPr="0096637F">
        <w:rPr>
          <w:color w:val="000000"/>
          <w:szCs w:val="22"/>
          <w:lang w:eastAsia="es-ES"/>
        </w:rPr>
        <w:t>-19 no difiere mucho de años anteriores</w:t>
      </w:r>
      <w:r w:rsidRPr="0096637F">
        <w:rPr>
          <w:szCs w:val="22"/>
          <w:lang w:eastAsia="es-ES"/>
        </w:rPr>
        <w:t>.</w:t>
      </w:r>
    </w:p>
    <w:p w:rsidR="0096637F" w:rsidRPr="0096637F" w:rsidRDefault="0096637F" w:rsidP="0096637F">
      <w:pPr>
        <w:spacing w:line="360" w:lineRule="auto"/>
        <w:jc w:val="both"/>
        <w:rPr>
          <w:szCs w:val="22"/>
          <w:lang w:eastAsia="es-ES"/>
        </w:rPr>
      </w:pPr>
      <w:r w:rsidRPr="0096637F">
        <w:rPr>
          <w:szCs w:val="22"/>
          <w:lang w:eastAsia="es-ES"/>
        </w:rPr>
        <w:t xml:space="preserve">Al analizar el comportamiento de la edad, se encuentran cifras similares a </w:t>
      </w:r>
      <w:proofErr w:type="spellStart"/>
      <w:r w:rsidRPr="0096637F">
        <w:rPr>
          <w:i/>
          <w:szCs w:val="22"/>
          <w:lang w:eastAsia="es-ES"/>
        </w:rPr>
        <w:t>Thiem</w:t>
      </w:r>
      <w:proofErr w:type="spellEnd"/>
      <w:r w:rsidRPr="0096637F">
        <w:rPr>
          <w:i/>
          <w:szCs w:val="22"/>
          <w:lang w:eastAsia="es-ES"/>
        </w:rPr>
        <w:t xml:space="preserve"> </w:t>
      </w:r>
      <w:r w:rsidRPr="0096637F">
        <w:rPr>
          <w:szCs w:val="22"/>
          <w:lang w:eastAsia="es-ES"/>
        </w:rPr>
        <w:t>y otros</w:t>
      </w:r>
      <w:proofErr w:type="gramStart"/>
      <w:r w:rsidRPr="0096637F">
        <w:rPr>
          <w:szCs w:val="22"/>
          <w:lang w:eastAsia="es-ES"/>
        </w:rPr>
        <w:t>,</w:t>
      </w:r>
      <w:r w:rsidRPr="0096637F">
        <w:rPr>
          <w:szCs w:val="22"/>
          <w:vertAlign w:val="superscript"/>
          <w:lang w:eastAsia="es-ES"/>
        </w:rPr>
        <w:t>(</w:t>
      </w:r>
      <w:proofErr w:type="gramEnd"/>
      <w:r w:rsidRPr="0096637F">
        <w:rPr>
          <w:szCs w:val="22"/>
          <w:vertAlign w:val="superscript"/>
          <w:lang w:eastAsia="es-ES"/>
        </w:rPr>
        <w:t>6)</w:t>
      </w:r>
      <w:r w:rsidRPr="0096637F">
        <w:rPr>
          <w:szCs w:val="22"/>
          <w:lang w:eastAsia="es-ES"/>
        </w:rPr>
        <w:t xml:space="preserve"> quienes analizan los datos epidemiológicos de un hospital universitario alemán en 2019 y 2020; s</w:t>
      </w:r>
      <w:r w:rsidRPr="0096637F">
        <w:rPr>
          <w:bCs/>
          <w:szCs w:val="22"/>
          <w:lang w:eastAsia="es-ES"/>
        </w:rPr>
        <w:t xml:space="preserve">in embargo, </w:t>
      </w:r>
      <w:proofErr w:type="spellStart"/>
      <w:r w:rsidRPr="0096637F">
        <w:rPr>
          <w:i/>
          <w:szCs w:val="22"/>
          <w:lang w:eastAsia="es-ES"/>
        </w:rPr>
        <w:t>Yu-Ting</w:t>
      </w:r>
      <w:proofErr w:type="spellEnd"/>
      <w:r w:rsidRPr="0096637F">
        <w:rPr>
          <w:i/>
          <w:szCs w:val="22"/>
          <w:lang w:eastAsia="es-ES"/>
        </w:rPr>
        <w:t xml:space="preserve"> </w:t>
      </w:r>
      <w:r w:rsidRPr="0096637F">
        <w:rPr>
          <w:szCs w:val="22"/>
          <w:lang w:eastAsia="es-ES"/>
        </w:rPr>
        <w:t>y otros</w:t>
      </w:r>
      <w:r w:rsidRPr="0096637F">
        <w:rPr>
          <w:szCs w:val="22"/>
          <w:vertAlign w:val="superscript"/>
          <w:lang w:eastAsia="es-ES"/>
        </w:rPr>
        <w:t>(8)</w:t>
      </w:r>
      <w:r w:rsidRPr="0096637F">
        <w:rPr>
          <w:szCs w:val="22"/>
          <w:lang w:eastAsia="es-ES"/>
        </w:rPr>
        <w:t xml:space="preserve"> encuentran una edad media inferior y consideran que las características de las lesiones maxilofaciales pueden atribuirse a los diferentes roles sociales que desempeña cada grupo de edad. Los pacientes entre 20 y 59 años, coinciden con el rango de edades más afectado en este estudio, tienen más probabilidades de estar expuestos a riesgos y lesiones, porque tienden a estar más involucrados en actividades laborales y sociales.</w:t>
      </w:r>
    </w:p>
    <w:p w:rsidR="0096637F" w:rsidRPr="0096637F" w:rsidRDefault="0096637F" w:rsidP="0096637F">
      <w:pPr>
        <w:spacing w:line="360" w:lineRule="auto"/>
        <w:jc w:val="both"/>
        <w:rPr>
          <w:lang w:eastAsia="es-MX"/>
        </w:rPr>
      </w:pPr>
      <w:r w:rsidRPr="0096637F">
        <w:rPr>
          <w:lang w:eastAsia="es-ES"/>
        </w:rPr>
        <w:t>La mayor frecuencia de pacientes del sexo masculino, coincide con lo observado por varios estudios.</w:t>
      </w:r>
      <w:r w:rsidRPr="0096637F">
        <w:rPr>
          <w:vertAlign w:val="superscript"/>
          <w:lang w:eastAsia="es-MX"/>
        </w:rPr>
        <w:t>(22,23,26,31)</w:t>
      </w:r>
      <w:r w:rsidRPr="0096637F">
        <w:rPr>
          <w:lang w:eastAsia="es-MX"/>
        </w:rPr>
        <w:t xml:space="preserve"> </w:t>
      </w:r>
      <w:r w:rsidRPr="0096637F">
        <w:rPr>
          <w:i/>
          <w:lang w:eastAsia="es-MX"/>
        </w:rPr>
        <w:t>Dong-</w:t>
      </w:r>
      <w:proofErr w:type="spellStart"/>
      <w:r w:rsidRPr="0096637F">
        <w:rPr>
          <w:i/>
          <w:lang w:eastAsia="es-MX"/>
        </w:rPr>
        <w:t>Woo</w:t>
      </w:r>
      <w:proofErr w:type="spellEnd"/>
      <w:r w:rsidRPr="0096637F">
        <w:rPr>
          <w:i/>
          <w:lang w:eastAsia="es-MX"/>
        </w:rPr>
        <w:t xml:space="preserve"> </w:t>
      </w:r>
      <w:r w:rsidRPr="0096637F">
        <w:rPr>
          <w:szCs w:val="22"/>
          <w:lang w:eastAsia="es-MX"/>
        </w:rPr>
        <w:t>y otros</w:t>
      </w:r>
      <w:r w:rsidRPr="0096637F">
        <w:rPr>
          <w:vertAlign w:val="superscript"/>
          <w:lang w:eastAsia="es-MX"/>
        </w:rPr>
        <w:t xml:space="preserve">(21) </w:t>
      </w:r>
      <w:r w:rsidRPr="0096637F">
        <w:rPr>
          <w:lang w:eastAsia="es-MX"/>
        </w:rPr>
        <w:t xml:space="preserve">analizan el impacto de la COVID-19 en </w:t>
      </w:r>
      <w:proofErr w:type="spellStart"/>
      <w:r w:rsidRPr="0096637F">
        <w:rPr>
          <w:lang w:eastAsia="es-MX"/>
        </w:rPr>
        <w:t>Daegu</w:t>
      </w:r>
      <w:proofErr w:type="spellEnd"/>
      <w:r w:rsidRPr="0096637F">
        <w:rPr>
          <w:lang w:eastAsia="es-MX"/>
        </w:rPr>
        <w:t xml:space="preserve">, Corea del Sur y exponen que la distribución por sexo fue de 73,52 % hombres y 26,48 % mujeres en 2019; y 75,77 % hombres y 24,23 % mujeres en 2020, lo que amplía la diferencia de la proporción entre sexos, con una disminución de la cifra de pacientes femeninas. No obstante, </w:t>
      </w:r>
      <w:proofErr w:type="spellStart"/>
      <w:r w:rsidRPr="0096637F">
        <w:rPr>
          <w:i/>
          <w:lang w:eastAsia="es-MX"/>
        </w:rPr>
        <w:t>Nhongo</w:t>
      </w:r>
      <w:proofErr w:type="spellEnd"/>
      <w:r w:rsidRPr="0096637F">
        <w:rPr>
          <w:i/>
          <w:lang w:eastAsia="es-MX"/>
        </w:rPr>
        <w:t xml:space="preserve">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7)</w:t>
      </w:r>
      <w:r w:rsidRPr="0096637F">
        <w:rPr>
          <w:lang w:eastAsia="es-MX"/>
        </w:rPr>
        <w:t xml:space="preserve"> </w:t>
      </w:r>
      <w:r w:rsidRPr="0096637F">
        <w:rPr>
          <w:lang w:eastAsia="es-ES"/>
        </w:rPr>
        <w:t xml:space="preserve">observaron </w:t>
      </w:r>
      <w:r w:rsidRPr="0096637F">
        <w:rPr>
          <w:lang w:eastAsia="es-MX"/>
        </w:rPr>
        <w:t>durante el</w:t>
      </w:r>
      <w:r w:rsidRPr="0096637F">
        <w:rPr>
          <w:lang w:eastAsia="es-ES"/>
        </w:rPr>
        <w:t xml:space="preserve"> confinamiento, un aumento en la proporción de pacientes mujeres, lo cual es </w:t>
      </w:r>
      <w:proofErr w:type="spellStart"/>
      <w:r w:rsidRPr="0096637F">
        <w:rPr>
          <w:lang w:eastAsia="es-ES"/>
        </w:rPr>
        <w:t>similiar</w:t>
      </w:r>
      <w:proofErr w:type="spellEnd"/>
      <w:r w:rsidRPr="0096637F">
        <w:rPr>
          <w:lang w:eastAsia="es-ES"/>
        </w:rPr>
        <w:t xml:space="preserve"> a lo encontrado por </w:t>
      </w:r>
      <w:proofErr w:type="spellStart"/>
      <w:r w:rsidRPr="0096637F">
        <w:rPr>
          <w:i/>
          <w:lang w:eastAsia="es-MX"/>
        </w:rPr>
        <w:t>Shihadeh</w:t>
      </w:r>
      <w:proofErr w:type="spellEnd"/>
      <w:r w:rsidRPr="0096637F">
        <w:rPr>
          <w:i/>
          <w:lang w:eastAsia="es-MX"/>
        </w:rPr>
        <w:t xml:space="preserve"> </w:t>
      </w:r>
      <w:r w:rsidRPr="0096637F">
        <w:rPr>
          <w:szCs w:val="22"/>
          <w:lang w:eastAsia="es-MX"/>
        </w:rPr>
        <w:t>y otros</w:t>
      </w:r>
      <w:r w:rsidRPr="0096637F">
        <w:rPr>
          <w:lang w:eastAsia="es-MX"/>
        </w:rPr>
        <w:t>.</w:t>
      </w:r>
      <w:r w:rsidRPr="0096637F">
        <w:rPr>
          <w:vertAlign w:val="superscript"/>
          <w:lang w:eastAsia="es-MX"/>
        </w:rPr>
        <w:t>(27)</w:t>
      </w:r>
    </w:p>
    <w:p w:rsidR="0096637F" w:rsidRPr="0096637F" w:rsidRDefault="0096637F" w:rsidP="0096637F">
      <w:pPr>
        <w:spacing w:line="360" w:lineRule="auto"/>
        <w:jc w:val="both"/>
        <w:rPr>
          <w:highlight w:val="yellow"/>
          <w:vertAlign w:val="superscript"/>
          <w:lang w:eastAsia="es-MX"/>
        </w:rPr>
      </w:pPr>
      <w:r w:rsidRPr="0096637F">
        <w:rPr>
          <w:color w:val="000000"/>
          <w:lang w:eastAsia="es-ES"/>
        </w:rPr>
        <w:t xml:space="preserve">El tipo de fractura es una variable de importancia en la caracterización de estos traumas. Se coincide con </w:t>
      </w:r>
      <w:r w:rsidRPr="0096637F">
        <w:rPr>
          <w:bCs/>
          <w:i/>
          <w:lang w:eastAsia="es-ES"/>
        </w:rPr>
        <w:t xml:space="preserve">Ludwig </w:t>
      </w:r>
      <w:r w:rsidRPr="0096637F">
        <w:rPr>
          <w:szCs w:val="22"/>
          <w:lang w:eastAsia="es-MX"/>
        </w:rPr>
        <w:t>y otros</w:t>
      </w:r>
      <w:proofErr w:type="gramStart"/>
      <w:r w:rsidRPr="0096637F">
        <w:rPr>
          <w:szCs w:val="22"/>
          <w:lang w:eastAsia="es-MX"/>
        </w:rPr>
        <w:t>,</w:t>
      </w:r>
      <w:r w:rsidRPr="0096637F">
        <w:rPr>
          <w:bCs/>
          <w:vertAlign w:val="superscript"/>
          <w:lang w:eastAsia="es-ES"/>
        </w:rPr>
        <w:t>(</w:t>
      </w:r>
      <w:proofErr w:type="gramEnd"/>
      <w:r w:rsidRPr="0096637F">
        <w:rPr>
          <w:bCs/>
          <w:vertAlign w:val="superscript"/>
          <w:lang w:eastAsia="es-ES"/>
        </w:rPr>
        <w:t xml:space="preserve">26) </w:t>
      </w:r>
      <w:r w:rsidRPr="0096637F">
        <w:rPr>
          <w:bCs/>
          <w:color w:val="000000"/>
          <w:lang w:eastAsia="es-ES"/>
        </w:rPr>
        <w:t xml:space="preserve">quienes realizaron un estudio </w:t>
      </w:r>
      <w:r w:rsidRPr="0096637F">
        <w:rPr>
          <w:bCs/>
          <w:lang w:eastAsia="es-ES"/>
        </w:rPr>
        <w:t>en un centro traumatológico urbano de nivel I en los EE.</w:t>
      </w:r>
      <w:r w:rsidR="00003541">
        <w:rPr>
          <w:bCs/>
          <w:lang w:eastAsia="es-ES"/>
        </w:rPr>
        <w:t> </w:t>
      </w:r>
      <w:r w:rsidRPr="0096637F">
        <w:rPr>
          <w:bCs/>
          <w:lang w:eastAsia="es-ES"/>
        </w:rPr>
        <w:t xml:space="preserve">UU. </w:t>
      </w:r>
      <w:proofErr w:type="gramStart"/>
      <w:r w:rsidRPr="0096637F">
        <w:rPr>
          <w:bCs/>
          <w:lang w:eastAsia="es-ES"/>
        </w:rPr>
        <w:t>y</w:t>
      </w:r>
      <w:proofErr w:type="gramEnd"/>
      <w:r w:rsidRPr="0096637F">
        <w:rPr>
          <w:bCs/>
          <w:lang w:eastAsia="es-ES"/>
        </w:rPr>
        <w:t xml:space="preserve"> encontraron que l</w:t>
      </w:r>
      <w:r w:rsidRPr="0096637F">
        <w:rPr>
          <w:lang w:eastAsia="es-MX"/>
        </w:rPr>
        <w:t>as lesiones más comunes fueron las fracturas del complejo cigomático-maxilar; sin embargo, se difiere de lo reportado en otros estudios.</w:t>
      </w:r>
      <w:r w:rsidRPr="0096637F">
        <w:rPr>
          <w:vertAlign w:val="superscript"/>
          <w:lang w:eastAsia="es-MX"/>
        </w:rPr>
        <w:t>(20,22,24)</w:t>
      </w:r>
      <w:r w:rsidRPr="0096637F">
        <w:rPr>
          <w:lang w:eastAsia="es-MX"/>
        </w:rPr>
        <w:t xml:space="preserve"> </w:t>
      </w:r>
      <w:proofErr w:type="spellStart"/>
      <w:r w:rsidRPr="0096637F">
        <w:rPr>
          <w:i/>
          <w:lang w:eastAsia="es-ES"/>
        </w:rPr>
        <w:t>Nhongo</w:t>
      </w:r>
      <w:proofErr w:type="spellEnd"/>
      <w:r w:rsidRPr="0096637F">
        <w:rPr>
          <w:i/>
          <w:lang w:eastAsia="es-ES"/>
        </w:rPr>
        <w:t xml:space="preserve"> </w:t>
      </w:r>
      <w:r w:rsidRPr="0096637F">
        <w:rPr>
          <w:szCs w:val="22"/>
          <w:lang w:eastAsia="es-MX"/>
        </w:rPr>
        <w:t>y otros</w:t>
      </w:r>
      <w:r w:rsidRPr="0096637F">
        <w:rPr>
          <w:vertAlign w:val="superscript"/>
          <w:lang w:eastAsia="es-ES"/>
        </w:rPr>
        <w:t>(7)</w:t>
      </w:r>
      <w:r w:rsidRPr="0096637F">
        <w:rPr>
          <w:lang w:eastAsia="es-ES"/>
        </w:rPr>
        <w:t xml:space="preserve"> reportan un predominio de las fracturas de órbita, seguidas de las del complejo cigomático y de las mandibulares</w:t>
      </w:r>
      <w:r w:rsidRPr="0096637F">
        <w:rPr>
          <w:bCs/>
          <w:lang w:eastAsia="es-ES"/>
        </w:rPr>
        <w:t xml:space="preserve">. </w:t>
      </w:r>
      <w:r w:rsidRPr="0096637F">
        <w:rPr>
          <w:i/>
          <w:lang w:eastAsia="es-MX"/>
        </w:rPr>
        <w:t xml:space="preserve">Philip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12)</w:t>
      </w:r>
      <w:r w:rsidRPr="0096637F">
        <w:rPr>
          <w:lang w:eastAsia="es-MX"/>
        </w:rPr>
        <w:t xml:space="preserve"> en la India comunican que las fracturas del hueso frontal, del hueso nasal y del complejo cigomático-maxilar ocurrieron más en el período de tiempo de la COVID-19. Se concuerda con </w:t>
      </w:r>
      <w:proofErr w:type="spellStart"/>
      <w:r w:rsidRPr="0096637F">
        <w:rPr>
          <w:i/>
          <w:lang w:eastAsia="es-MX"/>
        </w:rPr>
        <w:t>Ismail</w:t>
      </w:r>
      <w:proofErr w:type="spellEnd"/>
      <w:r w:rsidRPr="0096637F">
        <w:rPr>
          <w:i/>
          <w:lang w:eastAsia="es-MX"/>
        </w:rPr>
        <w:t xml:space="preserve"> </w:t>
      </w:r>
      <w:r w:rsidRPr="0096637F">
        <w:rPr>
          <w:szCs w:val="22"/>
          <w:lang w:eastAsia="es-MX"/>
        </w:rPr>
        <w:t>y otros</w:t>
      </w:r>
      <w:proofErr w:type="gramStart"/>
      <w:r w:rsidRPr="0096637F">
        <w:rPr>
          <w:szCs w:val="22"/>
          <w:lang w:eastAsia="es-MX"/>
        </w:rPr>
        <w:t>,</w:t>
      </w:r>
      <w:r w:rsidRPr="0096637F">
        <w:rPr>
          <w:vertAlign w:val="superscript"/>
          <w:lang w:eastAsia="es-MX"/>
        </w:rPr>
        <w:t>(</w:t>
      </w:r>
      <w:proofErr w:type="gramEnd"/>
      <w:r w:rsidRPr="0096637F">
        <w:rPr>
          <w:vertAlign w:val="superscript"/>
          <w:lang w:eastAsia="es-MX"/>
        </w:rPr>
        <w:t>11)</w:t>
      </w:r>
      <w:r w:rsidRPr="0096637F">
        <w:rPr>
          <w:lang w:eastAsia="es-MX"/>
        </w:rPr>
        <w:t xml:space="preserve"> quienes hallaron que la fractura </w:t>
      </w:r>
      <w:proofErr w:type="spellStart"/>
      <w:r w:rsidRPr="0096637F">
        <w:rPr>
          <w:lang w:eastAsia="es-MX"/>
        </w:rPr>
        <w:t>panfacial</w:t>
      </w:r>
      <w:proofErr w:type="spellEnd"/>
      <w:r w:rsidRPr="0096637F">
        <w:rPr>
          <w:lang w:eastAsia="es-MX"/>
        </w:rPr>
        <w:t xml:space="preserve"> fue el tipo de lesión menos detectado.</w:t>
      </w:r>
    </w:p>
    <w:p w:rsidR="0096637F" w:rsidRPr="0096637F" w:rsidRDefault="0096637F" w:rsidP="0096637F">
      <w:pPr>
        <w:spacing w:line="360" w:lineRule="auto"/>
        <w:jc w:val="both"/>
        <w:rPr>
          <w:lang w:eastAsia="es-MX"/>
        </w:rPr>
      </w:pPr>
      <w:r w:rsidRPr="0096637F">
        <w:rPr>
          <w:lang w:eastAsia="es-MX"/>
        </w:rPr>
        <w:lastRenderedPageBreak/>
        <w:t xml:space="preserve">En relación con los trazos de fractura por paciente, </w:t>
      </w:r>
      <w:r w:rsidRPr="0096637F">
        <w:rPr>
          <w:bCs/>
          <w:i/>
          <w:lang w:eastAsia="es-ES"/>
        </w:rPr>
        <w:t xml:space="preserve">Ludwig </w:t>
      </w:r>
      <w:r w:rsidRPr="0096637F">
        <w:rPr>
          <w:szCs w:val="22"/>
          <w:lang w:eastAsia="es-MX"/>
        </w:rPr>
        <w:t>y otros</w:t>
      </w:r>
      <w:r w:rsidRPr="0096637F">
        <w:rPr>
          <w:bCs/>
          <w:vertAlign w:val="superscript"/>
          <w:lang w:eastAsia="es-ES"/>
        </w:rPr>
        <w:t xml:space="preserve">(26) </w:t>
      </w:r>
      <w:r w:rsidRPr="0096637F">
        <w:rPr>
          <w:bCs/>
          <w:color w:val="000000"/>
          <w:lang w:eastAsia="es-ES"/>
        </w:rPr>
        <w:t>reportan que l</w:t>
      </w:r>
      <w:r w:rsidRPr="0096637F">
        <w:rPr>
          <w:color w:val="000000"/>
          <w:lang w:eastAsia="es-MX"/>
        </w:rPr>
        <w:t xml:space="preserve">a </w:t>
      </w:r>
      <w:r w:rsidRPr="0096637F">
        <w:rPr>
          <w:lang w:eastAsia="es-MX"/>
        </w:rPr>
        <w:t>mayoría de los lesionados presentaron más de un trazo de fractura y la cantidad media de tipos de fracturas sufridas por un individuo, aumentó en la cohorte de 2020, en comparación con las cohortes de 2018 y 2019.</w:t>
      </w:r>
    </w:p>
    <w:p w:rsidR="0096637F" w:rsidRPr="0096637F" w:rsidRDefault="0096637F" w:rsidP="0096637F">
      <w:pPr>
        <w:spacing w:line="360" w:lineRule="auto"/>
        <w:jc w:val="both"/>
        <w:rPr>
          <w:lang w:eastAsia="es-ES"/>
        </w:rPr>
      </w:pPr>
      <w:r w:rsidRPr="0096637F">
        <w:rPr>
          <w:lang w:eastAsia="es-MX"/>
        </w:rPr>
        <w:t>E</w:t>
      </w:r>
      <w:r w:rsidRPr="0096637F">
        <w:rPr>
          <w:lang w:eastAsia="es-ES"/>
        </w:rPr>
        <w:t>l comportamiento etiológico es un foco importante</w:t>
      </w:r>
      <w:r w:rsidRPr="0096637F">
        <w:rPr>
          <w:lang w:eastAsia="es-MX"/>
        </w:rPr>
        <w:t xml:space="preserve"> </w:t>
      </w:r>
      <w:r w:rsidRPr="0096637F">
        <w:rPr>
          <w:lang w:eastAsia="es-ES"/>
        </w:rPr>
        <w:t xml:space="preserve">de análisis. Similar a </w:t>
      </w:r>
      <w:r w:rsidRPr="0096637F">
        <w:rPr>
          <w:lang w:eastAsia="es-MX"/>
        </w:rPr>
        <w:t>lo observado en este estudio;</w:t>
      </w:r>
      <w:r w:rsidRPr="0096637F">
        <w:rPr>
          <w:lang w:eastAsia="es-ES"/>
        </w:rPr>
        <w:t xml:space="preserve"> </w:t>
      </w:r>
      <w:r w:rsidRPr="0096637F">
        <w:rPr>
          <w:i/>
          <w:lang w:eastAsia="es-ES"/>
        </w:rPr>
        <w:t xml:space="preserve">de </w:t>
      </w:r>
      <w:proofErr w:type="spellStart"/>
      <w:r w:rsidRPr="0096637F">
        <w:rPr>
          <w:i/>
          <w:lang w:eastAsia="es-ES"/>
        </w:rPr>
        <w:t>Boutray</w:t>
      </w:r>
      <w:proofErr w:type="spellEnd"/>
      <w:r w:rsidRPr="0096637F">
        <w:rPr>
          <w:i/>
          <w:lang w:eastAsia="es-ES"/>
        </w:rPr>
        <w:t xml:space="preserve">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5)</w:t>
      </w:r>
      <w:r w:rsidRPr="0096637F">
        <w:rPr>
          <w:lang w:eastAsia="es-MX"/>
        </w:rPr>
        <w:t xml:space="preserve"> reportan que los traumatismos se debieron en mayor medida a violencia física, accidentes de tráfico, caídas y accidentes domésticos. Estos autores reportan escasa cantidad de fracturas por traumatismo deportivo o de ocio, lo que se explica por la aplicación de las medidas de confinamiento. De manera semejante a este estudio, </w:t>
      </w:r>
      <w:proofErr w:type="spellStart"/>
      <w:r w:rsidRPr="0096637F">
        <w:rPr>
          <w:i/>
          <w:lang w:eastAsia="es-MX"/>
        </w:rPr>
        <w:t>Ismail</w:t>
      </w:r>
      <w:proofErr w:type="spellEnd"/>
      <w:r w:rsidRPr="0096637F">
        <w:rPr>
          <w:i/>
          <w:lang w:eastAsia="es-MX"/>
        </w:rPr>
        <w:t xml:space="preserve">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11)</w:t>
      </w:r>
      <w:r w:rsidRPr="0096637F">
        <w:rPr>
          <w:lang w:eastAsia="es-MX"/>
        </w:rPr>
        <w:t xml:space="preserve"> expresan que el análisis en relación con el mecanismo de la lesión reveló que los accidentes automovilísticos y las caídas fueron las causas más comunes de traumatismo maxilofacial en su investigación. El menor número de casos de trauma se informa como consecuencia de mordeduras de animales. Semejante resultados reportan </w:t>
      </w:r>
      <w:proofErr w:type="spellStart"/>
      <w:r w:rsidRPr="0096637F">
        <w:rPr>
          <w:i/>
          <w:lang w:eastAsia="es-ES"/>
        </w:rPr>
        <w:t>Vishal</w:t>
      </w:r>
      <w:proofErr w:type="spellEnd"/>
      <w:r w:rsidRPr="0096637F">
        <w:rPr>
          <w:i/>
          <w:lang w:eastAsia="es-ES"/>
        </w:rPr>
        <w:t xml:space="preserve"> </w:t>
      </w:r>
      <w:r w:rsidRPr="0096637F">
        <w:rPr>
          <w:szCs w:val="22"/>
          <w:lang w:eastAsia="es-MX"/>
        </w:rPr>
        <w:t>y otros</w:t>
      </w:r>
      <w:proofErr w:type="gramStart"/>
      <w:r w:rsidRPr="0096637F">
        <w:rPr>
          <w:szCs w:val="22"/>
          <w:lang w:eastAsia="es-MX"/>
        </w:rPr>
        <w:t>,</w:t>
      </w:r>
      <w:r w:rsidRPr="0096637F">
        <w:rPr>
          <w:vertAlign w:val="superscript"/>
          <w:lang w:eastAsia="es-ES"/>
        </w:rPr>
        <w:t>(</w:t>
      </w:r>
      <w:proofErr w:type="gramEnd"/>
      <w:r w:rsidRPr="0096637F">
        <w:rPr>
          <w:vertAlign w:val="superscript"/>
          <w:lang w:eastAsia="es-ES"/>
        </w:rPr>
        <w:t xml:space="preserve">10) </w:t>
      </w:r>
      <w:r w:rsidRPr="0096637F">
        <w:rPr>
          <w:lang w:eastAsia="es-ES"/>
        </w:rPr>
        <w:t>al estudiar los pacientes con fractura maxilofacial durante el periodo de confinamiento y 2019 (control).</w:t>
      </w:r>
    </w:p>
    <w:p w:rsidR="0096637F" w:rsidRPr="0096637F" w:rsidRDefault="0096637F" w:rsidP="0096637F">
      <w:pPr>
        <w:spacing w:line="360" w:lineRule="auto"/>
        <w:jc w:val="both"/>
        <w:rPr>
          <w:szCs w:val="22"/>
          <w:lang w:eastAsia="es-MX"/>
        </w:rPr>
      </w:pPr>
      <w:r w:rsidRPr="0096637F">
        <w:rPr>
          <w:lang w:eastAsia="es-ES"/>
        </w:rPr>
        <w:t xml:space="preserve">Un mayor riesgo percibido de contagio por la COVID-19 podría aumentar el miedo y la ansiedad, lo cual no solo podría afectar la salud mental sino también volver a las personas agresivas e irritables. </w:t>
      </w:r>
      <w:r w:rsidRPr="0096637F">
        <w:rPr>
          <w:i/>
          <w:lang w:eastAsia="es-MX"/>
        </w:rPr>
        <w:t xml:space="preserve">Barca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 xml:space="preserve">15) </w:t>
      </w:r>
      <w:r w:rsidRPr="0096637F">
        <w:rPr>
          <w:lang w:eastAsia="es-MX"/>
        </w:rPr>
        <w:t xml:space="preserve">reportan como principal causa de traumatismo el accidente doméstico. El motivo podría deberse a las estrictas restricciones aplicadas durante este período epidémico, incluida la prohibición de viajar con medios propios o públicos, salvo necesidades laborales, absoluta urgencia o motivos de salud. </w:t>
      </w:r>
      <w:proofErr w:type="spellStart"/>
      <w:r w:rsidRPr="0096637F">
        <w:rPr>
          <w:i/>
          <w:lang w:eastAsia="es-MX"/>
        </w:rPr>
        <w:t>Blackhall</w:t>
      </w:r>
      <w:proofErr w:type="spellEnd"/>
      <w:r w:rsidRPr="0096637F">
        <w:rPr>
          <w:i/>
          <w:lang w:eastAsia="es-MX"/>
        </w:rPr>
        <w:t xml:space="preserve"> </w:t>
      </w:r>
      <w:r w:rsidRPr="0096637F">
        <w:rPr>
          <w:szCs w:val="22"/>
          <w:lang w:eastAsia="es-MX"/>
        </w:rPr>
        <w:t xml:space="preserve">y </w:t>
      </w:r>
      <w:proofErr w:type="gramStart"/>
      <w:r w:rsidRPr="0096637F">
        <w:rPr>
          <w:szCs w:val="22"/>
          <w:lang w:eastAsia="es-MX"/>
        </w:rPr>
        <w:t>otros</w:t>
      </w:r>
      <w:r w:rsidRPr="0096637F">
        <w:rPr>
          <w:vertAlign w:val="superscript"/>
          <w:lang w:eastAsia="es-MX"/>
        </w:rPr>
        <w:t>(</w:t>
      </w:r>
      <w:proofErr w:type="gramEnd"/>
      <w:r w:rsidRPr="0096637F">
        <w:rPr>
          <w:vertAlign w:val="superscript"/>
          <w:lang w:eastAsia="es-MX"/>
        </w:rPr>
        <w:t>16)</w:t>
      </w:r>
      <w:r w:rsidRPr="0096637F">
        <w:rPr>
          <w:color w:val="C00000"/>
          <w:lang w:eastAsia="es-MX"/>
        </w:rPr>
        <w:t xml:space="preserve"> </w:t>
      </w:r>
      <w:r w:rsidRPr="0096637F">
        <w:rPr>
          <w:lang w:eastAsia="es-MX"/>
        </w:rPr>
        <w:t>informan acerca de casos de trauma facial grave que incluyeron violencia doméstica e intento de suicidio. Se ha sugerido que la gran agitación del autoaislamiento en el hogar y la gran reducción de las actividades sociales son un factor perjudicial para la salud mental.</w:t>
      </w:r>
    </w:p>
    <w:p w:rsidR="0096637F" w:rsidRPr="0096637F" w:rsidRDefault="0096637F" w:rsidP="0096637F">
      <w:pPr>
        <w:spacing w:line="360" w:lineRule="auto"/>
        <w:jc w:val="both"/>
        <w:outlineLvl w:val="2"/>
        <w:rPr>
          <w:bCs/>
          <w:szCs w:val="22"/>
          <w:lang w:eastAsia="es-ES"/>
        </w:rPr>
      </w:pPr>
      <w:r w:rsidRPr="0096637F">
        <w:rPr>
          <w:rFonts w:eastAsia="Calibri"/>
          <w:szCs w:val="22"/>
          <w:lang w:eastAsia="en-US"/>
        </w:rPr>
        <w:t xml:space="preserve">Al analizar la localización anatómica de las fracturas mandibulares se difiere de </w:t>
      </w:r>
      <w:r w:rsidRPr="0096637F">
        <w:rPr>
          <w:rFonts w:eastAsia="Calibri"/>
          <w:i/>
          <w:szCs w:val="22"/>
          <w:lang w:eastAsia="en-US"/>
        </w:rPr>
        <w:t>Dong-</w:t>
      </w:r>
      <w:proofErr w:type="spellStart"/>
      <w:r w:rsidRPr="0096637F">
        <w:rPr>
          <w:rFonts w:eastAsia="Calibri"/>
          <w:i/>
          <w:szCs w:val="22"/>
          <w:lang w:eastAsia="en-US"/>
        </w:rPr>
        <w:t>Woo</w:t>
      </w:r>
      <w:proofErr w:type="spellEnd"/>
      <w:r w:rsidRPr="0096637F">
        <w:rPr>
          <w:rFonts w:eastAsia="Calibri"/>
          <w:i/>
          <w:szCs w:val="22"/>
          <w:lang w:eastAsia="en-US"/>
        </w:rPr>
        <w:t xml:space="preserve"> </w:t>
      </w:r>
      <w:r w:rsidRPr="0096637F">
        <w:rPr>
          <w:rFonts w:eastAsia="Calibri"/>
          <w:szCs w:val="22"/>
          <w:lang w:eastAsia="en-US"/>
        </w:rPr>
        <w:t>y otros</w:t>
      </w:r>
      <w:proofErr w:type="gramStart"/>
      <w:r w:rsidRPr="0096637F">
        <w:rPr>
          <w:rFonts w:eastAsia="Calibri"/>
          <w:szCs w:val="22"/>
          <w:lang w:eastAsia="en-US"/>
        </w:rPr>
        <w:t>,</w:t>
      </w:r>
      <w:r w:rsidRPr="0096637F">
        <w:rPr>
          <w:rFonts w:eastAsia="Calibri"/>
          <w:szCs w:val="22"/>
          <w:vertAlign w:val="superscript"/>
          <w:lang w:eastAsia="en-US"/>
        </w:rPr>
        <w:t>(</w:t>
      </w:r>
      <w:proofErr w:type="gramEnd"/>
      <w:r w:rsidRPr="0096637F">
        <w:rPr>
          <w:rFonts w:eastAsia="Calibri"/>
          <w:szCs w:val="22"/>
          <w:vertAlign w:val="superscript"/>
          <w:lang w:eastAsia="en-US"/>
        </w:rPr>
        <w:t>21)</w:t>
      </w:r>
      <w:r w:rsidRPr="0096637F">
        <w:rPr>
          <w:rFonts w:eastAsia="Calibri"/>
          <w:szCs w:val="22"/>
          <w:lang w:eastAsia="en-US"/>
        </w:rPr>
        <w:t xml:space="preserve"> quienes hacen una diferenciación del tipo de localización según el vehículo involucrado en el accidente, y reportan que l</w:t>
      </w:r>
      <w:r w:rsidRPr="0096637F">
        <w:rPr>
          <w:bCs/>
          <w:szCs w:val="22"/>
          <w:lang w:eastAsia="es-ES"/>
        </w:rPr>
        <w:t xml:space="preserve">a fractura de sínfisis mandibular fue la más común en accidentes automovilísticos en sentido general, mientras que el ángulo y cuerpo mandibular fue la segunda localización más común. En bicicleta y E-scooter, la fractura de cóndilo </w:t>
      </w:r>
      <w:proofErr w:type="spellStart"/>
      <w:r w:rsidRPr="0096637F">
        <w:rPr>
          <w:bCs/>
          <w:szCs w:val="22"/>
          <w:lang w:eastAsia="es-ES"/>
        </w:rPr>
        <w:t>intracapsular</w:t>
      </w:r>
      <w:proofErr w:type="spellEnd"/>
      <w:r w:rsidRPr="0096637F">
        <w:rPr>
          <w:bCs/>
          <w:szCs w:val="22"/>
          <w:lang w:eastAsia="es-ES"/>
        </w:rPr>
        <w:t xml:space="preserve"> fue la fractura más común y la sínfisis mandibular fue la segunda. Hubo una relación significativa con fractura por E-scooter y fractura de cóndilo </w:t>
      </w:r>
      <w:proofErr w:type="spellStart"/>
      <w:r w:rsidRPr="0096637F">
        <w:rPr>
          <w:bCs/>
          <w:szCs w:val="22"/>
          <w:lang w:eastAsia="es-ES"/>
        </w:rPr>
        <w:t>intracapsular</w:t>
      </w:r>
      <w:proofErr w:type="spellEnd"/>
      <w:r w:rsidRPr="0096637F">
        <w:rPr>
          <w:bCs/>
          <w:szCs w:val="22"/>
          <w:lang w:eastAsia="es-ES"/>
        </w:rPr>
        <w:t>.</w:t>
      </w:r>
    </w:p>
    <w:p w:rsidR="0096637F" w:rsidRPr="0096637F" w:rsidRDefault="0096637F" w:rsidP="0096637F">
      <w:pPr>
        <w:spacing w:line="360" w:lineRule="auto"/>
        <w:jc w:val="both"/>
        <w:outlineLvl w:val="2"/>
        <w:rPr>
          <w:bCs/>
          <w:szCs w:val="22"/>
          <w:lang w:eastAsia="es-ES"/>
        </w:rPr>
      </w:pPr>
      <w:r w:rsidRPr="0096637F">
        <w:rPr>
          <w:bCs/>
          <w:szCs w:val="22"/>
          <w:lang w:eastAsia="es-ES"/>
        </w:rPr>
        <w:lastRenderedPageBreak/>
        <w:t xml:space="preserve">El tratamiento es un importante punto de análisis. </w:t>
      </w:r>
      <w:proofErr w:type="spellStart"/>
      <w:r w:rsidRPr="0096637F">
        <w:rPr>
          <w:bCs/>
          <w:i/>
          <w:szCs w:val="22"/>
          <w:lang w:eastAsia="es-ES"/>
        </w:rPr>
        <w:t>Boutray</w:t>
      </w:r>
      <w:proofErr w:type="spellEnd"/>
      <w:r w:rsidRPr="0096637F">
        <w:rPr>
          <w:bCs/>
          <w:i/>
          <w:szCs w:val="22"/>
          <w:lang w:eastAsia="es-ES"/>
        </w:rPr>
        <w:t xml:space="preserve"> </w:t>
      </w:r>
      <w:r w:rsidRPr="0096637F">
        <w:rPr>
          <w:rFonts w:eastAsia="Calibri"/>
          <w:szCs w:val="22"/>
          <w:lang w:eastAsia="en-US"/>
        </w:rPr>
        <w:t>y otros</w:t>
      </w:r>
      <w:r w:rsidRPr="0096637F">
        <w:rPr>
          <w:bCs/>
          <w:szCs w:val="22"/>
          <w:vertAlign w:val="superscript"/>
          <w:lang w:eastAsia="es-ES"/>
        </w:rPr>
        <w:t xml:space="preserve">(5) </w:t>
      </w:r>
      <w:r w:rsidRPr="0096637F">
        <w:rPr>
          <w:bCs/>
          <w:szCs w:val="22"/>
          <w:lang w:eastAsia="es-ES"/>
        </w:rPr>
        <w:t xml:space="preserve">exponen que el brote de la COVID-19 provocó un cambio radical en la gestión de la mayoría de los departamentos médicos para brindar una atención adecuada a los pacientes, prevenir la propagación de la epidemia y para compensar la escasez de recursos materiales y humanos. En opinión de los autores, estos han sido factores fundamentales para justificar el predominio de métodos conservadores y cerrados en el estudio. Estos </w:t>
      </w:r>
      <w:proofErr w:type="gramStart"/>
      <w:r w:rsidRPr="0096637F">
        <w:rPr>
          <w:bCs/>
          <w:szCs w:val="22"/>
          <w:lang w:eastAsia="es-ES"/>
        </w:rPr>
        <w:t>autores</w:t>
      </w:r>
      <w:r w:rsidRPr="0096637F">
        <w:rPr>
          <w:bCs/>
          <w:szCs w:val="22"/>
          <w:vertAlign w:val="superscript"/>
          <w:lang w:eastAsia="es-ES"/>
        </w:rPr>
        <w:t>(</w:t>
      </w:r>
      <w:proofErr w:type="gramEnd"/>
      <w:r w:rsidRPr="0096637F">
        <w:rPr>
          <w:bCs/>
          <w:szCs w:val="22"/>
          <w:vertAlign w:val="superscript"/>
          <w:lang w:eastAsia="es-ES"/>
        </w:rPr>
        <w:t>5)</w:t>
      </w:r>
      <w:r w:rsidRPr="0096637F">
        <w:rPr>
          <w:bCs/>
          <w:szCs w:val="22"/>
          <w:lang w:eastAsia="es-ES"/>
        </w:rPr>
        <w:t xml:space="preserve"> también llaman la atención sobre una particularidad de este periodo analizado; la existencia de pacientes que se niegan a recibir tratamiento por miedo al contagio por el virus. Varios </w:t>
      </w:r>
      <w:proofErr w:type="gramStart"/>
      <w:r w:rsidRPr="0096637F">
        <w:rPr>
          <w:bCs/>
          <w:szCs w:val="22"/>
          <w:lang w:eastAsia="es-ES"/>
        </w:rPr>
        <w:t>investigadores</w:t>
      </w:r>
      <w:r w:rsidRPr="0096637F">
        <w:rPr>
          <w:bCs/>
          <w:szCs w:val="22"/>
          <w:vertAlign w:val="superscript"/>
          <w:lang w:eastAsia="es-ES"/>
        </w:rPr>
        <w:t>(</w:t>
      </w:r>
      <w:proofErr w:type="gramEnd"/>
      <w:r w:rsidRPr="0096637F">
        <w:rPr>
          <w:bCs/>
          <w:szCs w:val="22"/>
          <w:vertAlign w:val="superscript"/>
          <w:lang w:eastAsia="es-ES"/>
        </w:rPr>
        <w:t>23,25,30,31)</w:t>
      </w:r>
      <w:r w:rsidRPr="0096637F">
        <w:rPr>
          <w:bCs/>
          <w:szCs w:val="22"/>
          <w:lang w:eastAsia="es-ES"/>
        </w:rPr>
        <w:t xml:space="preserve"> </w:t>
      </w:r>
      <w:r w:rsidRPr="0096637F">
        <w:rPr>
          <w:bCs/>
          <w:color w:val="000000"/>
          <w:szCs w:val="22"/>
          <w:lang w:eastAsia="es-ES"/>
        </w:rPr>
        <w:t xml:space="preserve">reportan una disminución de las cifras de tratamiento quirúrgico y el último expresa que ello se explica por el cambio en la política terapéutica de las fracturas, relacionado con la </w:t>
      </w:r>
      <w:r w:rsidRPr="0096637F">
        <w:rPr>
          <w:bCs/>
          <w:szCs w:val="22"/>
          <w:lang w:eastAsia="es-ES"/>
        </w:rPr>
        <w:t xml:space="preserve">pandemia. </w:t>
      </w:r>
      <w:proofErr w:type="spellStart"/>
      <w:r w:rsidRPr="0096637F">
        <w:rPr>
          <w:bCs/>
          <w:i/>
          <w:szCs w:val="22"/>
          <w:lang w:eastAsia="es-ES"/>
        </w:rPr>
        <w:t>Blackhall</w:t>
      </w:r>
      <w:proofErr w:type="spellEnd"/>
      <w:r w:rsidRPr="0096637F">
        <w:rPr>
          <w:bCs/>
          <w:i/>
          <w:szCs w:val="22"/>
          <w:lang w:eastAsia="es-ES"/>
        </w:rPr>
        <w:t xml:space="preserve"> </w:t>
      </w:r>
      <w:r w:rsidRPr="0096637F">
        <w:rPr>
          <w:rFonts w:eastAsia="Calibri"/>
          <w:szCs w:val="22"/>
          <w:lang w:eastAsia="en-US"/>
        </w:rPr>
        <w:t xml:space="preserve">y </w:t>
      </w:r>
      <w:proofErr w:type="gramStart"/>
      <w:r w:rsidRPr="0096637F">
        <w:rPr>
          <w:rFonts w:eastAsia="Calibri"/>
          <w:szCs w:val="22"/>
          <w:lang w:eastAsia="en-US"/>
        </w:rPr>
        <w:t>otros</w:t>
      </w:r>
      <w:r w:rsidRPr="0096637F">
        <w:rPr>
          <w:bCs/>
          <w:szCs w:val="22"/>
          <w:vertAlign w:val="superscript"/>
          <w:lang w:eastAsia="es-ES"/>
        </w:rPr>
        <w:t>(</w:t>
      </w:r>
      <w:proofErr w:type="gramEnd"/>
      <w:r w:rsidRPr="0096637F">
        <w:rPr>
          <w:bCs/>
          <w:szCs w:val="22"/>
          <w:vertAlign w:val="superscript"/>
          <w:lang w:eastAsia="es-ES"/>
        </w:rPr>
        <w:t>16)</w:t>
      </w:r>
      <w:r w:rsidRPr="0096637F">
        <w:rPr>
          <w:bCs/>
          <w:szCs w:val="22"/>
          <w:lang w:eastAsia="es-ES"/>
        </w:rPr>
        <w:t xml:space="preserve"> encontraron una tendencia al tratamiento conservador, de forma particular en la primera parte del confinamiento. </w:t>
      </w:r>
      <w:proofErr w:type="spellStart"/>
      <w:r w:rsidRPr="0096637F">
        <w:rPr>
          <w:rFonts w:eastAsia="Calibri"/>
          <w:i/>
          <w:szCs w:val="22"/>
          <w:lang w:eastAsia="en-US"/>
        </w:rPr>
        <w:t>Puglia</w:t>
      </w:r>
      <w:proofErr w:type="spellEnd"/>
      <w:r w:rsidRPr="0096637F">
        <w:rPr>
          <w:rFonts w:eastAsia="Calibri"/>
          <w:i/>
          <w:szCs w:val="22"/>
          <w:lang w:eastAsia="en-US"/>
        </w:rPr>
        <w:t xml:space="preserve"> </w:t>
      </w:r>
      <w:r w:rsidRPr="0096637F">
        <w:rPr>
          <w:rFonts w:eastAsia="Calibri"/>
          <w:szCs w:val="22"/>
          <w:lang w:eastAsia="en-US"/>
        </w:rPr>
        <w:t xml:space="preserve">y </w:t>
      </w:r>
      <w:proofErr w:type="gramStart"/>
      <w:r w:rsidRPr="0096637F">
        <w:rPr>
          <w:rFonts w:eastAsia="Calibri"/>
          <w:szCs w:val="22"/>
          <w:lang w:eastAsia="en-US"/>
        </w:rPr>
        <w:t>otros</w:t>
      </w:r>
      <w:r w:rsidRPr="0096637F">
        <w:rPr>
          <w:rFonts w:eastAsia="Calibri"/>
          <w:szCs w:val="22"/>
          <w:vertAlign w:val="superscript"/>
          <w:lang w:eastAsia="en-US"/>
        </w:rPr>
        <w:t>(</w:t>
      </w:r>
      <w:proofErr w:type="gramEnd"/>
      <w:r w:rsidRPr="0096637F">
        <w:rPr>
          <w:rFonts w:eastAsia="Calibri"/>
          <w:szCs w:val="22"/>
          <w:vertAlign w:val="superscript"/>
          <w:lang w:eastAsia="en-US"/>
        </w:rPr>
        <w:t xml:space="preserve">19) </w:t>
      </w:r>
      <w:r w:rsidRPr="0096637F">
        <w:rPr>
          <w:rFonts w:eastAsia="Calibri"/>
          <w:szCs w:val="22"/>
          <w:lang w:eastAsia="en-US"/>
        </w:rPr>
        <w:t>evaluaron el efecto de la pandemia en los servicios de traumatología oral y maxilofacial del Reino Unido y hallaron que, de 876 fracturas faciales, el tratamiento de 79 pacientes difería de lo que hubiera sido normal antes de la COVID-19 y 33 tuvieron su tratamiento diferido. Por lo tanto, la atención de 112 pacientes no coincidía con la práctica habitual, debido a las restricciones pandémicas. Opuesto a</w:t>
      </w:r>
      <w:r w:rsidRPr="0096637F">
        <w:rPr>
          <w:bCs/>
          <w:szCs w:val="22"/>
          <w:lang w:eastAsia="es-ES"/>
        </w:rPr>
        <w:t xml:space="preserve"> los resultados de este estudio, </w:t>
      </w:r>
      <w:proofErr w:type="spellStart"/>
      <w:r w:rsidRPr="0096637F">
        <w:rPr>
          <w:bCs/>
          <w:i/>
          <w:szCs w:val="22"/>
          <w:lang w:eastAsia="es-ES"/>
        </w:rPr>
        <w:t>Thiem</w:t>
      </w:r>
      <w:proofErr w:type="spellEnd"/>
      <w:r w:rsidRPr="0096637F">
        <w:rPr>
          <w:bCs/>
          <w:i/>
          <w:szCs w:val="22"/>
          <w:lang w:eastAsia="es-ES"/>
        </w:rPr>
        <w:t xml:space="preserve"> </w:t>
      </w:r>
      <w:r w:rsidRPr="0096637F">
        <w:rPr>
          <w:rFonts w:eastAsia="Calibri"/>
          <w:szCs w:val="22"/>
          <w:lang w:eastAsia="en-US"/>
        </w:rPr>
        <w:t xml:space="preserve">y </w:t>
      </w:r>
      <w:proofErr w:type="gramStart"/>
      <w:r w:rsidRPr="0096637F">
        <w:rPr>
          <w:rFonts w:eastAsia="Calibri"/>
          <w:szCs w:val="22"/>
          <w:lang w:eastAsia="en-US"/>
        </w:rPr>
        <w:t>otros</w:t>
      </w:r>
      <w:r w:rsidRPr="0096637F">
        <w:rPr>
          <w:bCs/>
          <w:szCs w:val="22"/>
          <w:vertAlign w:val="superscript"/>
          <w:lang w:eastAsia="es-ES"/>
        </w:rPr>
        <w:t>(</w:t>
      </w:r>
      <w:proofErr w:type="gramEnd"/>
      <w:r w:rsidRPr="0096637F">
        <w:rPr>
          <w:bCs/>
          <w:szCs w:val="22"/>
          <w:vertAlign w:val="superscript"/>
          <w:lang w:eastAsia="es-ES"/>
        </w:rPr>
        <w:t xml:space="preserve">6) </w:t>
      </w:r>
      <w:r w:rsidRPr="0096637F">
        <w:rPr>
          <w:bCs/>
          <w:szCs w:val="22"/>
          <w:lang w:eastAsia="es-ES"/>
        </w:rPr>
        <w:t>informan que en el 2020 se realizaron más procedimientos quirúrgicos, en comparación con el 2019.</w:t>
      </w:r>
    </w:p>
    <w:p w:rsidR="0096637F" w:rsidRPr="0096637F" w:rsidRDefault="0096637F" w:rsidP="0096637F">
      <w:pPr>
        <w:spacing w:line="360" w:lineRule="auto"/>
        <w:jc w:val="both"/>
        <w:rPr>
          <w:rFonts w:eastAsia="Calibri"/>
          <w:szCs w:val="22"/>
          <w:lang w:eastAsia="es-ES"/>
        </w:rPr>
      </w:pPr>
      <w:r w:rsidRPr="0096637F">
        <w:rPr>
          <w:szCs w:val="22"/>
          <w:lang w:eastAsia="es-ES"/>
        </w:rPr>
        <w:t>La distribución de pacientes por día de la semana difiere de lo reportado por</w:t>
      </w:r>
      <w:r w:rsidRPr="0096637F">
        <w:rPr>
          <w:b/>
          <w:szCs w:val="22"/>
          <w:lang w:eastAsia="es-ES"/>
        </w:rPr>
        <w:t xml:space="preserve"> </w:t>
      </w:r>
      <w:proofErr w:type="spellStart"/>
      <w:r w:rsidRPr="0096637F">
        <w:rPr>
          <w:i/>
          <w:szCs w:val="22"/>
          <w:lang w:eastAsia="es-ES"/>
        </w:rPr>
        <w:t>Yu-Ting</w:t>
      </w:r>
      <w:proofErr w:type="spellEnd"/>
      <w:r w:rsidRPr="0096637F">
        <w:rPr>
          <w:i/>
          <w:szCs w:val="22"/>
          <w:lang w:eastAsia="es-ES"/>
        </w:rPr>
        <w:t xml:space="preserve"> </w:t>
      </w:r>
      <w:r w:rsidRPr="0096637F">
        <w:rPr>
          <w:rFonts w:eastAsia="Calibri"/>
          <w:bCs/>
          <w:szCs w:val="22"/>
          <w:lang w:eastAsia="en-US"/>
        </w:rPr>
        <w:t>y otros</w:t>
      </w:r>
      <w:r w:rsidRPr="0096637F">
        <w:rPr>
          <w:szCs w:val="22"/>
          <w:lang w:eastAsia="es-ES"/>
        </w:rPr>
        <w:t>,</w:t>
      </w:r>
      <w:r w:rsidRPr="0096637F">
        <w:rPr>
          <w:szCs w:val="22"/>
          <w:vertAlign w:val="superscript"/>
          <w:lang w:eastAsia="es-ES"/>
        </w:rPr>
        <w:t>(8)</w:t>
      </w:r>
      <w:r w:rsidRPr="0096637F">
        <w:rPr>
          <w:szCs w:val="22"/>
          <w:lang w:eastAsia="es-ES"/>
        </w:rPr>
        <w:t xml:space="preserve"> quienes compararon el comportamiento en 2019 y 2020, y encontraron que l</w:t>
      </w:r>
      <w:r w:rsidRPr="0096637F">
        <w:rPr>
          <w:rFonts w:eastAsia="Calibri"/>
          <w:szCs w:val="22"/>
          <w:lang w:eastAsia="es-ES"/>
        </w:rPr>
        <w:t xml:space="preserve">a mayoría de las visitas de pacientes ocurrieron entre semana (especialmente los lunes y viernes) en 2019, con menos pacientes los fines de semana. La media de visitas diarias en días laborables y fines de semana se mantuvo </w:t>
      </w:r>
      <w:r w:rsidRPr="0096637F">
        <w:rPr>
          <w:szCs w:val="22"/>
          <w:lang w:eastAsia="es-ES"/>
        </w:rPr>
        <w:t>en el mismo nivel en 2020</w:t>
      </w:r>
      <w:r w:rsidRPr="0096637F">
        <w:rPr>
          <w:rFonts w:eastAsia="Calibri"/>
          <w:szCs w:val="22"/>
          <w:lang w:eastAsia="es-ES"/>
        </w:rPr>
        <w:t>.</w:t>
      </w:r>
      <w:r w:rsidRPr="0096637F">
        <w:rPr>
          <w:szCs w:val="22"/>
          <w:lang w:eastAsia="es-ES"/>
        </w:rPr>
        <w:t xml:space="preserve"> Según los datos de este estudio, las visitas diarias durante los días de la semana en 2019 mostraron que la mayor prevalencia de trauma ocurrió los lunes y martes. Esto está asociado al “síndrome del lunes”, que se presenta con frecuencia entre los empleados y hace que las personas inicien la semana refiriendo problemas de salud. Por el contrario, los fines de semana se registraron menos lesiones, porque la mayoría de las personas descansan en casa durante este tiempo. </w:t>
      </w:r>
    </w:p>
    <w:p w:rsidR="0096637F" w:rsidRPr="0096637F" w:rsidRDefault="0096637F" w:rsidP="0096637F">
      <w:pPr>
        <w:spacing w:line="360" w:lineRule="auto"/>
        <w:jc w:val="both"/>
        <w:rPr>
          <w:szCs w:val="22"/>
          <w:lang w:eastAsia="es-ES"/>
        </w:rPr>
      </w:pPr>
      <w:r w:rsidRPr="0096637F">
        <w:rPr>
          <w:szCs w:val="22"/>
          <w:lang w:eastAsia="es-ES"/>
        </w:rPr>
        <w:t xml:space="preserve">La distribución mensual del número de pacientes de este estudio difiere de lo reportado por </w:t>
      </w:r>
      <w:proofErr w:type="spellStart"/>
      <w:r w:rsidRPr="0096637F">
        <w:rPr>
          <w:i/>
          <w:szCs w:val="22"/>
          <w:lang w:eastAsia="es-ES"/>
        </w:rPr>
        <w:t>Thiem</w:t>
      </w:r>
      <w:proofErr w:type="spellEnd"/>
      <w:r w:rsidRPr="0096637F">
        <w:rPr>
          <w:i/>
          <w:szCs w:val="22"/>
          <w:lang w:eastAsia="es-ES"/>
        </w:rPr>
        <w:t xml:space="preserve"> </w:t>
      </w:r>
      <w:r w:rsidRPr="0096637F">
        <w:rPr>
          <w:rFonts w:eastAsia="Calibri"/>
          <w:bCs/>
          <w:szCs w:val="22"/>
          <w:lang w:eastAsia="en-US"/>
        </w:rPr>
        <w:t xml:space="preserve">y </w:t>
      </w:r>
      <w:proofErr w:type="gramStart"/>
      <w:r w:rsidRPr="0096637F">
        <w:rPr>
          <w:rFonts w:eastAsia="Calibri"/>
          <w:bCs/>
          <w:szCs w:val="22"/>
          <w:lang w:eastAsia="en-US"/>
        </w:rPr>
        <w:t>otros</w:t>
      </w:r>
      <w:r w:rsidRPr="0096637F">
        <w:rPr>
          <w:szCs w:val="22"/>
          <w:vertAlign w:val="superscript"/>
          <w:lang w:eastAsia="es-ES"/>
        </w:rPr>
        <w:t>(</w:t>
      </w:r>
      <w:proofErr w:type="gramEnd"/>
      <w:r w:rsidRPr="0096637F">
        <w:rPr>
          <w:szCs w:val="22"/>
          <w:vertAlign w:val="superscript"/>
          <w:lang w:eastAsia="es-ES"/>
        </w:rPr>
        <w:t>6)</w:t>
      </w:r>
      <w:r w:rsidRPr="0096637F">
        <w:rPr>
          <w:szCs w:val="22"/>
          <w:lang w:eastAsia="es-ES"/>
        </w:rPr>
        <w:t xml:space="preserve"> al analizar los años 2019 y 2020. En una comparación mensual, hubo picos negativos de hasta </w:t>
      </w:r>
      <w:r w:rsidR="00FF3820">
        <w:rPr>
          <w:szCs w:val="22"/>
          <w:lang w:eastAsia="es-ES"/>
        </w:rPr>
        <w:noBreakHyphen/>
      </w:r>
      <w:r w:rsidRPr="0096637F">
        <w:rPr>
          <w:szCs w:val="22"/>
          <w:lang w:eastAsia="es-ES"/>
        </w:rPr>
        <w:t xml:space="preserve">41 % en noviembre, que en este estudio fue uno de los que se registró mayor número de casos, </w:t>
      </w:r>
      <w:r w:rsidRPr="0096637F">
        <w:rPr>
          <w:szCs w:val="22"/>
          <w:lang w:eastAsia="es-ES"/>
        </w:rPr>
        <w:lastRenderedPageBreak/>
        <w:t xml:space="preserve">pero también un plus de 26 % en julio, que en este estudio solo mostró 1 paciente. Las mayores disminuciones se registraron durante los períodos de confinamiento en primavera (-33 %) e invierno (-39 %). De igual forma, </w:t>
      </w:r>
      <w:proofErr w:type="spellStart"/>
      <w:r w:rsidRPr="0096637F">
        <w:rPr>
          <w:i/>
          <w:szCs w:val="22"/>
          <w:lang w:eastAsia="es-ES"/>
        </w:rPr>
        <w:t>Yu-Ting</w:t>
      </w:r>
      <w:proofErr w:type="spellEnd"/>
      <w:r w:rsidRPr="0096637F">
        <w:rPr>
          <w:i/>
          <w:szCs w:val="22"/>
          <w:lang w:eastAsia="es-ES"/>
        </w:rPr>
        <w:t xml:space="preserve"> </w:t>
      </w:r>
      <w:r w:rsidRPr="0096637F">
        <w:rPr>
          <w:rFonts w:eastAsia="Calibri"/>
          <w:bCs/>
          <w:szCs w:val="22"/>
          <w:lang w:eastAsia="en-US"/>
        </w:rPr>
        <w:t xml:space="preserve">y </w:t>
      </w:r>
      <w:proofErr w:type="gramStart"/>
      <w:r w:rsidRPr="0096637F">
        <w:rPr>
          <w:rFonts w:eastAsia="Calibri"/>
          <w:bCs/>
          <w:szCs w:val="22"/>
          <w:lang w:eastAsia="en-US"/>
        </w:rPr>
        <w:t>otros</w:t>
      </w:r>
      <w:r w:rsidRPr="0096637F">
        <w:rPr>
          <w:szCs w:val="22"/>
          <w:vertAlign w:val="superscript"/>
          <w:lang w:eastAsia="es-ES"/>
        </w:rPr>
        <w:t>(</w:t>
      </w:r>
      <w:proofErr w:type="gramEnd"/>
      <w:r w:rsidRPr="0096637F">
        <w:rPr>
          <w:szCs w:val="22"/>
          <w:vertAlign w:val="superscript"/>
          <w:lang w:eastAsia="es-ES"/>
        </w:rPr>
        <w:t>8)</w:t>
      </w:r>
      <w:r w:rsidRPr="0096637F">
        <w:rPr>
          <w:szCs w:val="22"/>
          <w:lang w:eastAsia="es-ES"/>
        </w:rPr>
        <w:t xml:space="preserve"> reportan que e</w:t>
      </w:r>
      <w:r w:rsidRPr="0096637F">
        <w:rPr>
          <w:rFonts w:eastAsia="Calibri"/>
          <w:szCs w:val="22"/>
          <w:lang w:eastAsia="es-ES"/>
        </w:rPr>
        <w:t xml:space="preserve">l número de visitas diarias por mes entre enero y abril disminuyó en 2020 y hubo más visitas diarias en marzo (promedio: 1,35) y abril (promedio: 1,29) en comparación con enero (promedio: 0,56) y febrero (promedio: 0,64). De igual forma, no se coincide con los resultados de </w:t>
      </w:r>
      <w:r w:rsidRPr="0096637F">
        <w:rPr>
          <w:i/>
          <w:szCs w:val="22"/>
          <w:lang w:eastAsia="es-ES"/>
        </w:rPr>
        <w:t xml:space="preserve">Vázquez-Blanco </w:t>
      </w:r>
      <w:r w:rsidRPr="0096637F">
        <w:rPr>
          <w:rFonts w:eastAsia="Calibri"/>
          <w:bCs/>
          <w:szCs w:val="22"/>
          <w:lang w:eastAsia="en-US"/>
        </w:rPr>
        <w:t>y otros</w:t>
      </w:r>
      <w:proofErr w:type="gramStart"/>
      <w:r w:rsidRPr="0096637F">
        <w:rPr>
          <w:szCs w:val="22"/>
          <w:lang w:eastAsia="es-ES"/>
        </w:rPr>
        <w:t>,</w:t>
      </w:r>
      <w:r w:rsidRPr="0096637F">
        <w:rPr>
          <w:szCs w:val="22"/>
          <w:vertAlign w:val="superscript"/>
          <w:lang w:eastAsia="es-ES"/>
        </w:rPr>
        <w:t>(</w:t>
      </w:r>
      <w:proofErr w:type="gramEnd"/>
      <w:r w:rsidRPr="0096637F">
        <w:rPr>
          <w:szCs w:val="22"/>
          <w:vertAlign w:val="superscript"/>
          <w:lang w:eastAsia="es-ES"/>
        </w:rPr>
        <w:t xml:space="preserve">30) </w:t>
      </w:r>
      <w:r w:rsidRPr="0096637F">
        <w:rPr>
          <w:szCs w:val="22"/>
          <w:lang w:eastAsia="es-ES"/>
        </w:rPr>
        <w:t>quienes encontraron que la mayoría de los pacientes se atendieron en los meses de noviembre y diciembre.</w:t>
      </w:r>
    </w:p>
    <w:p w:rsidR="0096637F" w:rsidRPr="0096637F" w:rsidRDefault="0096637F" w:rsidP="0096637F">
      <w:pPr>
        <w:spacing w:line="360" w:lineRule="auto"/>
        <w:jc w:val="both"/>
        <w:rPr>
          <w:lang w:eastAsia="es-MX"/>
        </w:rPr>
      </w:pPr>
      <w:r w:rsidRPr="0096637F">
        <w:rPr>
          <w:lang w:eastAsia="es-MX"/>
        </w:rPr>
        <w:t>Predominaron los pacientes masculinos, de procedencia urbana, afectados por fracturas del complejo cigomático causadas en igual medida por violencia interpersonal y caídas. Este tipo de fracturas fueron tratadas en mayor medida mediante métodos conservadores, mientras que en las mandibulares la terapéutica principal fue la reducción cerrada.</w:t>
      </w:r>
    </w:p>
    <w:p w:rsidR="0096637F" w:rsidRPr="0096637F" w:rsidRDefault="0096637F" w:rsidP="0096637F">
      <w:pPr>
        <w:spacing w:line="360" w:lineRule="auto"/>
        <w:jc w:val="both"/>
        <w:rPr>
          <w:lang w:eastAsia="es-MX"/>
        </w:rPr>
      </w:pPr>
    </w:p>
    <w:p w:rsidR="0096637F" w:rsidRPr="0096637F" w:rsidRDefault="0096637F" w:rsidP="0096637F">
      <w:pPr>
        <w:spacing w:line="360" w:lineRule="auto"/>
        <w:jc w:val="center"/>
        <w:rPr>
          <w:b/>
          <w:sz w:val="32"/>
          <w:szCs w:val="32"/>
          <w:lang w:val="es-ES" w:eastAsia="es-MX"/>
        </w:rPr>
      </w:pPr>
    </w:p>
    <w:p w:rsidR="0096637F" w:rsidRPr="0096637F" w:rsidRDefault="0096637F" w:rsidP="0096637F">
      <w:pPr>
        <w:spacing w:line="360" w:lineRule="auto"/>
        <w:jc w:val="center"/>
        <w:rPr>
          <w:b/>
          <w:sz w:val="32"/>
          <w:szCs w:val="32"/>
          <w:lang w:val="en-US" w:eastAsia="es-MX"/>
        </w:rPr>
      </w:pPr>
      <w:r w:rsidRPr="0096637F">
        <w:rPr>
          <w:b/>
          <w:sz w:val="32"/>
          <w:szCs w:val="32"/>
          <w:lang w:val="en-US" w:eastAsia="es-MX"/>
        </w:rPr>
        <w:t>REFERENCIAS BIBLIOGRÁFICAS</w:t>
      </w:r>
    </w:p>
    <w:p w:rsidR="0096637F" w:rsidRPr="00923FD3" w:rsidRDefault="0096637F" w:rsidP="0096637F">
      <w:pPr>
        <w:spacing w:line="360" w:lineRule="auto"/>
        <w:rPr>
          <w:lang w:val="en-US" w:eastAsia="es-MX"/>
        </w:rPr>
      </w:pPr>
      <w:r w:rsidRPr="00923FD3">
        <w:rPr>
          <w:lang w:val="en-US" w:eastAsia="es-MX"/>
        </w:rPr>
        <w:t xml:space="preserve">1. </w:t>
      </w:r>
      <w:proofErr w:type="spellStart"/>
      <w:r w:rsidRPr="00923FD3">
        <w:rPr>
          <w:lang w:val="en-US" w:eastAsia="es-MX"/>
        </w:rPr>
        <w:t>Wusiman</w:t>
      </w:r>
      <w:proofErr w:type="spellEnd"/>
      <w:r w:rsidRPr="00923FD3">
        <w:rPr>
          <w:lang w:val="en-US" w:eastAsia="es-MX"/>
        </w:rPr>
        <w:t xml:space="preserve"> P, </w:t>
      </w:r>
      <w:proofErr w:type="spellStart"/>
      <w:r w:rsidRPr="00923FD3">
        <w:rPr>
          <w:lang w:val="en-US" w:eastAsia="es-MX"/>
        </w:rPr>
        <w:t>Maimaitituerxun</w:t>
      </w:r>
      <w:proofErr w:type="spellEnd"/>
      <w:r w:rsidRPr="00923FD3">
        <w:rPr>
          <w:lang w:val="en-US" w:eastAsia="es-MX"/>
        </w:rPr>
        <w:t xml:space="preserve"> B, </w:t>
      </w:r>
      <w:proofErr w:type="spellStart"/>
      <w:r w:rsidRPr="00923FD3">
        <w:rPr>
          <w:lang w:val="en-US" w:eastAsia="es-MX"/>
        </w:rPr>
        <w:t>Guli</w:t>
      </w:r>
      <w:proofErr w:type="spellEnd"/>
      <w:r w:rsidRPr="00923FD3">
        <w:rPr>
          <w:lang w:val="en-US" w:eastAsia="es-MX"/>
        </w:rPr>
        <w:t xml:space="preserve">, </w:t>
      </w:r>
      <w:proofErr w:type="spellStart"/>
      <w:r w:rsidRPr="00923FD3">
        <w:rPr>
          <w:lang w:val="en-US" w:eastAsia="es-MX"/>
        </w:rPr>
        <w:t>Saimaiti</w:t>
      </w:r>
      <w:proofErr w:type="spellEnd"/>
      <w:r w:rsidRPr="00923FD3">
        <w:rPr>
          <w:lang w:val="en-US" w:eastAsia="es-MX"/>
        </w:rPr>
        <w:t xml:space="preserve"> A, </w:t>
      </w:r>
      <w:proofErr w:type="spellStart"/>
      <w:r w:rsidRPr="00923FD3">
        <w:rPr>
          <w:lang w:val="en-US" w:eastAsia="es-MX"/>
        </w:rPr>
        <w:t>Moming</w:t>
      </w:r>
      <w:proofErr w:type="spellEnd"/>
      <w:r w:rsidRPr="00923FD3">
        <w:rPr>
          <w:lang w:val="en-US" w:eastAsia="es-MX"/>
        </w:rPr>
        <w:t xml:space="preserve"> A. Epidemiology and Pattern of Oral and Maxillofacial Trauma. J </w:t>
      </w:r>
      <w:proofErr w:type="spellStart"/>
      <w:r w:rsidRPr="00923FD3">
        <w:rPr>
          <w:lang w:val="en-US" w:eastAsia="es-MX"/>
        </w:rPr>
        <w:t>Craniofac</w:t>
      </w:r>
      <w:proofErr w:type="spellEnd"/>
      <w:r w:rsidRPr="00923FD3">
        <w:rPr>
          <w:lang w:val="en-US" w:eastAsia="es-MX"/>
        </w:rPr>
        <w:t xml:space="preserve"> Surg. 2020</w:t>
      </w:r>
      <w:proofErr w:type="gramStart"/>
      <w:r w:rsidRPr="00923FD3">
        <w:rPr>
          <w:lang w:val="en-US" w:eastAsia="es-MX"/>
        </w:rPr>
        <w:t>;</w:t>
      </w:r>
      <w:proofErr w:type="gramEnd"/>
      <w:r w:rsidRPr="00923FD3">
        <w:rPr>
          <w:lang w:val="en-US" w:eastAsia="es-MX"/>
        </w:rPr>
        <w:t xml:space="preserve"> 31(5):e517-e520. DOI: 10.1097/scs.0000000000006719 </w:t>
      </w:r>
    </w:p>
    <w:p w:rsidR="0096637F" w:rsidRPr="00923FD3" w:rsidRDefault="0096637F" w:rsidP="0096637F">
      <w:pPr>
        <w:spacing w:line="360" w:lineRule="auto"/>
        <w:rPr>
          <w:lang w:val="en-US" w:eastAsia="es-MX"/>
        </w:rPr>
      </w:pPr>
      <w:r w:rsidRPr="00923FD3">
        <w:rPr>
          <w:lang w:val="en-US" w:eastAsia="es-MX"/>
        </w:rPr>
        <w:t xml:space="preserve">2. Das D, Salazar L. Maxillofacial Trauma: Managing Potentially Dangerous and Disfiguring Complex Injuries. </w:t>
      </w:r>
      <w:proofErr w:type="spellStart"/>
      <w:r w:rsidRPr="00923FD3">
        <w:rPr>
          <w:lang w:val="en-US" w:eastAsia="es-MX"/>
        </w:rPr>
        <w:t>Emerg</w:t>
      </w:r>
      <w:proofErr w:type="spellEnd"/>
      <w:r w:rsidRPr="00923FD3">
        <w:rPr>
          <w:lang w:val="en-US" w:eastAsia="es-MX"/>
        </w:rPr>
        <w:t xml:space="preserve"> Med </w:t>
      </w:r>
      <w:proofErr w:type="spellStart"/>
      <w:r w:rsidRPr="00923FD3">
        <w:rPr>
          <w:lang w:val="en-US" w:eastAsia="es-MX"/>
        </w:rPr>
        <w:t>Pract</w:t>
      </w:r>
      <w:proofErr w:type="spellEnd"/>
      <w:r w:rsidRPr="00923FD3">
        <w:rPr>
          <w:lang w:val="en-US" w:eastAsia="es-MX"/>
        </w:rPr>
        <w:t xml:space="preserve">. </w:t>
      </w:r>
      <w:proofErr w:type="gramStart"/>
      <w:r w:rsidRPr="00923FD3">
        <w:rPr>
          <w:lang w:val="en-US" w:eastAsia="es-MX"/>
        </w:rPr>
        <w:t>2017</w:t>
      </w:r>
      <w:proofErr w:type="gramEnd"/>
      <w:r w:rsidRPr="00923FD3">
        <w:rPr>
          <w:lang w:val="en-US" w:eastAsia="es-MX"/>
        </w:rPr>
        <w:t xml:space="preserve"> [</w:t>
      </w:r>
      <w:proofErr w:type="spellStart"/>
      <w:r w:rsidRPr="00923FD3">
        <w:rPr>
          <w:lang w:val="en-US" w:eastAsia="es-MX"/>
        </w:rPr>
        <w:t>acceso</w:t>
      </w:r>
      <w:proofErr w:type="spellEnd"/>
      <w:r w:rsidRPr="00923FD3">
        <w:rPr>
          <w:lang w:val="en-US" w:eastAsia="es-MX"/>
        </w:rPr>
        <w:t xml:space="preserve">: 01/03/2023]; 19(4):1-24. </w:t>
      </w:r>
      <w:proofErr w:type="spellStart"/>
      <w:r w:rsidRPr="00923FD3">
        <w:rPr>
          <w:lang w:val="en-US" w:eastAsia="es-MX"/>
        </w:rPr>
        <w:t>Disponible</w:t>
      </w:r>
      <w:proofErr w:type="spellEnd"/>
      <w:r w:rsidRPr="00923FD3">
        <w:rPr>
          <w:lang w:val="en-US" w:eastAsia="es-MX"/>
        </w:rPr>
        <w:t xml:space="preserve"> en: </w:t>
      </w:r>
      <w:hyperlink r:id="rId15" w:history="1">
        <w:r w:rsidRPr="00923FD3">
          <w:rPr>
            <w:color w:val="0563C1"/>
            <w:lang w:val="en-US" w:eastAsia="es-MX"/>
          </w:rPr>
          <w:t>https://www.ebmedicine.net/topics/heent/maxillofacial-trauma-facial-injuries</w:t>
        </w:r>
      </w:hyperlink>
      <w:r w:rsidRPr="00923FD3">
        <w:rPr>
          <w:lang w:val="en-US" w:eastAsia="es-MX"/>
        </w:rPr>
        <w:t xml:space="preserve"> </w:t>
      </w:r>
    </w:p>
    <w:p w:rsidR="0096637F" w:rsidRPr="00923FD3" w:rsidRDefault="0096637F" w:rsidP="0096637F">
      <w:pPr>
        <w:spacing w:line="360" w:lineRule="auto"/>
        <w:rPr>
          <w:lang w:val="en-US" w:eastAsia="es-MX"/>
        </w:rPr>
      </w:pPr>
      <w:r w:rsidRPr="00923FD3">
        <w:rPr>
          <w:lang w:val="en-US" w:eastAsia="es-MX"/>
        </w:rPr>
        <w:t xml:space="preserve">3. Xiao-Dong L, </w:t>
      </w:r>
      <w:proofErr w:type="spellStart"/>
      <w:r w:rsidRPr="00923FD3">
        <w:rPr>
          <w:lang w:val="en-US" w:eastAsia="es-MX"/>
        </w:rPr>
        <w:t>Qiu-Xu</w:t>
      </w:r>
      <w:proofErr w:type="spellEnd"/>
      <w:r w:rsidRPr="00923FD3">
        <w:rPr>
          <w:lang w:val="en-US" w:eastAsia="es-MX"/>
        </w:rPr>
        <w:t xml:space="preserve"> W, Wei-Xian L. Epidemiological pattern of maxillofacial fractures in northern China: A retrospective study of 829 cases. Medicine (Baltimore). </w:t>
      </w:r>
      <w:proofErr w:type="gramStart"/>
      <w:r w:rsidRPr="00923FD3">
        <w:rPr>
          <w:lang w:val="en-US" w:eastAsia="es-MX"/>
        </w:rPr>
        <w:t>2020</w:t>
      </w:r>
      <w:proofErr w:type="gramEnd"/>
      <w:r w:rsidRPr="00923FD3">
        <w:rPr>
          <w:lang w:val="en-US" w:eastAsia="es-MX"/>
        </w:rPr>
        <w:t xml:space="preserve">; 99(9):e19299. DOI:  10.10972FMD.0000000000019299 </w:t>
      </w:r>
    </w:p>
    <w:p w:rsidR="0096637F" w:rsidRPr="00923FD3" w:rsidRDefault="0096637F" w:rsidP="0096637F">
      <w:pPr>
        <w:spacing w:line="360" w:lineRule="auto"/>
        <w:rPr>
          <w:lang w:val="en-US" w:eastAsia="es-MX"/>
        </w:rPr>
      </w:pPr>
      <w:r w:rsidRPr="00923FD3">
        <w:rPr>
          <w:lang w:val="en-US" w:eastAsia="es-MX"/>
        </w:rPr>
        <w:t xml:space="preserve">4. Holmes S, Bhatti N, Bhandari R, </w:t>
      </w:r>
      <w:proofErr w:type="spellStart"/>
      <w:r w:rsidRPr="00923FD3">
        <w:rPr>
          <w:lang w:val="en-US" w:eastAsia="es-MX"/>
        </w:rPr>
        <w:t>Chatzopoulou</w:t>
      </w:r>
      <w:proofErr w:type="spellEnd"/>
      <w:r w:rsidRPr="00923FD3">
        <w:rPr>
          <w:lang w:val="en-US" w:eastAsia="es-MX"/>
        </w:rPr>
        <w:t xml:space="preserve"> D. Toward a consensus view in the management of acute facial injuries during the COVID-19 pandemic. Br J Oral </w:t>
      </w:r>
      <w:proofErr w:type="spellStart"/>
      <w:r w:rsidRPr="00923FD3">
        <w:rPr>
          <w:lang w:val="en-US" w:eastAsia="es-MX"/>
        </w:rPr>
        <w:t>Maxillofac</w:t>
      </w:r>
      <w:proofErr w:type="spellEnd"/>
      <w:r w:rsidRPr="00923FD3">
        <w:rPr>
          <w:lang w:val="en-US" w:eastAsia="es-MX"/>
        </w:rPr>
        <w:t xml:space="preserve"> Surg. 2020</w:t>
      </w:r>
      <w:proofErr w:type="gramStart"/>
      <w:r w:rsidRPr="00923FD3">
        <w:rPr>
          <w:lang w:val="en-US" w:eastAsia="es-MX"/>
        </w:rPr>
        <w:t>;</w:t>
      </w:r>
      <w:proofErr w:type="gramEnd"/>
      <w:r w:rsidRPr="00923FD3">
        <w:rPr>
          <w:lang w:val="en-US" w:eastAsia="es-MX"/>
        </w:rPr>
        <w:t xml:space="preserve"> 58(5):571-6. DOI: 10.1016/j.bjoms.2020.03.024</w:t>
      </w:r>
    </w:p>
    <w:p w:rsidR="0096637F" w:rsidRPr="00923FD3" w:rsidRDefault="0096637F" w:rsidP="0096637F">
      <w:pPr>
        <w:spacing w:line="360" w:lineRule="auto"/>
        <w:rPr>
          <w:lang w:val="en-US" w:eastAsia="es-MX"/>
        </w:rPr>
      </w:pPr>
      <w:r w:rsidRPr="00923FD3">
        <w:rPr>
          <w:lang w:val="en-US" w:eastAsia="es-MX"/>
        </w:rPr>
        <w:lastRenderedPageBreak/>
        <w:t xml:space="preserve">5. de </w:t>
      </w:r>
      <w:proofErr w:type="spellStart"/>
      <w:r w:rsidRPr="00923FD3">
        <w:rPr>
          <w:lang w:val="en-US" w:eastAsia="es-MX"/>
        </w:rPr>
        <w:t>Boutray</w:t>
      </w:r>
      <w:proofErr w:type="spellEnd"/>
      <w:r w:rsidRPr="00923FD3">
        <w:rPr>
          <w:lang w:val="en-US" w:eastAsia="es-MX"/>
        </w:rPr>
        <w:t xml:space="preserve"> M, </w:t>
      </w:r>
      <w:proofErr w:type="spellStart"/>
      <w:r w:rsidRPr="00923FD3">
        <w:rPr>
          <w:lang w:val="en-US" w:eastAsia="es-MX"/>
        </w:rPr>
        <w:t>Kün-Darbois</w:t>
      </w:r>
      <w:proofErr w:type="spellEnd"/>
      <w:r w:rsidRPr="00923FD3">
        <w:rPr>
          <w:lang w:val="en-US" w:eastAsia="es-MX"/>
        </w:rPr>
        <w:t xml:space="preserve"> JD, </w:t>
      </w:r>
      <w:proofErr w:type="spellStart"/>
      <w:r w:rsidRPr="00923FD3">
        <w:rPr>
          <w:lang w:val="en-US" w:eastAsia="es-MX"/>
        </w:rPr>
        <w:t>Sigaux</w:t>
      </w:r>
      <w:proofErr w:type="spellEnd"/>
      <w:r w:rsidRPr="00923FD3">
        <w:rPr>
          <w:lang w:val="en-US" w:eastAsia="es-MX"/>
        </w:rPr>
        <w:t xml:space="preserve"> N, Lutz JC, </w:t>
      </w:r>
      <w:proofErr w:type="spellStart"/>
      <w:r w:rsidRPr="00923FD3">
        <w:rPr>
          <w:lang w:val="en-US" w:eastAsia="es-MX"/>
        </w:rPr>
        <w:t>Veyssiere</w:t>
      </w:r>
      <w:proofErr w:type="spellEnd"/>
      <w:r w:rsidRPr="00923FD3">
        <w:rPr>
          <w:lang w:val="en-US" w:eastAsia="es-MX"/>
        </w:rPr>
        <w:t xml:space="preserve"> A, </w:t>
      </w:r>
      <w:proofErr w:type="spellStart"/>
      <w:r w:rsidRPr="00923FD3">
        <w:rPr>
          <w:lang w:val="en-US" w:eastAsia="es-MX"/>
        </w:rPr>
        <w:t>Sesque</w:t>
      </w:r>
      <w:proofErr w:type="spellEnd"/>
      <w:r w:rsidRPr="00923FD3">
        <w:rPr>
          <w:lang w:val="en-US" w:eastAsia="es-MX"/>
        </w:rPr>
        <w:t xml:space="preserve"> A, et al. Impact of the COVID-19 lockdown on the epidemiology of maxillofacial trauma activity: a French multicenter comparative study. </w:t>
      </w:r>
      <w:proofErr w:type="spellStart"/>
      <w:r w:rsidRPr="00923FD3">
        <w:rPr>
          <w:lang w:val="en-US" w:eastAsia="es-MX"/>
        </w:rPr>
        <w:t>Int</w:t>
      </w:r>
      <w:proofErr w:type="spellEnd"/>
      <w:r w:rsidRPr="00923FD3">
        <w:rPr>
          <w:lang w:val="en-US" w:eastAsia="es-MX"/>
        </w:rPr>
        <w:t xml:space="preserve"> J Oral </w:t>
      </w:r>
      <w:proofErr w:type="spellStart"/>
      <w:r w:rsidRPr="00923FD3">
        <w:rPr>
          <w:lang w:val="en-US" w:eastAsia="es-MX"/>
        </w:rPr>
        <w:t>Maxillofac</w:t>
      </w:r>
      <w:proofErr w:type="spellEnd"/>
      <w:r w:rsidRPr="00923FD3">
        <w:rPr>
          <w:lang w:val="en-US" w:eastAsia="es-MX"/>
        </w:rPr>
        <w:t xml:space="preserve"> Surg. 2021</w:t>
      </w:r>
      <w:proofErr w:type="gramStart"/>
      <w:r w:rsidRPr="00923FD3">
        <w:rPr>
          <w:lang w:val="en-US" w:eastAsia="es-MX"/>
        </w:rPr>
        <w:t>;</w:t>
      </w:r>
      <w:proofErr w:type="gramEnd"/>
      <w:r w:rsidRPr="00923FD3">
        <w:rPr>
          <w:lang w:val="en-US" w:eastAsia="es-MX"/>
        </w:rPr>
        <w:t xml:space="preserve"> 50(6):750-55. DOI: 10.1016/j.ijom.2020.10.005</w:t>
      </w:r>
    </w:p>
    <w:p w:rsidR="0096637F" w:rsidRPr="00923FD3" w:rsidRDefault="0096637F" w:rsidP="0096637F">
      <w:pPr>
        <w:spacing w:line="360" w:lineRule="auto"/>
        <w:rPr>
          <w:lang w:val="en-US" w:eastAsia="es-MX"/>
        </w:rPr>
      </w:pPr>
      <w:r w:rsidRPr="00923FD3">
        <w:rPr>
          <w:lang w:val="en-US" w:eastAsia="es-MX"/>
        </w:rPr>
        <w:t xml:space="preserve">6. </w:t>
      </w:r>
      <w:proofErr w:type="spellStart"/>
      <w:r w:rsidRPr="00923FD3">
        <w:rPr>
          <w:lang w:val="en-US" w:eastAsia="es-MX"/>
        </w:rPr>
        <w:t>Thiem</w:t>
      </w:r>
      <w:proofErr w:type="spellEnd"/>
      <w:r w:rsidRPr="00923FD3">
        <w:rPr>
          <w:lang w:val="en-US" w:eastAsia="es-MX"/>
        </w:rPr>
        <w:t xml:space="preserve"> DGE, </w:t>
      </w:r>
      <w:proofErr w:type="spellStart"/>
      <w:r w:rsidRPr="00923FD3">
        <w:rPr>
          <w:lang w:val="en-US" w:eastAsia="es-MX"/>
        </w:rPr>
        <w:t>Polsak</w:t>
      </w:r>
      <w:proofErr w:type="spellEnd"/>
      <w:r w:rsidRPr="00923FD3">
        <w:rPr>
          <w:lang w:val="en-US" w:eastAsia="es-MX"/>
        </w:rPr>
        <w:t xml:space="preserve"> M, </w:t>
      </w:r>
      <w:proofErr w:type="spellStart"/>
      <w:r w:rsidRPr="00923FD3">
        <w:rPr>
          <w:lang w:val="en-US" w:eastAsia="es-MX"/>
        </w:rPr>
        <w:t>Römer</w:t>
      </w:r>
      <w:proofErr w:type="spellEnd"/>
      <w:r w:rsidRPr="00923FD3">
        <w:rPr>
          <w:lang w:val="en-US" w:eastAsia="es-MX"/>
        </w:rPr>
        <w:t xml:space="preserve"> P, </w:t>
      </w:r>
      <w:proofErr w:type="spellStart"/>
      <w:r w:rsidRPr="00923FD3">
        <w:rPr>
          <w:lang w:val="en-US" w:eastAsia="es-MX"/>
        </w:rPr>
        <w:t>Gielisch</w:t>
      </w:r>
      <w:proofErr w:type="spellEnd"/>
      <w:r w:rsidRPr="00923FD3">
        <w:rPr>
          <w:lang w:val="en-US" w:eastAsia="es-MX"/>
        </w:rPr>
        <w:t xml:space="preserve"> M, Blatt S, Al‑</w:t>
      </w:r>
      <w:proofErr w:type="spellStart"/>
      <w:r w:rsidRPr="00923FD3">
        <w:rPr>
          <w:lang w:val="en-US" w:eastAsia="es-MX"/>
        </w:rPr>
        <w:t>Nawas</w:t>
      </w:r>
      <w:proofErr w:type="spellEnd"/>
      <w:r w:rsidRPr="00923FD3">
        <w:rPr>
          <w:lang w:val="en-US" w:eastAsia="es-MX"/>
        </w:rPr>
        <w:t xml:space="preserve"> B, et al. The impact of the COVID‑19 pandemic on the dental‑maxillofacial emergency service of a German university hospital in the year 2020. </w:t>
      </w:r>
      <w:proofErr w:type="spellStart"/>
      <w:r w:rsidRPr="00923FD3">
        <w:rPr>
          <w:lang w:val="en-US" w:eastAsia="es-MX"/>
        </w:rPr>
        <w:t>Clin</w:t>
      </w:r>
      <w:proofErr w:type="spellEnd"/>
      <w:r w:rsidRPr="00923FD3">
        <w:rPr>
          <w:lang w:val="en-US" w:eastAsia="es-MX"/>
        </w:rPr>
        <w:t xml:space="preserve"> Oral Inv. 2022</w:t>
      </w:r>
      <w:proofErr w:type="gramStart"/>
      <w:r w:rsidRPr="00923FD3">
        <w:rPr>
          <w:lang w:val="en-US" w:eastAsia="es-MX"/>
        </w:rPr>
        <w:t>;</w:t>
      </w:r>
      <w:proofErr w:type="gramEnd"/>
      <w:r w:rsidRPr="00923FD3">
        <w:rPr>
          <w:lang w:val="en-US" w:eastAsia="es-MX"/>
        </w:rPr>
        <w:t xml:space="preserve"> 26(1):385–95. DOI: 10.1007/s00784-021-04010-7 </w:t>
      </w:r>
    </w:p>
    <w:p w:rsidR="0096637F" w:rsidRPr="00923FD3" w:rsidRDefault="0096637F" w:rsidP="0096637F">
      <w:pPr>
        <w:spacing w:line="360" w:lineRule="auto"/>
        <w:rPr>
          <w:lang w:val="en-US" w:eastAsia="es-MX"/>
        </w:rPr>
      </w:pPr>
      <w:r w:rsidRPr="00923FD3">
        <w:rPr>
          <w:lang w:val="en-US" w:eastAsia="es-MX"/>
        </w:rPr>
        <w:t xml:space="preserve">7. </w:t>
      </w:r>
      <w:proofErr w:type="spellStart"/>
      <w:r w:rsidRPr="00923FD3">
        <w:rPr>
          <w:lang w:val="en-US" w:eastAsia="es-MX"/>
        </w:rPr>
        <w:t>Nhongo</w:t>
      </w:r>
      <w:proofErr w:type="spellEnd"/>
      <w:r w:rsidRPr="00923FD3">
        <w:rPr>
          <w:lang w:val="en-US" w:eastAsia="es-MX"/>
        </w:rPr>
        <w:t xml:space="preserve"> SS, </w:t>
      </w:r>
      <w:proofErr w:type="spellStart"/>
      <w:r w:rsidRPr="00923FD3">
        <w:rPr>
          <w:lang w:val="en-US" w:eastAsia="es-MX"/>
        </w:rPr>
        <w:t>Sklavos</w:t>
      </w:r>
      <w:proofErr w:type="spellEnd"/>
      <w:r w:rsidRPr="00923FD3">
        <w:rPr>
          <w:lang w:val="en-US" w:eastAsia="es-MX"/>
        </w:rPr>
        <w:t xml:space="preserve"> A, Lee K, Chan STF, Austin S. The changing face of maxillofacial trauma during the 2020 COVID‑19 lockdowns in Melbourne, Australia. Oral </w:t>
      </w:r>
      <w:proofErr w:type="spellStart"/>
      <w:r w:rsidRPr="00923FD3">
        <w:rPr>
          <w:lang w:val="en-US" w:eastAsia="es-MX"/>
        </w:rPr>
        <w:t>Maxillofac</w:t>
      </w:r>
      <w:proofErr w:type="spellEnd"/>
      <w:r w:rsidRPr="00923FD3">
        <w:rPr>
          <w:lang w:val="en-US" w:eastAsia="es-MX"/>
        </w:rPr>
        <w:t xml:space="preserve"> Surgery. </w:t>
      </w:r>
      <w:proofErr w:type="gramStart"/>
      <w:r w:rsidRPr="00923FD3">
        <w:rPr>
          <w:lang w:val="en-US" w:eastAsia="es-MX"/>
        </w:rPr>
        <w:t>2023</w:t>
      </w:r>
      <w:proofErr w:type="gramEnd"/>
      <w:r w:rsidRPr="00923FD3">
        <w:rPr>
          <w:lang w:val="en-US" w:eastAsia="es-MX"/>
        </w:rPr>
        <w:t>; 27(1):125-30. DOI: 10.1007/s10006-022-01041-6</w:t>
      </w:r>
    </w:p>
    <w:p w:rsidR="0096637F" w:rsidRPr="00923FD3" w:rsidRDefault="0096637F" w:rsidP="0096637F">
      <w:pPr>
        <w:spacing w:line="360" w:lineRule="auto"/>
        <w:rPr>
          <w:lang w:val="en-US" w:eastAsia="es-MX"/>
        </w:rPr>
      </w:pPr>
      <w:r w:rsidRPr="00923FD3">
        <w:rPr>
          <w:lang w:val="en-US" w:eastAsia="es-MX"/>
        </w:rPr>
        <w:t xml:space="preserve">8. Yu-Ting Y, </w:t>
      </w:r>
      <w:proofErr w:type="spellStart"/>
      <w:r w:rsidRPr="00923FD3">
        <w:rPr>
          <w:lang w:val="en-US" w:eastAsia="es-MX"/>
        </w:rPr>
        <w:t>Xin</w:t>
      </w:r>
      <w:proofErr w:type="spellEnd"/>
      <w:r w:rsidRPr="00923FD3">
        <w:rPr>
          <w:lang w:val="en-US" w:eastAsia="es-MX"/>
        </w:rPr>
        <w:t xml:space="preserve"> X, </w:t>
      </w:r>
      <w:proofErr w:type="spellStart"/>
      <w:r w:rsidRPr="00923FD3">
        <w:rPr>
          <w:lang w:val="en-US" w:eastAsia="es-MX"/>
        </w:rPr>
        <w:t>Senjeet</w:t>
      </w:r>
      <w:proofErr w:type="spellEnd"/>
      <w:r w:rsidRPr="00923FD3">
        <w:rPr>
          <w:lang w:val="en-US" w:eastAsia="es-MX"/>
        </w:rPr>
        <w:t xml:space="preserve"> S, </w:t>
      </w:r>
      <w:proofErr w:type="spellStart"/>
      <w:r w:rsidRPr="00923FD3">
        <w:rPr>
          <w:lang w:val="en-US" w:eastAsia="es-MX"/>
        </w:rPr>
        <w:t>Zhi</w:t>
      </w:r>
      <w:proofErr w:type="spellEnd"/>
      <w:r w:rsidRPr="00923FD3">
        <w:rPr>
          <w:lang w:val="en-US" w:eastAsia="es-MX"/>
        </w:rPr>
        <w:t xml:space="preserve"> L. Impact of Transmission Control Measures on the Epidemiology of Maxillofacial Injuries in Wuhan City </w:t>
      </w:r>
      <w:proofErr w:type="gramStart"/>
      <w:r w:rsidRPr="00923FD3">
        <w:rPr>
          <w:lang w:val="en-US" w:eastAsia="es-MX"/>
        </w:rPr>
        <w:t>During</w:t>
      </w:r>
      <w:proofErr w:type="gramEnd"/>
      <w:r w:rsidRPr="00923FD3">
        <w:rPr>
          <w:lang w:val="en-US" w:eastAsia="es-MX"/>
        </w:rPr>
        <w:t xml:space="preserve"> the COVID-19 Epidemic. J </w:t>
      </w:r>
      <w:proofErr w:type="spellStart"/>
      <w:r w:rsidRPr="00923FD3">
        <w:rPr>
          <w:lang w:val="en-US" w:eastAsia="es-MX"/>
        </w:rPr>
        <w:t>Craniofac</w:t>
      </w:r>
      <w:proofErr w:type="spellEnd"/>
      <w:r w:rsidRPr="00923FD3">
        <w:rPr>
          <w:lang w:val="en-US" w:eastAsia="es-MX"/>
        </w:rPr>
        <w:t xml:space="preserve"> Surgery. </w:t>
      </w:r>
      <w:proofErr w:type="gramStart"/>
      <w:r w:rsidRPr="00923FD3">
        <w:rPr>
          <w:lang w:val="en-US" w:eastAsia="es-MX"/>
        </w:rPr>
        <w:t>2021</w:t>
      </w:r>
      <w:proofErr w:type="gramEnd"/>
      <w:r w:rsidRPr="00923FD3">
        <w:rPr>
          <w:lang w:val="en-US" w:eastAsia="es-MX"/>
        </w:rPr>
        <w:t xml:space="preserve">; 32(4):1381-4. DOI: 10.1097/SCS.0000000000007427 </w:t>
      </w:r>
    </w:p>
    <w:p w:rsidR="0096637F" w:rsidRPr="00923FD3" w:rsidRDefault="0096637F" w:rsidP="0096637F">
      <w:pPr>
        <w:spacing w:line="360" w:lineRule="auto"/>
        <w:rPr>
          <w:lang w:val="en-US" w:eastAsia="es-MX"/>
        </w:rPr>
      </w:pPr>
      <w:r w:rsidRPr="00923FD3">
        <w:rPr>
          <w:lang w:val="en-US" w:eastAsia="es-MX"/>
        </w:rPr>
        <w:t xml:space="preserve">9. </w:t>
      </w:r>
      <w:proofErr w:type="spellStart"/>
      <w:r w:rsidRPr="00923FD3">
        <w:rPr>
          <w:lang w:val="en-US" w:eastAsia="es-MX"/>
        </w:rPr>
        <w:t>Haapanen</w:t>
      </w:r>
      <w:proofErr w:type="spellEnd"/>
      <w:r w:rsidRPr="00923FD3">
        <w:rPr>
          <w:lang w:val="en-US" w:eastAsia="es-MX"/>
        </w:rPr>
        <w:t xml:space="preserve"> A, </w:t>
      </w:r>
      <w:proofErr w:type="spellStart"/>
      <w:r w:rsidRPr="00923FD3">
        <w:rPr>
          <w:lang w:val="en-US" w:eastAsia="es-MX"/>
        </w:rPr>
        <w:t>Furuholm</w:t>
      </w:r>
      <w:proofErr w:type="spellEnd"/>
      <w:r w:rsidRPr="00923FD3">
        <w:rPr>
          <w:lang w:val="en-US" w:eastAsia="es-MX"/>
        </w:rPr>
        <w:t xml:space="preserve"> J, </w:t>
      </w:r>
      <w:proofErr w:type="spellStart"/>
      <w:r w:rsidRPr="00923FD3">
        <w:rPr>
          <w:lang w:val="en-US" w:eastAsia="es-MX"/>
        </w:rPr>
        <w:t>Uittamo</w:t>
      </w:r>
      <w:proofErr w:type="spellEnd"/>
      <w:r w:rsidRPr="00923FD3">
        <w:rPr>
          <w:lang w:val="en-US" w:eastAsia="es-MX"/>
        </w:rPr>
        <w:t xml:space="preserve"> J, </w:t>
      </w:r>
      <w:proofErr w:type="spellStart"/>
      <w:r w:rsidRPr="00923FD3">
        <w:rPr>
          <w:lang w:val="en-US" w:eastAsia="es-MX"/>
        </w:rPr>
        <w:t>Snäll</w:t>
      </w:r>
      <w:proofErr w:type="spellEnd"/>
      <w:r w:rsidRPr="00923FD3">
        <w:rPr>
          <w:lang w:val="en-US" w:eastAsia="es-MX"/>
        </w:rPr>
        <w:t xml:space="preserve"> J. Effect of social distancing during the COVID-19 pandemic on the occurrence of maxillofacial fractures in a Finnish Tertiary Trauma Centre. </w:t>
      </w:r>
      <w:proofErr w:type="spellStart"/>
      <w:r w:rsidRPr="00923FD3">
        <w:rPr>
          <w:lang w:val="en-US" w:eastAsia="es-MX"/>
        </w:rPr>
        <w:t>Acta</w:t>
      </w:r>
      <w:proofErr w:type="spellEnd"/>
      <w:r w:rsidRPr="00923FD3">
        <w:rPr>
          <w:lang w:val="en-US" w:eastAsia="es-MX"/>
        </w:rPr>
        <w:t xml:space="preserve"> </w:t>
      </w:r>
      <w:proofErr w:type="spellStart"/>
      <w:r w:rsidRPr="00923FD3">
        <w:rPr>
          <w:lang w:val="en-US" w:eastAsia="es-MX"/>
        </w:rPr>
        <w:t>Odontol</w:t>
      </w:r>
      <w:proofErr w:type="spellEnd"/>
      <w:r w:rsidRPr="00923FD3">
        <w:rPr>
          <w:lang w:val="en-US" w:eastAsia="es-MX"/>
        </w:rPr>
        <w:t xml:space="preserve"> </w:t>
      </w:r>
      <w:proofErr w:type="spellStart"/>
      <w:r w:rsidRPr="00923FD3">
        <w:rPr>
          <w:lang w:val="en-US" w:eastAsia="es-MX"/>
        </w:rPr>
        <w:t>Scandinavica</w:t>
      </w:r>
      <w:proofErr w:type="spellEnd"/>
      <w:r w:rsidRPr="00923FD3">
        <w:rPr>
          <w:lang w:val="en-US" w:eastAsia="es-MX"/>
        </w:rPr>
        <w:t xml:space="preserve">. </w:t>
      </w:r>
      <w:proofErr w:type="gramStart"/>
      <w:r w:rsidRPr="00923FD3">
        <w:rPr>
          <w:lang w:val="en-US" w:eastAsia="es-MX"/>
        </w:rPr>
        <w:t>2022</w:t>
      </w:r>
      <w:proofErr w:type="gramEnd"/>
      <w:r w:rsidRPr="00923FD3">
        <w:rPr>
          <w:lang w:val="en-US" w:eastAsia="es-MX"/>
        </w:rPr>
        <w:t xml:space="preserve">; 80(2):157-60. DOI: 10.1080/00016357.2021.1979643 </w:t>
      </w:r>
    </w:p>
    <w:p w:rsidR="0096637F" w:rsidRPr="00923FD3" w:rsidRDefault="0096637F" w:rsidP="0096637F">
      <w:pPr>
        <w:spacing w:line="360" w:lineRule="auto"/>
        <w:rPr>
          <w:lang w:val="en-US" w:eastAsia="es-MX"/>
        </w:rPr>
      </w:pPr>
      <w:r w:rsidRPr="00923FD3">
        <w:rPr>
          <w:lang w:val="en-US" w:eastAsia="es-MX"/>
        </w:rPr>
        <w:t xml:space="preserve">10. Vishal, Prakash O, </w:t>
      </w:r>
      <w:proofErr w:type="spellStart"/>
      <w:r w:rsidRPr="00923FD3">
        <w:rPr>
          <w:lang w:val="en-US" w:eastAsia="es-MX"/>
        </w:rPr>
        <w:t>Rohit</w:t>
      </w:r>
      <w:proofErr w:type="spellEnd"/>
      <w:r w:rsidRPr="00923FD3">
        <w:rPr>
          <w:lang w:val="en-US" w:eastAsia="es-MX"/>
        </w:rPr>
        <w:t xml:space="preserve">, </w:t>
      </w:r>
      <w:proofErr w:type="spellStart"/>
      <w:r w:rsidRPr="00923FD3">
        <w:rPr>
          <w:lang w:val="en-US" w:eastAsia="es-MX"/>
        </w:rPr>
        <w:t>Prajapati</w:t>
      </w:r>
      <w:proofErr w:type="spellEnd"/>
      <w:r w:rsidRPr="00923FD3">
        <w:rPr>
          <w:lang w:val="en-US" w:eastAsia="es-MX"/>
        </w:rPr>
        <w:t xml:space="preserve"> VK, </w:t>
      </w:r>
      <w:proofErr w:type="spellStart"/>
      <w:r w:rsidRPr="00923FD3">
        <w:rPr>
          <w:lang w:val="en-US" w:eastAsia="es-MX"/>
        </w:rPr>
        <w:t>Shahi</w:t>
      </w:r>
      <w:proofErr w:type="spellEnd"/>
      <w:r w:rsidRPr="00923FD3">
        <w:rPr>
          <w:lang w:val="en-US" w:eastAsia="es-MX"/>
        </w:rPr>
        <w:t xml:space="preserve"> AK, </w:t>
      </w:r>
      <w:proofErr w:type="spellStart"/>
      <w:r w:rsidRPr="00923FD3">
        <w:rPr>
          <w:lang w:val="en-US" w:eastAsia="es-MX"/>
        </w:rPr>
        <w:t>Khaitan</w:t>
      </w:r>
      <w:proofErr w:type="spellEnd"/>
      <w:r w:rsidRPr="00923FD3">
        <w:rPr>
          <w:lang w:val="en-US" w:eastAsia="es-MX"/>
        </w:rPr>
        <w:t xml:space="preserve"> T. Incidence of Maxillofacial Trauma Amid COVID-19: A Comparative Study. J </w:t>
      </w:r>
      <w:proofErr w:type="spellStart"/>
      <w:r w:rsidRPr="00923FD3">
        <w:rPr>
          <w:lang w:val="en-US" w:eastAsia="es-MX"/>
        </w:rPr>
        <w:t>Maxillofac</w:t>
      </w:r>
      <w:proofErr w:type="spellEnd"/>
      <w:r w:rsidRPr="00923FD3">
        <w:rPr>
          <w:lang w:val="en-US" w:eastAsia="es-MX"/>
        </w:rPr>
        <w:t xml:space="preserve"> Oral Surg. 2022; 21:420-25. DOI: 10.1007/s12663-020-01484-y</w:t>
      </w:r>
    </w:p>
    <w:p w:rsidR="0096637F" w:rsidRPr="00923FD3" w:rsidRDefault="0096637F" w:rsidP="0096637F">
      <w:pPr>
        <w:spacing w:line="360" w:lineRule="auto"/>
        <w:rPr>
          <w:lang w:val="en-US" w:eastAsia="es-MX"/>
        </w:rPr>
      </w:pPr>
      <w:r w:rsidRPr="00923FD3">
        <w:rPr>
          <w:lang w:val="en-US" w:eastAsia="es-MX"/>
        </w:rPr>
        <w:t xml:space="preserve">11. Ismail PTIB, Samson A, </w:t>
      </w:r>
      <w:proofErr w:type="spellStart"/>
      <w:r w:rsidRPr="00923FD3">
        <w:rPr>
          <w:lang w:val="en-US" w:eastAsia="es-MX"/>
        </w:rPr>
        <w:t>Soumithran</w:t>
      </w:r>
      <w:proofErr w:type="spellEnd"/>
      <w:r w:rsidRPr="00923FD3">
        <w:rPr>
          <w:lang w:val="en-US" w:eastAsia="es-MX"/>
        </w:rPr>
        <w:t xml:space="preserve"> CS, David </w:t>
      </w:r>
      <w:proofErr w:type="spellStart"/>
      <w:r w:rsidRPr="00923FD3">
        <w:rPr>
          <w:lang w:val="en-US" w:eastAsia="es-MX"/>
        </w:rPr>
        <w:t>Tharakan</w:t>
      </w:r>
      <w:proofErr w:type="spellEnd"/>
      <w:r w:rsidRPr="00923FD3">
        <w:rPr>
          <w:lang w:val="en-US" w:eastAsia="es-MX"/>
        </w:rPr>
        <w:t xml:space="preserve"> KR, </w:t>
      </w:r>
      <w:proofErr w:type="spellStart"/>
      <w:r w:rsidRPr="00923FD3">
        <w:rPr>
          <w:lang w:val="en-US" w:eastAsia="es-MX"/>
        </w:rPr>
        <w:t>Fasalulla</w:t>
      </w:r>
      <w:proofErr w:type="spellEnd"/>
      <w:r w:rsidRPr="00923FD3">
        <w:rPr>
          <w:lang w:val="en-US" w:eastAsia="es-MX"/>
        </w:rPr>
        <w:t xml:space="preserve"> O, </w:t>
      </w:r>
      <w:proofErr w:type="spellStart"/>
      <w:r w:rsidRPr="00923FD3">
        <w:rPr>
          <w:lang w:val="en-US" w:eastAsia="es-MX"/>
        </w:rPr>
        <w:t>Prem</w:t>
      </w:r>
      <w:proofErr w:type="spellEnd"/>
      <w:r w:rsidRPr="00923FD3">
        <w:rPr>
          <w:lang w:val="en-US" w:eastAsia="es-MX"/>
        </w:rPr>
        <w:t xml:space="preserve"> NS. Impact of Covid-19 lockdown measures on the burden of maxillofacial trauma cases: A record-based comparative study. </w:t>
      </w:r>
      <w:proofErr w:type="spellStart"/>
      <w:r w:rsidRPr="00923FD3">
        <w:rPr>
          <w:lang w:val="en-US" w:eastAsia="es-MX"/>
        </w:rPr>
        <w:t>Int</w:t>
      </w:r>
      <w:proofErr w:type="spellEnd"/>
      <w:r w:rsidRPr="00923FD3">
        <w:rPr>
          <w:lang w:val="en-US" w:eastAsia="es-MX"/>
        </w:rPr>
        <w:t xml:space="preserve"> J Oral Care Res. 2021; 9:18-22. DOI: 10.4103/INJO.INJO_1_21</w:t>
      </w:r>
    </w:p>
    <w:p w:rsidR="0096637F" w:rsidRPr="00923FD3" w:rsidRDefault="0096637F" w:rsidP="0096637F">
      <w:pPr>
        <w:spacing w:line="360" w:lineRule="auto"/>
        <w:rPr>
          <w:lang w:eastAsia="es-MX"/>
        </w:rPr>
      </w:pPr>
      <w:r w:rsidRPr="00923FD3">
        <w:rPr>
          <w:lang w:val="en-US" w:eastAsia="es-MX"/>
        </w:rPr>
        <w:t xml:space="preserve">12. Philip G, Dominic S, </w:t>
      </w:r>
      <w:proofErr w:type="spellStart"/>
      <w:r w:rsidRPr="00923FD3">
        <w:rPr>
          <w:lang w:val="en-US" w:eastAsia="es-MX"/>
        </w:rPr>
        <w:t>Poorna</w:t>
      </w:r>
      <w:proofErr w:type="spellEnd"/>
      <w:r w:rsidRPr="00923FD3">
        <w:rPr>
          <w:lang w:val="en-US" w:eastAsia="es-MX"/>
        </w:rPr>
        <w:t xml:space="preserve"> A, </w:t>
      </w:r>
      <w:proofErr w:type="spellStart"/>
      <w:r w:rsidRPr="00923FD3">
        <w:rPr>
          <w:lang w:val="en-US" w:eastAsia="es-MX"/>
        </w:rPr>
        <w:t>Joshna</w:t>
      </w:r>
      <w:proofErr w:type="spellEnd"/>
      <w:r w:rsidRPr="00923FD3">
        <w:rPr>
          <w:lang w:val="en-US" w:eastAsia="es-MX"/>
        </w:rPr>
        <w:t xml:space="preserve"> EK. Pattern of maxillofacial fractures in a Tertiary Referral Centre in Central Kerala - A comparison between the Pre-COVID and COVID periods. </w:t>
      </w:r>
      <w:r w:rsidRPr="00923FD3">
        <w:rPr>
          <w:lang w:eastAsia="es-MX"/>
        </w:rPr>
        <w:t xml:space="preserve">J Oral </w:t>
      </w:r>
      <w:proofErr w:type="spellStart"/>
      <w:r w:rsidRPr="00923FD3">
        <w:rPr>
          <w:lang w:eastAsia="es-MX"/>
        </w:rPr>
        <w:t>Biol</w:t>
      </w:r>
      <w:proofErr w:type="spellEnd"/>
      <w:r w:rsidRPr="00923FD3">
        <w:rPr>
          <w:lang w:eastAsia="es-MX"/>
        </w:rPr>
        <w:t xml:space="preserve"> </w:t>
      </w:r>
      <w:proofErr w:type="spellStart"/>
      <w:r w:rsidRPr="00923FD3">
        <w:rPr>
          <w:lang w:eastAsia="es-MX"/>
        </w:rPr>
        <w:t>Craniofac</w:t>
      </w:r>
      <w:proofErr w:type="spellEnd"/>
      <w:r w:rsidRPr="00923FD3">
        <w:rPr>
          <w:lang w:eastAsia="es-MX"/>
        </w:rPr>
        <w:t xml:space="preserve"> Res. 2022; 12(1):45-8. DOI: 10.1016/j.jobcr.2021.09.021</w:t>
      </w:r>
    </w:p>
    <w:p w:rsidR="0096637F" w:rsidRPr="00923FD3" w:rsidRDefault="0096637F" w:rsidP="0096637F">
      <w:pPr>
        <w:spacing w:line="360" w:lineRule="auto"/>
        <w:rPr>
          <w:lang w:val="en-US" w:eastAsia="es-MX"/>
        </w:rPr>
      </w:pPr>
      <w:r w:rsidRPr="00923FD3">
        <w:rPr>
          <w:lang w:eastAsia="es-MX"/>
        </w:rPr>
        <w:t xml:space="preserve">13. </w:t>
      </w:r>
      <w:proofErr w:type="spellStart"/>
      <w:r w:rsidRPr="00923FD3">
        <w:rPr>
          <w:lang w:eastAsia="es-MX"/>
        </w:rPr>
        <w:t>Salzano</w:t>
      </w:r>
      <w:proofErr w:type="spellEnd"/>
      <w:r w:rsidRPr="00923FD3">
        <w:rPr>
          <w:lang w:eastAsia="es-MX"/>
        </w:rPr>
        <w:t xml:space="preserve"> G, </w:t>
      </w:r>
      <w:proofErr w:type="spellStart"/>
      <w:r w:rsidRPr="00923FD3">
        <w:rPr>
          <w:lang w:eastAsia="es-MX"/>
        </w:rPr>
        <w:t>Dell’Aversana</w:t>
      </w:r>
      <w:proofErr w:type="spellEnd"/>
      <w:r w:rsidRPr="00923FD3">
        <w:rPr>
          <w:lang w:eastAsia="es-MX"/>
        </w:rPr>
        <w:t xml:space="preserve"> G, </w:t>
      </w:r>
      <w:proofErr w:type="spellStart"/>
      <w:r w:rsidRPr="00923FD3">
        <w:rPr>
          <w:lang w:eastAsia="es-MX"/>
        </w:rPr>
        <w:t>Audino</w:t>
      </w:r>
      <w:proofErr w:type="spellEnd"/>
      <w:r w:rsidRPr="00923FD3">
        <w:rPr>
          <w:lang w:eastAsia="es-MX"/>
        </w:rPr>
        <w:t xml:space="preserve"> G, </w:t>
      </w:r>
      <w:proofErr w:type="spellStart"/>
      <w:r w:rsidRPr="00923FD3">
        <w:rPr>
          <w:lang w:eastAsia="es-MX"/>
        </w:rPr>
        <w:t>Vaira</w:t>
      </w:r>
      <w:proofErr w:type="spellEnd"/>
      <w:r w:rsidRPr="00923FD3">
        <w:rPr>
          <w:lang w:eastAsia="es-MX"/>
        </w:rPr>
        <w:t xml:space="preserve"> LA, </w:t>
      </w:r>
      <w:proofErr w:type="spellStart"/>
      <w:r w:rsidRPr="00923FD3">
        <w:rPr>
          <w:lang w:eastAsia="es-MX"/>
        </w:rPr>
        <w:t>Trevisiol</w:t>
      </w:r>
      <w:proofErr w:type="spellEnd"/>
      <w:r w:rsidRPr="00923FD3">
        <w:rPr>
          <w:lang w:eastAsia="es-MX"/>
        </w:rPr>
        <w:t xml:space="preserve"> L, </w:t>
      </w:r>
      <w:proofErr w:type="spellStart"/>
      <w:r w:rsidRPr="00923FD3">
        <w:rPr>
          <w:lang w:eastAsia="es-MX"/>
        </w:rPr>
        <w:t>D’Agostino</w:t>
      </w:r>
      <w:proofErr w:type="spellEnd"/>
      <w:r w:rsidRPr="00923FD3">
        <w:rPr>
          <w:lang w:eastAsia="es-MX"/>
        </w:rPr>
        <w:t xml:space="preserve"> A, et al. </w:t>
      </w:r>
      <w:r w:rsidRPr="00923FD3">
        <w:rPr>
          <w:lang w:val="en-US" w:eastAsia="es-MX"/>
        </w:rPr>
        <w:t xml:space="preserve">Have There Been any Changes in the Epidemiology and Etiology of Maxillofacial Trauma During the COVID-19 Pandemic? An Italian Multicenter Study. J </w:t>
      </w:r>
      <w:proofErr w:type="spellStart"/>
      <w:r w:rsidRPr="00923FD3">
        <w:rPr>
          <w:lang w:val="en-US" w:eastAsia="es-MX"/>
        </w:rPr>
        <w:t>Craniofac</w:t>
      </w:r>
      <w:proofErr w:type="spellEnd"/>
      <w:r w:rsidRPr="00923FD3">
        <w:rPr>
          <w:lang w:val="en-US" w:eastAsia="es-MX"/>
        </w:rPr>
        <w:t xml:space="preserve"> Surgery. </w:t>
      </w:r>
      <w:proofErr w:type="gramStart"/>
      <w:r w:rsidRPr="00923FD3">
        <w:rPr>
          <w:lang w:val="en-US" w:eastAsia="es-MX"/>
        </w:rPr>
        <w:t>2021</w:t>
      </w:r>
      <w:proofErr w:type="gramEnd"/>
      <w:r w:rsidRPr="00923FD3">
        <w:rPr>
          <w:lang w:val="en-US" w:eastAsia="es-MX"/>
        </w:rPr>
        <w:t>; 32(4):1445. DOI: 10.1097/SCS.0000000000007253</w:t>
      </w:r>
    </w:p>
    <w:p w:rsidR="0096637F" w:rsidRPr="00923FD3" w:rsidRDefault="0096637F" w:rsidP="0096637F">
      <w:pPr>
        <w:spacing w:line="360" w:lineRule="auto"/>
        <w:rPr>
          <w:lang w:eastAsia="es-MX"/>
        </w:rPr>
      </w:pPr>
      <w:r w:rsidRPr="00923FD3">
        <w:rPr>
          <w:lang w:val="en-US" w:eastAsia="es-MX"/>
        </w:rPr>
        <w:lastRenderedPageBreak/>
        <w:t xml:space="preserve">14. </w:t>
      </w:r>
      <w:proofErr w:type="spellStart"/>
      <w:r w:rsidRPr="00923FD3">
        <w:rPr>
          <w:lang w:val="en-US" w:eastAsia="es-MX"/>
        </w:rPr>
        <w:t>Canzi</w:t>
      </w:r>
      <w:proofErr w:type="spellEnd"/>
      <w:r w:rsidRPr="00923FD3">
        <w:rPr>
          <w:lang w:val="en-US" w:eastAsia="es-MX"/>
        </w:rPr>
        <w:t xml:space="preserve"> G, De </w:t>
      </w:r>
      <w:proofErr w:type="spellStart"/>
      <w:r w:rsidRPr="00923FD3">
        <w:rPr>
          <w:lang w:val="en-US" w:eastAsia="es-MX"/>
        </w:rPr>
        <w:t>Ponti</w:t>
      </w:r>
      <w:proofErr w:type="spellEnd"/>
      <w:r w:rsidRPr="00923FD3">
        <w:rPr>
          <w:lang w:val="en-US" w:eastAsia="es-MX"/>
        </w:rPr>
        <w:t xml:space="preserve"> E, </w:t>
      </w:r>
      <w:proofErr w:type="spellStart"/>
      <w:r w:rsidRPr="00923FD3">
        <w:rPr>
          <w:lang w:val="en-US" w:eastAsia="es-MX"/>
        </w:rPr>
        <w:t>Corradi</w:t>
      </w:r>
      <w:proofErr w:type="spellEnd"/>
      <w:r w:rsidRPr="00923FD3">
        <w:rPr>
          <w:lang w:val="en-US" w:eastAsia="es-MX"/>
        </w:rPr>
        <w:t xml:space="preserve"> F, </w:t>
      </w:r>
      <w:proofErr w:type="spellStart"/>
      <w:r w:rsidRPr="00923FD3">
        <w:rPr>
          <w:lang w:val="en-US" w:eastAsia="es-MX"/>
        </w:rPr>
        <w:t>Bini</w:t>
      </w:r>
      <w:proofErr w:type="spellEnd"/>
      <w:r w:rsidRPr="00923FD3">
        <w:rPr>
          <w:lang w:val="en-US" w:eastAsia="es-MX"/>
        </w:rPr>
        <w:t xml:space="preserve"> R, </w:t>
      </w:r>
      <w:proofErr w:type="spellStart"/>
      <w:r w:rsidRPr="00923FD3">
        <w:rPr>
          <w:lang w:val="en-US" w:eastAsia="es-MX"/>
        </w:rPr>
        <w:t>Novelli</w:t>
      </w:r>
      <w:proofErr w:type="spellEnd"/>
      <w:r w:rsidRPr="00923FD3">
        <w:rPr>
          <w:lang w:val="en-US" w:eastAsia="es-MX"/>
        </w:rPr>
        <w:t xml:space="preserve"> G, </w:t>
      </w:r>
      <w:proofErr w:type="spellStart"/>
      <w:r w:rsidRPr="00923FD3">
        <w:rPr>
          <w:lang w:val="en-US" w:eastAsia="es-MX"/>
        </w:rPr>
        <w:t>Bozzetti</w:t>
      </w:r>
      <w:proofErr w:type="spellEnd"/>
      <w:r w:rsidRPr="00923FD3">
        <w:rPr>
          <w:lang w:val="en-US" w:eastAsia="es-MX"/>
        </w:rPr>
        <w:t xml:space="preserve"> A. Epidemiology of </w:t>
      </w:r>
      <w:proofErr w:type="spellStart"/>
      <w:r w:rsidRPr="00923FD3">
        <w:rPr>
          <w:lang w:val="en-US" w:eastAsia="es-MX"/>
        </w:rPr>
        <w:t>Maxillo</w:t>
      </w:r>
      <w:proofErr w:type="spellEnd"/>
      <w:r w:rsidRPr="00923FD3">
        <w:rPr>
          <w:lang w:val="en-US" w:eastAsia="es-MX"/>
        </w:rPr>
        <w:t xml:space="preserve">-Facial Trauma During COVID-19 Lockdown: Reports From the Hub Trauma Center in Milan. </w:t>
      </w:r>
      <w:proofErr w:type="spellStart"/>
      <w:r w:rsidRPr="00923FD3">
        <w:rPr>
          <w:lang w:eastAsia="es-MX"/>
        </w:rPr>
        <w:t>Craniomaxillofacial</w:t>
      </w:r>
      <w:proofErr w:type="spellEnd"/>
      <w:r w:rsidRPr="00923FD3">
        <w:rPr>
          <w:lang w:eastAsia="es-MX"/>
        </w:rPr>
        <w:t xml:space="preserve"> Trauma &amp; </w:t>
      </w:r>
      <w:proofErr w:type="spellStart"/>
      <w:r w:rsidRPr="00923FD3">
        <w:rPr>
          <w:lang w:eastAsia="es-MX"/>
        </w:rPr>
        <w:t>Reconstruction</w:t>
      </w:r>
      <w:proofErr w:type="spellEnd"/>
      <w:r w:rsidRPr="00923FD3">
        <w:rPr>
          <w:lang w:eastAsia="es-MX"/>
        </w:rPr>
        <w:t>. 2021; 14(4):277-83. DOI: 10.1177/1943387520983119</w:t>
      </w:r>
    </w:p>
    <w:p w:rsidR="0096637F" w:rsidRPr="00923FD3" w:rsidRDefault="0096637F" w:rsidP="0096637F">
      <w:pPr>
        <w:spacing w:line="360" w:lineRule="auto"/>
        <w:rPr>
          <w:lang w:val="en-US" w:eastAsia="es-MX"/>
        </w:rPr>
      </w:pPr>
      <w:r w:rsidRPr="00923FD3">
        <w:rPr>
          <w:lang w:eastAsia="es-MX"/>
        </w:rPr>
        <w:t xml:space="preserve">15. Barca I, </w:t>
      </w:r>
      <w:proofErr w:type="spellStart"/>
      <w:r w:rsidRPr="00923FD3">
        <w:rPr>
          <w:lang w:eastAsia="es-MX"/>
        </w:rPr>
        <w:t>Cordaro</w:t>
      </w:r>
      <w:proofErr w:type="spellEnd"/>
      <w:r w:rsidRPr="00923FD3">
        <w:rPr>
          <w:lang w:eastAsia="es-MX"/>
        </w:rPr>
        <w:t xml:space="preserve"> R, </w:t>
      </w:r>
      <w:proofErr w:type="spellStart"/>
      <w:r w:rsidRPr="00923FD3">
        <w:rPr>
          <w:lang w:eastAsia="es-MX"/>
        </w:rPr>
        <w:t>Kallaverja</w:t>
      </w:r>
      <w:proofErr w:type="spellEnd"/>
      <w:r w:rsidRPr="00923FD3">
        <w:rPr>
          <w:lang w:eastAsia="es-MX"/>
        </w:rPr>
        <w:t xml:space="preserve"> E, </w:t>
      </w:r>
      <w:proofErr w:type="spellStart"/>
      <w:r w:rsidRPr="00923FD3">
        <w:rPr>
          <w:lang w:eastAsia="es-MX"/>
        </w:rPr>
        <w:t>Ferragina</w:t>
      </w:r>
      <w:proofErr w:type="spellEnd"/>
      <w:r w:rsidRPr="00923FD3">
        <w:rPr>
          <w:lang w:eastAsia="es-MX"/>
        </w:rPr>
        <w:t xml:space="preserve"> F, </w:t>
      </w:r>
      <w:proofErr w:type="spellStart"/>
      <w:r w:rsidRPr="00923FD3">
        <w:rPr>
          <w:lang w:eastAsia="es-MX"/>
        </w:rPr>
        <w:t>Cristofaro</w:t>
      </w:r>
      <w:proofErr w:type="spellEnd"/>
      <w:r w:rsidRPr="00923FD3">
        <w:rPr>
          <w:lang w:eastAsia="es-MX"/>
        </w:rPr>
        <w:t xml:space="preserve"> MG. </w:t>
      </w:r>
      <w:r w:rsidRPr="00923FD3">
        <w:rPr>
          <w:lang w:val="en-US" w:eastAsia="es-MX"/>
        </w:rPr>
        <w:t xml:space="preserve">Management in oral and maxillofacial surgery during the COVID-19 pandemic: our experience. Br J Oral </w:t>
      </w:r>
      <w:proofErr w:type="spellStart"/>
      <w:r w:rsidRPr="00923FD3">
        <w:rPr>
          <w:lang w:val="en-US" w:eastAsia="es-MX"/>
        </w:rPr>
        <w:t>Maxillofac</w:t>
      </w:r>
      <w:proofErr w:type="spellEnd"/>
      <w:r w:rsidRPr="00923FD3">
        <w:rPr>
          <w:lang w:val="en-US" w:eastAsia="es-MX"/>
        </w:rPr>
        <w:t xml:space="preserve"> Surg. 2020</w:t>
      </w:r>
      <w:proofErr w:type="gramStart"/>
      <w:r w:rsidRPr="00923FD3">
        <w:rPr>
          <w:lang w:val="en-US" w:eastAsia="es-MX"/>
        </w:rPr>
        <w:t>;</w:t>
      </w:r>
      <w:proofErr w:type="gramEnd"/>
      <w:r w:rsidRPr="00923FD3">
        <w:rPr>
          <w:lang w:val="en-US" w:eastAsia="es-MX"/>
        </w:rPr>
        <w:t xml:space="preserve"> 58(6):687–91. DOI: 10.1016/j.bjoms.2020.04.025</w:t>
      </w:r>
    </w:p>
    <w:p w:rsidR="0096637F" w:rsidRPr="00923FD3" w:rsidRDefault="0096637F" w:rsidP="0096637F">
      <w:pPr>
        <w:spacing w:line="360" w:lineRule="auto"/>
        <w:rPr>
          <w:lang w:val="en-US" w:eastAsia="es-MX"/>
        </w:rPr>
      </w:pPr>
      <w:r w:rsidRPr="00923FD3">
        <w:rPr>
          <w:lang w:val="en-US" w:eastAsia="es-MX"/>
        </w:rPr>
        <w:t xml:space="preserve">16. </w:t>
      </w:r>
      <w:proofErr w:type="spellStart"/>
      <w:r w:rsidRPr="00923FD3">
        <w:rPr>
          <w:lang w:val="en-US" w:eastAsia="es-MX"/>
        </w:rPr>
        <w:t>Blackhall</w:t>
      </w:r>
      <w:proofErr w:type="spellEnd"/>
      <w:r w:rsidRPr="00923FD3">
        <w:rPr>
          <w:lang w:val="en-US" w:eastAsia="es-MX"/>
        </w:rPr>
        <w:t xml:space="preserve"> KK, </w:t>
      </w:r>
      <w:proofErr w:type="spellStart"/>
      <w:r w:rsidRPr="00923FD3">
        <w:rPr>
          <w:lang w:val="en-US" w:eastAsia="es-MX"/>
        </w:rPr>
        <w:t>Downie</w:t>
      </w:r>
      <w:proofErr w:type="spellEnd"/>
      <w:r w:rsidRPr="00923FD3">
        <w:rPr>
          <w:lang w:val="en-US" w:eastAsia="es-MX"/>
        </w:rPr>
        <w:t xml:space="preserve"> IP, </w:t>
      </w:r>
      <w:proofErr w:type="spellStart"/>
      <w:r w:rsidRPr="00923FD3">
        <w:rPr>
          <w:lang w:val="en-US" w:eastAsia="es-MX"/>
        </w:rPr>
        <w:t>Ramchandani</w:t>
      </w:r>
      <w:proofErr w:type="spellEnd"/>
      <w:r w:rsidRPr="00923FD3">
        <w:rPr>
          <w:lang w:val="en-US" w:eastAsia="es-MX"/>
        </w:rPr>
        <w:t xml:space="preserve"> P, </w:t>
      </w:r>
      <w:proofErr w:type="spellStart"/>
      <w:r w:rsidRPr="00923FD3">
        <w:rPr>
          <w:lang w:val="en-US" w:eastAsia="es-MX"/>
        </w:rPr>
        <w:t>Kusanale</w:t>
      </w:r>
      <w:proofErr w:type="spellEnd"/>
      <w:r w:rsidRPr="00923FD3">
        <w:rPr>
          <w:lang w:val="en-US" w:eastAsia="es-MX"/>
        </w:rPr>
        <w:t xml:space="preserve"> A, Walsh S, </w:t>
      </w:r>
      <w:proofErr w:type="gramStart"/>
      <w:r w:rsidRPr="00923FD3">
        <w:rPr>
          <w:lang w:val="en-US" w:eastAsia="es-MX"/>
        </w:rPr>
        <w:t>Srinivasan</w:t>
      </w:r>
      <w:proofErr w:type="gramEnd"/>
      <w:r w:rsidRPr="00923FD3">
        <w:rPr>
          <w:lang w:val="en-US" w:eastAsia="es-MX"/>
        </w:rPr>
        <w:t xml:space="preserve"> B, et al. Provision of emergency maxillofacial service during the COVID-19 pandemic: a collaborative five </w:t>
      </w:r>
      <w:proofErr w:type="spellStart"/>
      <w:r w:rsidRPr="00923FD3">
        <w:rPr>
          <w:lang w:val="en-US" w:eastAsia="es-MX"/>
        </w:rPr>
        <w:t>centre</w:t>
      </w:r>
      <w:proofErr w:type="spellEnd"/>
      <w:r w:rsidRPr="00923FD3">
        <w:rPr>
          <w:lang w:val="en-US" w:eastAsia="es-MX"/>
        </w:rPr>
        <w:t xml:space="preserve"> UK study. Br J Oral </w:t>
      </w:r>
      <w:proofErr w:type="spellStart"/>
      <w:r w:rsidRPr="00923FD3">
        <w:rPr>
          <w:lang w:val="en-US" w:eastAsia="es-MX"/>
        </w:rPr>
        <w:t>Maxillofac</w:t>
      </w:r>
      <w:proofErr w:type="spellEnd"/>
      <w:r w:rsidRPr="00923FD3">
        <w:rPr>
          <w:lang w:val="en-US" w:eastAsia="es-MX"/>
        </w:rPr>
        <w:t xml:space="preserve"> Surg. 2020</w:t>
      </w:r>
      <w:proofErr w:type="gramStart"/>
      <w:r w:rsidRPr="00923FD3">
        <w:rPr>
          <w:lang w:val="en-US" w:eastAsia="es-MX"/>
        </w:rPr>
        <w:t>;</w:t>
      </w:r>
      <w:proofErr w:type="gramEnd"/>
      <w:r w:rsidRPr="00923FD3">
        <w:rPr>
          <w:lang w:val="en-US" w:eastAsia="es-MX"/>
        </w:rPr>
        <w:t xml:space="preserve"> 58(6):698–703. DOI: 10.1016/j.bjoms.2020.05.020</w:t>
      </w:r>
    </w:p>
    <w:p w:rsidR="0096637F" w:rsidRPr="00923FD3" w:rsidRDefault="0096637F" w:rsidP="0096637F">
      <w:pPr>
        <w:spacing w:line="360" w:lineRule="auto"/>
        <w:rPr>
          <w:lang w:val="en-US" w:eastAsia="es-MX"/>
        </w:rPr>
      </w:pPr>
      <w:r w:rsidRPr="00923FD3">
        <w:rPr>
          <w:lang w:val="en-US" w:eastAsia="es-MX"/>
        </w:rPr>
        <w:t xml:space="preserve">17. Ahmed A, Evans K, </w:t>
      </w:r>
      <w:proofErr w:type="spellStart"/>
      <w:r w:rsidRPr="00923FD3">
        <w:rPr>
          <w:lang w:val="en-US" w:eastAsia="es-MX"/>
        </w:rPr>
        <w:t>Rajapakse</w:t>
      </w:r>
      <w:proofErr w:type="spellEnd"/>
      <w:r w:rsidRPr="00923FD3">
        <w:rPr>
          <w:lang w:val="en-US" w:eastAsia="es-MX"/>
        </w:rPr>
        <w:t xml:space="preserve"> S. How has COVID-19 affected surgical practice in Oral and Maxillofacial Surgery in the East Midlands, UK? The Surgeon. </w:t>
      </w:r>
      <w:proofErr w:type="gramStart"/>
      <w:r w:rsidRPr="00923FD3">
        <w:rPr>
          <w:lang w:val="en-US" w:eastAsia="es-MX"/>
        </w:rPr>
        <w:t>2021</w:t>
      </w:r>
      <w:proofErr w:type="gramEnd"/>
      <w:r w:rsidRPr="00923FD3">
        <w:rPr>
          <w:lang w:val="en-US" w:eastAsia="es-MX"/>
        </w:rPr>
        <w:t>; 19(5): 276-80. DOI: 10.1016/j.surge.2020.12.010</w:t>
      </w:r>
    </w:p>
    <w:p w:rsidR="0096637F" w:rsidRPr="00923FD3" w:rsidRDefault="0096637F" w:rsidP="0096637F">
      <w:pPr>
        <w:spacing w:line="360" w:lineRule="auto"/>
        <w:rPr>
          <w:lang w:val="en-US" w:eastAsia="es-MX"/>
        </w:rPr>
      </w:pPr>
      <w:r w:rsidRPr="00923FD3">
        <w:rPr>
          <w:lang w:val="en-US" w:eastAsia="es-MX"/>
        </w:rPr>
        <w:t xml:space="preserve">18. </w:t>
      </w:r>
      <w:proofErr w:type="spellStart"/>
      <w:r w:rsidRPr="00923FD3">
        <w:rPr>
          <w:lang w:val="en-US" w:eastAsia="es-MX"/>
        </w:rPr>
        <w:t>Mumtaz</w:t>
      </w:r>
      <w:proofErr w:type="spellEnd"/>
      <w:r w:rsidRPr="00923FD3">
        <w:rPr>
          <w:lang w:val="en-US" w:eastAsia="es-MX"/>
        </w:rPr>
        <w:t xml:space="preserve"> S, </w:t>
      </w:r>
      <w:proofErr w:type="spellStart"/>
      <w:r w:rsidRPr="00923FD3">
        <w:rPr>
          <w:lang w:val="en-US" w:eastAsia="es-MX"/>
        </w:rPr>
        <w:t>Cymerman</w:t>
      </w:r>
      <w:proofErr w:type="spellEnd"/>
      <w:r w:rsidRPr="00923FD3">
        <w:rPr>
          <w:lang w:val="en-US" w:eastAsia="es-MX"/>
        </w:rPr>
        <w:t xml:space="preserve"> J, </w:t>
      </w:r>
      <w:proofErr w:type="spellStart"/>
      <w:r w:rsidRPr="00923FD3">
        <w:rPr>
          <w:lang w:val="en-US" w:eastAsia="es-MX"/>
        </w:rPr>
        <w:t>Komath</w:t>
      </w:r>
      <w:proofErr w:type="spellEnd"/>
      <w:r w:rsidRPr="00923FD3">
        <w:rPr>
          <w:lang w:val="en-US" w:eastAsia="es-MX"/>
        </w:rPr>
        <w:t xml:space="preserve"> D. Cycling-Related Injuries </w:t>
      </w:r>
      <w:proofErr w:type="gramStart"/>
      <w:r w:rsidRPr="00923FD3">
        <w:rPr>
          <w:lang w:val="en-US" w:eastAsia="es-MX"/>
        </w:rPr>
        <w:t>During</w:t>
      </w:r>
      <w:proofErr w:type="gramEnd"/>
      <w:r w:rsidRPr="00923FD3">
        <w:rPr>
          <w:lang w:val="en-US" w:eastAsia="es-MX"/>
        </w:rPr>
        <w:t xml:space="preserve"> COVID-19 Lockdown: A North London Experience. </w:t>
      </w:r>
      <w:proofErr w:type="spellStart"/>
      <w:r w:rsidRPr="00923FD3">
        <w:rPr>
          <w:lang w:val="en-US" w:eastAsia="es-MX"/>
        </w:rPr>
        <w:t>Craniomaxillofacial</w:t>
      </w:r>
      <w:proofErr w:type="spellEnd"/>
      <w:r w:rsidRPr="00923FD3">
        <w:rPr>
          <w:lang w:val="en-US" w:eastAsia="es-MX"/>
        </w:rPr>
        <w:t xml:space="preserve"> Trauma &amp; Reconstruction. </w:t>
      </w:r>
      <w:proofErr w:type="gramStart"/>
      <w:r w:rsidRPr="00923FD3">
        <w:rPr>
          <w:lang w:val="en-US" w:eastAsia="es-MX"/>
        </w:rPr>
        <w:t>2022</w:t>
      </w:r>
      <w:proofErr w:type="gramEnd"/>
      <w:r w:rsidRPr="00923FD3">
        <w:rPr>
          <w:lang w:val="en-US" w:eastAsia="es-MX"/>
        </w:rPr>
        <w:t>; 15(1):46-50. DOI: 10.1177/19433875211007008</w:t>
      </w:r>
    </w:p>
    <w:p w:rsidR="0096637F" w:rsidRPr="00923FD3" w:rsidRDefault="0096637F" w:rsidP="0096637F">
      <w:pPr>
        <w:spacing w:line="360" w:lineRule="auto"/>
        <w:rPr>
          <w:lang w:val="en-US" w:eastAsia="es-MX"/>
        </w:rPr>
      </w:pPr>
      <w:r w:rsidRPr="00923FD3">
        <w:rPr>
          <w:lang w:val="en-US" w:eastAsia="es-MX"/>
        </w:rPr>
        <w:t xml:space="preserve">19. Puglia FA, Hills </w:t>
      </w:r>
      <w:proofErr w:type="gramStart"/>
      <w:r w:rsidRPr="00923FD3">
        <w:rPr>
          <w:lang w:val="en-US" w:eastAsia="es-MX"/>
        </w:rPr>
        <w:t>A</w:t>
      </w:r>
      <w:proofErr w:type="gramEnd"/>
      <w:r w:rsidRPr="00923FD3">
        <w:rPr>
          <w:lang w:val="en-US" w:eastAsia="es-MX"/>
        </w:rPr>
        <w:t xml:space="preserve">, </w:t>
      </w:r>
      <w:proofErr w:type="spellStart"/>
      <w:r w:rsidRPr="00923FD3">
        <w:rPr>
          <w:lang w:val="en-US" w:eastAsia="es-MX"/>
        </w:rPr>
        <w:t>Dawoud</w:t>
      </w:r>
      <w:proofErr w:type="spellEnd"/>
      <w:r w:rsidRPr="00923FD3">
        <w:rPr>
          <w:lang w:val="en-US" w:eastAsia="es-MX"/>
        </w:rPr>
        <w:t xml:space="preserve"> B, </w:t>
      </w:r>
      <w:proofErr w:type="spellStart"/>
      <w:r w:rsidRPr="00923FD3">
        <w:rPr>
          <w:lang w:val="en-US" w:eastAsia="es-MX"/>
        </w:rPr>
        <w:t>Magennis</w:t>
      </w:r>
      <w:proofErr w:type="spellEnd"/>
      <w:r w:rsidRPr="00923FD3">
        <w:rPr>
          <w:lang w:val="en-US" w:eastAsia="es-MX"/>
        </w:rPr>
        <w:t xml:space="preserve"> P, Chiu GA. Management of Oral and Maxillofacial trauma during the first wave of the COVID-19 pandemic in the United Kingdom. Br J Oral </w:t>
      </w:r>
      <w:proofErr w:type="spellStart"/>
      <w:r w:rsidRPr="00923FD3">
        <w:rPr>
          <w:lang w:val="en-US" w:eastAsia="es-MX"/>
        </w:rPr>
        <w:t>Maxillof</w:t>
      </w:r>
      <w:proofErr w:type="spellEnd"/>
      <w:r w:rsidRPr="00923FD3">
        <w:rPr>
          <w:lang w:val="en-US" w:eastAsia="es-MX"/>
        </w:rPr>
        <w:t xml:space="preserve"> Surgery. </w:t>
      </w:r>
      <w:proofErr w:type="gramStart"/>
      <w:r w:rsidRPr="00923FD3">
        <w:rPr>
          <w:lang w:val="en-US" w:eastAsia="es-MX"/>
        </w:rPr>
        <w:t>2021</w:t>
      </w:r>
      <w:proofErr w:type="gramEnd"/>
      <w:r w:rsidRPr="00923FD3">
        <w:rPr>
          <w:lang w:val="en-US" w:eastAsia="es-MX"/>
        </w:rPr>
        <w:t xml:space="preserve">; 59(8):867-74. DOI: 10.1016/j.bjoms.2020.12.021 </w:t>
      </w:r>
    </w:p>
    <w:p w:rsidR="0096637F" w:rsidRPr="00923FD3" w:rsidRDefault="0096637F" w:rsidP="0096637F">
      <w:pPr>
        <w:spacing w:line="360" w:lineRule="auto"/>
        <w:rPr>
          <w:lang w:val="en-US" w:eastAsia="es-MX"/>
        </w:rPr>
      </w:pPr>
      <w:r w:rsidRPr="00923FD3">
        <w:rPr>
          <w:lang w:val="en-US" w:eastAsia="es-MX"/>
        </w:rPr>
        <w:t xml:space="preserve">20. Yeung E, </w:t>
      </w:r>
      <w:proofErr w:type="spellStart"/>
      <w:r w:rsidRPr="00923FD3">
        <w:rPr>
          <w:lang w:val="en-US" w:eastAsia="es-MX"/>
        </w:rPr>
        <w:t>Brandsma</w:t>
      </w:r>
      <w:proofErr w:type="spellEnd"/>
      <w:r w:rsidRPr="00923FD3">
        <w:rPr>
          <w:lang w:val="en-US" w:eastAsia="es-MX"/>
        </w:rPr>
        <w:t xml:space="preserve"> DS, Karst FW, Smith C, Fan KFM. The influence of 2020 coronavirus lockdown on presentation of oral and maxillofacial trauma to a central London hospital. Br J Oral </w:t>
      </w:r>
      <w:proofErr w:type="spellStart"/>
      <w:r w:rsidRPr="00923FD3">
        <w:rPr>
          <w:lang w:val="en-US" w:eastAsia="es-MX"/>
        </w:rPr>
        <w:t>Maxillofac</w:t>
      </w:r>
      <w:proofErr w:type="spellEnd"/>
      <w:r w:rsidRPr="00923FD3">
        <w:rPr>
          <w:lang w:val="en-US" w:eastAsia="es-MX"/>
        </w:rPr>
        <w:t xml:space="preserve"> Surg. 2021</w:t>
      </w:r>
      <w:proofErr w:type="gramStart"/>
      <w:r w:rsidRPr="00923FD3">
        <w:rPr>
          <w:lang w:val="en-US" w:eastAsia="es-MX"/>
        </w:rPr>
        <w:t>;</w:t>
      </w:r>
      <w:proofErr w:type="gramEnd"/>
      <w:r w:rsidRPr="00923FD3">
        <w:rPr>
          <w:lang w:val="en-US" w:eastAsia="es-MX"/>
        </w:rPr>
        <w:t xml:space="preserve"> 59(1):102-5. DOI: 10.1016/j.bjoms.2020.08.065</w:t>
      </w:r>
    </w:p>
    <w:p w:rsidR="0096637F" w:rsidRPr="00923FD3" w:rsidRDefault="0096637F" w:rsidP="0096637F">
      <w:pPr>
        <w:spacing w:line="360" w:lineRule="auto"/>
        <w:rPr>
          <w:lang w:val="en-US" w:eastAsia="es-MX"/>
        </w:rPr>
      </w:pPr>
      <w:r w:rsidRPr="00923FD3">
        <w:rPr>
          <w:lang w:val="en-US" w:eastAsia="es-MX"/>
        </w:rPr>
        <w:t xml:space="preserve">21. Dong-Woo L, So-Young </w:t>
      </w:r>
      <w:proofErr w:type="spellStart"/>
      <w:r w:rsidRPr="00923FD3">
        <w:rPr>
          <w:lang w:val="en-US" w:eastAsia="es-MX"/>
        </w:rPr>
        <w:t>Ch</w:t>
      </w:r>
      <w:proofErr w:type="spellEnd"/>
      <w:r w:rsidRPr="00923FD3">
        <w:rPr>
          <w:lang w:val="en-US" w:eastAsia="es-MX"/>
        </w:rPr>
        <w:t>, Jin-</w:t>
      </w:r>
      <w:proofErr w:type="spellStart"/>
      <w:r w:rsidRPr="00923FD3">
        <w:rPr>
          <w:lang w:val="en-US" w:eastAsia="es-MX"/>
        </w:rPr>
        <w:t>wook</w:t>
      </w:r>
      <w:proofErr w:type="spellEnd"/>
      <w:r w:rsidRPr="00923FD3">
        <w:rPr>
          <w:lang w:val="en-US" w:eastAsia="es-MX"/>
        </w:rPr>
        <w:t xml:space="preserve"> K, Tae-Geon K, Sung-</w:t>
      </w:r>
      <w:proofErr w:type="spellStart"/>
      <w:r w:rsidRPr="00923FD3">
        <w:rPr>
          <w:lang w:val="en-US" w:eastAsia="es-MX"/>
        </w:rPr>
        <w:t>Tak</w:t>
      </w:r>
      <w:proofErr w:type="spellEnd"/>
      <w:r w:rsidRPr="00923FD3">
        <w:rPr>
          <w:lang w:val="en-US" w:eastAsia="es-MX"/>
        </w:rPr>
        <w:t xml:space="preserve"> L. The impact of COVID-19 on the injury pattern for maxillofacial fracture in </w:t>
      </w:r>
      <w:proofErr w:type="spellStart"/>
      <w:r w:rsidRPr="00923FD3">
        <w:rPr>
          <w:lang w:val="en-US" w:eastAsia="es-MX"/>
        </w:rPr>
        <w:t>Daegu</w:t>
      </w:r>
      <w:proofErr w:type="spellEnd"/>
      <w:r w:rsidRPr="00923FD3">
        <w:rPr>
          <w:lang w:val="en-US" w:eastAsia="es-MX"/>
        </w:rPr>
        <w:t xml:space="preserve"> city, South Korea. </w:t>
      </w:r>
      <w:proofErr w:type="spellStart"/>
      <w:r w:rsidRPr="00923FD3">
        <w:rPr>
          <w:lang w:val="en-US" w:eastAsia="es-MX"/>
        </w:rPr>
        <w:t>Maxillofac</w:t>
      </w:r>
      <w:proofErr w:type="spellEnd"/>
      <w:r w:rsidRPr="00923FD3">
        <w:rPr>
          <w:lang w:val="en-US" w:eastAsia="es-MX"/>
        </w:rPr>
        <w:t xml:space="preserve"> Plastic Reconstructive Surgery. </w:t>
      </w:r>
      <w:proofErr w:type="gramStart"/>
      <w:r w:rsidRPr="00923FD3">
        <w:rPr>
          <w:lang w:val="en-US" w:eastAsia="es-MX"/>
        </w:rPr>
        <w:t>2021</w:t>
      </w:r>
      <w:proofErr w:type="gramEnd"/>
      <w:r w:rsidRPr="00923FD3">
        <w:rPr>
          <w:lang w:val="en-US" w:eastAsia="es-MX"/>
        </w:rPr>
        <w:t xml:space="preserve">; 43(1):35. DOI: 10.1186/s40902-021-00322-6 </w:t>
      </w:r>
    </w:p>
    <w:p w:rsidR="0096637F" w:rsidRPr="00923FD3" w:rsidRDefault="0096637F" w:rsidP="0096637F">
      <w:pPr>
        <w:spacing w:line="360" w:lineRule="auto"/>
        <w:rPr>
          <w:lang w:val="en-US" w:eastAsia="es-MX"/>
        </w:rPr>
      </w:pPr>
      <w:r w:rsidRPr="00923FD3">
        <w:rPr>
          <w:lang w:val="en-US" w:eastAsia="es-MX"/>
        </w:rPr>
        <w:t xml:space="preserve">22. </w:t>
      </w:r>
      <w:proofErr w:type="spellStart"/>
      <w:r w:rsidRPr="00923FD3">
        <w:rPr>
          <w:lang w:val="en-US" w:eastAsia="es-MX"/>
        </w:rPr>
        <w:t>Surendra</w:t>
      </w:r>
      <w:proofErr w:type="spellEnd"/>
      <w:r w:rsidRPr="00923FD3">
        <w:rPr>
          <w:lang w:val="en-US" w:eastAsia="es-MX"/>
        </w:rPr>
        <w:t xml:space="preserve"> G, </w:t>
      </w:r>
      <w:proofErr w:type="spellStart"/>
      <w:r w:rsidRPr="00923FD3">
        <w:rPr>
          <w:lang w:val="en-US" w:eastAsia="es-MX"/>
        </w:rPr>
        <w:t>Perera</w:t>
      </w:r>
      <w:proofErr w:type="spellEnd"/>
      <w:r w:rsidRPr="00923FD3">
        <w:rPr>
          <w:lang w:val="en-US" w:eastAsia="es-MX"/>
        </w:rPr>
        <w:t xml:space="preserve"> I, </w:t>
      </w:r>
      <w:proofErr w:type="spellStart"/>
      <w:r w:rsidRPr="00923FD3">
        <w:rPr>
          <w:lang w:val="en-US" w:eastAsia="es-MX"/>
        </w:rPr>
        <w:t>Ranasinghe</w:t>
      </w:r>
      <w:proofErr w:type="spellEnd"/>
      <w:r w:rsidRPr="00923FD3">
        <w:rPr>
          <w:lang w:val="en-US" w:eastAsia="es-MX"/>
        </w:rPr>
        <w:t xml:space="preserve"> A, </w:t>
      </w:r>
      <w:proofErr w:type="spellStart"/>
      <w:r w:rsidRPr="00923FD3">
        <w:rPr>
          <w:lang w:val="en-US" w:eastAsia="es-MX"/>
        </w:rPr>
        <w:t>Kumarapeli</w:t>
      </w:r>
      <w:proofErr w:type="spellEnd"/>
      <w:r w:rsidRPr="00923FD3">
        <w:rPr>
          <w:lang w:val="en-US" w:eastAsia="es-MX"/>
        </w:rPr>
        <w:t xml:space="preserve"> V, </w:t>
      </w:r>
      <w:proofErr w:type="spellStart"/>
      <w:r w:rsidRPr="00923FD3">
        <w:rPr>
          <w:lang w:val="en-US" w:eastAsia="es-MX"/>
        </w:rPr>
        <w:t>Tham</w:t>
      </w:r>
      <w:proofErr w:type="spellEnd"/>
      <w:r w:rsidRPr="00923FD3">
        <w:rPr>
          <w:lang w:val="en-US" w:eastAsia="es-MX"/>
        </w:rPr>
        <w:t xml:space="preserve"> R, </w:t>
      </w:r>
      <w:proofErr w:type="spellStart"/>
      <w:r w:rsidRPr="00923FD3">
        <w:rPr>
          <w:lang w:val="en-US" w:eastAsia="es-MX"/>
        </w:rPr>
        <w:t>Wickramaratne</w:t>
      </w:r>
      <w:proofErr w:type="spellEnd"/>
      <w:r w:rsidRPr="00923FD3">
        <w:rPr>
          <w:lang w:val="en-US" w:eastAsia="es-MX"/>
        </w:rPr>
        <w:t xml:space="preserve"> P. Pattern and Causes of Oral and Maxillofacial Injuries Presented to a Tertiary Care Public Dental Hospital in Strictly Imposed COVID-19 Lockdown Scenario. Oral. </w:t>
      </w:r>
      <w:proofErr w:type="gramStart"/>
      <w:r w:rsidRPr="00923FD3">
        <w:rPr>
          <w:lang w:val="en-US" w:eastAsia="es-MX"/>
        </w:rPr>
        <w:t>2021</w:t>
      </w:r>
      <w:proofErr w:type="gramEnd"/>
      <w:r w:rsidRPr="00923FD3">
        <w:rPr>
          <w:lang w:val="en-US" w:eastAsia="es-MX"/>
        </w:rPr>
        <w:t xml:space="preserve">; 1(1):3–14. DOI: 10.3390/oral1010002   </w:t>
      </w:r>
    </w:p>
    <w:p w:rsidR="0096637F" w:rsidRPr="00923FD3" w:rsidRDefault="0096637F" w:rsidP="0096637F">
      <w:pPr>
        <w:spacing w:line="360" w:lineRule="auto"/>
        <w:rPr>
          <w:lang w:val="en-US" w:eastAsia="es-MX"/>
        </w:rPr>
      </w:pPr>
      <w:r w:rsidRPr="00923FD3">
        <w:rPr>
          <w:lang w:val="en-US" w:eastAsia="es-MX"/>
        </w:rPr>
        <w:lastRenderedPageBreak/>
        <w:t xml:space="preserve">23. </w:t>
      </w:r>
      <w:proofErr w:type="spellStart"/>
      <w:r w:rsidRPr="00923FD3">
        <w:rPr>
          <w:lang w:val="en-US" w:eastAsia="es-MX"/>
        </w:rPr>
        <w:t>Cavus</w:t>
      </w:r>
      <w:proofErr w:type="spellEnd"/>
      <w:r w:rsidRPr="00923FD3">
        <w:rPr>
          <w:lang w:val="en-US" w:eastAsia="es-MX"/>
        </w:rPr>
        <w:t xml:space="preserve"> </w:t>
      </w:r>
      <w:proofErr w:type="spellStart"/>
      <w:r w:rsidRPr="00923FD3">
        <w:rPr>
          <w:lang w:val="en-US" w:eastAsia="es-MX"/>
        </w:rPr>
        <w:t>Ozkan</w:t>
      </w:r>
      <w:proofErr w:type="spellEnd"/>
      <w:r w:rsidRPr="00923FD3">
        <w:rPr>
          <w:lang w:val="en-US" w:eastAsia="es-MX"/>
        </w:rPr>
        <w:t xml:space="preserve"> M, </w:t>
      </w:r>
      <w:proofErr w:type="spellStart"/>
      <w:r w:rsidRPr="00923FD3">
        <w:rPr>
          <w:lang w:val="en-US" w:eastAsia="es-MX"/>
        </w:rPr>
        <w:t>Sarac</w:t>
      </w:r>
      <w:proofErr w:type="spellEnd"/>
      <w:r w:rsidRPr="00923FD3">
        <w:rPr>
          <w:lang w:val="en-US" w:eastAsia="es-MX"/>
        </w:rPr>
        <w:t xml:space="preserve"> O. Impact of COVID-19 pandemic on maxillofacial trauma etiology. Marmara Med J. 2021</w:t>
      </w:r>
      <w:proofErr w:type="gramStart"/>
      <w:r w:rsidRPr="00923FD3">
        <w:rPr>
          <w:lang w:val="en-US" w:eastAsia="es-MX"/>
        </w:rPr>
        <w:t>;</w:t>
      </w:r>
      <w:proofErr w:type="gramEnd"/>
      <w:r w:rsidRPr="00923FD3">
        <w:rPr>
          <w:lang w:val="en-US" w:eastAsia="es-MX"/>
        </w:rPr>
        <w:t xml:space="preserve"> 34(3):312-8. DOI: 10.5472/marumj.1012413 </w:t>
      </w:r>
    </w:p>
    <w:p w:rsidR="0096637F" w:rsidRPr="00923FD3" w:rsidRDefault="0096637F" w:rsidP="0096637F">
      <w:pPr>
        <w:spacing w:line="360" w:lineRule="auto"/>
        <w:rPr>
          <w:lang w:val="en-US" w:eastAsia="es-MX"/>
        </w:rPr>
      </w:pPr>
      <w:r w:rsidRPr="00923FD3">
        <w:rPr>
          <w:lang w:val="en-US" w:eastAsia="es-MX"/>
        </w:rPr>
        <w:t xml:space="preserve">24. </w:t>
      </w:r>
      <w:proofErr w:type="spellStart"/>
      <w:r w:rsidRPr="00923FD3">
        <w:rPr>
          <w:lang w:val="en-US" w:eastAsia="es-MX"/>
        </w:rPr>
        <w:t>Dağdelen</w:t>
      </w:r>
      <w:proofErr w:type="spellEnd"/>
      <w:r w:rsidRPr="00923FD3">
        <w:rPr>
          <w:lang w:val="en-US" w:eastAsia="es-MX"/>
        </w:rPr>
        <w:t xml:space="preserve"> D, </w:t>
      </w:r>
      <w:proofErr w:type="spellStart"/>
      <w:r w:rsidRPr="00923FD3">
        <w:rPr>
          <w:lang w:val="en-US" w:eastAsia="es-MX"/>
        </w:rPr>
        <w:t>Benlier</w:t>
      </w:r>
      <w:proofErr w:type="spellEnd"/>
      <w:r w:rsidRPr="00923FD3">
        <w:rPr>
          <w:lang w:val="en-US" w:eastAsia="es-MX"/>
        </w:rPr>
        <w:t xml:space="preserve"> E. Analysis of Maxillofacial Traumas at Thrace Region amid COVID-19 Pandemic. Nam </w:t>
      </w:r>
      <w:proofErr w:type="spellStart"/>
      <w:r w:rsidRPr="00923FD3">
        <w:rPr>
          <w:lang w:val="en-US" w:eastAsia="es-MX"/>
        </w:rPr>
        <w:t>Kem</w:t>
      </w:r>
      <w:proofErr w:type="spellEnd"/>
      <w:r w:rsidRPr="00923FD3">
        <w:rPr>
          <w:lang w:val="en-US" w:eastAsia="es-MX"/>
        </w:rPr>
        <w:t xml:space="preserve"> Med J. 2021</w:t>
      </w:r>
      <w:proofErr w:type="gramStart"/>
      <w:r w:rsidRPr="00923FD3">
        <w:rPr>
          <w:lang w:val="en-US" w:eastAsia="es-MX"/>
        </w:rPr>
        <w:t>;</w:t>
      </w:r>
      <w:proofErr w:type="gramEnd"/>
      <w:r w:rsidRPr="00923FD3">
        <w:rPr>
          <w:lang w:val="en-US" w:eastAsia="es-MX"/>
        </w:rPr>
        <w:t xml:space="preserve"> 9(3):233-7. DOI: 10.4274/nkmj.galenos.2021.46338 </w:t>
      </w:r>
    </w:p>
    <w:p w:rsidR="0096637F" w:rsidRPr="00923FD3" w:rsidRDefault="0096637F" w:rsidP="0096637F">
      <w:pPr>
        <w:spacing w:line="360" w:lineRule="auto"/>
        <w:rPr>
          <w:lang w:val="en-US" w:eastAsia="es-MX"/>
        </w:rPr>
      </w:pPr>
      <w:r w:rsidRPr="00923FD3">
        <w:rPr>
          <w:lang w:val="en-US" w:eastAsia="es-MX"/>
        </w:rPr>
        <w:t xml:space="preserve">25. Neiva-Sousa M, </w:t>
      </w:r>
      <w:proofErr w:type="spellStart"/>
      <w:r w:rsidRPr="00923FD3">
        <w:rPr>
          <w:lang w:val="en-US" w:eastAsia="es-MX"/>
        </w:rPr>
        <w:t>Mateus</w:t>
      </w:r>
      <w:proofErr w:type="spellEnd"/>
      <w:r w:rsidRPr="00923FD3">
        <w:rPr>
          <w:lang w:val="en-US" w:eastAsia="es-MX"/>
        </w:rPr>
        <w:t xml:space="preserve"> C, Gomes de Oliveira P, </w:t>
      </w:r>
      <w:proofErr w:type="spellStart"/>
      <w:r w:rsidRPr="00923FD3">
        <w:rPr>
          <w:lang w:val="en-US" w:eastAsia="es-MX"/>
        </w:rPr>
        <w:t>Bouca</w:t>
      </w:r>
      <w:proofErr w:type="spellEnd"/>
      <w:r w:rsidRPr="00923FD3">
        <w:rPr>
          <w:lang w:val="en-US" w:eastAsia="es-MX"/>
        </w:rPr>
        <w:t xml:space="preserve"> A, </w:t>
      </w:r>
      <w:proofErr w:type="spellStart"/>
      <w:r w:rsidRPr="00923FD3">
        <w:rPr>
          <w:lang w:val="en-US" w:eastAsia="es-MX"/>
        </w:rPr>
        <w:t>Nunes</w:t>
      </w:r>
      <w:proofErr w:type="spellEnd"/>
      <w:r w:rsidRPr="00923FD3">
        <w:rPr>
          <w:lang w:val="en-US" w:eastAsia="es-MX"/>
        </w:rPr>
        <w:t xml:space="preserve"> da Silva L, </w:t>
      </w:r>
      <w:proofErr w:type="spellStart"/>
      <w:r w:rsidRPr="00923FD3">
        <w:rPr>
          <w:lang w:val="en-US" w:eastAsia="es-MX"/>
        </w:rPr>
        <w:t>Valejo</w:t>
      </w:r>
      <w:proofErr w:type="spellEnd"/>
      <w:r w:rsidRPr="00923FD3">
        <w:rPr>
          <w:lang w:val="en-US" w:eastAsia="es-MX"/>
        </w:rPr>
        <w:t xml:space="preserve">-Coelho P. 1-Year of COVID-19 pandemic: changes in the epidemiology of maxillofacial trauma. Rev </w:t>
      </w:r>
      <w:proofErr w:type="spellStart"/>
      <w:proofErr w:type="gramStart"/>
      <w:r w:rsidRPr="00923FD3">
        <w:rPr>
          <w:lang w:val="en-US" w:eastAsia="es-MX"/>
        </w:rPr>
        <w:t>Esp</w:t>
      </w:r>
      <w:proofErr w:type="spellEnd"/>
      <w:proofErr w:type="gramEnd"/>
      <w:r w:rsidRPr="00923FD3">
        <w:rPr>
          <w:lang w:val="en-US" w:eastAsia="es-MX"/>
        </w:rPr>
        <w:t xml:space="preserve"> Cir Oral </w:t>
      </w:r>
      <w:proofErr w:type="spellStart"/>
      <w:r w:rsidRPr="00923FD3">
        <w:rPr>
          <w:lang w:val="en-US" w:eastAsia="es-MX"/>
        </w:rPr>
        <w:t>Maxilofac</w:t>
      </w:r>
      <w:proofErr w:type="spellEnd"/>
      <w:r w:rsidRPr="00923FD3">
        <w:rPr>
          <w:lang w:val="en-US" w:eastAsia="es-MX"/>
        </w:rPr>
        <w:t xml:space="preserve">. </w:t>
      </w:r>
      <w:proofErr w:type="gramStart"/>
      <w:r w:rsidRPr="00923FD3">
        <w:rPr>
          <w:lang w:val="en-US" w:eastAsia="es-MX"/>
        </w:rPr>
        <w:t>2022</w:t>
      </w:r>
      <w:proofErr w:type="gramEnd"/>
      <w:r w:rsidRPr="00923FD3">
        <w:rPr>
          <w:lang w:val="en-US" w:eastAsia="es-MX"/>
        </w:rPr>
        <w:t xml:space="preserve">; 44(1):3-8. DOI: 10.20986/recom.2022.1346/2022  </w:t>
      </w:r>
    </w:p>
    <w:p w:rsidR="0096637F" w:rsidRPr="00923FD3" w:rsidRDefault="0096637F" w:rsidP="0096637F">
      <w:pPr>
        <w:spacing w:line="360" w:lineRule="auto"/>
        <w:rPr>
          <w:lang w:val="en-US" w:eastAsia="es-MX"/>
        </w:rPr>
      </w:pPr>
      <w:r w:rsidRPr="00923FD3">
        <w:rPr>
          <w:lang w:val="en-US" w:eastAsia="es-MX"/>
        </w:rPr>
        <w:t xml:space="preserve">26. Ludwig DC, Nelson JL, Burke AB, Lang MS, Dillon JK. What Is the Effect of COVID-19-Related Social Distancing on Oral and Maxillofacial Trauma? J Oral </w:t>
      </w:r>
      <w:proofErr w:type="spellStart"/>
      <w:r w:rsidRPr="00923FD3">
        <w:rPr>
          <w:lang w:val="en-US" w:eastAsia="es-MX"/>
        </w:rPr>
        <w:t>Maxillofac</w:t>
      </w:r>
      <w:proofErr w:type="spellEnd"/>
      <w:r w:rsidRPr="00923FD3">
        <w:rPr>
          <w:lang w:val="en-US" w:eastAsia="es-MX"/>
        </w:rPr>
        <w:t xml:space="preserve"> Surg. 2021</w:t>
      </w:r>
      <w:proofErr w:type="gramStart"/>
      <w:r w:rsidRPr="00923FD3">
        <w:rPr>
          <w:lang w:val="en-US" w:eastAsia="es-MX"/>
        </w:rPr>
        <w:t>;</w:t>
      </w:r>
      <w:proofErr w:type="gramEnd"/>
      <w:r w:rsidRPr="00923FD3">
        <w:rPr>
          <w:lang w:val="en-US" w:eastAsia="es-MX"/>
        </w:rPr>
        <w:t xml:space="preserve"> 79(5):1091-97. DOI: 10.1016/j.joms.2020.12.006</w:t>
      </w:r>
    </w:p>
    <w:p w:rsidR="0096637F" w:rsidRPr="00923FD3" w:rsidRDefault="0096637F" w:rsidP="0096637F">
      <w:pPr>
        <w:spacing w:line="360" w:lineRule="auto"/>
        <w:rPr>
          <w:lang w:val="en-US" w:eastAsia="es-MX"/>
        </w:rPr>
      </w:pPr>
      <w:r w:rsidRPr="00923FD3">
        <w:rPr>
          <w:lang w:val="en-US" w:eastAsia="es-MX"/>
        </w:rPr>
        <w:t xml:space="preserve">27. </w:t>
      </w:r>
      <w:proofErr w:type="spellStart"/>
      <w:r w:rsidRPr="00923FD3">
        <w:rPr>
          <w:lang w:val="en-US" w:eastAsia="es-MX"/>
        </w:rPr>
        <w:t>Shihadeh</w:t>
      </w:r>
      <w:proofErr w:type="spellEnd"/>
      <w:r w:rsidRPr="00923FD3">
        <w:rPr>
          <w:lang w:val="en-US" w:eastAsia="es-MX"/>
        </w:rPr>
        <w:t xml:space="preserve"> H, McGee SA, </w:t>
      </w:r>
      <w:proofErr w:type="spellStart"/>
      <w:r w:rsidRPr="00923FD3">
        <w:rPr>
          <w:lang w:val="en-US" w:eastAsia="es-MX"/>
        </w:rPr>
        <w:t>Willson</w:t>
      </w:r>
      <w:proofErr w:type="spellEnd"/>
      <w:r w:rsidRPr="00923FD3">
        <w:rPr>
          <w:lang w:val="en-US" w:eastAsia="es-MX"/>
        </w:rPr>
        <w:t xml:space="preserve"> TD. The Influence of COVID-19 Lockdown Measures on Maxillofacial Trauma at a Rural Tertiary Academic Center. Face. 2021</w:t>
      </w:r>
      <w:proofErr w:type="gramStart"/>
      <w:r w:rsidRPr="00923FD3">
        <w:rPr>
          <w:lang w:val="en-US" w:eastAsia="es-MX"/>
        </w:rPr>
        <w:t>;2</w:t>
      </w:r>
      <w:proofErr w:type="gramEnd"/>
      <w:r w:rsidRPr="00923FD3">
        <w:rPr>
          <w:lang w:val="en-US" w:eastAsia="es-MX"/>
        </w:rPr>
        <w:t xml:space="preserve">(4):325-8. DOI: 10.1177/27325016211055074 </w:t>
      </w:r>
    </w:p>
    <w:p w:rsidR="0096637F" w:rsidRPr="00923FD3" w:rsidRDefault="0096637F" w:rsidP="0096637F">
      <w:pPr>
        <w:spacing w:line="360" w:lineRule="auto"/>
        <w:rPr>
          <w:lang w:val="en-US" w:eastAsia="es-MX"/>
        </w:rPr>
      </w:pPr>
      <w:r w:rsidRPr="00923FD3">
        <w:rPr>
          <w:lang w:val="en-US" w:eastAsia="es-MX"/>
        </w:rPr>
        <w:t xml:space="preserve">28. </w:t>
      </w:r>
      <w:proofErr w:type="spellStart"/>
      <w:r w:rsidRPr="00923FD3">
        <w:rPr>
          <w:lang w:val="en-US" w:eastAsia="es-MX"/>
        </w:rPr>
        <w:t>Abramowicz</w:t>
      </w:r>
      <w:proofErr w:type="spellEnd"/>
      <w:r w:rsidRPr="00923FD3">
        <w:rPr>
          <w:lang w:val="en-US" w:eastAsia="es-MX"/>
        </w:rPr>
        <w:t xml:space="preserve"> S, Amin D, Goudy SL, Austin TM, </w:t>
      </w:r>
      <w:proofErr w:type="spellStart"/>
      <w:r w:rsidRPr="00923FD3">
        <w:rPr>
          <w:lang w:val="en-US" w:eastAsia="es-MX"/>
        </w:rPr>
        <w:t>Santore</w:t>
      </w:r>
      <w:proofErr w:type="spellEnd"/>
      <w:r w:rsidRPr="00923FD3">
        <w:rPr>
          <w:lang w:val="en-US" w:eastAsia="es-MX"/>
        </w:rPr>
        <w:t xml:space="preserve"> MT, Milder MJ, et al. Management of pediatric facial fractures during COVID-19 pandemic. Oral </w:t>
      </w:r>
      <w:proofErr w:type="spellStart"/>
      <w:r w:rsidRPr="00923FD3">
        <w:rPr>
          <w:lang w:val="en-US" w:eastAsia="es-MX"/>
        </w:rPr>
        <w:t>Surg</w:t>
      </w:r>
      <w:proofErr w:type="spellEnd"/>
      <w:r w:rsidRPr="00923FD3">
        <w:rPr>
          <w:lang w:val="en-US" w:eastAsia="es-MX"/>
        </w:rPr>
        <w:t xml:space="preserve"> Oral Med Oral </w:t>
      </w:r>
      <w:proofErr w:type="spellStart"/>
      <w:r w:rsidRPr="00923FD3">
        <w:rPr>
          <w:lang w:val="en-US" w:eastAsia="es-MX"/>
        </w:rPr>
        <w:t>Pathol</w:t>
      </w:r>
      <w:proofErr w:type="spellEnd"/>
      <w:r w:rsidRPr="00923FD3">
        <w:rPr>
          <w:lang w:val="en-US" w:eastAsia="es-MX"/>
        </w:rPr>
        <w:t xml:space="preserve"> Oral </w:t>
      </w:r>
      <w:proofErr w:type="spellStart"/>
      <w:r w:rsidRPr="00923FD3">
        <w:rPr>
          <w:lang w:val="en-US" w:eastAsia="es-MX"/>
        </w:rPr>
        <w:t>Radiol</w:t>
      </w:r>
      <w:proofErr w:type="spellEnd"/>
      <w:r w:rsidRPr="00923FD3">
        <w:rPr>
          <w:lang w:val="en-US" w:eastAsia="es-MX"/>
        </w:rPr>
        <w:t xml:space="preserve">. </w:t>
      </w:r>
      <w:proofErr w:type="gramStart"/>
      <w:r w:rsidRPr="00923FD3">
        <w:rPr>
          <w:lang w:val="en-US" w:eastAsia="es-MX"/>
        </w:rPr>
        <w:t>2021</w:t>
      </w:r>
      <w:proofErr w:type="gramEnd"/>
      <w:r w:rsidRPr="00923FD3">
        <w:rPr>
          <w:lang w:val="en-US" w:eastAsia="es-MX"/>
        </w:rPr>
        <w:t>; 132(5):169-74. DOI: 10.1016/j.oooo.2021.05.004</w:t>
      </w:r>
    </w:p>
    <w:p w:rsidR="0096637F" w:rsidRPr="00923FD3" w:rsidRDefault="0096637F" w:rsidP="0096637F">
      <w:pPr>
        <w:spacing w:line="360" w:lineRule="auto"/>
        <w:rPr>
          <w:lang w:eastAsia="es-MX"/>
        </w:rPr>
      </w:pPr>
      <w:r w:rsidRPr="00923FD3">
        <w:rPr>
          <w:lang w:val="en-US" w:eastAsia="es-MX"/>
        </w:rPr>
        <w:t xml:space="preserve">29. </w:t>
      </w:r>
      <w:proofErr w:type="spellStart"/>
      <w:r w:rsidRPr="00923FD3">
        <w:rPr>
          <w:lang w:val="en-US" w:eastAsia="es-MX"/>
        </w:rPr>
        <w:t>Gangwani</w:t>
      </w:r>
      <w:proofErr w:type="spellEnd"/>
      <w:r w:rsidRPr="00923FD3">
        <w:rPr>
          <w:lang w:val="en-US" w:eastAsia="es-MX"/>
        </w:rPr>
        <w:t xml:space="preserve"> P, Harris H, Christie M, Mecca K, </w:t>
      </w:r>
      <w:proofErr w:type="spellStart"/>
      <w:r w:rsidRPr="00923FD3">
        <w:rPr>
          <w:lang w:val="en-US" w:eastAsia="es-MX"/>
        </w:rPr>
        <w:t>Barmak</w:t>
      </w:r>
      <w:proofErr w:type="spellEnd"/>
      <w:r w:rsidRPr="00923FD3">
        <w:rPr>
          <w:lang w:val="en-US" w:eastAsia="es-MX"/>
        </w:rPr>
        <w:t xml:space="preserve"> B, </w:t>
      </w:r>
      <w:proofErr w:type="spellStart"/>
      <w:r w:rsidRPr="00923FD3">
        <w:rPr>
          <w:lang w:val="en-US" w:eastAsia="es-MX"/>
        </w:rPr>
        <w:t>Kolokythas</w:t>
      </w:r>
      <w:proofErr w:type="spellEnd"/>
      <w:r w:rsidRPr="00923FD3">
        <w:rPr>
          <w:lang w:val="en-US" w:eastAsia="es-MX"/>
        </w:rPr>
        <w:t xml:space="preserve"> A. </w:t>
      </w:r>
      <w:proofErr w:type="spellStart"/>
      <w:r w:rsidRPr="00923FD3">
        <w:rPr>
          <w:lang w:val="en-US" w:eastAsia="es-MX"/>
        </w:rPr>
        <w:t>Aetiology</w:t>
      </w:r>
      <w:proofErr w:type="spellEnd"/>
      <w:r w:rsidRPr="00923FD3">
        <w:rPr>
          <w:lang w:val="en-US" w:eastAsia="es-MX"/>
        </w:rPr>
        <w:t xml:space="preserve"> and Epidemiology of Maxillofacial Injuries during the Stay-At-Home Period Due To the COVID-19 Pandemic: A Single Center Study. </w:t>
      </w:r>
      <w:r w:rsidRPr="00923FD3">
        <w:rPr>
          <w:lang w:eastAsia="es-MX"/>
        </w:rPr>
        <w:t xml:space="preserve">J Oral </w:t>
      </w:r>
      <w:proofErr w:type="spellStart"/>
      <w:r w:rsidRPr="00923FD3">
        <w:rPr>
          <w:lang w:eastAsia="es-MX"/>
        </w:rPr>
        <w:t>Maxillofac</w:t>
      </w:r>
      <w:proofErr w:type="spellEnd"/>
      <w:r w:rsidRPr="00923FD3">
        <w:rPr>
          <w:lang w:eastAsia="es-MX"/>
        </w:rPr>
        <w:t xml:space="preserve"> Res. 2021; 12(4):e4. DOI: 10.5037/jomr.2021.12404</w:t>
      </w:r>
    </w:p>
    <w:p w:rsidR="0096637F" w:rsidRPr="00923FD3" w:rsidRDefault="0096637F" w:rsidP="0096637F">
      <w:pPr>
        <w:spacing w:line="360" w:lineRule="auto"/>
        <w:rPr>
          <w:lang w:eastAsia="es-MX"/>
        </w:rPr>
      </w:pPr>
      <w:r w:rsidRPr="00923FD3">
        <w:rPr>
          <w:lang w:eastAsia="es-MX"/>
        </w:rPr>
        <w:t xml:space="preserve">30. Vázquez-Blanco E, Albornoz-López del Castillo C, </w:t>
      </w:r>
      <w:proofErr w:type="spellStart"/>
      <w:r w:rsidRPr="00923FD3">
        <w:rPr>
          <w:lang w:eastAsia="es-MX"/>
        </w:rPr>
        <w:t>Calás</w:t>
      </w:r>
      <w:proofErr w:type="spellEnd"/>
      <w:r w:rsidRPr="00923FD3">
        <w:rPr>
          <w:lang w:eastAsia="es-MX"/>
        </w:rPr>
        <w:t xml:space="preserve">-Torres JJ, Robles-de León FA, Olivera-Ladrón de Guevara Y. Atención de urgencias maxilofaciales durante la pandemia por la COVID-19, Granma 2021. </w:t>
      </w:r>
      <w:proofErr w:type="spellStart"/>
      <w:r w:rsidRPr="00923FD3">
        <w:rPr>
          <w:lang w:eastAsia="es-MX"/>
        </w:rPr>
        <w:t>Rev</w:t>
      </w:r>
      <w:proofErr w:type="spellEnd"/>
      <w:r w:rsidRPr="00923FD3">
        <w:rPr>
          <w:lang w:eastAsia="es-MX"/>
        </w:rPr>
        <w:t xml:space="preserve"> </w:t>
      </w:r>
      <w:proofErr w:type="spellStart"/>
      <w:r w:rsidRPr="00923FD3">
        <w:rPr>
          <w:lang w:eastAsia="es-MX"/>
        </w:rPr>
        <w:t>Inf</w:t>
      </w:r>
      <w:proofErr w:type="spellEnd"/>
      <w:r w:rsidRPr="00923FD3">
        <w:rPr>
          <w:lang w:eastAsia="es-MX"/>
        </w:rPr>
        <w:t xml:space="preserve"> </w:t>
      </w:r>
      <w:proofErr w:type="spellStart"/>
      <w:r w:rsidRPr="00923FD3">
        <w:rPr>
          <w:lang w:eastAsia="es-MX"/>
        </w:rPr>
        <w:t>Cient</w:t>
      </w:r>
      <w:proofErr w:type="spellEnd"/>
      <w:r w:rsidRPr="00923FD3">
        <w:rPr>
          <w:lang w:eastAsia="es-MX"/>
        </w:rPr>
        <w:t xml:space="preserve">. 2022 [acceso: 01/03/2023]; 101(1):e3758. Disponible en: </w:t>
      </w:r>
      <w:hyperlink r:id="rId16" w:history="1">
        <w:r w:rsidRPr="00923FD3">
          <w:rPr>
            <w:color w:val="0563C1"/>
            <w:lang w:eastAsia="es-MX"/>
          </w:rPr>
          <w:t>http://www.revinfcientifica.sld.cu/index.php/ric/article/view/3758</w:t>
        </w:r>
      </w:hyperlink>
      <w:r w:rsidRPr="00923FD3">
        <w:rPr>
          <w:lang w:eastAsia="es-MX"/>
        </w:rPr>
        <w:t xml:space="preserve">  </w:t>
      </w:r>
    </w:p>
    <w:p w:rsidR="0096637F" w:rsidRPr="00923FD3" w:rsidRDefault="0096637F" w:rsidP="0096637F">
      <w:pPr>
        <w:spacing w:line="360" w:lineRule="auto"/>
        <w:rPr>
          <w:lang w:eastAsia="es-MX"/>
        </w:rPr>
      </w:pPr>
      <w:r w:rsidRPr="00923FD3">
        <w:rPr>
          <w:lang w:val="en-US" w:eastAsia="es-MX"/>
        </w:rPr>
        <w:t xml:space="preserve">31. Corrales-Reyes IE, </w:t>
      </w:r>
      <w:proofErr w:type="spellStart"/>
      <w:r w:rsidRPr="00923FD3">
        <w:rPr>
          <w:lang w:val="en-US" w:eastAsia="es-MX"/>
        </w:rPr>
        <w:t>Núñez</w:t>
      </w:r>
      <w:proofErr w:type="spellEnd"/>
      <w:r w:rsidRPr="00923FD3">
        <w:rPr>
          <w:lang w:val="en-US" w:eastAsia="es-MX"/>
        </w:rPr>
        <w:t xml:space="preserve">-Blanco AE, Morales-Navarro D. Impact of the COVID-19 on the epidemiology of maxillofacial fractures surgically treated in a Cuban university hospital. </w:t>
      </w:r>
      <w:proofErr w:type="spellStart"/>
      <w:r w:rsidRPr="00923FD3">
        <w:rPr>
          <w:lang w:eastAsia="es-MX"/>
        </w:rPr>
        <w:t>Rev</w:t>
      </w:r>
      <w:proofErr w:type="spellEnd"/>
      <w:r w:rsidRPr="00923FD3">
        <w:rPr>
          <w:lang w:eastAsia="es-MX"/>
        </w:rPr>
        <w:t xml:space="preserve"> Cubana </w:t>
      </w:r>
      <w:proofErr w:type="spellStart"/>
      <w:r w:rsidRPr="00923FD3">
        <w:rPr>
          <w:lang w:eastAsia="es-MX"/>
        </w:rPr>
        <w:t>Inv</w:t>
      </w:r>
      <w:proofErr w:type="spellEnd"/>
      <w:r w:rsidRPr="00923FD3">
        <w:rPr>
          <w:lang w:eastAsia="es-MX"/>
        </w:rPr>
        <w:t xml:space="preserve"> </w:t>
      </w:r>
      <w:proofErr w:type="spellStart"/>
      <w:r w:rsidRPr="00923FD3">
        <w:rPr>
          <w:lang w:eastAsia="es-MX"/>
        </w:rPr>
        <w:t>Bioméd</w:t>
      </w:r>
      <w:proofErr w:type="spellEnd"/>
      <w:r w:rsidRPr="00923FD3">
        <w:rPr>
          <w:lang w:eastAsia="es-MX"/>
        </w:rPr>
        <w:t xml:space="preserve">. 2023 [acceso: 01/03/2023]; 42(1):e2134. Disponible en: </w:t>
      </w:r>
      <w:hyperlink r:id="rId17" w:history="1">
        <w:r w:rsidRPr="00923FD3">
          <w:rPr>
            <w:color w:val="0563C1"/>
            <w:lang w:eastAsia="es-MX"/>
          </w:rPr>
          <w:t>https://revibiomedica.sld.cu/index.php/ibi/article/view/2134</w:t>
        </w:r>
      </w:hyperlink>
      <w:r w:rsidRPr="00923FD3">
        <w:rPr>
          <w:lang w:eastAsia="es-MX"/>
        </w:rPr>
        <w:t xml:space="preserve">  </w:t>
      </w:r>
    </w:p>
    <w:p w:rsidR="0096637F" w:rsidRPr="0096637F" w:rsidRDefault="0096637F" w:rsidP="0096637F">
      <w:pPr>
        <w:spacing w:line="360" w:lineRule="auto"/>
        <w:rPr>
          <w:b/>
          <w:bCs/>
          <w:lang w:eastAsia="es-MX"/>
        </w:rPr>
      </w:pPr>
    </w:p>
    <w:p w:rsidR="0096637F" w:rsidRPr="0096637F" w:rsidRDefault="0096637F" w:rsidP="0096637F">
      <w:pPr>
        <w:spacing w:line="360" w:lineRule="auto"/>
        <w:jc w:val="center"/>
        <w:rPr>
          <w:b/>
          <w:bCs/>
          <w:lang w:eastAsia="es-MX"/>
        </w:rPr>
      </w:pPr>
    </w:p>
    <w:p w:rsidR="0096637F" w:rsidRPr="0096637F" w:rsidRDefault="0096637F" w:rsidP="0096637F">
      <w:pPr>
        <w:spacing w:line="360" w:lineRule="auto"/>
        <w:jc w:val="center"/>
        <w:rPr>
          <w:b/>
          <w:bCs/>
          <w:lang w:eastAsia="es-MX"/>
        </w:rPr>
      </w:pPr>
      <w:r w:rsidRPr="0096637F">
        <w:rPr>
          <w:b/>
          <w:bCs/>
          <w:lang w:eastAsia="es-MX"/>
        </w:rPr>
        <w:t>Conflictos de interés</w:t>
      </w:r>
    </w:p>
    <w:p w:rsidR="0096637F" w:rsidRPr="0096637F" w:rsidRDefault="0096637F" w:rsidP="0096637F">
      <w:pPr>
        <w:spacing w:line="360" w:lineRule="auto"/>
        <w:rPr>
          <w:lang w:eastAsia="es-MX"/>
        </w:rPr>
      </w:pPr>
      <w:r w:rsidRPr="0096637F">
        <w:rPr>
          <w:lang w:eastAsia="es-MX"/>
        </w:rPr>
        <w:t>Los autores declaran no tener conflictos de interés.</w:t>
      </w:r>
    </w:p>
    <w:p w:rsidR="0096637F" w:rsidRPr="0096637F" w:rsidRDefault="0096637F" w:rsidP="0096637F">
      <w:pPr>
        <w:spacing w:line="360" w:lineRule="auto"/>
        <w:rPr>
          <w:b/>
          <w:lang w:eastAsia="es-MX"/>
        </w:rPr>
      </w:pPr>
    </w:p>
    <w:p w:rsidR="0096637F" w:rsidRPr="0096637F" w:rsidRDefault="0096637F" w:rsidP="0096637F">
      <w:pPr>
        <w:spacing w:line="360" w:lineRule="auto"/>
        <w:jc w:val="center"/>
        <w:rPr>
          <w:lang w:eastAsia="es-MX"/>
        </w:rPr>
      </w:pPr>
      <w:r w:rsidRPr="0096637F">
        <w:rPr>
          <w:b/>
          <w:lang w:eastAsia="es-MX"/>
        </w:rPr>
        <w:t>Contribuciones de los autores</w:t>
      </w:r>
    </w:p>
    <w:p w:rsidR="0096637F" w:rsidRPr="0096637F" w:rsidRDefault="0096637F" w:rsidP="0096637F">
      <w:pPr>
        <w:spacing w:line="360" w:lineRule="auto"/>
        <w:jc w:val="both"/>
        <w:rPr>
          <w:i/>
          <w:lang w:eastAsia="es-ES"/>
        </w:rPr>
      </w:pPr>
      <w:r w:rsidRPr="0096637F">
        <w:rPr>
          <w:lang w:eastAsia="es-ES"/>
        </w:rPr>
        <w:t xml:space="preserve">Conceptualización: </w:t>
      </w:r>
      <w:proofErr w:type="spellStart"/>
      <w:r w:rsidRPr="0096637F">
        <w:rPr>
          <w:i/>
          <w:lang w:eastAsia="es-MX"/>
        </w:rPr>
        <w:t>Ibraín</w:t>
      </w:r>
      <w:proofErr w:type="spellEnd"/>
      <w:r w:rsidRPr="0096637F">
        <w:rPr>
          <w:i/>
          <w:lang w:eastAsia="es-MX"/>
        </w:rPr>
        <w:t xml:space="preserve"> Enrique Corrales-Reyes.</w:t>
      </w:r>
    </w:p>
    <w:p w:rsidR="0096637F" w:rsidRPr="0096637F" w:rsidRDefault="0096637F" w:rsidP="0096637F">
      <w:pPr>
        <w:spacing w:line="360" w:lineRule="auto"/>
        <w:jc w:val="both"/>
        <w:rPr>
          <w:i/>
          <w:lang w:eastAsia="es-ES"/>
        </w:rPr>
      </w:pPr>
      <w:r w:rsidRPr="0096637F">
        <w:rPr>
          <w:lang w:eastAsia="es-ES"/>
        </w:rPr>
        <w:t xml:space="preserve">Análisis formal: </w:t>
      </w:r>
      <w:proofErr w:type="spellStart"/>
      <w:r w:rsidRPr="0096637F">
        <w:rPr>
          <w:i/>
          <w:lang w:eastAsia="es-MX"/>
        </w:rPr>
        <w:t>Ibraín</w:t>
      </w:r>
      <w:proofErr w:type="spellEnd"/>
      <w:r w:rsidRPr="0096637F">
        <w:rPr>
          <w:i/>
          <w:lang w:eastAsia="es-MX"/>
        </w:rPr>
        <w:t xml:space="preserve"> Enrique Corrales-Reyes.</w:t>
      </w:r>
    </w:p>
    <w:p w:rsidR="0096637F" w:rsidRPr="0096637F" w:rsidRDefault="0096637F" w:rsidP="0096637F">
      <w:pPr>
        <w:spacing w:line="360" w:lineRule="auto"/>
        <w:jc w:val="both"/>
        <w:rPr>
          <w:i/>
          <w:lang w:eastAsia="es-ES"/>
        </w:rPr>
      </w:pPr>
      <w:r w:rsidRPr="0096637F">
        <w:rPr>
          <w:lang w:eastAsia="es-ES"/>
        </w:rPr>
        <w:t xml:space="preserve">Investigación: </w:t>
      </w:r>
      <w:proofErr w:type="spellStart"/>
      <w:r w:rsidRPr="0096637F">
        <w:rPr>
          <w:i/>
          <w:lang w:eastAsia="es-MX"/>
        </w:rPr>
        <w:t>Ibraín</w:t>
      </w:r>
      <w:proofErr w:type="spellEnd"/>
      <w:r w:rsidRPr="0096637F">
        <w:rPr>
          <w:i/>
          <w:lang w:eastAsia="es-MX"/>
        </w:rPr>
        <w:t xml:space="preserve"> Enrique Corrales-Reyes, Alejandro Ernesto Núñez-Blanco.</w:t>
      </w:r>
    </w:p>
    <w:p w:rsidR="0096637F" w:rsidRPr="0096637F" w:rsidRDefault="0096637F" w:rsidP="0096637F">
      <w:pPr>
        <w:spacing w:line="360" w:lineRule="auto"/>
        <w:jc w:val="both"/>
        <w:rPr>
          <w:i/>
          <w:lang w:eastAsia="es-ES"/>
        </w:rPr>
      </w:pPr>
      <w:r w:rsidRPr="0096637F">
        <w:rPr>
          <w:lang w:eastAsia="es-ES"/>
        </w:rPr>
        <w:t xml:space="preserve">Metodología: </w:t>
      </w:r>
      <w:proofErr w:type="spellStart"/>
      <w:r w:rsidRPr="0096637F">
        <w:rPr>
          <w:i/>
          <w:lang w:eastAsia="es-MX"/>
        </w:rPr>
        <w:t>Ibraín</w:t>
      </w:r>
      <w:proofErr w:type="spellEnd"/>
      <w:r w:rsidRPr="0096637F">
        <w:rPr>
          <w:i/>
          <w:lang w:eastAsia="es-MX"/>
        </w:rPr>
        <w:t xml:space="preserve"> Enrique Corrales-Reyes, Denia Morales-Navarro.</w:t>
      </w:r>
    </w:p>
    <w:p w:rsidR="0096637F" w:rsidRPr="0096637F" w:rsidRDefault="0096637F" w:rsidP="0096637F">
      <w:pPr>
        <w:spacing w:line="360" w:lineRule="auto"/>
        <w:jc w:val="both"/>
        <w:rPr>
          <w:lang w:eastAsia="es-ES"/>
        </w:rPr>
      </w:pPr>
      <w:r w:rsidRPr="0096637F">
        <w:rPr>
          <w:lang w:eastAsia="es-ES"/>
        </w:rPr>
        <w:t xml:space="preserve">Administración del proyecto: </w:t>
      </w:r>
      <w:proofErr w:type="spellStart"/>
      <w:r w:rsidRPr="0096637F">
        <w:rPr>
          <w:i/>
          <w:lang w:eastAsia="es-MX"/>
        </w:rPr>
        <w:t>Ibraín</w:t>
      </w:r>
      <w:proofErr w:type="spellEnd"/>
      <w:r w:rsidRPr="0096637F">
        <w:rPr>
          <w:i/>
          <w:lang w:eastAsia="es-MX"/>
        </w:rPr>
        <w:t xml:space="preserve"> Enrique Corrales-Reyes.</w:t>
      </w:r>
    </w:p>
    <w:p w:rsidR="0096637F" w:rsidRPr="0096637F" w:rsidRDefault="0096637F" w:rsidP="0096637F">
      <w:pPr>
        <w:spacing w:line="360" w:lineRule="auto"/>
        <w:jc w:val="both"/>
        <w:rPr>
          <w:i/>
          <w:lang w:eastAsia="es-ES"/>
        </w:rPr>
      </w:pPr>
      <w:r w:rsidRPr="0096637F">
        <w:rPr>
          <w:lang w:eastAsia="es-ES"/>
        </w:rPr>
        <w:t xml:space="preserve">Recursos: </w:t>
      </w:r>
      <w:proofErr w:type="spellStart"/>
      <w:r w:rsidRPr="0096637F">
        <w:rPr>
          <w:i/>
          <w:lang w:eastAsia="es-MX"/>
        </w:rPr>
        <w:t>Ibraín</w:t>
      </w:r>
      <w:proofErr w:type="spellEnd"/>
      <w:r w:rsidRPr="0096637F">
        <w:rPr>
          <w:i/>
          <w:lang w:eastAsia="es-MX"/>
        </w:rPr>
        <w:t xml:space="preserve"> Enrique Corrales-Reyes, Denia Morales-Navarro, Alejandro Ernesto Núñez-Blanco.</w:t>
      </w:r>
    </w:p>
    <w:p w:rsidR="0096637F" w:rsidRPr="0096637F" w:rsidRDefault="0096637F" w:rsidP="0096637F">
      <w:pPr>
        <w:spacing w:line="360" w:lineRule="auto"/>
        <w:jc w:val="both"/>
        <w:rPr>
          <w:i/>
          <w:lang w:eastAsia="es-ES"/>
        </w:rPr>
      </w:pPr>
      <w:r w:rsidRPr="0096637F">
        <w:rPr>
          <w:lang w:eastAsia="es-ES"/>
        </w:rPr>
        <w:t xml:space="preserve">Validación: </w:t>
      </w:r>
      <w:proofErr w:type="spellStart"/>
      <w:r w:rsidRPr="0096637F">
        <w:rPr>
          <w:i/>
          <w:lang w:eastAsia="es-MX"/>
        </w:rPr>
        <w:t>Ibraín</w:t>
      </w:r>
      <w:proofErr w:type="spellEnd"/>
      <w:r w:rsidRPr="0096637F">
        <w:rPr>
          <w:i/>
          <w:lang w:eastAsia="es-MX"/>
        </w:rPr>
        <w:t xml:space="preserve"> Enrique Corrales-Reyes, Denia Morales-Navarro.</w:t>
      </w:r>
    </w:p>
    <w:p w:rsidR="0096637F" w:rsidRPr="0096637F" w:rsidRDefault="0096637F" w:rsidP="0096637F">
      <w:pPr>
        <w:spacing w:line="360" w:lineRule="auto"/>
        <w:jc w:val="both"/>
        <w:rPr>
          <w:i/>
          <w:lang w:eastAsia="es-ES"/>
        </w:rPr>
      </w:pPr>
      <w:r w:rsidRPr="0096637F">
        <w:rPr>
          <w:lang w:eastAsia="es-ES"/>
        </w:rPr>
        <w:t xml:space="preserve">Visualización: </w:t>
      </w:r>
      <w:proofErr w:type="spellStart"/>
      <w:r w:rsidRPr="0096637F">
        <w:rPr>
          <w:i/>
          <w:lang w:eastAsia="es-MX"/>
        </w:rPr>
        <w:t>Ibraín</w:t>
      </w:r>
      <w:proofErr w:type="spellEnd"/>
      <w:r w:rsidRPr="0096637F">
        <w:rPr>
          <w:i/>
          <w:lang w:eastAsia="es-MX"/>
        </w:rPr>
        <w:t xml:space="preserve"> Enrique Corrales-Reyes.</w:t>
      </w:r>
    </w:p>
    <w:p w:rsidR="0096637F" w:rsidRPr="0096637F" w:rsidRDefault="0096637F" w:rsidP="0096637F">
      <w:pPr>
        <w:spacing w:line="360" w:lineRule="auto"/>
        <w:jc w:val="both"/>
        <w:rPr>
          <w:i/>
          <w:lang w:eastAsia="es-ES"/>
        </w:rPr>
      </w:pPr>
      <w:r w:rsidRPr="0096637F">
        <w:rPr>
          <w:lang w:eastAsia="es-ES"/>
        </w:rPr>
        <w:t xml:space="preserve">Redacción – borrador original: </w:t>
      </w:r>
      <w:proofErr w:type="spellStart"/>
      <w:r w:rsidRPr="0096637F">
        <w:rPr>
          <w:i/>
          <w:lang w:eastAsia="es-MX"/>
        </w:rPr>
        <w:t>Ibraín</w:t>
      </w:r>
      <w:proofErr w:type="spellEnd"/>
      <w:r w:rsidRPr="0096637F">
        <w:rPr>
          <w:i/>
          <w:lang w:eastAsia="es-MX"/>
        </w:rPr>
        <w:t xml:space="preserve"> Enrique Corrales-Reyes, Denia Morales-Navarro.</w:t>
      </w:r>
    </w:p>
    <w:p w:rsidR="0096637F" w:rsidRPr="0096637F" w:rsidRDefault="0096637F" w:rsidP="0096637F">
      <w:pPr>
        <w:spacing w:line="360" w:lineRule="auto"/>
        <w:jc w:val="both"/>
        <w:rPr>
          <w:lang w:eastAsia="es-MX"/>
        </w:rPr>
      </w:pPr>
      <w:r w:rsidRPr="0096637F">
        <w:rPr>
          <w:lang w:eastAsia="es-ES"/>
        </w:rPr>
        <w:t xml:space="preserve">Redacción – revisión y edición: </w:t>
      </w:r>
      <w:proofErr w:type="spellStart"/>
      <w:r w:rsidRPr="0096637F">
        <w:rPr>
          <w:i/>
          <w:lang w:eastAsia="es-MX"/>
        </w:rPr>
        <w:t>Ibraín</w:t>
      </w:r>
      <w:proofErr w:type="spellEnd"/>
      <w:r w:rsidRPr="0096637F">
        <w:rPr>
          <w:i/>
          <w:lang w:eastAsia="es-MX"/>
        </w:rPr>
        <w:t xml:space="preserve"> Enrique Corrales-Reyes, Denia Morales-Navarro, Alejandro Ernesto Núñez-Blanco.</w:t>
      </w:r>
    </w:p>
    <w:p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E2E" w:rsidRDefault="009A3E2E">
      <w:r>
        <w:separator/>
      </w:r>
    </w:p>
  </w:endnote>
  <w:endnote w:type="continuationSeparator" w:id="0">
    <w:p w:rsidR="009A3E2E" w:rsidRDefault="009A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2C" w:rsidRDefault="0007612C"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612C" w:rsidRDefault="0007612C"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2C" w:rsidRPr="00AE044C" w:rsidRDefault="0007612C"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54EFD93D" wp14:editId="106DDA3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441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07612C" w:rsidRPr="00AE044C" w:rsidRDefault="0007612C" w:rsidP="00391509">
    <w:pPr>
      <w:pStyle w:val="Piedepgina"/>
      <w:ind w:right="360"/>
      <w:rPr>
        <w:sz w:val="22"/>
        <w:szCs w:val="22"/>
      </w:rPr>
    </w:pPr>
    <w:hyperlink r:id="rId1" w:history="1">
      <w:r w:rsidRPr="00AE044C">
        <w:rPr>
          <w:rStyle w:val="Hipervnculo"/>
          <w:sz w:val="22"/>
          <w:szCs w:val="22"/>
        </w:rPr>
        <w:t>http://scielo.sld.cu</w:t>
      </w:r>
    </w:hyperlink>
  </w:p>
  <w:p w:rsidR="0007612C" w:rsidRPr="00AE044C" w:rsidRDefault="0007612C" w:rsidP="00AE044C">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rsidR="0007612C" w:rsidRPr="00CC376A" w:rsidRDefault="0007612C"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61586C41" wp14:editId="183DED6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E2E" w:rsidRDefault="009A3E2E">
      <w:r>
        <w:separator/>
      </w:r>
    </w:p>
  </w:footnote>
  <w:footnote w:type="continuationSeparator" w:id="0">
    <w:p w:rsidR="009A3E2E" w:rsidRDefault="009A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2C" w:rsidRPr="00AE044C" w:rsidRDefault="0007612C" w:rsidP="00180CE9">
    <w:pPr>
      <w:pStyle w:val="Encabezado"/>
      <w:tabs>
        <w:tab w:val="left" w:pos="420"/>
      </w:tabs>
      <w:jc w:val="center"/>
      <w:rPr>
        <w:sz w:val="22"/>
        <w:szCs w:val="22"/>
      </w:rPr>
    </w:pPr>
    <w:r>
      <w:rPr>
        <w:sz w:val="22"/>
        <w:szCs w:val="22"/>
      </w:rPr>
      <w:t>2023</w:t>
    </w:r>
    <w:proofErr w:type="gramStart"/>
    <w:r>
      <w:rPr>
        <w:sz w:val="22"/>
        <w:szCs w:val="22"/>
      </w:rPr>
      <w:t>;52</w:t>
    </w:r>
    <w:proofErr w:type="gramEnd"/>
    <w:r w:rsidRPr="00AE044C">
      <w:rPr>
        <w:sz w:val="22"/>
        <w:szCs w:val="22"/>
      </w:rPr>
      <w:t>(</w:t>
    </w:r>
    <w:r>
      <w:rPr>
        <w:sz w:val="22"/>
        <w:szCs w:val="22"/>
      </w:rPr>
      <w:t>3</w:t>
    </w:r>
    <w:r w:rsidRPr="00AE044C">
      <w:rPr>
        <w:sz w:val="22"/>
        <w:szCs w:val="22"/>
      </w:rPr>
      <w:t>):</w:t>
    </w:r>
    <w:r>
      <w:rPr>
        <w:sz w:val="22"/>
        <w:szCs w:val="22"/>
      </w:rPr>
      <w:t>e02302997</w:t>
    </w:r>
    <w:r w:rsidRPr="007D2D0C">
      <w:rPr>
        <w:b/>
        <w:noProof/>
        <w:color w:val="00FFFF"/>
        <w:sz w:val="22"/>
        <w:szCs w:val="22"/>
        <w:lang w:val="es-CU" w:eastAsia="en-US"/>
      </w:rPr>
      <w:t xml:space="preserve"> </w:t>
    </w:r>
    <w:r>
      <w:rPr>
        <w:b/>
        <w:noProof/>
        <w:color w:val="00FFFF"/>
        <w:sz w:val="22"/>
        <w:szCs w:val="22"/>
        <w:lang w:val="es-ES" w:eastAsia="es-ES"/>
      </w:rPr>
      <w:drawing>
        <wp:anchor distT="0" distB="0" distL="114300" distR="114300" simplePos="0" relativeHeight="251663360" behindDoc="1" locked="0" layoutInCell="1" allowOverlap="1" wp14:anchorId="55B36EEC" wp14:editId="6480FB4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rsidR="0007612C" w:rsidRDefault="0007612C">
    <w:r w:rsidRPr="00CC376A">
      <w:rPr>
        <w:rFonts w:ascii="Verdana" w:hAnsi="Verdana"/>
        <w:noProof/>
        <w:color w:val="00FFFF"/>
        <w:sz w:val="18"/>
        <w:szCs w:val="18"/>
        <w:lang w:val="es-ES" w:eastAsia="es-ES"/>
      </w:rPr>
      <mc:AlternateContent>
        <mc:Choice Requires="wps">
          <w:drawing>
            <wp:anchor distT="0" distB="0" distL="114300" distR="114300" simplePos="0" relativeHeight="251654144" behindDoc="0" locked="0" layoutInCell="1" allowOverlap="1" wp14:anchorId="345A86E2" wp14:editId="27AC29E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A2E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CUFAIAAC0EAAAOAAAAZHJzL2Uyb0RvYy54bWysU02P2yAQvVfqf0C+J/6Ik81acVaVHfeS&#10;tpF2+wMI4BgVAwISJ6r63zuQONrdXqqqPuCBmXm8mXmsns69QCdmLFeyjNJpEiEmiaJcHsro+0sz&#10;WUbIOiwpFkqyMrowGz2tP35YDbpgmeqUoMwgAJG2GHQZdc7pIo4t6ViP7VRpJsHZKtNjB1tziKnB&#10;A6D3Is6SZBEPylBtFGHWwml9dUbrgN+2jLhvbWuZQ6KMgJsLqwnr3q/xeoWLg8G64+RGA/8Dix5z&#10;CZfeoWrsMDoa/gdUz4lRVrVuSlQfq7blhIUaoJo0eVfNc4c1C7VAc6y+t8n+P1jy9bQziNMyyiIk&#10;cQ8j2nLJ0Nx3ZtC2gIBK7oyvjZzls94q8sMiqaoOywMLDF8uGtJSnxG/SfEbqwF/P3xRFGLw0anQ&#10;pnNreg8JDUDnMI3LfRrs7BCBw8UseZhlQIuAL1vOHwKnGBdjsjbWfWaqR94oIwG8Azg+ba3zZHAx&#10;hvi7pGq4EGHgQqJhxPQuqwSn3hs25rCvhEEn7DUDX9OE0t6FGXWUNKB1DNPNzXaYi6sNtwvp8aAe&#10;4HOzrqL4+Zg8bpabZT7Js8Vmkid1PfnUVPlk0aQP83pWV1Wd/vLFpHnRcUqZ9OxGgab53wng9lSu&#10;0rpL9N6H+C16aBiQHf+BdBion+FVDXtFLzszDho0GYJv78eL/vUe7NevfP0bAAD//wMAUEsDBBQA&#10;BgAIAAAAIQAkhnK02wAAAAUBAAAPAAAAZHJzL2Rvd25yZXYueG1sTI7BbsIwEETvlfoP1lbqrTgE&#10;RCGNg2ilHjhV0AqpNxMvSUS8DrYDoV/f5dQeZ2Z35uXLwbbijD40jhSMRwkIpNKZhioFX5/vT3MQ&#10;IWoyunWECq4YYFnc3+U6M+5CGzxvYyW4hEKmFdQxdpmUoazR6jByHRJnB+etjix9JY3XFy63rUyT&#10;ZCatbogXat3hW43lcdtbxjhdJ7vj2pn0IDfRfPv+9eOnV+rxYVi9gIg4xL9juOHzDxTMtHc9mSDa&#10;mxZRwewZBIeLxWQKYs/uOAVZ5PI/ffELAAD//wMAUEsBAi0AFAAGAAgAAAAhALaDOJL+AAAA4QEA&#10;ABMAAAAAAAAAAAAAAAAAAAAAAFtDb250ZW50X1R5cGVzXS54bWxQSwECLQAUAAYACAAAACEAOP0h&#10;/9YAAACUAQAACwAAAAAAAAAAAAAAAAAvAQAAX3JlbHMvLnJlbHNQSwECLQAUAAYACAAAACEAjcTw&#10;lBQCAAAtBAAADgAAAAAAAAAAAAAAAAAuAgAAZHJzL2Uyb0RvYy54bWxQSwECLQAUAAYACAAAACEA&#10;JIZytNsAAAAFAQAADwAAAAAAAAAAAAAAAABuBAAAZHJzL2Rvd25yZXYueG1sUEsFBgAAAAAEAAQA&#10;8wAAAHY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A07FB"/>
    <w:multiLevelType w:val="hybridMultilevel"/>
    <w:tmpl w:val="A570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DB0F93"/>
    <w:multiLevelType w:val="hybridMultilevel"/>
    <w:tmpl w:val="4A7035C6"/>
    <w:lvl w:ilvl="0" w:tplc="0409000D">
      <w:start w:val="1"/>
      <w:numFmt w:val="bullet"/>
      <w:lvlText w:val=""/>
      <w:lvlJc w:val="left"/>
      <w:pPr>
        <w:ind w:left="1077" w:hanging="360"/>
      </w:pPr>
      <w:rPr>
        <w:rFonts w:ascii="Wingdings" w:hAnsi="Wingdings" w:hint="default"/>
      </w:rPr>
    </w:lvl>
    <w:lvl w:ilvl="1" w:tplc="080A0003">
      <w:start w:val="1"/>
      <w:numFmt w:val="bullet"/>
      <w:lvlText w:val="o"/>
      <w:lvlJc w:val="left"/>
      <w:pPr>
        <w:ind w:left="1797" w:hanging="360"/>
      </w:pPr>
      <w:rPr>
        <w:rFonts w:ascii="Courier New" w:hAnsi="Courier New" w:cs="Courier New" w:hint="default"/>
      </w:rPr>
    </w:lvl>
    <w:lvl w:ilvl="2" w:tplc="080A0005">
      <w:start w:val="1"/>
      <w:numFmt w:val="bullet"/>
      <w:lvlText w:val=""/>
      <w:lvlJc w:val="left"/>
      <w:pPr>
        <w:ind w:left="2517" w:hanging="360"/>
      </w:pPr>
      <w:rPr>
        <w:rFonts w:ascii="Wingdings" w:hAnsi="Wingdings" w:hint="default"/>
      </w:rPr>
    </w:lvl>
    <w:lvl w:ilvl="3" w:tplc="080A0001">
      <w:start w:val="1"/>
      <w:numFmt w:val="bullet"/>
      <w:lvlText w:val=""/>
      <w:lvlJc w:val="left"/>
      <w:pPr>
        <w:ind w:left="3237" w:hanging="360"/>
      </w:pPr>
      <w:rPr>
        <w:rFonts w:ascii="Symbol" w:hAnsi="Symbol" w:hint="default"/>
      </w:rPr>
    </w:lvl>
    <w:lvl w:ilvl="4" w:tplc="080A0003">
      <w:start w:val="1"/>
      <w:numFmt w:val="bullet"/>
      <w:lvlText w:val="o"/>
      <w:lvlJc w:val="left"/>
      <w:pPr>
        <w:ind w:left="3957" w:hanging="360"/>
      </w:pPr>
      <w:rPr>
        <w:rFonts w:ascii="Courier New" w:hAnsi="Courier New" w:cs="Courier New" w:hint="default"/>
      </w:rPr>
    </w:lvl>
    <w:lvl w:ilvl="5" w:tplc="080A0005">
      <w:start w:val="1"/>
      <w:numFmt w:val="bullet"/>
      <w:lvlText w:val=""/>
      <w:lvlJc w:val="left"/>
      <w:pPr>
        <w:ind w:left="4677" w:hanging="360"/>
      </w:pPr>
      <w:rPr>
        <w:rFonts w:ascii="Wingdings" w:hAnsi="Wingdings" w:hint="default"/>
      </w:rPr>
    </w:lvl>
    <w:lvl w:ilvl="6" w:tplc="080A0001">
      <w:start w:val="1"/>
      <w:numFmt w:val="bullet"/>
      <w:lvlText w:val=""/>
      <w:lvlJc w:val="left"/>
      <w:pPr>
        <w:ind w:left="5397" w:hanging="360"/>
      </w:pPr>
      <w:rPr>
        <w:rFonts w:ascii="Symbol" w:hAnsi="Symbol" w:hint="default"/>
      </w:rPr>
    </w:lvl>
    <w:lvl w:ilvl="7" w:tplc="080A0003">
      <w:start w:val="1"/>
      <w:numFmt w:val="bullet"/>
      <w:lvlText w:val="o"/>
      <w:lvlJc w:val="left"/>
      <w:pPr>
        <w:ind w:left="6117" w:hanging="360"/>
      </w:pPr>
      <w:rPr>
        <w:rFonts w:ascii="Courier New" w:hAnsi="Courier New" w:cs="Courier New" w:hint="default"/>
      </w:rPr>
    </w:lvl>
    <w:lvl w:ilvl="8" w:tplc="080A0005">
      <w:start w:val="1"/>
      <w:numFmt w:val="bullet"/>
      <w:lvlText w:val=""/>
      <w:lvlJc w:val="left"/>
      <w:pPr>
        <w:ind w:left="6837" w:hanging="360"/>
      </w:pPr>
      <w:rPr>
        <w:rFonts w:ascii="Wingdings" w:hAnsi="Wingdings" w:hint="default"/>
      </w:rPr>
    </w:lvl>
  </w:abstractNum>
  <w:abstractNum w:abstractNumId="2">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5D4326D9"/>
    <w:multiLevelType w:val="hybridMultilevel"/>
    <w:tmpl w:val="10666B6C"/>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start w:val="1"/>
      <w:numFmt w:val="bullet"/>
      <w:lvlText w:val=""/>
      <w:lvlJc w:val="left"/>
      <w:pPr>
        <w:ind w:left="2517" w:hanging="360"/>
      </w:pPr>
      <w:rPr>
        <w:rFonts w:ascii="Wingdings" w:hAnsi="Wingdings" w:hint="default"/>
      </w:rPr>
    </w:lvl>
    <w:lvl w:ilvl="3" w:tplc="080A0001">
      <w:start w:val="1"/>
      <w:numFmt w:val="bullet"/>
      <w:lvlText w:val=""/>
      <w:lvlJc w:val="left"/>
      <w:pPr>
        <w:ind w:left="3237" w:hanging="360"/>
      </w:pPr>
      <w:rPr>
        <w:rFonts w:ascii="Symbol" w:hAnsi="Symbol" w:hint="default"/>
      </w:rPr>
    </w:lvl>
    <w:lvl w:ilvl="4" w:tplc="080A0003">
      <w:start w:val="1"/>
      <w:numFmt w:val="bullet"/>
      <w:lvlText w:val="o"/>
      <w:lvlJc w:val="left"/>
      <w:pPr>
        <w:ind w:left="3957" w:hanging="360"/>
      </w:pPr>
      <w:rPr>
        <w:rFonts w:ascii="Courier New" w:hAnsi="Courier New" w:cs="Courier New" w:hint="default"/>
      </w:rPr>
    </w:lvl>
    <w:lvl w:ilvl="5" w:tplc="080A0005">
      <w:start w:val="1"/>
      <w:numFmt w:val="bullet"/>
      <w:lvlText w:val=""/>
      <w:lvlJc w:val="left"/>
      <w:pPr>
        <w:ind w:left="4677" w:hanging="360"/>
      </w:pPr>
      <w:rPr>
        <w:rFonts w:ascii="Wingdings" w:hAnsi="Wingdings" w:hint="default"/>
      </w:rPr>
    </w:lvl>
    <w:lvl w:ilvl="6" w:tplc="080A0001">
      <w:start w:val="1"/>
      <w:numFmt w:val="bullet"/>
      <w:lvlText w:val=""/>
      <w:lvlJc w:val="left"/>
      <w:pPr>
        <w:ind w:left="5397" w:hanging="360"/>
      </w:pPr>
      <w:rPr>
        <w:rFonts w:ascii="Symbol" w:hAnsi="Symbol" w:hint="default"/>
      </w:rPr>
    </w:lvl>
    <w:lvl w:ilvl="7" w:tplc="080A0003">
      <w:start w:val="1"/>
      <w:numFmt w:val="bullet"/>
      <w:lvlText w:val="o"/>
      <w:lvlJc w:val="left"/>
      <w:pPr>
        <w:ind w:left="6117" w:hanging="360"/>
      </w:pPr>
      <w:rPr>
        <w:rFonts w:ascii="Courier New" w:hAnsi="Courier New" w:cs="Courier New" w:hint="default"/>
      </w:rPr>
    </w:lvl>
    <w:lvl w:ilvl="8" w:tplc="080A0005">
      <w:start w:val="1"/>
      <w:numFmt w:val="bullet"/>
      <w:lvlText w:val=""/>
      <w:lvlJc w:val="left"/>
      <w:pPr>
        <w:ind w:left="6837" w:hanging="360"/>
      </w:pPr>
      <w:rPr>
        <w:rFonts w:ascii="Wingdings" w:hAnsi="Wingdings" w:hint="default"/>
      </w:rPr>
    </w:lvl>
  </w:abstractNum>
  <w:abstractNum w:abstractNumId="4">
    <w:nsid w:val="67516B64"/>
    <w:multiLevelType w:val="hybridMultilevel"/>
    <w:tmpl w:val="3E36F20A"/>
    <w:lvl w:ilvl="0" w:tplc="0E424FD0">
      <w:start w:val="1"/>
      <w:numFmt w:val="decimal"/>
      <w:lvlText w:val="%1."/>
      <w:lvlJc w:val="left"/>
      <w:pPr>
        <w:ind w:left="6740" w:hanging="360"/>
      </w:pPr>
      <w:rPr>
        <w:color w:val="auto"/>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7F"/>
    <w:rsid w:val="00003541"/>
    <w:rsid w:val="00057F45"/>
    <w:rsid w:val="0007612C"/>
    <w:rsid w:val="000D3958"/>
    <w:rsid w:val="000E5035"/>
    <w:rsid w:val="000F3690"/>
    <w:rsid w:val="001221D1"/>
    <w:rsid w:val="00165CB5"/>
    <w:rsid w:val="00180CE9"/>
    <w:rsid w:val="00230DD5"/>
    <w:rsid w:val="00250AE9"/>
    <w:rsid w:val="00380D64"/>
    <w:rsid w:val="00391509"/>
    <w:rsid w:val="003E03D5"/>
    <w:rsid w:val="003E5B9E"/>
    <w:rsid w:val="00486BFA"/>
    <w:rsid w:val="00493701"/>
    <w:rsid w:val="004E2065"/>
    <w:rsid w:val="005508A2"/>
    <w:rsid w:val="0055115D"/>
    <w:rsid w:val="00566F71"/>
    <w:rsid w:val="00572B55"/>
    <w:rsid w:val="00591072"/>
    <w:rsid w:val="005918BD"/>
    <w:rsid w:val="006173A6"/>
    <w:rsid w:val="00675476"/>
    <w:rsid w:val="00792324"/>
    <w:rsid w:val="007C430F"/>
    <w:rsid w:val="007D2D0C"/>
    <w:rsid w:val="007D614D"/>
    <w:rsid w:val="00923FD3"/>
    <w:rsid w:val="00960D6A"/>
    <w:rsid w:val="00965C3C"/>
    <w:rsid w:val="0096637F"/>
    <w:rsid w:val="009A0560"/>
    <w:rsid w:val="009A3E2E"/>
    <w:rsid w:val="009B0917"/>
    <w:rsid w:val="009C2DBD"/>
    <w:rsid w:val="009F0F96"/>
    <w:rsid w:val="00A23C0C"/>
    <w:rsid w:val="00A477DE"/>
    <w:rsid w:val="00A71E65"/>
    <w:rsid w:val="00AC763C"/>
    <w:rsid w:val="00AE044C"/>
    <w:rsid w:val="00B31971"/>
    <w:rsid w:val="00B4380A"/>
    <w:rsid w:val="00B66ECB"/>
    <w:rsid w:val="00C7523A"/>
    <w:rsid w:val="00CC1B6E"/>
    <w:rsid w:val="00CC376A"/>
    <w:rsid w:val="00CC48A1"/>
    <w:rsid w:val="00CF50E0"/>
    <w:rsid w:val="00D85951"/>
    <w:rsid w:val="00DF1580"/>
    <w:rsid w:val="00E62606"/>
    <w:rsid w:val="00EA1FEF"/>
    <w:rsid w:val="00EC5A6B"/>
    <w:rsid w:val="00ED7F96"/>
    <w:rsid w:val="00EE301D"/>
    <w:rsid w:val="00FA0C3B"/>
    <w:rsid w:val="00FA7CC1"/>
    <w:rsid w:val="00FD3DF8"/>
    <w:rsid w:val="00FE40CB"/>
    <w:rsid w:val="00FF3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35520"/>
  <w15:docId w15:val="{A1C60913-1782-44DB-A98F-BFD0D13D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96637F"/>
    <w:pPr>
      <w:keepNext/>
      <w:keepLines/>
      <w:spacing w:before="240"/>
      <w:outlineLvl w:val="0"/>
    </w:pPr>
    <w:rPr>
      <w:rFonts w:ascii="Calibri Light" w:hAnsi="Calibri Light"/>
      <w:color w:val="2E74B5"/>
      <w:sz w:val="32"/>
      <w:szCs w:val="32"/>
      <w:lang w:eastAsia="es-MX"/>
    </w:rPr>
  </w:style>
  <w:style w:type="paragraph" w:styleId="Ttulo3">
    <w:name w:val="heading 3"/>
    <w:basedOn w:val="Normal"/>
    <w:link w:val="Ttulo3Car"/>
    <w:uiPriority w:val="9"/>
    <w:qFormat/>
    <w:rsid w:val="0096637F"/>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11">
    <w:name w:val="Título 11"/>
    <w:basedOn w:val="Normal"/>
    <w:next w:val="Normal"/>
    <w:uiPriority w:val="9"/>
    <w:qFormat/>
    <w:rsid w:val="0096637F"/>
    <w:pPr>
      <w:keepNext/>
      <w:keepLines/>
      <w:spacing w:before="240"/>
      <w:outlineLvl w:val="0"/>
    </w:pPr>
    <w:rPr>
      <w:rFonts w:ascii="Calibri Light" w:hAnsi="Calibri Light"/>
      <w:color w:val="2E74B5"/>
      <w:sz w:val="32"/>
      <w:szCs w:val="32"/>
      <w:lang w:eastAsia="es-MX"/>
    </w:rPr>
  </w:style>
  <w:style w:type="character" w:customStyle="1" w:styleId="Ttulo3Car">
    <w:name w:val="Título 3 Car"/>
    <w:basedOn w:val="Fuentedeprrafopredeter"/>
    <w:link w:val="Ttulo3"/>
    <w:uiPriority w:val="9"/>
    <w:rsid w:val="0096637F"/>
    <w:rPr>
      <w:b/>
      <w:bCs/>
      <w:sz w:val="27"/>
      <w:szCs w:val="27"/>
    </w:rPr>
  </w:style>
  <w:style w:type="numbering" w:customStyle="1" w:styleId="Sinlista1">
    <w:name w:val="Sin lista1"/>
    <w:next w:val="Sinlista"/>
    <w:uiPriority w:val="99"/>
    <w:semiHidden/>
    <w:unhideWhenUsed/>
    <w:rsid w:val="0096637F"/>
  </w:style>
  <w:style w:type="table" w:customStyle="1" w:styleId="Tablaconcuadrcula1">
    <w:name w:val="Tabla con cuadrícula1"/>
    <w:basedOn w:val="Tablanormal"/>
    <w:next w:val="Tablaconcuadrcula"/>
    <w:uiPriority w:val="39"/>
    <w:rsid w:val="0096637F"/>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96637F"/>
    <w:pPr>
      <w:ind w:left="720"/>
      <w:contextualSpacing/>
    </w:pPr>
  </w:style>
  <w:style w:type="character" w:customStyle="1" w:styleId="PrrafodelistaCar">
    <w:name w:val="Párrafo de lista Car"/>
    <w:basedOn w:val="Fuentedeprrafopredeter"/>
    <w:link w:val="Prrafodelista"/>
    <w:uiPriority w:val="34"/>
    <w:locked/>
    <w:rsid w:val="0096637F"/>
    <w:rPr>
      <w:sz w:val="24"/>
      <w:szCs w:val="24"/>
      <w:lang w:val="es-ES_tradnl" w:eastAsia="es-ES_tradnl"/>
    </w:rPr>
  </w:style>
  <w:style w:type="character" w:styleId="Refdecomentario">
    <w:name w:val="annotation reference"/>
    <w:basedOn w:val="Fuentedeprrafopredeter"/>
    <w:uiPriority w:val="99"/>
    <w:unhideWhenUsed/>
    <w:qFormat/>
    <w:rsid w:val="0096637F"/>
    <w:rPr>
      <w:sz w:val="16"/>
      <w:szCs w:val="16"/>
    </w:rPr>
  </w:style>
  <w:style w:type="character" w:customStyle="1" w:styleId="TextocomentarioCar">
    <w:name w:val="Texto comentario Car"/>
    <w:basedOn w:val="Fuentedeprrafopredeter"/>
    <w:link w:val="Textocomentario1"/>
    <w:uiPriority w:val="99"/>
    <w:qFormat/>
    <w:rsid w:val="0096637F"/>
    <w:rPr>
      <w:sz w:val="20"/>
      <w:szCs w:val="20"/>
    </w:rPr>
  </w:style>
  <w:style w:type="paragraph" w:customStyle="1" w:styleId="Textocomentario1">
    <w:name w:val="Texto comentario1"/>
    <w:basedOn w:val="Normal"/>
    <w:next w:val="Textocomentario"/>
    <w:link w:val="TextocomentarioCar"/>
    <w:uiPriority w:val="99"/>
    <w:unhideWhenUsed/>
    <w:qFormat/>
    <w:rsid w:val="0096637F"/>
    <w:pPr>
      <w:suppressAutoHyphens/>
      <w:spacing w:after="160"/>
    </w:pPr>
    <w:rPr>
      <w:sz w:val="20"/>
      <w:szCs w:val="20"/>
      <w:lang w:val="es-ES" w:eastAsia="es-ES"/>
    </w:rPr>
  </w:style>
  <w:style w:type="character" w:customStyle="1" w:styleId="TextocomentarioCar1">
    <w:name w:val="Texto comentario Car1"/>
    <w:basedOn w:val="Fuentedeprrafopredeter"/>
    <w:uiPriority w:val="99"/>
    <w:semiHidden/>
    <w:rsid w:val="0096637F"/>
    <w:rPr>
      <w:rFonts w:ascii="Times New Roman" w:eastAsia="Times New Roman" w:hAnsi="Times New Roman" w:cs="Times New Roman"/>
      <w:sz w:val="20"/>
      <w:szCs w:val="20"/>
      <w:lang w:val="es-PE" w:eastAsia="es-MX"/>
    </w:rPr>
  </w:style>
  <w:style w:type="character" w:customStyle="1" w:styleId="jlqj4b">
    <w:name w:val="jlqj4b"/>
    <w:basedOn w:val="Fuentedeprrafopredeter"/>
    <w:rsid w:val="0096637F"/>
  </w:style>
  <w:style w:type="paragraph" w:styleId="Sinespaciado">
    <w:name w:val="No Spacing"/>
    <w:uiPriority w:val="1"/>
    <w:qFormat/>
    <w:rsid w:val="0096637F"/>
    <w:rPr>
      <w:rFonts w:ascii="Calibri" w:eastAsia="Calibri" w:hAnsi="Calibri"/>
      <w:sz w:val="22"/>
      <w:szCs w:val="22"/>
      <w:lang w:eastAsia="en-US"/>
    </w:rPr>
  </w:style>
  <w:style w:type="character" w:customStyle="1" w:styleId="rynqvb">
    <w:name w:val="rynqvb"/>
    <w:basedOn w:val="Fuentedeprrafopredeter"/>
    <w:rsid w:val="0096637F"/>
  </w:style>
  <w:style w:type="paragraph" w:styleId="Textocomentario">
    <w:name w:val="annotation text"/>
    <w:basedOn w:val="Normal"/>
    <w:link w:val="TextocomentarioCar2"/>
    <w:semiHidden/>
    <w:unhideWhenUsed/>
    <w:rsid w:val="0096637F"/>
    <w:rPr>
      <w:sz w:val="20"/>
      <w:szCs w:val="20"/>
    </w:rPr>
  </w:style>
  <w:style w:type="character" w:customStyle="1" w:styleId="TextocomentarioCar2">
    <w:name w:val="Texto comentario Car2"/>
    <w:basedOn w:val="Fuentedeprrafopredeter"/>
    <w:link w:val="Textocomentario"/>
    <w:semiHidden/>
    <w:rsid w:val="0096637F"/>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6637F"/>
    <w:rPr>
      <w:b/>
      <w:bCs/>
      <w:lang w:val="es-PE" w:eastAsia="es-MX"/>
    </w:rPr>
  </w:style>
  <w:style w:type="character" w:customStyle="1" w:styleId="AsuntodelcomentarioCar">
    <w:name w:val="Asunto del comentario Car"/>
    <w:basedOn w:val="TextocomentarioCar2"/>
    <w:link w:val="Asuntodelcomentario"/>
    <w:uiPriority w:val="99"/>
    <w:semiHidden/>
    <w:rsid w:val="0096637F"/>
    <w:rPr>
      <w:b/>
      <w:bCs/>
      <w:lang w:val="es-PE" w:eastAsia="es-MX"/>
    </w:rPr>
  </w:style>
  <w:style w:type="character" w:customStyle="1" w:styleId="Hipervnculovisitado1">
    <w:name w:val="Hipervínculo visitado1"/>
    <w:basedOn w:val="Fuentedeprrafopredeter"/>
    <w:uiPriority w:val="99"/>
    <w:semiHidden/>
    <w:unhideWhenUsed/>
    <w:rsid w:val="0096637F"/>
    <w:rPr>
      <w:color w:val="954F72"/>
      <w:u w:val="single"/>
    </w:rPr>
  </w:style>
  <w:style w:type="character" w:customStyle="1" w:styleId="Mencinsinresolver1">
    <w:name w:val="Mención sin resolver1"/>
    <w:basedOn w:val="Fuentedeprrafopredeter"/>
    <w:uiPriority w:val="99"/>
    <w:semiHidden/>
    <w:unhideWhenUsed/>
    <w:rsid w:val="0096637F"/>
    <w:rPr>
      <w:color w:val="605E5C"/>
      <w:shd w:val="clear" w:color="auto" w:fill="E1DFDD"/>
    </w:rPr>
  </w:style>
  <w:style w:type="paragraph" w:styleId="Textoindependiente">
    <w:name w:val="Body Text"/>
    <w:basedOn w:val="Normal"/>
    <w:link w:val="TextoindependienteCar"/>
    <w:uiPriority w:val="99"/>
    <w:unhideWhenUsed/>
    <w:rsid w:val="0096637F"/>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96637F"/>
    <w:rPr>
      <w:rFonts w:ascii="Arial" w:hAnsi="Arial" w:cs="Arial"/>
      <w:sz w:val="12"/>
      <w:szCs w:val="12"/>
    </w:rPr>
  </w:style>
  <w:style w:type="character" w:styleId="nfasis">
    <w:name w:val="Emphasis"/>
    <w:uiPriority w:val="20"/>
    <w:qFormat/>
    <w:rsid w:val="0096637F"/>
    <w:rPr>
      <w:i/>
      <w:iCs/>
    </w:rPr>
  </w:style>
  <w:style w:type="character" w:customStyle="1" w:styleId="Ttulo1Car">
    <w:name w:val="Título 1 Car"/>
    <w:basedOn w:val="Fuentedeprrafopredeter"/>
    <w:link w:val="Ttulo1"/>
    <w:uiPriority w:val="9"/>
    <w:rsid w:val="0096637F"/>
    <w:rPr>
      <w:rFonts w:ascii="Calibri Light" w:eastAsia="Times New Roman" w:hAnsi="Calibri Light" w:cs="Times New Roman"/>
      <w:color w:val="2E74B5"/>
      <w:sz w:val="32"/>
      <w:szCs w:val="32"/>
      <w:lang w:val="es-ES_tradnl" w:eastAsia="es-MX"/>
    </w:rPr>
  </w:style>
  <w:style w:type="character" w:styleId="Textoennegrita">
    <w:name w:val="Strong"/>
    <w:basedOn w:val="Fuentedeprrafopredeter"/>
    <w:uiPriority w:val="22"/>
    <w:qFormat/>
    <w:rsid w:val="0096637F"/>
    <w:rPr>
      <w:b/>
      <w:bCs/>
    </w:rPr>
  </w:style>
  <w:style w:type="character" w:customStyle="1" w:styleId="hwtze">
    <w:name w:val="hwtze"/>
    <w:basedOn w:val="Fuentedeprrafopredeter"/>
    <w:rsid w:val="0096637F"/>
  </w:style>
  <w:style w:type="paragraph" w:styleId="Revisin">
    <w:name w:val="Revision"/>
    <w:hidden/>
    <w:uiPriority w:val="99"/>
    <w:semiHidden/>
    <w:rsid w:val="0096637F"/>
    <w:rPr>
      <w:sz w:val="24"/>
      <w:szCs w:val="24"/>
      <w:lang w:val="es-ES_tradnl" w:eastAsia="es-MX"/>
    </w:rPr>
  </w:style>
  <w:style w:type="character" w:customStyle="1" w:styleId="Mencinsinresolver2">
    <w:name w:val="Mención sin resolver2"/>
    <w:basedOn w:val="Fuentedeprrafopredeter"/>
    <w:uiPriority w:val="99"/>
    <w:semiHidden/>
    <w:unhideWhenUsed/>
    <w:rsid w:val="0096637F"/>
    <w:rPr>
      <w:color w:val="605E5C"/>
      <w:shd w:val="clear" w:color="auto" w:fill="E1DFDD"/>
    </w:rPr>
  </w:style>
  <w:style w:type="character" w:styleId="Hipervnculovisitado">
    <w:name w:val="FollowedHyperlink"/>
    <w:basedOn w:val="Fuentedeprrafopredeter"/>
    <w:semiHidden/>
    <w:unhideWhenUsed/>
    <w:rsid w:val="0096637F"/>
    <w:rPr>
      <w:color w:val="800080" w:themeColor="followedHyperlink"/>
      <w:u w:val="single"/>
    </w:rPr>
  </w:style>
  <w:style w:type="character" w:customStyle="1" w:styleId="Ttulo1Car1">
    <w:name w:val="Título 1 Car1"/>
    <w:basedOn w:val="Fuentedeprrafopredeter"/>
    <w:link w:val="Ttulo1"/>
    <w:rsid w:val="0096637F"/>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237-7139"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2146-9014" TargetMode="External"/><Relationship Id="rId12" Type="http://schemas.openxmlformats.org/officeDocument/2006/relationships/image" Target="media/image2.png"/><Relationship Id="rId17" Type="http://schemas.openxmlformats.org/officeDocument/2006/relationships/hyperlink" Target="https://revibiomedica.sld.cu/index.php/ibi/article/view/2134" TargetMode="External"/><Relationship Id="rId2" Type="http://schemas.openxmlformats.org/officeDocument/2006/relationships/styles" Target="styles.xml"/><Relationship Id="rId16" Type="http://schemas.openxmlformats.org/officeDocument/2006/relationships/hyperlink" Target="http://www.revinfcientifica.sld.cu/index.php/ric/article/view/375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ebmedicine.net/topics/heent/maxillofacial-trauma-facial-injuries" TargetMode="External"/><Relationship Id="rId10" Type="http://schemas.openxmlformats.org/officeDocument/2006/relationships/hyperlink" Target="mailto:iecorralesr@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6066-7235" TargetMode="External"/><Relationship Id="rId14" Type="http://schemas.openxmlformats.org/officeDocument/2006/relationships/image" Target="media/image4.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vista\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71</TotalTime>
  <Pages>16</Pages>
  <Words>4566</Words>
  <Characters>25113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29620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17</cp:revision>
  <cp:lastPrinted>2023-06-16T20:03:00Z</cp:lastPrinted>
  <dcterms:created xsi:type="dcterms:W3CDTF">2023-06-16T19:28:00Z</dcterms:created>
  <dcterms:modified xsi:type="dcterms:W3CDTF">2023-06-16T20:40:00Z</dcterms:modified>
</cp:coreProperties>
</file>