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7AC36" w14:textId="77777777" w:rsidR="001819EC" w:rsidRPr="001819EC" w:rsidRDefault="001819EC" w:rsidP="001819EC">
      <w:pPr>
        <w:spacing w:line="360" w:lineRule="auto"/>
        <w:jc w:val="right"/>
        <w:rPr>
          <w:bCs/>
          <w:iCs/>
          <w:sz w:val="20"/>
          <w:szCs w:val="20"/>
          <w:lang w:val="es-ES" w:eastAsia="en-US"/>
        </w:rPr>
      </w:pPr>
      <w:r w:rsidRPr="001819EC">
        <w:rPr>
          <w:bCs/>
          <w:iCs/>
          <w:sz w:val="20"/>
          <w:szCs w:val="20"/>
          <w:lang w:val="es-ES" w:eastAsia="en-US"/>
        </w:rPr>
        <w:t>Artículo de investigación</w:t>
      </w:r>
    </w:p>
    <w:p w14:paraId="6036569A" w14:textId="77777777" w:rsidR="001819EC" w:rsidRPr="001819EC" w:rsidRDefault="001819EC" w:rsidP="001819EC">
      <w:pPr>
        <w:spacing w:line="360" w:lineRule="auto"/>
        <w:jc w:val="right"/>
        <w:rPr>
          <w:bCs/>
          <w:iCs/>
          <w:lang w:val="es-ES" w:eastAsia="en-US"/>
        </w:rPr>
      </w:pPr>
    </w:p>
    <w:p w14:paraId="1FA53A9F" w14:textId="77777777" w:rsidR="001819EC" w:rsidRPr="001819EC" w:rsidRDefault="001819EC" w:rsidP="001819EC">
      <w:pPr>
        <w:spacing w:line="360" w:lineRule="auto"/>
        <w:jc w:val="center"/>
        <w:rPr>
          <w:rFonts w:eastAsia="Calibri"/>
          <w:b/>
          <w:sz w:val="28"/>
          <w:szCs w:val="28"/>
          <w:lang w:val="es-ES" w:eastAsia="en-US"/>
        </w:rPr>
      </w:pPr>
      <w:bookmarkStart w:id="0" w:name="_Hlk117688842"/>
      <w:r w:rsidRPr="001819EC">
        <w:rPr>
          <w:rFonts w:eastAsia="Calibri"/>
          <w:b/>
          <w:sz w:val="28"/>
          <w:szCs w:val="28"/>
          <w:lang w:val="es-ES" w:eastAsia="en-US"/>
        </w:rPr>
        <w:t xml:space="preserve">Eficacia del </w:t>
      </w:r>
      <w:proofErr w:type="spellStart"/>
      <w:r w:rsidRPr="001819EC">
        <w:rPr>
          <w:rFonts w:eastAsia="Calibri"/>
          <w:b/>
          <w:sz w:val="28"/>
          <w:szCs w:val="28"/>
          <w:lang w:val="es-ES" w:eastAsia="en-US"/>
        </w:rPr>
        <w:t>nimotuzumab</w:t>
      </w:r>
      <w:proofErr w:type="spellEnd"/>
      <w:r w:rsidRPr="001819EC">
        <w:rPr>
          <w:rFonts w:eastAsia="Calibri"/>
          <w:b/>
          <w:sz w:val="28"/>
          <w:szCs w:val="28"/>
          <w:lang w:val="es-ES" w:eastAsia="en-US"/>
        </w:rPr>
        <w:t xml:space="preserve"> </w:t>
      </w:r>
      <w:bookmarkStart w:id="1" w:name="_Hlk125979239"/>
      <w:r w:rsidRPr="001819EC">
        <w:rPr>
          <w:rFonts w:eastAsia="Calibri"/>
          <w:b/>
          <w:sz w:val="28"/>
          <w:szCs w:val="28"/>
          <w:lang w:val="es-ES" w:eastAsia="en-US"/>
        </w:rPr>
        <w:t xml:space="preserve">según índices inflamatorios en pacientes con cáncer de pulmón no microcítico avanzado </w:t>
      </w:r>
    </w:p>
    <w:bookmarkEnd w:id="1"/>
    <w:p w14:paraId="20C6B616" w14:textId="77777777" w:rsidR="001819EC" w:rsidRPr="001819EC" w:rsidRDefault="001819EC" w:rsidP="001819EC">
      <w:pPr>
        <w:spacing w:line="360" w:lineRule="auto"/>
        <w:jc w:val="center"/>
        <w:rPr>
          <w:rFonts w:eastAsia="Calibri"/>
          <w:sz w:val="28"/>
          <w:szCs w:val="28"/>
          <w:lang w:val="en" w:eastAsia="es-CU"/>
        </w:rPr>
      </w:pPr>
      <w:r w:rsidRPr="001819EC">
        <w:rPr>
          <w:rFonts w:eastAsia="Calibri"/>
          <w:sz w:val="28"/>
          <w:szCs w:val="28"/>
          <w:lang w:val="en" w:eastAsia="es-CU"/>
        </w:rPr>
        <w:t>Efficacy of nimotuzumab according to inflammatory indices in patients with advanced non-small cell lung cancer</w:t>
      </w:r>
    </w:p>
    <w:p w14:paraId="0244390C" w14:textId="77777777" w:rsidR="001819EC" w:rsidRPr="001819EC" w:rsidRDefault="001819EC" w:rsidP="001819EC">
      <w:pPr>
        <w:spacing w:line="360" w:lineRule="auto"/>
        <w:jc w:val="both"/>
        <w:rPr>
          <w:rFonts w:eastAsia="Calibri"/>
          <w:sz w:val="28"/>
          <w:szCs w:val="28"/>
          <w:lang w:val="en-US" w:eastAsia="en-US"/>
        </w:rPr>
      </w:pPr>
    </w:p>
    <w:p w14:paraId="0E4D26A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Kirenia Camacho </w:t>
      </w:r>
      <w:proofErr w:type="spellStart"/>
      <w:r w:rsidRPr="001819EC">
        <w:rPr>
          <w:rFonts w:eastAsia="Calibri"/>
          <w:lang w:val="es-ES" w:eastAsia="en-US"/>
        </w:rPr>
        <w:t>Sosa</w:t>
      </w:r>
      <w:r w:rsidRPr="001819EC">
        <w:rPr>
          <w:rFonts w:eastAsia="Calibri"/>
          <w:vertAlign w:val="superscript"/>
          <w:lang w:val="es-ES" w:eastAsia="en-US"/>
        </w:rPr>
        <w:t>1</w:t>
      </w:r>
      <w:proofErr w:type="spellEnd"/>
      <w:r w:rsidRPr="001819EC">
        <w:rPr>
          <w:rFonts w:eastAsia="Calibri"/>
          <w:lang w:val="es-ES" w:eastAsia="en-US"/>
        </w:rPr>
        <w:t xml:space="preserve">* </w:t>
      </w:r>
      <w:bookmarkStart w:id="2" w:name="_Hlk126085846"/>
      <w:r w:rsidRPr="001819EC">
        <w:rPr>
          <w:rFonts w:eastAsia="Calibri"/>
          <w:lang w:val="es-ES" w:eastAsia="en-US"/>
        </w:rPr>
        <w:fldChar w:fldCharType="begin"/>
      </w:r>
      <w:r w:rsidRPr="001819EC">
        <w:rPr>
          <w:rFonts w:eastAsia="Calibri"/>
          <w:lang w:val="es-ES" w:eastAsia="en-US"/>
        </w:rPr>
        <w:instrText>HYPERLINK "https://orcid.org/0000-0003-0497-7647"</w:instrText>
      </w:r>
      <w:r w:rsidRPr="001819EC">
        <w:rPr>
          <w:rFonts w:eastAsia="Calibri"/>
          <w:lang w:val="es-ES" w:eastAsia="en-US"/>
        </w:rPr>
      </w:r>
      <w:r w:rsidRPr="001819EC">
        <w:rPr>
          <w:rFonts w:eastAsia="Calibri"/>
          <w:lang w:val="es-ES" w:eastAsia="en-US"/>
        </w:rPr>
        <w:fldChar w:fldCharType="separate"/>
      </w:r>
      <w:r w:rsidRPr="001819EC">
        <w:rPr>
          <w:rFonts w:eastAsia="Calibri"/>
          <w:color w:val="0563C1"/>
          <w:lang w:val="es-ES" w:eastAsia="en-US"/>
        </w:rPr>
        <w:t>https://orcid.org/0000-0003-0497-7647</w:t>
      </w:r>
      <w:r w:rsidRPr="001819EC">
        <w:rPr>
          <w:rFonts w:eastAsia="Calibri"/>
          <w:lang w:val="es-ES" w:eastAsia="en-US"/>
        </w:rPr>
        <w:fldChar w:fldCharType="end"/>
      </w:r>
    </w:p>
    <w:bookmarkEnd w:id="2"/>
    <w:p w14:paraId="40D17FDC"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Mayra Ramos </w:t>
      </w:r>
      <w:proofErr w:type="spellStart"/>
      <w:r w:rsidRPr="001819EC">
        <w:rPr>
          <w:rFonts w:eastAsia="Calibri"/>
          <w:lang w:val="es-ES" w:eastAsia="en-US"/>
        </w:rPr>
        <w:t>Suzarte</w:t>
      </w:r>
      <w:r w:rsidRPr="001819EC">
        <w:rPr>
          <w:rFonts w:eastAsia="Calibri"/>
          <w:vertAlign w:val="superscript"/>
          <w:lang w:val="es-ES" w:eastAsia="en-US"/>
        </w:rPr>
        <w:t>2</w:t>
      </w:r>
      <w:proofErr w:type="spellEnd"/>
      <w:r w:rsidRPr="001819EC">
        <w:rPr>
          <w:rFonts w:eastAsia="Calibri"/>
          <w:lang w:val="es-ES" w:eastAsia="en-US"/>
        </w:rPr>
        <w:t xml:space="preserve"> </w:t>
      </w:r>
      <w:hyperlink r:id="rId8" w:history="1">
        <w:r w:rsidRPr="001819EC">
          <w:rPr>
            <w:rFonts w:eastAsia="Calibri"/>
            <w:color w:val="0563C1"/>
            <w:lang w:val="es-ES" w:eastAsia="en-US"/>
          </w:rPr>
          <w:t>https://orcid.org/0000-0002-9058-3224</w:t>
        </w:r>
      </w:hyperlink>
    </w:p>
    <w:p w14:paraId="4022F091"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Carmen Elena Viada </w:t>
      </w:r>
      <w:proofErr w:type="spellStart"/>
      <w:r w:rsidRPr="001819EC">
        <w:rPr>
          <w:rFonts w:eastAsia="Calibri"/>
          <w:lang w:val="es-ES" w:eastAsia="en-US"/>
        </w:rPr>
        <w:t>González</w:t>
      </w:r>
      <w:r w:rsidRPr="001819EC">
        <w:rPr>
          <w:rFonts w:eastAsia="Calibri"/>
          <w:vertAlign w:val="superscript"/>
          <w:lang w:val="es-ES" w:eastAsia="en-US"/>
        </w:rPr>
        <w:t>2</w:t>
      </w:r>
      <w:proofErr w:type="spellEnd"/>
      <w:r w:rsidRPr="001819EC">
        <w:rPr>
          <w:rFonts w:eastAsia="Calibri"/>
          <w:lang w:val="es-ES" w:eastAsia="en-US"/>
        </w:rPr>
        <w:t xml:space="preserve"> </w:t>
      </w:r>
      <w:hyperlink r:id="rId9" w:history="1">
        <w:r w:rsidRPr="001819EC">
          <w:rPr>
            <w:rFonts w:eastAsia="Calibri"/>
            <w:color w:val="0563C1"/>
            <w:lang w:val="es-ES" w:eastAsia="en-US"/>
          </w:rPr>
          <w:t>https://orcid.org/0000-0002-1604-3545</w:t>
        </w:r>
      </w:hyperlink>
      <w:r w:rsidRPr="001819EC">
        <w:rPr>
          <w:rFonts w:eastAsia="Calibri"/>
          <w:lang w:val="es-ES" w:eastAsia="en-US"/>
        </w:rPr>
        <w:t xml:space="preserve"> </w:t>
      </w:r>
    </w:p>
    <w:p w14:paraId="1773B5C2" w14:textId="77777777" w:rsidR="001819EC" w:rsidRPr="001819EC" w:rsidRDefault="001819EC" w:rsidP="001819EC">
      <w:pPr>
        <w:spacing w:line="360" w:lineRule="auto"/>
        <w:jc w:val="both"/>
        <w:rPr>
          <w:rFonts w:eastAsia="Calibri"/>
          <w:lang w:val="es-ES" w:eastAsia="en-US"/>
        </w:rPr>
      </w:pPr>
      <w:bookmarkStart w:id="3" w:name="_Hlk126099100"/>
      <w:r w:rsidRPr="001819EC">
        <w:rPr>
          <w:rFonts w:eastAsia="Calibri"/>
          <w:lang w:val="es-ES" w:eastAsia="en-US"/>
        </w:rPr>
        <w:t xml:space="preserve">Elia </w:t>
      </w:r>
      <w:proofErr w:type="spellStart"/>
      <w:r w:rsidRPr="001819EC">
        <w:rPr>
          <w:rFonts w:eastAsia="Calibri"/>
          <w:lang w:val="es-ES" w:eastAsia="en-US"/>
        </w:rPr>
        <w:t>Nenínger</w:t>
      </w:r>
      <w:proofErr w:type="spellEnd"/>
      <w:r w:rsidRPr="001819EC">
        <w:rPr>
          <w:rFonts w:eastAsia="Calibri"/>
          <w:lang w:val="es-ES" w:eastAsia="en-US"/>
        </w:rPr>
        <w:t xml:space="preserve"> </w:t>
      </w:r>
      <w:proofErr w:type="spellStart"/>
      <w:r w:rsidRPr="001819EC">
        <w:rPr>
          <w:rFonts w:eastAsia="Calibri"/>
          <w:lang w:val="es-ES" w:eastAsia="en-US"/>
        </w:rPr>
        <w:t>Vinageras</w:t>
      </w:r>
      <w:r w:rsidRPr="001819EC">
        <w:rPr>
          <w:rFonts w:eastAsia="Calibri"/>
          <w:vertAlign w:val="superscript"/>
          <w:lang w:val="es-ES" w:eastAsia="en-US"/>
        </w:rPr>
        <w:t>3</w:t>
      </w:r>
      <w:proofErr w:type="spellEnd"/>
      <w:r w:rsidRPr="001819EC">
        <w:rPr>
          <w:rFonts w:eastAsia="Calibri"/>
          <w:lang w:val="es-ES" w:eastAsia="en-US"/>
        </w:rPr>
        <w:t xml:space="preserve"> </w:t>
      </w:r>
      <w:hyperlink r:id="rId10" w:history="1">
        <w:r w:rsidRPr="001819EC">
          <w:rPr>
            <w:rFonts w:eastAsia="Calibri"/>
            <w:color w:val="0563C1"/>
            <w:lang w:val="es-ES" w:eastAsia="en-US"/>
          </w:rPr>
          <w:t>https://orcid.org/0000-0002-0923-1273</w:t>
        </w:r>
      </w:hyperlink>
    </w:p>
    <w:p w14:paraId="4D10871A"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Eduardo Rafael Santiesteban </w:t>
      </w:r>
      <w:proofErr w:type="spellStart"/>
      <w:r w:rsidRPr="001819EC">
        <w:rPr>
          <w:rFonts w:eastAsia="Calibri"/>
          <w:lang w:val="es-ES" w:eastAsia="en-US"/>
        </w:rPr>
        <w:t>Álvarez</w:t>
      </w:r>
      <w:r w:rsidRPr="001819EC">
        <w:rPr>
          <w:rFonts w:eastAsia="Calibri"/>
          <w:vertAlign w:val="superscript"/>
          <w:lang w:val="es-ES" w:eastAsia="en-US"/>
        </w:rPr>
        <w:t>1</w:t>
      </w:r>
      <w:proofErr w:type="spellEnd"/>
      <w:r w:rsidRPr="001819EC">
        <w:rPr>
          <w:rFonts w:eastAsia="Calibri"/>
          <w:lang w:val="es-ES" w:eastAsia="en-US"/>
        </w:rPr>
        <w:t xml:space="preserve"> </w:t>
      </w:r>
      <w:hyperlink r:id="rId11" w:history="1">
        <w:r w:rsidRPr="001819EC">
          <w:rPr>
            <w:rFonts w:eastAsia="Calibri"/>
            <w:color w:val="0563C1"/>
            <w:lang w:val="es-ES" w:eastAsia="en-US"/>
          </w:rPr>
          <w:t>https://orcid.org/0000-0002-3296-7502</w:t>
        </w:r>
      </w:hyperlink>
    </w:p>
    <w:p w14:paraId="0E1BD00F" w14:textId="77777777" w:rsidR="001819EC" w:rsidRPr="001819EC" w:rsidRDefault="001819EC" w:rsidP="001819EC">
      <w:pPr>
        <w:spacing w:line="360" w:lineRule="auto"/>
        <w:jc w:val="both"/>
        <w:rPr>
          <w:rFonts w:eastAsia="Calibri"/>
          <w:lang w:val="es-CU" w:eastAsia="en-US"/>
        </w:rPr>
      </w:pPr>
      <w:proofErr w:type="spellStart"/>
      <w:r w:rsidRPr="001819EC">
        <w:rPr>
          <w:rFonts w:eastAsia="Calibri"/>
          <w:lang w:val="es-CU" w:eastAsia="en-US"/>
        </w:rPr>
        <w:t>Maurenis</w:t>
      </w:r>
      <w:proofErr w:type="spellEnd"/>
      <w:r w:rsidRPr="001819EC">
        <w:rPr>
          <w:rFonts w:eastAsia="Calibri"/>
          <w:lang w:val="es-CU" w:eastAsia="en-US"/>
        </w:rPr>
        <w:t xml:space="preserve"> Hernández </w:t>
      </w:r>
      <w:proofErr w:type="spellStart"/>
      <w:r w:rsidRPr="001819EC">
        <w:rPr>
          <w:rFonts w:eastAsia="Calibri"/>
          <w:lang w:val="es-CU" w:eastAsia="en-US"/>
        </w:rPr>
        <w:t>Pérez</w:t>
      </w:r>
      <w:r w:rsidRPr="001819EC">
        <w:rPr>
          <w:rFonts w:eastAsia="Calibri"/>
          <w:vertAlign w:val="superscript"/>
          <w:lang w:val="es-CU" w:eastAsia="en-US"/>
        </w:rPr>
        <w:t>2</w:t>
      </w:r>
      <w:proofErr w:type="spellEnd"/>
      <w:r w:rsidRPr="001819EC">
        <w:rPr>
          <w:rFonts w:eastAsia="Calibri"/>
          <w:lang w:val="es-CU" w:eastAsia="en-US"/>
        </w:rPr>
        <w:t xml:space="preserve"> </w:t>
      </w:r>
      <w:hyperlink r:id="rId12" w:history="1">
        <w:r w:rsidRPr="001819EC">
          <w:rPr>
            <w:rFonts w:eastAsia="Calibri"/>
            <w:color w:val="0563C1"/>
            <w:lang w:val="es-CU" w:eastAsia="en-US"/>
          </w:rPr>
          <w:t>https://orcid.org/0000-000</w:t>
        </w:r>
      </w:hyperlink>
      <w:r w:rsidRPr="001819EC">
        <w:rPr>
          <w:rFonts w:eastAsia="Calibri"/>
          <w:color w:val="0563C1"/>
          <w:lang w:val="es-CU" w:eastAsia="en-US"/>
        </w:rPr>
        <w:t>3-4090-9860</w:t>
      </w:r>
    </w:p>
    <w:p w14:paraId="5C097A3B" w14:textId="77777777" w:rsidR="001819EC" w:rsidRPr="001819EC" w:rsidRDefault="001819EC" w:rsidP="001819EC">
      <w:pPr>
        <w:spacing w:line="360" w:lineRule="auto"/>
        <w:jc w:val="both"/>
        <w:rPr>
          <w:rFonts w:eastAsia="Calibri"/>
          <w:lang w:val="es-CU" w:eastAsia="en-US"/>
        </w:rPr>
      </w:pPr>
      <w:proofErr w:type="spellStart"/>
      <w:r w:rsidRPr="001819EC">
        <w:rPr>
          <w:rFonts w:eastAsia="Calibri"/>
          <w:lang w:val="es-CU" w:eastAsia="en-US"/>
        </w:rPr>
        <w:t>Yoanna</w:t>
      </w:r>
      <w:proofErr w:type="spellEnd"/>
      <w:r w:rsidRPr="001819EC">
        <w:rPr>
          <w:rFonts w:eastAsia="Calibri"/>
          <w:lang w:val="es-CU" w:eastAsia="en-US"/>
        </w:rPr>
        <w:t xml:space="preserve"> Ivette Flores </w:t>
      </w:r>
      <w:proofErr w:type="spellStart"/>
      <w:r w:rsidRPr="001819EC">
        <w:rPr>
          <w:rFonts w:eastAsia="Calibri"/>
          <w:lang w:val="es-CU" w:eastAsia="en-US"/>
        </w:rPr>
        <w:t>Vega</w:t>
      </w:r>
      <w:r w:rsidRPr="001819EC">
        <w:rPr>
          <w:rFonts w:eastAsia="Calibri"/>
          <w:vertAlign w:val="superscript"/>
          <w:lang w:val="es-CU" w:eastAsia="en-US"/>
        </w:rPr>
        <w:t>4</w:t>
      </w:r>
      <w:proofErr w:type="spellEnd"/>
      <w:r w:rsidRPr="001819EC">
        <w:rPr>
          <w:rFonts w:eastAsia="Calibri"/>
          <w:lang w:val="es-CU" w:eastAsia="en-US"/>
        </w:rPr>
        <w:t xml:space="preserve"> </w:t>
      </w:r>
      <w:hyperlink r:id="rId13" w:history="1">
        <w:r w:rsidRPr="001819EC">
          <w:rPr>
            <w:rFonts w:eastAsia="Calibri"/>
            <w:color w:val="0563C1"/>
            <w:lang w:val="es-CU" w:eastAsia="en-US"/>
          </w:rPr>
          <w:t>https://orcid.org/0000-0002-1135-5451</w:t>
        </w:r>
      </w:hyperlink>
    </w:p>
    <w:p w14:paraId="72A31EC5" w14:textId="77777777" w:rsidR="001819EC" w:rsidRPr="001819EC" w:rsidRDefault="001819EC" w:rsidP="001819EC">
      <w:pPr>
        <w:spacing w:line="360" w:lineRule="auto"/>
        <w:jc w:val="both"/>
        <w:rPr>
          <w:rFonts w:eastAsia="Calibri"/>
          <w:lang w:val="es-CU" w:eastAsia="en-US"/>
        </w:rPr>
      </w:pPr>
      <w:proofErr w:type="spellStart"/>
      <w:r w:rsidRPr="001819EC">
        <w:rPr>
          <w:rFonts w:eastAsia="Calibri"/>
          <w:lang w:val="es-CU" w:eastAsia="en-US"/>
        </w:rPr>
        <w:t>Saylin</w:t>
      </w:r>
      <w:proofErr w:type="spellEnd"/>
      <w:r w:rsidRPr="001819EC">
        <w:rPr>
          <w:rFonts w:eastAsia="Calibri"/>
          <w:lang w:val="es-CU" w:eastAsia="en-US"/>
        </w:rPr>
        <w:t xml:space="preserve"> Alfonso</w:t>
      </w:r>
      <w:bookmarkStart w:id="4" w:name="_Hlk126087435"/>
      <w:r w:rsidRPr="001819EC">
        <w:rPr>
          <w:rFonts w:eastAsia="Calibri"/>
          <w:lang w:val="es-CU" w:eastAsia="en-US"/>
        </w:rPr>
        <w:t xml:space="preserve"> </w:t>
      </w:r>
      <w:proofErr w:type="spellStart"/>
      <w:r w:rsidRPr="001819EC">
        <w:rPr>
          <w:rFonts w:eastAsia="Calibri"/>
          <w:lang w:val="es-CU" w:eastAsia="en-US"/>
        </w:rPr>
        <w:t>Alemán</w:t>
      </w:r>
      <w:r w:rsidRPr="001819EC">
        <w:rPr>
          <w:rFonts w:eastAsia="Calibri"/>
          <w:vertAlign w:val="superscript"/>
          <w:lang w:val="es-CU" w:eastAsia="en-US"/>
        </w:rPr>
        <w:t>5</w:t>
      </w:r>
      <w:proofErr w:type="spellEnd"/>
      <w:r w:rsidRPr="001819EC">
        <w:rPr>
          <w:rFonts w:eastAsia="Calibri"/>
          <w:lang w:val="es-CU" w:eastAsia="en-US"/>
        </w:rPr>
        <w:t xml:space="preserve"> </w:t>
      </w:r>
      <w:hyperlink r:id="rId14" w:history="1">
        <w:r w:rsidRPr="001819EC">
          <w:rPr>
            <w:rFonts w:eastAsia="Calibri"/>
            <w:color w:val="0563C1"/>
            <w:lang w:val="es-CU" w:eastAsia="en-US"/>
          </w:rPr>
          <w:t>https://orcid.org/0000-0002-8921-1124</w:t>
        </w:r>
      </w:hyperlink>
    </w:p>
    <w:bookmarkEnd w:id="4"/>
    <w:p w14:paraId="76E056A3"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Ramón Alberto Ortiz </w:t>
      </w:r>
      <w:proofErr w:type="spellStart"/>
      <w:r w:rsidRPr="001819EC">
        <w:rPr>
          <w:rFonts w:eastAsia="Calibri"/>
          <w:lang w:val="es-ES" w:eastAsia="en-US"/>
        </w:rPr>
        <w:t>Carrodeguas</w:t>
      </w:r>
      <w:r w:rsidRPr="001819EC">
        <w:rPr>
          <w:rFonts w:eastAsia="Calibri"/>
          <w:vertAlign w:val="superscript"/>
          <w:lang w:val="es-ES" w:eastAsia="en-US"/>
        </w:rPr>
        <w:t>5</w:t>
      </w:r>
      <w:proofErr w:type="spellEnd"/>
      <w:r w:rsidRPr="001819EC">
        <w:rPr>
          <w:rFonts w:eastAsia="Calibri"/>
          <w:lang w:val="es-ES" w:eastAsia="en-US"/>
        </w:rPr>
        <w:t xml:space="preserve"> </w:t>
      </w:r>
      <w:hyperlink r:id="rId15" w:history="1">
        <w:r w:rsidRPr="001819EC">
          <w:rPr>
            <w:rFonts w:eastAsia="Calibri"/>
            <w:color w:val="0563C1"/>
            <w:lang w:val="es-ES" w:eastAsia="en-US"/>
          </w:rPr>
          <w:t>https://orcid.org/0000-0001-5034-8628</w:t>
        </w:r>
      </w:hyperlink>
    </w:p>
    <w:p w14:paraId="17689AC9" w14:textId="77777777" w:rsidR="001819EC" w:rsidRPr="001819EC" w:rsidRDefault="001819EC" w:rsidP="001819EC">
      <w:pPr>
        <w:spacing w:line="360" w:lineRule="auto"/>
        <w:jc w:val="both"/>
        <w:rPr>
          <w:rFonts w:eastAsia="Calibri"/>
          <w:lang w:val="es-ES" w:eastAsia="en-US"/>
        </w:rPr>
      </w:pPr>
      <w:r w:rsidRPr="001819EC">
        <w:rPr>
          <w:rFonts w:eastAsia="Calibri"/>
          <w:lang w:val="es-CU" w:eastAsia="en-US"/>
        </w:rPr>
        <w:t xml:space="preserve">Soraida </w:t>
      </w:r>
      <w:proofErr w:type="spellStart"/>
      <w:r w:rsidRPr="001819EC">
        <w:rPr>
          <w:rFonts w:eastAsia="Calibri"/>
          <w:lang w:val="es-CU" w:eastAsia="en-US"/>
        </w:rPr>
        <w:t>Candida</w:t>
      </w:r>
      <w:proofErr w:type="spellEnd"/>
      <w:r w:rsidRPr="001819EC">
        <w:rPr>
          <w:rFonts w:eastAsia="Calibri"/>
          <w:lang w:val="es-CU" w:eastAsia="en-US"/>
        </w:rPr>
        <w:t xml:space="preserve"> Acosta </w:t>
      </w:r>
      <w:proofErr w:type="spellStart"/>
      <w:r w:rsidRPr="001819EC">
        <w:rPr>
          <w:rFonts w:eastAsia="Calibri"/>
          <w:lang w:val="es-CU" w:eastAsia="en-US"/>
        </w:rPr>
        <w:t>Brooks</w:t>
      </w:r>
      <w:r w:rsidRPr="001819EC">
        <w:rPr>
          <w:rFonts w:eastAsia="Calibri"/>
          <w:vertAlign w:val="superscript"/>
          <w:lang w:val="es-CU" w:eastAsia="en-US"/>
        </w:rPr>
        <w:t>6</w:t>
      </w:r>
      <w:proofErr w:type="spellEnd"/>
      <w:r w:rsidRPr="001819EC">
        <w:rPr>
          <w:rFonts w:eastAsia="Calibri"/>
          <w:lang w:val="es-CU" w:eastAsia="en-US"/>
        </w:rPr>
        <w:t xml:space="preserve"> </w:t>
      </w:r>
      <w:hyperlink r:id="rId16" w:history="1">
        <w:r w:rsidRPr="001819EC">
          <w:rPr>
            <w:rFonts w:eastAsia="Calibri"/>
            <w:color w:val="0563C1"/>
            <w:lang w:val="es-CU" w:eastAsia="en-US"/>
          </w:rPr>
          <w:t>https://orcid.org/0000-0002-3008-8870</w:t>
        </w:r>
      </w:hyperlink>
    </w:p>
    <w:p w14:paraId="2306D655" w14:textId="77777777" w:rsidR="001819EC" w:rsidRPr="001819EC" w:rsidRDefault="001819EC" w:rsidP="001819EC">
      <w:pPr>
        <w:spacing w:line="360" w:lineRule="auto"/>
        <w:jc w:val="both"/>
        <w:rPr>
          <w:rFonts w:eastAsia="Calibri"/>
          <w:lang w:val="es-ES" w:eastAsia="en-US"/>
        </w:rPr>
      </w:pPr>
      <w:bookmarkStart w:id="5" w:name="_Hlk126099330"/>
      <w:bookmarkEnd w:id="3"/>
      <w:r w:rsidRPr="001819EC">
        <w:rPr>
          <w:rFonts w:eastAsia="Calibri"/>
          <w:lang w:val="es-ES" w:eastAsia="en-US"/>
        </w:rPr>
        <w:t xml:space="preserve">Pedro Pablo Guerra </w:t>
      </w:r>
      <w:proofErr w:type="spellStart"/>
      <w:r w:rsidRPr="001819EC">
        <w:rPr>
          <w:rFonts w:eastAsia="Calibri"/>
          <w:lang w:val="es-ES" w:eastAsia="en-US"/>
        </w:rPr>
        <w:t>Chaviano</w:t>
      </w:r>
      <w:r w:rsidRPr="001819EC">
        <w:rPr>
          <w:rFonts w:eastAsia="Calibri"/>
          <w:vertAlign w:val="superscript"/>
          <w:lang w:val="es-ES" w:eastAsia="en-US"/>
        </w:rPr>
        <w:t>7</w:t>
      </w:r>
      <w:proofErr w:type="spellEnd"/>
      <w:r w:rsidRPr="001819EC">
        <w:rPr>
          <w:rFonts w:eastAsia="Calibri"/>
          <w:lang w:val="es-ES" w:eastAsia="en-US"/>
        </w:rPr>
        <w:t xml:space="preserve"> </w:t>
      </w:r>
      <w:hyperlink r:id="rId17" w:history="1">
        <w:r w:rsidRPr="001819EC">
          <w:rPr>
            <w:rFonts w:eastAsia="Calibri"/>
            <w:color w:val="0563C1"/>
            <w:lang w:val="es-ES" w:eastAsia="en-US"/>
          </w:rPr>
          <w:t>https://orcid.org/0000-0001-9882-8583</w:t>
        </w:r>
      </w:hyperlink>
    </w:p>
    <w:p w14:paraId="58592F07"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lang w:val="es-ES" w:eastAsia="en-US"/>
        </w:rPr>
        <w:t>Ivis</w:t>
      </w:r>
      <w:proofErr w:type="spellEnd"/>
      <w:r w:rsidRPr="001819EC">
        <w:rPr>
          <w:rFonts w:eastAsia="Calibri"/>
          <w:lang w:val="es-ES" w:eastAsia="en-US"/>
        </w:rPr>
        <w:t xml:space="preserve"> Mendoza </w:t>
      </w:r>
      <w:proofErr w:type="spellStart"/>
      <w:r w:rsidRPr="001819EC">
        <w:rPr>
          <w:rFonts w:eastAsia="Calibri"/>
          <w:lang w:val="es-ES" w:eastAsia="en-US"/>
        </w:rPr>
        <w:t>Hernández</w:t>
      </w:r>
      <w:r w:rsidRPr="001819EC">
        <w:rPr>
          <w:rFonts w:eastAsia="Calibri"/>
          <w:vertAlign w:val="superscript"/>
          <w:lang w:val="es-ES" w:eastAsia="en-US"/>
        </w:rPr>
        <w:t>7</w:t>
      </w:r>
      <w:proofErr w:type="spellEnd"/>
      <w:r w:rsidRPr="001819EC">
        <w:rPr>
          <w:rFonts w:eastAsia="Calibri"/>
          <w:lang w:val="es-ES" w:eastAsia="en-US"/>
        </w:rPr>
        <w:t xml:space="preserve"> </w:t>
      </w:r>
      <w:hyperlink r:id="rId18" w:history="1">
        <w:r w:rsidRPr="001819EC">
          <w:rPr>
            <w:rFonts w:eastAsia="Calibri"/>
            <w:color w:val="0563C1"/>
            <w:lang w:val="es-ES" w:eastAsia="en-US"/>
          </w:rPr>
          <w:t>https://orcid.org/0000-0002-4907-433X</w:t>
        </w:r>
      </w:hyperlink>
    </w:p>
    <w:bookmarkEnd w:id="5"/>
    <w:p w14:paraId="706E0990" w14:textId="77777777" w:rsidR="001819EC" w:rsidRPr="001819EC" w:rsidRDefault="001819EC" w:rsidP="001819EC">
      <w:pPr>
        <w:spacing w:line="360" w:lineRule="auto"/>
        <w:jc w:val="both"/>
        <w:rPr>
          <w:rFonts w:eastAsia="Calibri"/>
          <w:lang w:val="en-US" w:eastAsia="en-US"/>
        </w:rPr>
      </w:pPr>
      <w:r w:rsidRPr="001819EC">
        <w:rPr>
          <w:rFonts w:eastAsia="Calibri"/>
          <w:lang w:val="en-US" w:eastAsia="en-US"/>
        </w:rPr>
        <w:t xml:space="preserve">Tania </w:t>
      </w:r>
      <w:proofErr w:type="spellStart"/>
      <w:r w:rsidRPr="001819EC">
        <w:rPr>
          <w:rFonts w:eastAsia="Calibri"/>
          <w:lang w:val="en-US" w:eastAsia="en-US"/>
        </w:rPr>
        <w:t>Crombet</w:t>
      </w:r>
      <w:proofErr w:type="spellEnd"/>
      <w:r w:rsidRPr="001819EC">
        <w:rPr>
          <w:rFonts w:eastAsia="Calibri"/>
          <w:lang w:val="en-US" w:eastAsia="en-US"/>
        </w:rPr>
        <w:t xml:space="preserve"> </w:t>
      </w:r>
      <w:proofErr w:type="spellStart"/>
      <w:r w:rsidRPr="001819EC">
        <w:rPr>
          <w:rFonts w:eastAsia="Calibri"/>
          <w:lang w:val="en-US" w:eastAsia="en-US"/>
        </w:rPr>
        <w:t>Ramos</w:t>
      </w:r>
      <w:r w:rsidRPr="001819EC">
        <w:rPr>
          <w:rFonts w:eastAsia="Calibri"/>
          <w:vertAlign w:val="superscript"/>
          <w:lang w:val="en-US" w:eastAsia="en-US"/>
        </w:rPr>
        <w:t>2</w:t>
      </w:r>
      <w:proofErr w:type="spellEnd"/>
      <w:r w:rsidRPr="001819EC">
        <w:rPr>
          <w:rFonts w:eastAsia="Calibri"/>
          <w:lang w:val="en-US" w:eastAsia="en-US"/>
        </w:rPr>
        <w:t xml:space="preserve"> </w:t>
      </w:r>
      <w:hyperlink r:id="rId19" w:history="1">
        <w:r w:rsidRPr="001819EC">
          <w:rPr>
            <w:rFonts w:eastAsia="Calibri"/>
            <w:color w:val="0563C1"/>
            <w:lang w:val="en-US" w:eastAsia="en-US"/>
          </w:rPr>
          <w:t>https://orcid.org/0000-0002-2550-7292</w:t>
        </w:r>
      </w:hyperlink>
    </w:p>
    <w:p w14:paraId="4871DA57"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Agustín Lage </w:t>
      </w:r>
      <w:proofErr w:type="spellStart"/>
      <w:r w:rsidRPr="001819EC">
        <w:rPr>
          <w:rFonts w:eastAsia="Calibri"/>
          <w:lang w:val="es-ES" w:eastAsia="en-US"/>
        </w:rPr>
        <w:t>Dávila</w:t>
      </w:r>
      <w:r w:rsidRPr="001819EC">
        <w:rPr>
          <w:rFonts w:eastAsia="Calibri"/>
          <w:vertAlign w:val="superscript"/>
          <w:lang w:val="es-ES" w:eastAsia="en-US"/>
        </w:rPr>
        <w:t>2</w:t>
      </w:r>
      <w:proofErr w:type="spellEnd"/>
      <w:r w:rsidRPr="001819EC">
        <w:rPr>
          <w:rFonts w:eastAsia="Calibri"/>
          <w:lang w:val="es-ES" w:eastAsia="en-US"/>
        </w:rPr>
        <w:t xml:space="preserve"> </w:t>
      </w:r>
      <w:hyperlink r:id="rId20" w:history="1">
        <w:r w:rsidRPr="001819EC">
          <w:rPr>
            <w:rFonts w:eastAsia="Calibri"/>
            <w:color w:val="0563C1"/>
            <w:lang w:val="es-ES" w:eastAsia="en-US"/>
          </w:rPr>
          <w:t>https://orcid.org/0000-0001-9472-9158</w:t>
        </w:r>
      </w:hyperlink>
    </w:p>
    <w:p w14:paraId="52D20D5A" w14:textId="77777777" w:rsidR="001819EC" w:rsidRPr="001819EC" w:rsidRDefault="001819EC" w:rsidP="001819EC">
      <w:pPr>
        <w:spacing w:line="360" w:lineRule="auto"/>
        <w:jc w:val="both"/>
        <w:rPr>
          <w:b/>
          <w:bCs/>
          <w:i/>
          <w:iCs/>
          <w:lang w:val="es-ES" w:eastAsia="es-CU"/>
        </w:rPr>
      </w:pPr>
    </w:p>
    <w:p w14:paraId="5F57160D"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1</w:t>
      </w:r>
      <w:r w:rsidRPr="001819EC">
        <w:rPr>
          <w:rFonts w:eastAsia="Calibri"/>
          <w:lang w:val="es-ES" w:eastAsia="en-US"/>
        </w:rPr>
        <w:t>Hospital</w:t>
      </w:r>
      <w:proofErr w:type="spellEnd"/>
      <w:r w:rsidRPr="001819EC">
        <w:rPr>
          <w:rFonts w:eastAsia="Calibri"/>
          <w:lang w:val="es-ES" w:eastAsia="en-US"/>
        </w:rPr>
        <w:t xml:space="preserve"> Provincial Clínico Quirúrgico Docente “Faustino Pérez”. Matanzas, Cuba. </w:t>
      </w:r>
    </w:p>
    <w:p w14:paraId="2AF5E131"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2</w:t>
      </w:r>
      <w:r w:rsidRPr="001819EC">
        <w:rPr>
          <w:rFonts w:eastAsia="Calibri"/>
          <w:lang w:val="es-ES" w:eastAsia="en-US"/>
        </w:rPr>
        <w:t>Centro</w:t>
      </w:r>
      <w:proofErr w:type="spellEnd"/>
      <w:r w:rsidRPr="001819EC">
        <w:rPr>
          <w:rFonts w:eastAsia="Calibri"/>
          <w:lang w:val="es-ES" w:eastAsia="en-US"/>
        </w:rPr>
        <w:t xml:space="preserve"> de Inmunología Molecular. La Habana, Cuba.</w:t>
      </w:r>
    </w:p>
    <w:p w14:paraId="35CCE0EE"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3</w:t>
      </w:r>
      <w:r w:rsidRPr="001819EC">
        <w:rPr>
          <w:rFonts w:eastAsia="Calibri"/>
          <w:lang w:val="es-ES" w:eastAsia="en-US"/>
        </w:rPr>
        <w:t>Hospital</w:t>
      </w:r>
      <w:proofErr w:type="spellEnd"/>
      <w:r w:rsidRPr="001819EC">
        <w:rPr>
          <w:rFonts w:eastAsia="Calibri"/>
          <w:lang w:val="es-ES" w:eastAsia="en-US"/>
        </w:rPr>
        <w:t xml:space="preserve"> Hermanos </w:t>
      </w:r>
      <w:proofErr w:type="spellStart"/>
      <w:r w:rsidRPr="001819EC">
        <w:rPr>
          <w:rFonts w:eastAsia="Calibri"/>
          <w:lang w:val="es-ES" w:eastAsia="en-US"/>
        </w:rPr>
        <w:t>Ameijeiras</w:t>
      </w:r>
      <w:proofErr w:type="spellEnd"/>
      <w:r w:rsidRPr="001819EC">
        <w:rPr>
          <w:rFonts w:eastAsia="Calibri"/>
          <w:lang w:val="es-ES" w:eastAsia="en-US"/>
        </w:rPr>
        <w:t xml:space="preserve">. </w:t>
      </w:r>
      <w:bookmarkStart w:id="6" w:name="_Hlk127812068"/>
      <w:r w:rsidRPr="001819EC">
        <w:rPr>
          <w:rFonts w:eastAsia="Calibri"/>
          <w:lang w:val="es-ES" w:eastAsia="en-US"/>
        </w:rPr>
        <w:t>La Habana, Cuba.</w:t>
      </w:r>
    </w:p>
    <w:bookmarkEnd w:id="6"/>
    <w:p w14:paraId="0FDDD2EB"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4</w:t>
      </w:r>
      <w:r w:rsidRPr="001819EC">
        <w:rPr>
          <w:rFonts w:eastAsia="Calibri"/>
          <w:lang w:val="es-ES" w:eastAsia="en-US"/>
        </w:rPr>
        <w:t>Instituto</w:t>
      </w:r>
      <w:proofErr w:type="spellEnd"/>
      <w:r w:rsidRPr="001819EC">
        <w:rPr>
          <w:rFonts w:eastAsia="Calibri"/>
          <w:lang w:val="es-ES" w:eastAsia="en-US"/>
        </w:rPr>
        <w:t xml:space="preserve"> de Oncología y Radiobiología. La Habana, Cuba.</w:t>
      </w:r>
    </w:p>
    <w:p w14:paraId="4BF14DA6"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5</w:t>
      </w:r>
      <w:r w:rsidRPr="001819EC">
        <w:rPr>
          <w:rFonts w:eastAsia="Calibri"/>
          <w:lang w:val="es-ES" w:eastAsia="en-US"/>
        </w:rPr>
        <w:t>Hospital</w:t>
      </w:r>
      <w:proofErr w:type="spellEnd"/>
      <w:r w:rsidRPr="001819EC">
        <w:rPr>
          <w:rFonts w:eastAsia="Calibri"/>
          <w:lang w:val="es-ES" w:eastAsia="en-US"/>
        </w:rPr>
        <w:t xml:space="preserve"> “Celestino Hernández </w:t>
      </w:r>
      <w:proofErr w:type="spellStart"/>
      <w:r w:rsidRPr="001819EC">
        <w:rPr>
          <w:rFonts w:eastAsia="Calibri"/>
          <w:lang w:val="es-ES" w:eastAsia="en-US"/>
        </w:rPr>
        <w:t>Robau</w:t>
      </w:r>
      <w:proofErr w:type="spellEnd"/>
      <w:r w:rsidRPr="001819EC">
        <w:rPr>
          <w:rFonts w:eastAsia="Calibri"/>
          <w:lang w:val="es-ES" w:eastAsia="en-US"/>
        </w:rPr>
        <w:t>”. Villa Clara, Cuba.</w:t>
      </w:r>
    </w:p>
    <w:p w14:paraId="033CAFB3"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lastRenderedPageBreak/>
        <w:t>6</w:t>
      </w:r>
      <w:r w:rsidRPr="001819EC">
        <w:rPr>
          <w:rFonts w:eastAsia="Calibri"/>
          <w:lang w:val="es-ES" w:eastAsia="en-US"/>
        </w:rPr>
        <w:t>Hospital</w:t>
      </w:r>
      <w:proofErr w:type="spellEnd"/>
      <w:r w:rsidRPr="001819EC">
        <w:rPr>
          <w:rFonts w:eastAsia="Calibri"/>
          <w:lang w:val="es-ES" w:eastAsia="en-US"/>
        </w:rPr>
        <w:t xml:space="preserve"> “Saturnino Lora”. Santiago de Cuba, Cuba.</w:t>
      </w:r>
    </w:p>
    <w:p w14:paraId="4A2D2A10" w14:textId="77777777" w:rsidR="001819EC" w:rsidRPr="001819EC" w:rsidRDefault="001819EC" w:rsidP="001819EC">
      <w:pPr>
        <w:spacing w:line="360" w:lineRule="auto"/>
        <w:jc w:val="both"/>
        <w:rPr>
          <w:rFonts w:eastAsia="Calibri"/>
          <w:lang w:val="es-ES" w:eastAsia="en-US"/>
        </w:rPr>
      </w:pPr>
      <w:proofErr w:type="spellStart"/>
      <w:r w:rsidRPr="001819EC">
        <w:rPr>
          <w:rFonts w:eastAsia="Calibri"/>
          <w:vertAlign w:val="superscript"/>
          <w:lang w:val="es-ES" w:eastAsia="en-US"/>
        </w:rPr>
        <w:t>7</w:t>
      </w:r>
      <w:r w:rsidRPr="001819EC">
        <w:rPr>
          <w:rFonts w:eastAsia="Calibri"/>
          <w:lang w:val="es-ES" w:eastAsia="en-US"/>
        </w:rPr>
        <w:t>Centro</w:t>
      </w:r>
      <w:proofErr w:type="spellEnd"/>
      <w:r w:rsidRPr="001819EC">
        <w:rPr>
          <w:rFonts w:eastAsia="Calibri"/>
          <w:lang w:val="es-ES" w:eastAsia="en-US"/>
        </w:rPr>
        <w:t xml:space="preserve"> Coordinador de Ensayos Clínicos (</w:t>
      </w:r>
      <w:proofErr w:type="spellStart"/>
      <w:r w:rsidRPr="001819EC">
        <w:rPr>
          <w:rFonts w:eastAsia="Calibri"/>
          <w:lang w:val="es-ES" w:eastAsia="en-US"/>
        </w:rPr>
        <w:t>CENCEC</w:t>
      </w:r>
      <w:proofErr w:type="spellEnd"/>
      <w:r w:rsidRPr="001819EC">
        <w:rPr>
          <w:rFonts w:eastAsia="Calibri"/>
          <w:lang w:val="es-ES" w:eastAsia="en-US"/>
        </w:rPr>
        <w:t>). La Habana, Cuba.</w:t>
      </w:r>
    </w:p>
    <w:p w14:paraId="41B37EF5" w14:textId="77777777" w:rsidR="001819EC" w:rsidRPr="001819EC" w:rsidRDefault="001819EC" w:rsidP="001819EC">
      <w:pPr>
        <w:spacing w:line="360" w:lineRule="auto"/>
        <w:jc w:val="both"/>
        <w:rPr>
          <w:lang w:val="es-ES" w:eastAsia="es-CU"/>
        </w:rPr>
      </w:pPr>
    </w:p>
    <w:p w14:paraId="1E1A5100" w14:textId="77777777" w:rsidR="001819EC" w:rsidRPr="001819EC" w:rsidRDefault="001819EC" w:rsidP="001819EC">
      <w:pPr>
        <w:spacing w:line="360" w:lineRule="auto"/>
        <w:jc w:val="both"/>
        <w:rPr>
          <w:rFonts w:eastAsia="Calibri"/>
          <w:lang w:val="es-ES" w:eastAsia="en-US"/>
        </w:rPr>
      </w:pPr>
      <w:r w:rsidRPr="001819EC">
        <w:rPr>
          <w:b/>
          <w:bCs/>
          <w:i/>
          <w:iCs/>
          <w:lang w:val="es-ES" w:eastAsia="es-CU"/>
        </w:rPr>
        <w:t>*</w:t>
      </w:r>
      <w:r w:rsidRPr="001819EC">
        <w:rPr>
          <w:bCs/>
          <w:iCs/>
          <w:lang w:val="es-ES" w:eastAsia="es-CU"/>
        </w:rPr>
        <w:t>Autor para la correspondencia.</w:t>
      </w:r>
      <w:r w:rsidRPr="001819EC">
        <w:rPr>
          <w:b/>
          <w:bCs/>
          <w:i/>
          <w:iCs/>
          <w:lang w:val="es-ES" w:eastAsia="es-CU"/>
        </w:rPr>
        <w:t xml:space="preserve"> </w:t>
      </w:r>
      <w:r w:rsidRPr="001819EC">
        <w:rPr>
          <w:rFonts w:eastAsia="Calibri"/>
          <w:lang w:val="es-ES" w:eastAsia="en-US"/>
        </w:rPr>
        <w:t xml:space="preserve">Correo electrónico: </w:t>
      </w:r>
      <w:hyperlink r:id="rId21" w:history="1">
        <w:r w:rsidRPr="001819EC">
          <w:rPr>
            <w:rFonts w:eastAsia="Calibri"/>
            <w:color w:val="0563C1"/>
            <w:lang w:val="es-ES" w:eastAsia="en-US"/>
          </w:rPr>
          <w:t>kireniac.mtz@infomed.sld.cu</w:t>
        </w:r>
      </w:hyperlink>
    </w:p>
    <w:p w14:paraId="72A2383A" w14:textId="77777777" w:rsidR="001819EC" w:rsidRPr="001819EC" w:rsidRDefault="001819EC" w:rsidP="001819EC">
      <w:pPr>
        <w:spacing w:line="360" w:lineRule="auto"/>
        <w:jc w:val="both"/>
        <w:rPr>
          <w:rFonts w:eastAsia="Calibri"/>
          <w:b/>
          <w:bCs/>
          <w:lang w:val="es-ES" w:eastAsia="en-US"/>
        </w:rPr>
      </w:pPr>
    </w:p>
    <w:p w14:paraId="5453F0FF" w14:textId="77777777" w:rsidR="001819EC" w:rsidRPr="001819EC" w:rsidRDefault="001819EC" w:rsidP="001819EC">
      <w:pPr>
        <w:spacing w:line="360" w:lineRule="auto"/>
        <w:jc w:val="both"/>
        <w:rPr>
          <w:rFonts w:eastAsia="Calibri"/>
          <w:b/>
          <w:bCs/>
          <w:lang w:val="es-ES" w:eastAsia="en-US"/>
        </w:rPr>
      </w:pPr>
      <w:r w:rsidRPr="001819EC">
        <w:rPr>
          <w:rFonts w:eastAsia="Calibri"/>
          <w:b/>
          <w:bCs/>
          <w:lang w:val="es-ES" w:eastAsia="en-US"/>
        </w:rPr>
        <w:t xml:space="preserve">RESUMEN </w:t>
      </w:r>
    </w:p>
    <w:p w14:paraId="33513E14" w14:textId="77777777" w:rsidR="001819EC" w:rsidRPr="001819EC" w:rsidRDefault="001819EC" w:rsidP="001819EC">
      <w:pPr>
        <w:spacing w:line="360" w:lineRule="auto"/>
        <w:jc w:val="both"/>
        <w:rPr>
          <w:rFonts w:eastAsia="Calibri"/>
          <w:lang w:val="es-ES" w:eastAsia="en-US"/>
        </w:rPr>
      </w:pPr>
      <w:bookmarkStart w:id="7" w:name="_Hlk123112542"/>
      <w:r w:rsidRPr="001819EC">
        <w:rPr>
          <w:rFonts w:eastAsia="Calibri"/>
          <w:b/>
          <w:bCs/>
          <w:lang w:val="es-ES" w:eastAsia="en-US"/>
        </w:rPr>
        <w:t>Introducción:</w:t>
      </w:r>
      <w:r w:rsidRPr="001819EC">
        <w:rPr>
          <w:rFonts w:eastAsia="Calibri"/>
          <w:lang w:val="es-ES" w:eastAsia="en-US"/>
        </w:rPr>
        <w:t xml:space="preserve"> La respuesta a las terapias en el cáncer de pulmón avanzado pudiera estar relacionada con determinados factores pronósticos como los índices inflamatorios. </w:t>
      </w:r>
    </w:p>
    <w:p w14:paraId="4EC75E21" w14:textId="77777777" w:rsidR="001819EC" w:rsidRPr="001819EC" w:rsidRDefault="001819EC" w:rsidP="001819EC">
      <w:pPr>
        <w:spacing w:line="360" w:lineRule="auto"/>
        <w:jc w:val="both"/>
        <w:rPr>
          <w:rFonts w:eastAsia="Calibri"/>
          <w:lang w:val="es-ES" w:eastAsia="en-US"/>
        </w:rPr>
      </w:pPr>
      <w:bookmarkStart w:id="8" w:name="_Hlk130140639"/>
      <w:r w:rsidRPr="001819EC">
        <w:rPr>
          <w:rFonts w:eastAsia="Calibri"/>
          <w:b/>
          <w:bCs/>
          <w:lang w:val="es-ES" w:eastAsia="en-US"/>
        </w:rPr>
        <w:t>Objetivo:</w:t>
      </w:r>
      <w:r w:rsidRPr="001819EC">
        <w:rPr>
          <w:rFonts w:eastAsia="Calibri"/>
          <w:lang w:val="es-ES" w:eastAsia="en-US"/>
        </w:rPr>
        <w:t xml:space="preserve"> Evaluar la eficacia del anticuerpo monoclonal humanizado </w:t>
      </w:r>
      <w:proofErr w:type="spellStart"/>
      <w:r w:rsidRPr="001819EC">
        <w:rPr>
          <w:rFonts w:eastAsia="Calibri"/>
          <w:lang w:val="es-ES" w:eastAsia="en-US"/>
        </w:rPr>
        <w:t>nimotuzumab</w:t>
      </w:r>
      <w:proofErr w:type="spellEnd"/>
      <w:r w:rsidRPr="001819EC">
        <w:rPr>
          <w:rFonts w:eastAsia="Calibri"/>
          <w:lang w:val="es-ES" w:eastAsia="en-US"/>
        </w:rPr>
        <w:t xml:space="preserve"> en pacientes portadores de cáncer de pulmón no microcítico avanzado según índices inflamatorios. </w:t>
      </w:r>
    </w:p>
    <w:bookmarkEnd w:id="8"/>
    <w:p w14:paraId="51730229" w14:textId="77777777" w:rsidR="001819EC" w:rsidRPr="001819EC" w:rsidRDefault="001819EC" w:rsidP="001819EC">
      <w:pPr>
        <w:spacing w:line="360" w:lineRule="auto"/>
        <w:jc w:val="both"/>
        <w:rPr>
          <w:rFonts w:eastAsia="Calibri"/>
          <w:lang w:val="es-ES" w:eastAsia="en-US"/>
        </w:rPr>
      </w:pPr>
      <w:r w:rsidRPr="001819EC">
        <w:rPr>
          <w:rFonts w:eastAsia="Calibri"/>
          <w:b/>
          <w:bCs/>
          <w:lang w:val="es-ES" w:eastAsia="en-US"/>
        </w:rPr>
        <w:t>Método:</w:t>
      </w:r>
      <w:r w:rsidRPr="001819EC">
        <w:rPr>
          <w:rFonts w:eastAsia="Calibri"/>
          <w:lang w:val="es-ES" w:eastAsia="en-US"/>
        </w:rPr>
        <w:t xml:space="preserve"> Se realizó un estudio de evaluación longitudinal retrospectivo, en un universo de 498 </w:t>
      </w:r>
      <w:r w:rsidRPr="001819EC">
        <w:rPr>
          <w:rFonts w:eastAsia="SimSun"/>
          <w:kern w:val="24"/>
          <w:lang w:val="es-ES" w:eastAsia="es-MX"/>
        </w:rPr>
        <w:t xml:space="preserve">pacientes mayores de 18 años, con diagnóstico </w:t>
      </w:r>
      <w:proofErr w:type="spellStart"/>
      <w:r w:rsidRPr="001819EC">
        <w:rPr>
          <w:rFonts w:eastAsia="SimSun"/>
          <w:kern w:val="24"/>
          <w:lang w:val="es-ES" w:eastAsia="es-MX"/>
        </w:rPr>
        <w:t>citohistológico</w:t>
      </w:r>
      <w:proofErr w:type="spellEnd"/>
      <w:r w:rsidRPr="001819EC">
        <w:rPr>
          <w:rFonts w:eastAsia="SimSun"/>
          <w:kern w:val="24"/>
          <w:lang w:val="es-ES" w:eastAsia="es-MX"/>
        </w:rPr>
        <w:t xml:space="preserve"> de cáncer de pulmón de células no pequeñas, en estadios avanzados, después de la primera línea de terapia oncológica, incluidos en ensayos clínicos multicéntricos promovidos por el Centro de Inmunología Molecular desde 2002 a 2018. </w:t>
      </w:r>
      <w:r w:rsidRPr="001819EC">
        <w:rPr>
          <w:rFonts w:eastAsia="Calibri"/>
          <w:lang w:val="es-ES" w:eastAsia="en-US"/>
        </w:rPr>
        <w:t xml:space="preserve">Se aplicó la estadística descriptiva, se utilizó el software x-tile 3.6.1 para el test de Kaplan Meier; se consideraron diferencias significativas cuando </w:t>
      </w:r>
      <w:bookmarkStart w:id="9" w:name="_Hlk132752470"/>
      <w:r w:rsidRPr="001819EC">
        <w:rPr>
          <w:rFonts w:eastAsia="Calibri"/>
          <w:lang w:val="es-ES" w:eastAsia="en-US"/>
        </w:rPr>
        <w:t>p&lt; 0,05</w:t>
      </w:r>
      <w:bookmarkEnd w:id="9"/>
      <w:r w:rsidRPr="001819EC">
        <w:rPr>
          <w:rFonts w:eastAsia="Calibri"/>
          <w:lang w:val="es-ES" w:eastAsia="en-US"/>
        </w:rPr>
        <w:t xml:space="preserve">. </w:t>
      </w:r>
    </w:p>
    <w:p w14:paraId="4426C77F" w14:textId="77777777" w:rsidR="001819EC" w:rsidRPr="001819EC" w:rsidRDefault="001819EC" w:rsidP="001819EC">
      <w:pPr>
        <w:spacing w:line="360" w:lineRule="auto"/>
        <w:jc w:val="both"/>
        <w:rPr>
          <w:rFonts w:eastAsia="Calibri"/>
          <w:lang w:val="es-ES" w:eastAsia="en-US"/>
        </w:rPr>
      </w:pPr>
      <w:r w:rsidRPr="001819EC">
        <w:rPr>
          <w:rFonts w:eastAsia="SimSun"/>
          <w:b/>
          <w:bCs/>
          <w:kern w:val="24"/>
          <w:lang w:val="es-ES" w:eastAsia="es-MX"/>
        </w:rPr>
        <w:t>Resultados:</w:t>
      </w:r>
      <w:r w:rsidRPr="001819EC">
        <w:rPr>
          <w:rFonts w:eastAsia="Calibri"/>
          <w:bCs/>
          <w:lang w:val="es-ES" w:eastAsia="en-US"/>
        </w:rPr>
        <w:t xml:space="preserve"> En l</w:t>
      </w:r>
      <w:r w:rsidRPr="001819EC">
        <w:rPr>
          <w:rFonts w:eastAsia="Calibri"/>
          <w:lang w:val="es-ES" w:eastAsia="en-US"/>
        </w:rPr>
        <w:t xml:space="preserve">os pacientes analizados el </w:t>
      </w:r>
      <w:proofErr w:type="spellStart"/>
      <w:r w:rsidRPr="001819EC">
        <w:rPr>
          <w:rFonts w:eastAsia="Calibri"/>
          <w:lang w:val="es-ES" w:eastAsia="en-US"/>
        </w:rPr>
        <w:t>nimotuzumab</w:t>
      </w:r>
      <w:proofErr w:type="spellEnd"/>
      <w:r w:rsidRPr="001819EC">
        <w:rPr>
          <w:rFonts w:eastAsia="Calibri"/>
          <w:lang w:val="es-ES" w:eastAsia="en-US"/>
        </w:rPr>
        <w:t xml:space="preserve"> mostró beneficio terapéutico en el grupo de pacientes </w:t>
      </w:r>
      <w:r w:rsidRPr="001819EC">
        <w:rPr>
          <w:rFonts w:eastAsia="Calibri"/>
          <w:bCs/>
          <w:lang w:val="es-ES" w:eastAsia="en-US"/>
        </w:rPr>
        <w:t xml:space="preserve">no </w:t>
      </w:r>
      <w:proofErr w:type="spellStart"/>
      <w:r w:rsidRPr="001819EC">
        <w:rPr>
          <w:rFonts w:eastAsia="Calibri"/>
          <w:bCs/>
          <w:lang w:val="es-ES" w:eastAsia="en-US"/>
        </w:rPr>
        <w:t>progresores</w:t>
      </w:r>
      <w:proofErr w:type="spellEnd"/>
      <w:r w:rsidRPr="001819EC">
        <w:rPr>
          <w:rFonts w:eastAsia="Calibri"/>
          <w:bCs/>
          <w:lang w:val="es-ES" w:eastAsia="en-US"/>
        </w:rPr>
        <w:t xml:space="preserve"> a la primera línea de tratamiento con quimioterapia o </w:t>
      </w:r>
      <w:proofErr w:type="spellStart"/>
      <w:r w:rsidRPr="001819EC">
        <w:rPr>
          <w:rFonts w:eastAsia="Calibri"/>
          <w:bCs/>
          <w:lang w:val="es-ES" w:eastAsia="en-US"/>
        </w:rPr>
        <w:t>quimiorradioterapia</w:t>
      </w:r>
      <w:proofErr w:type="spellEnd"/>
      <w:r w:rsidRPr="001819EC">
        <w:rPr>
          <w:rFonts w:eastAsia="Calibri"/>
          <w:bCs/>
          <w:lang w:val="es-ES" w:eastAsia="en-US"/>
        </w:rPr>
        <w:t xml:space="preserve">, </w:t>
      </w:r>
      <w:r w:rsidRPr="001819EC">
        <w:rPr>
          <w:rFonts w:eastAsia="Calibri"/>
          <w:lang w:val="es-ES" w:eastAsia="en-US"/>
        </w:rPr>
        <w:t>cuando tenían menor índice de neutrófilos/linfocitos (p= </w:t>
      </w:r>
      <w:r w:rsidRPr="001819EC">
        <w:rPr>
          <w:rFonts w:eastAsia="Calibri"/>
          <w:color w:val="010205"/>
          <w:lang w:val="es-ES" w:eastAsia="en-US"/>
        </w:rPr>
        <w:t xml:space="preserve">0,017 y </w:t>
      </w:r>
      <w:r w:rsidRPr="001819EC">
        <w:rPr>
          <w:rFonts w:eastAsia="Calibri"/>
          <w:lang w:val="es-ES" w:eastAsia="en-US"/>
        </w:rPr>
        <w:t>p= </w:t>
      </w:r>
      <w:r w:rsidRPr="001819EC">
        <w:rPr>
          <w:rFonts w:eastAsia="Calibri"/>
          <w:color w:val="010205"/>
          <w:lang w:val="es-ES" w:eastAsia="en-US"/>
        </w:rPr>
        <w:t>0,027) y menor índice de plaquetas/linfocitos (</w:t>
      </w:r>
      <w:bookmarkStart w:id="10" w:name="_Hlk130157167"/>
      <w:r w:rsidRPr="001819EC">
        <w:rPr>
          <w:rFonts w:eastAsia="Calibri"/>
          <w:lang w:val="es-ES" w:eastAsia="en-US"/>
        </w:rPr>
        <w:t>p=</w:t>
      </w:r>
      <w:bookmarkEnd w:id="10"/>
      <w:r w:rsidRPr="001819EC">
        <w:rPr>
          <w:rFonts w:eastAsia="Calibri"/>
          <w:lang w:val="es-ES" w:eastAsia="en-US"/>
        </w:rPr>
        <w:t> 0,030 y p</w:t>
      </w:r>
      <w:bookmarkStart w:id="11" w:name="_Hlk141204342"/>
      <w:r w:rsidRPr="001819EC">
        <w:rPr>
          <w:rFonts w:eastAsia="Calibri"/>
          <w:lang w:val="es-ES" w:eastAsia="en-US"/>
        </w:rPr>
        <w:t>=</w:t>
      </w:r>
      <w:bookmarkEnd w:id="11"/>
      <w:r w:rsidRPr="001819EC">
        <w:rPr>
          <w:rFonts w:eastAsia="Calibri"/>
          <w:lang w:val="es-ES" w:eastAsia="en-US"/>
        </w:rPr>
        <w:t> 0,009</w:t>
      </w:r>
      <w:r w:rsidRPr="001819EC">
        <w:rPr>
          <w:rFonts w:eastAsia="Calibri"/>
          <w:color w:val="010205"/>
          <w:lang w:val="es-ES" w:eastAsia="en-US"/>
        </w:rPr>
        <w:t xml:space="preserve">).  </w:t>
      </w:r>
    </w:p>
    <w:p w14:paraId="1EC01C7E" w14:textId="77777777" w:rsidR="001819EC" w:rsidRPr="001819EC" w:rsidRDefault="001819EC" w:rsidP="001819EC">
      <w:pPr>
        <w:spacing w:line="360" w:lineRule="auto"/>
        <w:jc w:val="both"/>
        <w:rPr>
          <w:rFonts w:eastAsia="Calibri"/>
          <w:lang w:val="es-ES" w:eastAsia="en-US"/>
        </w:rPr>
      </w:pPr>
      <w:r w:rsidRPr="001819EC">
        <w:rPr>
          <w:rFonts w:eastAsia="SimSun"/>
          <w:b/>
          <w:bCs/>
          <w:kern w:val="24"/>
          <w:lang w:val="es-ES" w:eastAsia="es-MX"/>
        </w:rPr>
        <w:t>Conclusión:</w:t>
      </w:r>
      <w:r w:rsidRPr="001819EC">
        <w:rPr>
          <w:rFonts w:eastAsia="Calibri"/>
          <w:lang w:val="es-ES" w:eastAsia="en-US"/>
        </w:rPr>
        <w:t xml:space="preserve"> </w:t>
      </w:r>
      <w:bookmarkStart w:id="12" w:name="_Hlk127823503"/>
      <w:bookmarkStart w:id="13" w:name="_Hlk125633058"/>
      <w:r w:rsidRPr="001819EC">
        <w:rPr>
          <w:rFonts w:eastAsia="Calibri"/>
          <w:lang w:val="es-ES" w:eastAsia="en-US"/>
        </w:rPr>
        <w:t xml:space="preserve">La selección de un paciente con menor índice inflamatorio beneficia la eficacia del tratamiento con el </w:t>
      </w:r>
      <w:proofErr w:type="spellStart"/>
      <w:r w:rsidRPr="001819EC">
        <w:rPr>
          <w:rFonts w:eastAsia="Calibri"/>
          <w:lang w:val="es-ES" w:eastAsia="en-US"/>
        </w:rPr>
        <w:t>AcM</w:t>
      </w:r>
      <w:proofErr w:type="spellEnd"/>
      <w:r w:rsidRPr="001819EC">
        <w:rPr>
          <w:rFonts w:eastAsia="Calibri"/>
          <w:lang w:val="es-ES" w:eastAsia="en-US"/>
        </w:rPr>
        <w:t xml:space="preserve"> humanizado </w:t>
      </w:r>
      <w:proofErr w:type="spellStart"/>
      <w:r w:rsidRPr="001819EC">
        <w:rPr>
          <w:rFonts w:eastAsia="Calibri"/>
          <w:lang w:val="es-ES" w:eastAsia="en-US"/>
        </w:rPr>
        <w:t>nimotuzumab</w:t>
      </w:r>
      <w:proofErr w:type="spellEnd"/>
      <w:r w:rsidRPr="001819EC">
        <w:rPr>
          <w:rFonts w:eastAsia="Calibri"/>
          <w:lang w:val="es-ES" w:eastAsia="en-US"/>
        </w:rPr>
        <w:t xml:space="preserve"> en el cáncer de pulmón avanzado no microcítico, la que se convierte en una herramienta predictiva de la respuesta al tratamiento. </w:t>
      </w:r>
    </w:p>
    <w:bookmarkEnd w:id="12"/>
    <w:p w14:paraId="4B11E0F2" w14:textId="77777777" w:rsidR="001819EC" w:rsidRPr="001819EC" w:rsidRDefault="001819EC" w:rsidP="001819EC">
      <w:pPr>
        <w:spacing w:line="360" w:lineRule="auto"/>
        <w:jc w:val="both"/>
        <w:rPr>
          <w:rFonts w:eastAsia="Calibri"/>
          <w:lang w:val="es-ES" w:eastAsia="en-US"/>
        </w:rPr>
      </w:pPr>
      <w:r w:rsidRPr="001819EC">
        <w:rPr>
          <w:rFonts w:eastAsia="Calibri"/>
          <w:b/>
          <w:bCs/>
          <w:lang w:val="es-ES" w:eastAsia="en-US"/>
        </w:rPr>
        <w:t>Palabras clave:</w:t>
      </w:r>
      <w:r w:rsidRPr="001819EC">
        <w:rPr>
          <w:rFonts w:eastAsia="Calibri"/>
          <w:lang w:val="es-ES" w:eastAsia="en-US"/>
        </w:rPr>
        <w:t xml:space="preserve"> anticuerpos monoclonales; carcinoma de pulmón de células no pequeñas; eficacia; neoplasias pulmonares; quimioterapia; terapéutica.</w:t>
      </w:r>
    </w:p>
    <w:bookmarkEnd w:id="7"/>
    <w:bookmarkEnd w:id="13"/>
    <w:p w14:paraId="07EF6F39" w14:textId="77777777" w:rsidR="001819EC" w:rsidRPr="001819EC" w:rsidRDefault="001819EC" w:rsidP="001819EC">
      <w:pPr>
        <w:spacing w:line="360" w:lineRule="auto"/>
        <w:rPr>
          <w:b/>
          <w:bCs/>
          <w:color w:val="202124"/>
          <w:lang w:val="es-ES" w:eastAsia="en-US"/>
        </w:rPr>
      </w:pPr>
    </w:p>
    <w:p w14:paraId="106A35CA" w14:textId="77777777" w:rsidR="00D178EA" w:rsidRDefault="00D178EA">
      <w:pPr>
        <w:rPr>
          <w:b/>
          <w:bCs/>
          <w:color w:val="202124"/>
          <w:lang w:val="en-US" w:eastAsia="en-US"/>
        </w:rPr>
      </w:pPr>
      <w:r>
        <w:rPr>
          <w:b/>
          <w:bCs/>
          <w:color w:val="202124"/>
          <w:lang w:val="en-US" w:eastAsia="en-US"/>
        </w:rPr>
        <w:br w:type="page"/>
      </w:r>
    </w:p>
    <w:p w14:paraId="078A7FE1" w14:textId="6A1706BB" w:rsidR="001819EC" w:rsidRPr="001819EC" w:rsidRDefault="001819EC" w:rsidP="001819EC">
      <w:pPr>
        <w:spacing w:line="360" w:lineRule="auto"/>
        <w:jc w:val="both"/>
        <w:rPr>
          <w:rFonts w:eastAsia="Calibri"/>
          <w:b/>
          <w:bCs/>
          <w:lang w:val="en-US" w:eastAsia="en-US"/>
        </w:rPr>
      </w:pPr>
      <w:r w:rsidRPr="001819EC">
        <w:rPr>
          <w:b/>
          <w:bCs/>
          <w:color w:val="202124"/>
          <w:lang w:val="en-US" w:eastAsia="en-US"/>
        </w:rPr>
        <w:lastRenderedPageBreak/>
        <w:t>A</w:t>
      </w:r>
      <w:r w:rsidRPr="001819EC">
        <w:rPr>
          <w:rFonts w:eastAsia="Calibri"/>
          <w:b/>
          <w:bCs/>
          <w:lang w:val="en-US" w:eastAsia="en-US"/>
        </w:rPr>
        <w:t>BSTRACT</w:t>
      </w:r>
    </w:p>
    <w:p w14:paraId="6758879E" w14:textId="77777777" w:rsidR="001819EC" w:rsidRPr="001819EC" w:rsidRDefault="001819EC" w:rsidP="001819EC">
      <w:pPr>
        <w:spacing w:line="360" w:lineRule="auto"/>
        <w:jc w:val="both"/>
        <w:rPr>
          <w:rFonts w:eastAsia="Calibri"/>
          <w:bCs/>
          <w:lang w:val="en-US" w:eastAsia="en-US"/>
        </w:rPr>
      </w:pPr>
      <w:r w:rsidRPr="001819EC">
        <w:rPr>
          <w:rFonts w:eastAsia="Calibri"/>
          <w:b/>
          <w:bCs/>
          <w:lang w:val="en-US" w:eastAsia="en-US"/>
        </w:rPr>
        <w:t xml:space="preserve">Introduction: </w:t>
      </w:r>
      <w:r w:rsidRPr="001819EC">
        <w:rPr>
          <w:rFonts w:eastAsia="Calibri"/>
          <w:bCs/>
          <w:lang w:val="en-US" w:eastAsia="en-US"/>
        </w:rPr>
        <w:t xml:space="preserve">The response to therapies in advanced lung cancer could be related to certain prognostic factors such as inflammatory indices. </w:t>
      </w:r>
    </w:p>
    <w:p w14:paraId="4A57B108" w14:textId="77777777" w:rsidR="001819EC" w:rsidRPr="001819EC" w:rsidRDefault="001819EC" w:rsidP="001819EC">
      <w:pPr>
        <w:spacing w:line="360" w:lineRule="auto"/>
        <w:jc w:val="both"/>
        <w:rPr>
          <w:rFonts w:eastAsia="Calibri"/>
          <w:b/>
          <w:bCs/>
          <w:lang w:val="en-US" w:eastAsia="en-US"/>
        </w:rPr>
      </w:pPr>
      <w:r w:rsidRPr="001819EC">
        <w:rPr>
          <w:rFonts w:eastAsia="Calibri"/>
          <w:b/>
          <w:bCs/>
          <w:lang w:val="en-US" w:eastAsia="en-US"/>
        </w:rPr>
        <w:t xml:space="preserve">Objective: </w:t>
      </w:r>
      <w:r w:rsidRPr="001819EC">
        <w:rPr>
          <w:rFonts w:eastAsia="Calibri"/>
          <w:bCs/>
          <w:lang w:val="en-US" w:eastAsia="en-US"/>
        </w:rPr>
        <w:t>To evaluate the efficacy of the humanized monoclonal antibody nimotuzumab in patients with advanced non-small cell lung cancer according to inflammatory indices.</w:t>
      </w:r>
      <w:r w:rsidRPr="001819EC">
        <w:rPr>
          <w:rFonts w:eastAsia="Calibri"/>
          <w:b/>
          <w:bCs/>
          <w:lang w:val="en-US" w:eastAsia="en-US"/>
        </w:rPr>
        <w:t xml:space="preserve"> </w:t>
      </w:r>
    </w:p>
    <w:p w14:paraId="212F6AAE" w14:textId="77777777" w:rsidR="001819EC" w:rsidRPr="001819EC" w:rsidRDefault="001819EC" w:rsidP="001819EC">
      <w:pPr>
        <w:spacing w:line="360" w:lineRule="auto"/>
        <w:jc w:val="both"/>
        <w:rPr>
          <w:rFonts w:eastAsia="Calibri"/>
          <w:bCs/>
          <w:lang w:val="en-US" w:eastAsia="en-US"/>
        </w:rPr>
      </w:pPr>
      <w:r w:rsidRPr="001819EC">
        <w:rPr>
          <w:rFonts w:eastAsia="Calibri"/>
          <w:b/>
          <w:bCs/>
          <w:lang w:val="en-US" w:eastAsia="en-US"/>
        </w:rPr>
        <w:t xml:space="preserve">Method: </w:t>
      </w:r>
      <w:r w:rsidRPr="001819EC">
        <w:rPr>
          <w:rFonts w:eastAsia="Calibri"/>
          <w:bCs/>
          <w:lang w:val="en-US" w:eastAsia="en-US"/>
        </w:rPr>
        <w:t>A retrospective longitudinal evaluation study was carried out in a universe of 498 patients older than 18 years, with a cytohistological diagnosis of non-small cell lung cancer, in advanced stages, after the first line of oncological therapy, including in multicenter clinical trials promoted by the Center for Molecular Immunology from 2002 to 2018. Descriptive statistics were applied, the x-tile 3.6.1 software was used for the Kaplan Meier test, significant differences were considered when p</w:t>
      </w:r>
      <w:r w:rsidRPr="001819EC">
        <w:rPr>
          <w:rFonts w:eastAsia="Calibri"/>
          <w:lang w:val="en-US" w:eastAsia="en-US"/>
        </w:rPr>
        <w:t>&lt; 0,05</w:t>
      </w:r>
      <w:r w:rsidRPr="001819EC">
        <w:rPr>
          <w:rFonts w:eastAsia="Calibri"/>
          <w:bCs/>
          <w:lang w:val="en-US" w:eastAsia="en-US"/>
        </w:rPr>
        <w:t xml:space="preserve">. </w:t>
      </w:r>
    </w:p>
    <w:p w14:paraId="331C68D5" w14:textId="77777777" w:rsidR="001819EC" w:rsidRPr="001819EC" w:rsidRDefault="001819EC" w:rsidP="001819EC">
      <w:pPr>
        <w:spacing w:line="360" w:lineRule="auto"/>
        <w:jc w:val="both"/>
        <w:rPr>
          <w:rFonts w:eastAsia="Calibri"/>
          <w:bCs/>
          <w:lang w:val="en-US" w:eastAsia="en-US"/>
        </w:rPr>
      </w:pPr>
      <w:r w:rsidRPr="001819EC">
        <w:rPr>
          <w:rFonts w:eastAsia="Calibri"/>
          <w:b/>
          <w:bCs/>
          <w:lang w:val="en-US" w:eastAsia="en-US"/>
        </w:rPr>
        <w:t xml:space="preserve">Results: </w:t>
      </w:r>
      <w:r w:rsidRPr="001819EC">
        <w:rPr>
          <w:rFonts w:eastAsia="Calibri"/>
          <w:bCs/>
          <w:lang w:val="en-US" w:eastAsia="en-US"/>
        </w:rPr>
        <w:t>In the patients analyzed, nimotuzumab showed therapeutic benefit in the group of patients who did not progress to the first line of treatment with chemotherapy or chemoradiotherapy, when they had a lower neutrophil-lymphocyte index (p= 0,017 and p= 0,027) and a lower platelet-lymphocyte index (p=</w:t>
      </w:r>
      <w:r w:rsidRPr="001819EC">
        <w:rPr>
          <w:rFonts w:eastAsia="Calibri"/>
          <w:lang w:val="en-US" w:eastAsia="en-US"/>
        </w:rPr>
        <w:t> 0,030 and p= </w:t>
      </w:r>
      <w:r w:rsidRPr="001819EC">
        <w:rPr>
          <w:rFonts w:eastAsia="Calibri"/>
          <w:bCs/>
          <w:lang w:val="en-US" w:eastAsia="en-US"/>
        </w:rPr>
        <w:t>0,009).</w:t>
      </w:r>
    </w:p>
    <w:p w14:paraId="63EE8220" w14:textId="77777777" w:rsidR="001819EC" w:rsidRPr="001819EC" w:rsidRDefault="001819EC" w:rsidP="001819EC">
      <w:pPr>
        <w:spacing w:line="360" w:lineRule="auto"/>
        <w:jc w:val="both"/>
        <w:rPr>
          <w:rFonts w:eastAsia="Calibri"/>
          <w:lang w:val="en-US" w:eastAsia="es-CU"/>
        </w:rPr>
      </w:pPr>
      <w:r w:rsidRPr="001819EC">
        <w:rPr>
          <w:rFonts w:eastAsia="Calibri"/>
          <w:b/>
          <w:bCs/>
          <w:lang w:val="en-US" w:eastAsia="en-US"/>
        </w:rPr>
        <w:t xml:space="preserve">Conclusion: </w:t>
      </w:r>
      <w:r w:rsidRPr="001819EC">
        <w:rPr>
          <w:rFonts w:eastAsia="Calibri"/>
          <w:lang w:val="en" w:eastAsia="es-CU"/>
        </w:rPr>
        <w:t xml:space="preserve">Selecting a patient with a lower inflammatory index benefits the efficacy of treatment with the humanized </w:t>
      </w:r>
      <w:proofErr w:type="spellStart"/>
      <w:r w:rsidRPr="001819EC">
        <w:rPr>
          <w:rFonts w:eastAsia="Calibri"/>
          <w:lang w:val="en" w:eastAsia="es-CU"/>
        </w:rPr>
        <w:t>mAb</w:t>
      </w:r>
      <w:proofErr w:type="spellEnd"/>
      <w:r w:rsidRPr="001819EC">
        <w:rPr>
          <w:rFonts w:eastAsia="Calibri"/>
          <w:lang w:val="en" w:eastAsia="es-CU"/>
        </w:rPr>
        <w:t xml:space="preserve"> nimotuzumab in advanced non-small cell lung cancer, which becomes a predictive tool for response to treatment.</w:t>
      </w:r>
    </w:p>
    <w:p w14:paraId="50030228" w14:textId="77777777" w:rsidR="001819EC" w:rsidRPr="001819EC" w:rsidRDefault="001819EC" w:rsidP="001819EC">
      <w:pPr>
        <w:spacing w:line="360" w:lineRule="auto"/>
        <w:jc w:val="both"/>
        <w:rPr>
          <w:rFonts w:eastAsia="Calibri"/>
          <w:b/>
          <w:bCs/>
          <w:lang w:val="en-US" w:eastAsia="en-US"/>
        </w:rPr>
      </w:pPr>
      <w:r w:rsidRPr="001819EC">
        <w:rPr>
          <w:rFonts w:eastAsia="Calibri"/>
          <w:b/>
          <w:bCs/>
          <w:lang w:val="en-US" w:eastAsia="en-US"/>
        </w:rPr>
        <w:t>Keywords:</w:t>
      </w:r>
      <w:r w:rsidRPr="001819EC">
        <w:rPr>
          <w:rFonts w:eastAsia="Calibri"/>
          <w:bCs/>
          <w:lang w:val="en-US" w:eastAsia="en-US"/>
        </w:rPr>
        <w:t xml:space="preserve"> antibodies, monoclonal; carcinoma, non-small-cell lung; drug therapy; efficacy; lung neoplasms; therapeutics.</w:t>
      </w:r>
    </w:p>
    <w:p w14:paraId="1E768E07" w14:textId="77777777" w:rsidR="001819EC" w:rsidRPr="001819EC" w:rsidRDefault="001819EC" w:rsidP="001819EC">
      <w:pPr>
        <w:spacing w:line="360" w:lineRule="auto"/>
        <w:jc w:val="both"/>
        <w:rPr>
          <w:rFonts w:eastAsia="Calibri"/>
          <w:b/>
          <w:bCs/>
          <w:lang w:val="en-US" w:eastAsia="en-US"/>
        </w:rPr>
      </w:pPr>
    </w:p>
    <w:p w14:paraId="45335FAF" w14:textId="77777777" w:rsidR="001819EC" w:rsidRPr="001819EC" w:rsidRDefault="001819EC" w:rsidP="001819EC">
      <w:pPr>
        <w:spacing w:line="360" w:lineRule="auto"/>
        <w:rPr>
          <w:rFonts w:eastAsia="Calibri"/>
          <w:lang w:val="en-US" w:eastAsia="en-US"/>
        </w:rPr>
      </w:pPr>
    </w:p>
    <w:p w14:paraId="5EEA9ECE" w14:textId="77777777" w:rsidR="001819EC" w:rsidRPr="001819EC" w:rsidRDefault="001819EC" w:rsidP="001819EC">
      <w:pPr>
        <w:spacing w:line="360" w:lineRule="auto"/>
        <w:rPr>
          <w:rFonts w:eastAsia="Calibri"/>
          <w:lang w:val="es-CU" w:eastAsia="en-US"/>
        </w:rPr>
      </w:pPr>
      <w:r w:rsidRPr="001819EC">
        <w:rPr>
          <w:rFonts w:eastAsia="Calibri"/>
          <w:lang w:val="es-CU" w:eastAsia="en-US"/>
        </w:rPr>
        <w:t>Recibido: 15/04/2023</w:t>
      </w:r>
    </w:p>
    <w:p w14:paraId="69DB23B1" w14:textId="77777777" w:rsidR="001819EC" w:rsidRPr="001819EC" w:rsidRDefault="001819EC" w:rsidP="001819EC">
      <w:pPr>
        <w:spacing w:line="360" w:lineRule="auto"/>
        <w:rPr>
          <w:rFonts w:eastAsia="Calibri"/>
          <w:lang w:val="es-CU" w:eastAsia="en-US"/>
        </w:rPr>
      </w:pPr>
      <w:r w:rsidRPr="001819EC">
        <w:rPr>
          <w:rFonts w:eastAsia="Calibri"/>
          <w:lang w:val="es-CU" w:eastAsia="en-US"/>
        </w:rPr>
        <w:t>Aprobado: 17/08/2023</w:t>
      </w:r>
    </w:p>
    <w:p w14:paraId="16F53BDC" w14:textId="77777777" w:rsidR="001819EC" w:rsidRPr="001819EC" w:rsidRDefault="001819EC" w:rsidP="001819EC">
      <w:pPr>
        <w:spacing w:line="360" w:lineRule="auto"/>
        <w:rPr>
          <w:rFonts w:eastAsia="Calibri"/>
          <w:lang w:val="es-CU" w:eastAsia="en-US"/>
        </w:rPr>
      </w:pPr>
    </w:p>
    <w:p w14:paraId="59061261" w14:textId="77777777" w:rsidR="001819EC" w:rsidRPr="001819EC" w:rsidRDefault="001819EC" w:rsidP="001819EC">
      <w:pPr>
        <w:spacing w:line="360" w:lineRule="auto"/>
        <w:rPr>
          <w:rFonts w:eastAsia="Calibri"/>
          <w:b/>
          <w:bCs/>
          <w:lang w:val="es-CU" w:eastAsia="en-US"/>
        </w:rPr>
      </w:pPr>
    </w:p>
    <w:p w14:paraId="4AD65A86" w14:textId="77777777" w:rsidR="005264CA" w:rsidRDefault="005264CA">
      <w:pPr>
        <w:rPr>
          <w:rFonts w:eastAsia="Calibri"/>
          <w:b/>
          <w:bCs/>
          <w:sz w:val="32"/>
          <w:szCs w:val="32"/>
          <w:lang w:val="es-ES" w:eastAsia="en-US"/>
        </w:rPr>
      </w:pPr>
      <w:r>
        <w:rPr>
          <w:rFonts w:eastAsia="Calibri"/>
          <w:b/>
          <w:bCs/>
          <w:sz w:val="32"/>
          <w:szCs w:val="32"/>
          <w:lang w:val="es-ES" w:eastAsia="en-US"/>
        </w:rPr>
        <w:br w:type="page"/>
      </w:r>
    </w:p>
    <w:p w14:paraId="58FBFA90" w14:textId="5C873A59" w:rsidR="001819EC" w:rsidRPr="001819EC" w:rsidRDefault="001819EC" w:rsidP="001819EC">
      <w:pPr>
        <w:spacing w:line="360" w:lineRule="auto"/>
        <w:jc w:val="center"/>
        <w:rPr>
          <w:rFonts w:eastAsia="Calibri"/>
          <w:b/>
          <w:bCs/>
          <w:sz w:val="32"/>
          <w:szCs w:val="32"/>
          <w:lang w:val="es-ES" w:eastAsia="en-US"/>
        </w:rPr>
      </w:pPr>
      <w:r w:rsidRPr="001819EC">
        <w:rPr>
          <w:rFonts w:eastAsia="Calibri"/>
          <w:b/>
          <w:bCs/>
          <w:sz w:val="32"/>
          <w:szCs w:val="32"/>
          <w:lang w:val="es-ES" w:eastAsia="en-US"/>
        </w:rPr>
        <w:lastRenderedPageBreak/>
        <w:t>INTRODUCCIÓN</w:t>
      </w:r>
    </w:p>
    <w:bookmarkEnd w:id="0"/>
    <w:p w14:paraId="55C852A8"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El cáncer de pulmón (CP) constituye una enfermedad heterogénea, ocupa el segundo lugar en incidencia dentro de los tumores malignos y se destaca como la primera causa de muerte en el orbe. En el año 2020 se recogen estadísticas de 1 796 144 fallecidos en el </w:t>
      </w:r>
      <w:proofErr w:type="gramStart"/>
      <w:r w:rsidRPr="001819EC">
        <w:rPr>
          <w:rFonts w:eastAsia="Calibri"/>
          <w:lang w:val="es-ES" w:eastAsia="en-US"/>
        </w:rPr>
        <w:t>mundo.</w:t>
      </w:r>
      <w:r w:rsidRPr="001819EC">
        <w:rPr>
          <w:rFonts w:eastAsia="Calibri"/>
          <w:vertAlign w:val="superscript"/>
          <w:lang w:val="es-ES" w:eastAsia="en-US"/>
        </w:rPr>
        <w:t>(</w:t>
      </w:r>
      <w:proofErr w:type="gramEnd"/>
      <w:r w:rsidRPr="001819EC">
        <w:rPr>
          <w:rFonts w:eastAsia="Calibri"/>
          <w:vertAlign w:val="superscript"/>
          <w:lang w:val="es-ES" w:eastAsia="en-US"/>
        </w:rPr>
        <w:t>1)</w:t>
      </w:r>
      <w:r w:rsidRPr="001819EC">
        <w:rPr>
          <w:rFonts w:eastAsia="Calibri"/>
          <w:lang w:val="es-ES" w:eastAsia="en-US"/>
        </w:rPr>
        <w:t xml:space="preserve"> </w:t>
      </w:r>
    </w:p>
    <w:p w14:paraId="0117E9E7"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Cuba representa la tercera causa de incidencia entre los tumores malignos. En el 2019 se diagnosticaron 6030 pacientes y fallecieron 5580 por esta causa; es decir, murió más del 90 % de los </w:t>
      </w:r>
      <w:proofErr w:type="gramStart"/>
      <w:r w:rsidRPr="001819EC">
        <w:rPr>
          <w:rFonts w:eastAsia="Calibri"/>
          <w:lang w:val="es-ES" w:eastAsia="en-US"/>
        </w:rPr>
        <w:t>diagnosticados.</w:t>
      </w:r>
      <w:r w:rsidRPr="001819EC">
        <w:rPr>
          <w:rFonts w:eastAsia="Calibri"/>
          <w:vertAlign w:val="superscript"/>
          <w:lang w:val="es-ES" w:eastAsia="en-US"/>
        </w:rPr>
        <w:t>(</w:t>
      </w:r>
      <w:proofErr w:type="gramEnd"/>
      <w:r w:rsidRPr="001819EC">
        <w:rPr>
          <w:rFonts w:eastAsia="Calibri"/>
          <w:vertAlign w:val="superscript"/>
          <w:lang w:val="es-ES" w:eastAsia="en-US"/>
        </w:rPr>
        <w:t>2)</w:t>
      </w:r>
      <w:r w:rsidRPr="001819EC">
        <w:rPr>
          <w:rFonts w:eastAsia="Calibri"/>
          <w:lang w:val="es-ES" w:eastAsia="en-US"/>
        </w:rPr>
        <w:t xml:space="preserve"> </w:t>
      </w:r>
    </w:p>
    <w:p w14:paraId="0D74E17E"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La principal etiología de esta enfermedad es el </w:t>
      </w:r>
      <w:proofErr w:type="gramStart"/>
      <w:r w:rsidRPr="001819EC">
        <w:rPr>
          <w:rFonts w:eastAsia="Calibri"/>
          <w:lang w:val="es-ES" w:eastAsia="en-US"/>
        </w:rPr>
        <w:t>tabaquismo.</w:t>
      </w:r>
      <w:r w:rsidRPr="001819EC">
        <w:rPr>
          <w:rFonts w:eastAsia="Calibri"/>
          <w:vertAlign w:val="superscript"/>
          <w:lang w:val="es-ES" w:eastAsia="en-US"/>
        </w:rPr>
        <w:t>(</w:t>
      </w:r>
      <w:proofErr w:type="gramEnd"/>
      <w:r w:rsidRPr="001819EC">
        <w:rPr>
          <w:rFonts w:eastAsia="Calibri"/>
          <w:vertAlign w:val="superscript"/>
          <w:lang w:val="es-ES" w:eastAsia="en-US"/>
        </w:rPr>
        <w:t>3,4)</w:t>
      </w:r>
      <w:r w:rsidRPr="001819EC">
        <w:rPr>
          <w:rFonts w:eastAsia="Calibri"/>
          <w:lang w:val="es-ES" w:eastAsia="en-US"/>
        </w:rPr>
        <w:t xml:space="preserve"> Se encuentran involucrados en la carcinogénesis del CP </w:t>
      </w:r>
      <w:r w:rsidRPr="001819EC">
        <w:rPr>
          <w:lang w:val="es-ES" w:eastAsia="es-MX"/>
        </w:rPr>
        <w:t>diferentes procesos moleculares, que incluyen cambios epigenéticos, mutaciones en</w:t>
      </w:r>
      <w:r w:rsidRPr="001819EC">
        <w:rPr>
          <w:i/>
          <w:iCs/>
          <w:lang w:val="es-ES" w:eastAsia="es-MX"/>
        </w:rPr>
        <w:t xml:space="preserve"> </w:t>
      </w:r>
      <w:proofErr w:type="spellStart"/>
      <w:r w:rsidRPr="001819EC">
        <w:rPr>
          <w:lang w:val="es-ES" w:eastAsia="es-MX"/>
        </w:rPr>
        <w:t>p53</w:t>
      </w:r>
      <w:proofErr w:type="spellEnd"/>
      <w:r w:rsidRPr="001819EC">
        <w:rPr>
          <w:lang w:val="es-ES" w:eastAsia="es-MX"/>
        </w:rPr>
        <w:t>, KRAS y en el receptor del factor de crecimiento epidérmico (</w:t>
      </w:r>
      <w:proofErr w:type="spellStart"/>
      <w:r w:rsidRPr="001819EC">
        <w:rPr>
          <w:lang w:val="es-ES" w:eastAsia="es-MX"/>
        </w:rPr>
        <w:t>EGFR</w:t>
      </w:r>
      <w:proofErr w:type="spellEnd"/>
      <w:r w:rsidRPr="001819EC">
        <w:rPr>
          <w:lang w:val="es-ES" w:eastAsia="es-MX"/>
        </w:rPr>
        <w:t>).</w:t>
      </w:r>
      <w:r w:rsidRPr="001819EC">
        <w:rPr>
          <w:i/>
          <w:iCs/>
          <w:lang w:val="es-ES" w:eastAsia="es-MX"/>
        </w:rPr>
        <w:t xml:space="preserve"> </w:t>
      </w:r>
      <w:r w:rsidRPr="001819EC">
        <w:rPr>
          <w:iCs/>
          <w:lang w:val="es-ES" w:eastAsia="es-MX"/>
        </w:rPr>
        <w:t>L</w:t>
      </w:r>
      <w:r w:rsidRPr="001819EC">
        <w:rPr>
          <w:lang w:val="es-ES" w:eastAsia="es-MX"/>
        </w:rPr>
        <w:t xml:space="preserve">a mutación en el </w:t>
      </w:r>
      <w:proofErr w:type="spellStart"/>
      <w:r w:rsidRPr="001819EC">
        <w:rPr>
          <w:lang w:val="es-ES" w:eastAsia="es-MX"/>
        </w:rPr>
        <w:t>EGFR</w:t>
      </w:r>
      <w:proofErr w:type="spellEnd"/>
      <w:r w:rsidRPr="001819EC">
        <w:rPr>
          <w:lang w:val="es-ES" w:eastAsia="es-MX"/>
        </w:rPr>
        <w:t xml:space="preserve"> se encuentra en el 40 % de los tumores malignos de pulmón y la sobrexpresión, en el 60 % de los tumores de pulmón metastásicos, lo que </w:t>
      </w:r>
      <w:r w:rsidRPr="001819EC">
        <w:rPr>
          <w:rFonts w:eastAsia="Calibri"/>
          <w:lang w:val="es-ES" w:eastAsia="en-US"/>
        </w:rPr>
        <w:t xml:space="preserve">conlleva a un comportamiento más agresivo del tumor y le confiere un peor pronóstico al </w:t>
      </w:r>
      <w:proofErr w:type="gramStart"/>
      <w:r w:rsidRPr="001819EC">
        <w:rPr>
          <w:rFonts w:eastAsia="Calibri"/>
          <w:lang w:val="es-ES" w:eastAsia="en-US"/>
        </w:rPr>
        <w:t>paciente.</w:t>
      </w:r>
      <w:r w:rsidRPr="001819EC">
        <w:rPr>
          <w:rFonts w:eastAsia="Calibri"/>
          <w:vertAlign w:val="superscript"/>
          <w:lang w:val="es-ES" w:eastAsia="en-US"/>
        </w:rPr>
        <w:t>(</w:t>
      </w:r>
      <w:proofErr w:type="gramEnd"/>
      <w:r w:rsidRPr="001819EC">
        <w:rPr>
          <w:rFonts w:eastAsia="Calibri"/>
          <w:vertAlign w:val="superscript"/>
          <w:lang w:val="es-ES" w:eastAsia="en-US"/>
        </w:rPr>
        <w:t>5)</w:t>
      </w:r>
    </w:p>
    <w:p w14:paraId="57FB5672" w14:textId="77777777" w:rsidR="001819EC" w:rsidRPr="001819EC" w:rsidRDefault="001819EC" w:rsidP="001819EC">
      <w:pPr>
        <w:shd w:val="clear" w:color="auto" w:fill="FFFFFF"/>
        <w:spacing w:line="360" w:lineRule="auto"/>
        <w:jc w:val="both"/>
        <w:rPr>
          <w:rFonts w:eastAsia="Calibri"/>
          <w:vertAlign w:val="superscript"/>
          <w:lang w:val="es-ES" w:eastAsia="en-US"/>
        </w:rPr>
      </w:pPr>
      <w:r w:rsidRPr="001819EC">
        <w:rPr>
          <w:rFonts w:eastAsia="Calibri"/>
          <w:lang w:val="es-ES" w:eastAsia="en-US"/>
        </w:rPr>
        <w:t>Existen terapias específicas contra el CP avanzado (inhibidores contra blancos moleculares) e inhibidores de los puntos de control inmunológicos (</w:t>
      </w:r>
      <w:proofErr w:type="spellStart"/>
      <w:r w:rsidRPr="001819EC">
        <w:rPr>
          <w:rFonts w:eastAsia="Calibri"/>
          <w:lang w:val="es-ES" w:eastAsia="en-US"/>
        </w:rPr>
        <w:t>IPCI</w:t>
      </w:r>
      <w:proofErr w:type="spellEnd"/>
      <w:r w:rsidRPr="001819EC">
        <w:rPr>
          <w:rFonts w:eastAsia="Calibri"/>
          <w:lang w:val="es-ES" w:eastAsia="en-US"/>
        </w:rPr>
        <w:t>) (anti-</w:t>
      </w:r>
      <w:proofErr w:type="spellStart"/>
      <w:r w:rsidRPr="001819EC">
        <w:rPr>
          <w:rFonts w:eastAsia="Calibri"/>
          <w:lang w:val="es-ES" w:eastAsia="en-US"/>
        </w:rPr>
        <w:t>PD1</w:t>
      </w:r>
      <w:proofErr w:type="spellEnd"/>
      <w:r w:rsidRPr="001819EC">
        <w:rPr>
          <w:rFonts w:eastAsia="Calibri"/>
          <w:lang w:val="es-ES" w:eastAsia="en-US"/>
        </w:rPr>
        <w:t xml:space="preserve"> y anti-</w:t>
      </w:r>
      <w:proofErr w:type="spellStart"/>
      <w:r w:rsidRPr="001819EC">
        <w:rPr>
          <w:rFonts w:eastAsia="Calibri"/>
          <w:lang w:val="es-ES" w:eastAsia="en-US"/>
        </w:rPr>
        <w:t>PDL1</w:t>
      </w:r>
      <w:proofErr w:type="spellEnd"/>
      <w:r w:rsidRPr="001819EC">
        <w:rPr>
          <w:rFonts w:eastAsia="Calibri"/>
          <w:lang w:val="es-ES" w:eastAsia="en-US"/>
        </w:rPr>
        <w:t>), aprobados por las agencias regulatorias estadounidense y europea, que han demostrado un impacto significativo en el tratamiento de pacientes con cáncer de pulmón de células no pequeñas (</w:t>
      </w:r>
      <w:proofErr w:type="spellStart"/>
      <w:r w:rsidRPr="001819EC">
        <w:rPr>
          <w:rFonts w:eastAsia="Calibri"/>
          <w:lang w:val="es-ES" w:eastAsia="en-US"/>
        </w:rPr>
        <w:t>CPCNP</w:t>
      </w:r>
      <w:proofErr w:type="spellEnd"/>
      <w:proofErr w:type="gramStart"/>
      <w:r w:rsidRPr="001819EC">
        <w:rPr>
          <w:rFonts w:eastAsia="Calibri"/>
          <w:lang w:val="es-ES" w:eastAsia="en-US"/>
        </w:rPr>
        <w:t>)</w:t>
      </w:r>
      <w:bookmarkStart w:id="14" w:name="_Hlk126148626"/>
      <w:r w:rsidRPr="001819EC">
        <w:rPr>
          <w:rFonts w:eastAsia="Calibri"/>
          <w:lang w:val="es-ES" w:eastAsia="en-US"/>
        </w:rPr>
        <w:t>.</w:t>
      </w:r>
      <w:r w:rsidRPr="001819EC">
        <w:rPr>
          <w:rFonts w:eastAsia="Calibri"/>
          <w:vertAlign w:val="superscript"/>
          <w:lang w:val="es-ES" w:eastAsia="en-US"/>
        </w:rPr>
        <w:t>(</w:t>
      </w:r>
      <w:proofErr w:type="gramEnd"/>
      <w:r w:rsidRPr="001819EC">
        <w:rPr>
          <w:rFonts w:eastAsia="Calibri"/>
          <w:vertAlign w:val="superscript"/>
          <w:lang w:val="es-ES" w:eastAsia="en-US"/>
        </w:rPr>
        <w:t xml:space="preserve">6,7) </w:t>
      </w:r>
      <w:bookmarkEnd w:id="14"/>
    </w:p>
    <w:p w14:paraId="6030372E"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En Cuba, se ha desarrollado, en el Centro de Inmunología Molecular (</w:t>
      </w:r>
      <w:proofErr w:type="spellStart"/>
      <w:r w:rsidRPr="001819EC">
        <w:rPr>
          <w:rFonts w:eastAsia="Calibri"/>
          <w:lang w:val="es-ES" w:eastAsia="en-US"/>
        </w:rPr>
        <w:t>CIM</w:t>
      </w:r>
      <w:proofErr w:type="spellEnd"/>
      <w:r w:rsidRPr="001819EC">
        <w:rPr>
          <w:rFonts w:eastAsia="Calibri"/>
          <w:lang w:val="es-ES" w:eastAsia="en-US"/>
        </w:rPr>
        <w:t xml:space="preserve">), una terapia contra el </w:t>
      </w:r>
      <w:proofErr w:type="spellStart"/>
      <w:r w:rsidRPr="001819EC">
        <w:rPr>
          <w:rFonts w:eastAsia="Calibri"/>
          <w:lang w:val="es-ES" w:eastAsia="en-US"/>
        </w:rPr>
        <w:t>EGFR</w:t>
      </w:r>
      <w:proofErr w:type="spellEnd"/>
      <w:r w:rsidRPr="001819EC">
        <w:rPr>
          <w:rFonts w:eastAsia="Calibri"/>
          <w:lang w:val="es-ES" w:eastAsia="en-US"/>
        </w:rPr>
        <w:t>; el anticuerpo monoclonal (</w:t>
      </w:r>
      <w:proofErr w:type="spellStart"/>
      <w:r w:rsidRPr="001819EC">
        <w:rPr>
          <w:rFonts w:eastAsia="Calibri"/>
          <w:lang w:val="es-ES" w:eastAsia="en-US"/>
        </w:rPr>
        <w:t>AcM</w:t>
      </w:r>
      <w:proofErr w:type="spellEnd"/>
      <w:r w:rsidRPr="001819EC">
        <w:rPr>
          <w:rFonts w:eastAsia="Calibri"/>
          <w:lang w:val="es-ES" w:eastAsia="en-US"/>
        </w:rPr>
        <w:t xml:space="preserve">) humanizado </w:t>
      </w:r>
      <w:proofErr w:type="spellStart"/>
      <w:r w:rsidRPr="001819EC">
        <w:rPr>
          <w:rFonts w:eastAsia="Calibri"/>
          <w:lang w:val="es-ES" w:eastAsia="en-US"/>
        </w:rPr>
        <w:t>nimotuzumab</w:t>
      </w:r>
      <w:proofErr w:type="spellEnd"/>
      <w:r w:rsidRPr="001819EC">
        <w:rPr>
          <w:rFonts w:eastAsia="Calibri"/>
          <w:lang w:val="es-ES" w:eastAsia="en-US"/>
        </w:rPr>
        <w:t xml:space="preserve">, </w:t>
      </w:r>
      <w:r w:rsidRPr="001819EC">
        <w:rPr>
          <w:rFonts w:eastAsia="Arial"/>
          <w:lang w:val="es-ES" w:eastAsia="en-US"/>
        </w:rPr>
        <w:t xml:space="preserve">el cual reconoce este receptor, provoca la inhibición, e impide las señalizaciones intracelulares que estimulan el crecimiento tumoral, la metástasis y la angiogénesis en tumores que tienen un origen epitelial. Este </w:t>
      </w:r>
      <w:proofErr w:type="spellStart"/>
      <w:r w:rsidRPr="001819EC">
        <w:rPr>
          <w:rFonts w:eastAsia="Arial"/>
          <w:lang w:val="es-ES" w:eastAsia="en-US"/>
        </w:rPr>
        <w:t>AcM</w:t>
      </w:r>
      <w:proofErr w:type="spellEnd"/>
      <w:r w:rsidRPr="001819EC">
        <w:rPr>
          <w:rFonts w:eastAsia="Arial"/>
          <w:lang w:val="es-ES" w:eastAsia="en-US"/>
        </w:rPr>
        <w:t xml:space="preserve"> </w:t>
      </w:r>
      <w:r w:rsidRPr="001819EC">
        <w:rPr>
          <w:rFonts w:eastAsia="Calibri"/>
          <w:lang w:val="es-ES" w:eastAsia="en-US"/>
        </w:rPr>
        <w:t>tiene registro sanitario en Cuba desde el 2018, por el Centro para el Control Estatal de Medicamentos, Equipos y Dispositivos Médicos (</w:t>
      </w:r>
      <w:proofErr w:type="spellStart"/>
      <w:r w:rsidRPr="001819EC">
        <w:rPr>
          <w:rFonts w:eastAsia="Calibri"/>
          <w:lang w:val="es-ES" w:eastAsia="en-US"/>
        </w:rPr>
        <w:t>CECMED</w:t>
      </w:r>
      <w:proofErr w:type="spellEnd"/>
      <w:proofErr w:type="gramStart"/>
      <w:r w:rsidRPr="001819EC">
        <w:rPr>
          <w:rFonts w:eastAsia="Calibri"/>
          <w:lang w:val="es-ES" w:eastAsia="en-US"/>
        </w:rPr>
        <w:t>),</w:t>
      </w:r>
      <w:r w:rsidRPr="001819EC">
        <w:rPr>
          <w:rFonts w:eastAsia="Calibri"/>
          <w:vertAlign w:val="superscript"/>
          <w:lang w:val="es-ES" w:eastAsia="en-US"/>
        </w:rPr>
        <w:t>(</w:t>
      </w:r>
      <w:proofErr w:type="gramEnd"/>
      <w:r w:rsidRPr="001819EC">
        <w:rPr>
          <w:rFonts w:eastAsia="Calibri"/>
          <w:vertAlign w:val="superscript"/>
          <w:lang w:val="es-ES" w:eastAsia="en-US"/>
        </w:rPr>
        <w:t xml:space="preserve">8) </w:t>
      </w:r>
      <w:r w:rsidRPr="001819EC">
        <w:rPr>
          <w:rFonts w:eastAsia="Calibri"/>
          <w:lang w:val="es-ES" w:eastAsia="en-US"/>
        </w:rPr>
        <w:t xml:space="preserve">para el tratamiento de mantenimiento de cambio, en los pacientes con </w:t>
      </w:r>
      <w:proofErr w:type="spellStart"/>
      <w:r w:rsidRPr="001819EC">
        <w:rPr>
          <w:rFonts w:eastAsia="Calibri"/>
          <w:lang w:val="es-ES" w:eastAsia="en-US"/>
        </w:rPr>
        <w:t>CPCNP</w:t>
      </w:r>
      <w:proofErr w:type="spellEnd"/>
      <w:r w:rsidRPr="001819EC">
        <w:rPr>
          <w:rFonts w:eastAsia="Calibri"/>
          <w:lang w:val="es-ES" w:eastAsia="en-US"/>
        </w:rPr>
        <w:t xml:space="preserve">, no </w:t>
      </w:r>
      <w:proofErr w:type="spellStart"/>
      <w:r w:rsidRPr="001819EC">
        <w:rPr>
          <w:rFonts w:eastAsia="Calibri"/>
          <w:lang w:val="es-ES" w:eastAsia="en-US"/>
        </w:rPr>
        <w:t>progresores</w:t>
      </w:r>
      <w:proofErr w:type="spellEnd"/>
      <w:r w:rsidRPr="001819EC">
        <w:rPr>
          <w:rFonts w:eastAsia="Calibri"/>
          <w:lang w:val="es-ES" w:eastAsia="en-US"/>
        </w:rPr>
        <w:t xml:space="preserve"> a la primera línea de quimioterapia. </w:t>
      </w:r>
    </w:p>
    <w:p w14:paraId="34C1C71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A pesar de existir terapias novedosas para el CP se continúa reportando solo un 16 % de supervivencia a los 5 </w:t>
      </w:r>
      <w:proofErr w:type="gramStart"/>
      <w:r w:rsidRPr="001819EC">
        <w:rPr>
          <w:rFonts w:eastAsia="Calibri"/>
          <w:lang w:val="es-ES" w:eastAsia="en-US"/>
        </w:rPr>
        <w:t>años.</w:t>
      </w:r>
      <w:r w:rsidRPr="001819EC">
        <w:rPr>
          <w:rFonts w:eastAsia="Calibri"/>
          <w:vertAlign w:val="superscript"/>
          <w:lang w:val="es-ES" w:eastAsia="en-US"/>
        </w:rPr>
        <w:t>(</w:t>
      </w:r>
      <w:proofErr w:type="gramEnd"/>
      <w:r w:rsidRPr="001819EC">
        <w:rPr>
          <w:rFonts w:eastAsia="Calibri"/>
          <w:vertAlign w:val="superscript"/>
          <w:lang w:val="es-ES" w:eastAsia="en-US"/>
        </w:rPr>
        <w:t>9)</w:t>
      </w:r>
      <w:r w:rsidRPr="001819EC">
        <w:rPr>
          <w:rFonts w:eastAsia="Calibri"/>
          <w:lang w:val="es-ES" w:eastAsia="en-US"/>
        </w:rPr>
        <w:t xml:space="preserve"> Existen evidencias de que la inflamación juega un papel clave en la fisiopatología del cáncer. Un marcador disponible en la práctica médica habitual es el índice de neutrófilos-linfocitos (</w:t>
      </w:r>
      <w:proofErr w:type="spellStart"/>
      <w:r w:rsidRPr="001819EC">
        <w:rPr>
          <w:rFonts w:eastAsia="Calibri"/>
          <w:lang w:val="es-ES" w:eastAsia="en-US"/>
        </w:rPr>
        <w:t>INL</w:t>
      </w:r>
      <w:proofErr w:type="spellEnd"/>
      <w:r w:rsidRPr="001819EC">
        <w:rPr>
          <w:rFonts w:eastAsia="Calibri"/>
          <w:lang w:val="es-ES" w:eastAsia="en-US"/>
        </w:rPr>
        <w:t>) y el índice de plaquetas-linfocitos (</w:t>
      </w:r>
      <w:proofErr w:type="spellStart"/>
      <w:r w:rsidRPr="001819EC">
        <w:rPr>
          <w:rFonts w:eastAsia="Calibri"/>
          <w:lang w:val="es-ES" w:eastAsia="en-US"/>
        </w:rPr>
        <w:t>IPL</w:t>
      </w:r>
      <w:proofErr w:type="spellEnd"/>
      <w:r w:rsidRPr="001819EC">
        <w:rPr>
          <w:rFonts w:eastAsia="Calibri"/>
          <w:lang w:val="es-ES" w:eastAsia="en-US"/>
        </w:rPr>
        <w:t xml:space="preserve">). Una alta proporción de estos parámetros inflamatorios, antes del </w:t>
      </w:r>
      <w:r w:rsidRPr="001819EC">
        <w:rPr>
          <w:rFonts w:eastAsia="Calibri"/>
          <w:lang w:val="es-ES" w:eastAsia="en-US"/>
        </w:rPr>
        <w:lastRenderedPageBreak/>
        <w:t xml:space="preserve">tratamiento, se asocia con peores resultados de supervivencia. Se consideran factores pronóstico y predictivo en esta </w:t>
      </w:r>
      <w:proofErr w:type="gramStart"/>
      <w:r w:rsidRPr="001819EC">
        <w:rPr>
          <w:rFonts w:eastAsia="Calibri"/>
          <w:lang w:val="es-ES" w:eastAsia="en-US"/>
        </w:rPr>
        <w:t>entidad.</w:t>
      </w:r>
      <w:r w:rsidRPr="001819EC">
        <w:rPr>
          <w:rFonts w:eastAsia="Calibri"/>
          <w:vertAlign w:val="superscript"/>
          <w:lang w:val="es-ES" w:eastAsia="en-US"/>
        </w:rPr>
        <w:t>(</w:t>
      </w:r>
      <w:proofErr w:type="gramEnd"/>
      <w:r w:rsidRPr="001819EC">
        <w:rPr>
          <w:rFonts w:eastAsia="Calibri"/>
          <w:vertAlign w:val="superscript"/>
          <w:lang w:val="es-ES" w:eastAsia="en-US"/>
        </w:rPr>
        <w:t>10,11)</w:t>
      </w:r>
    </w:p>
    <w:p w14:paraId="0900707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Esta investigación tiene como objetivo evaluar la eficacia del </w:t>
      </w:r>
      <w:proofErr w:type="spellStart"/>
      <w:r w:rsidRPr="001819EC">
        <w:rPr>
          <w:rFonts w:eastAsia="Calibri"/>
          <w:lang w:val="es-ES" w:eastAsia="en-US"/>
        </w:rPr>
        <w:t>AcM</w:t>
      </w:r>
      <w:proofErr w:type="spellEnd"/>
      <w:r w:rsidRPr="001819EC">
        <w:rPr>
          <w:rFonts w:eastAsia="Calibri"/>
          <w:lang w:val="es-ES" w:eastAsia="en-US"/>
        </w:rPr>
        <w:t xml:space="preserve"> humanizado </w:t>
      </w:r>
      <w:proofErr w:type="spellStart"/>
      <w:r w:rsidRPr="001819EC">
        <w:rPr>
          <w:rFonts w:eastAsia="Calibri"/>
          <w:lang w:val="es-ES" w:eastAsia="en-US"/>
        </w:rPr>
        <w:t>nimotuzumab</w:t>
      </w:r>
      <w:proofErr w:type="spellEnd"/>
      <w:r w:rsidRPr="001819EC">
        <w:rPr>
          <w:rFonts w:eastAsia="Calibri"/>
          <w:lang w:val="es-ES" w:eastAsia="en-US"/>
        </w:rPr>
        <w:t xml:space="preserve">, en pacientes portadores de CP no microcítico avanzado, según índices inflamatorios. </w:t>
      </w:r>
    </w:p>
    <w:p w14:paraId="70E833CA" w14:textId="77777777" w:rsidR="001819EC" w:rsidRPr="001819EC" w:rsidRDefault="001819EC" w:rsidP="001819EC">
      <w:pPr>
        <w:spacing w:line="360" w:lineRule="auto"/>
        <w:jc w:val="both"/>
        <w:rPr>
          <w:rFonts w:eastAsia="Calibri"/>
          <w:lang w:val="es-ES" w:eastAsia="en-US"/>
        </w:rPr>
      </w:pPr>
    </w:p>
    <w:p w14:paraId="1717B80F" w14:textId="77777777" w:rsidR="001819EC" w:rsidRPr="001819EC" w:rsidRDefault="001819EC" w:rsidP="001819EC">
      <w:pPr>
        <w:spacing w:line="360" w:lineRule="auto"/>
        <w:jc w:val="both"/>
        <w:rPr>
          <w:rFonts w:eastAsia="Calibri"/>
          <w:b/>
          <w:bCs/>
          <w:lang w:val="es-ES" w:eastAsia="en-US"/>
        </w:rPr>
      </w:pPr>
    </w:p>
    <w:p w14:paraId="03FCCBAE" w14:textId="77777777" w:rsidR="001819EC" w:rsidRPr="001819EC" w:rsidRDefault="001819EC" w:rsidP="001819EC">
      <w:pPr>
        <w:spacing w:line="360" w:lineRule="auto"/>
        <w:jc w:val="center"/>
        <w:rPr>
          <w:rFonts w:eastAsia="Calibri"/>
          <w:b/>
          <w:bCs/>
          <w:sz w:val="32"/>
          <w:szCs w:val="32"/>
          <w:lang w:val="es-ES" w:eastAsia="en-US"/>
        </w:rPr>
      </w:pPr>
      <w:r w:rsidRPr="001819EC">
        <w:rPr>
          <w:rFonts w:eastAsia="Calibri"/>
          <w:b/>
          <w:bCs/>
          <w:sz w:val="32"/>
          <w:szCs w:val="32"/>
          <w:lang w:val="es-ES" w:eastAsia="en-US"/>
        </w:rPr>
        <w:t>MÉTODOS</w:t>
      </w:r>
    </w:p>
    <w:p w14:paraId="141E767B" w14:textId="77777777" w:rsidR="001819EC" w:rsidRPr="001819EC" w:rsidRDefault="001819EC" w:rsidP="001819EC">
      <w:pPr>
        <w:spacing w:line="360" w:lineRule="auto"/>
        <w:jc w:val="center"/>
        <w:rPr>
          <w:rFonts w:eastAsia="Calibri"/>
          <w:b/>
          <w:bCs/>
          <w:sz w:val="28"/>
          <w:szCs w:val="28"/>
          <w:lang w:val="es-ES" w:eastAsia="en-US"/>
        </w:rPr>
      </w:pPr>
      <w:r w:rsidRPr="001819EC">
        <w:rPr>
          <w:rFonts w:eastAsia="Calibri"/>
          <w:b/>
          <w:bCs/>
          <w:sz w:val="28"/>
          <w:szCs w:val="28"/>
          <w:lang w:val="es-ES" w:eastAsia="en-US"/>
        </w:rPr>
        <w:t>Diseño</w:t>
      </w:r>
    </w:p>
    <w:p w14:paraId="6FB3FCDC"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Se realizó un estudio de evaluación longitudinal retrospectivo, con una serie de </w:t>
      </w:r>
      <w:r w:rsidRPr="001819EC">
        <w:rPr>
          <w:rFonts w:eastAsia="SimSun"/>
          <w:kern w:val="24"/>
          <w:lang w:val="es-ES" w:eastAsia="es-MX"/>
        </w:rPr>
        <w:t>pacientes incluidos en ensayos clínicos (</w:t>
      </w:r>
      <w:proofErr w:type="spellStart"/>
      <w:r w:rsidRPr="001819EC">
        <w:rPr>
          <w:rFonts w:eastAsia="SimSun"/>
          <w:kern w:val="24"/>
          <w:lang w:val="es-ES" w:eastAsia="es-MX"/>
        </w:rPr>
        <w:t>ECs</w:t>
      </w:r>
      <w:proofErr w:type="spellEnd"/>
      <w:r w:rsidRPr="001819EC">
        <w:rPr>
          <w:rFonts w:eastAsia="SimSun"/>
          <w:kern w:val="24"/>
          <w:lang w:val="es-ES" w:eastAsia="es-MX"/>
        </w:rPr>
        <w:t>) multicéntricos en Cuba</w:t>
      </w:r>
      <w:r w:rsidRPr="001819EC">
        <w:rPr>
          <w:rFonts w:eastAsia="Calibri"/>
          <w:lang w:val="es-ES" w:eastAsia="en-US"/>
        </w:rPr>
        <w:t>; promovidos</w:t>
      </w:r>
      <w:r w:rsidRPr="001819EC">
        <w:rPr>
          <w:rFonts w:eastAsia="SimSun"/>
          <w:kern w:val="24"/>
          <w:lang w:val="es-ES" w:eastAsia="es-MX"/>
        </w:rPr>
        <w:t xml:space="preserve"> por el </w:t>
      </w:r>
      <w:proofErr w:type="spellStart"/>
      <w:r w:rsidRPr="001819EC">
        <w:rPr>
          <w:rFonts w:eastAsia="SimSun"/>
          <w:kern w:val="24"/>
          <w:lang w:val="es-ES" w:eastAsia="es-MX"/>
        </w:rPr>
        <w:t>CIM</w:t>
      </w:r>
      <w:proofErr w:type="spellEnd"/>
      <w:r w:rsidRPr="001819EC">
        <w:rPr>
          <w:rFonts w:eastAsia="SimSun"/>
          <w:kern w:val="24"/>
          <w:lang w:val="es-ES" w:eastAsia="es-MX"/>
        </w:rPr>
        <w:t xml:space="preserve"> en el período comprendido desde el </w:t>
      </w:r>
      <w:proofErr w:type="spellStart"/>
      <w:r w:rsidRPr="001819EC">
        <w:rPr>
          <w:rFonts w:eastAsia="SimSun"/>
          <w:kern w:val="24"/>
          <w:lang w:val="es-ES" w:eastAsia="es-MX"/>
        </w:rPr>
        <w:t>1ero</w:t>
      </w:r>
      <w:proofErr w:type="spellEnd"/>
      <w:r w:rsidRPr="001819EC">
        <w:rPr>
          <w:rFonts w:eastAsia="SimSun"/>
          <w:kern w:val="24"/>
          <w:lang w:val="es-ES" w:eastAsia="es-MX"/>
        </w:rPr>
        <w:t xml:space="preserve"> de enero del 2002 al 31 de diciembre del 2018. </w:t>
      </w:r>
    </w:p>
    <w:p w14:paraId="66F87C41" w14:textId="77777777" w:rsidR="001819EC" w:rsidRPr="001819EC" w:rsidRDefault="001819EC" w:rsidP="001819EC">
      <w:pPr>
        <w:spacing w:line="360" w:lineRule="auto"/>
        <w:jc w:val="center"/>
        <w:rPr>
          <w:rFonts w:eastAsia="Calibri"/>
          <w:b/>
          <w:bCs/>
          <w:sz w:val="28"/>
          <w:szCs w:val="28"/>
          <w:lang w:val="es-ES" w:eastAsia="en-US"/>
        </w:rPr>
      </w:pPr>
      <w:r w:rsidRPr="001819EC">
        <w:rPr>
          <w:rFonts w:eastAsia="Calibri"/>
          <w:b/>
          <w:bCs/>
          <w:sz w:val="28"/>
          <w:szCs w:val="28"/>
          <w:lang w:val="es-ES" w:eastAsia="en-US"/>
        </w:rPr>
        <w:t>Sujetos</w:t>
      </w:r>
    </w:p>
    <w:p w14:paraId="65C3BF06" w14:textId="77777777" w:rsidR="001819EC" w:rsidRPr="001819EC" w:rsidRDefault="001819EC" w:rsidP="001819EC">
      <w:pPr>
        <w:spacing w:line="360" w:lineRule="auto"/>
        <w:jc w:val="both"/>
        <w:rPr>
          <w:rFonts w:eastAsia="SimSun"/>
          <w:kern w:val="24"/>
          <w:lang w:val="es-ES" w:eastAsia="es-MX"/>
        </w:rPr>
      </w:pPr>
      <w:r w:rsidRPr="001819EC">
        <w:rPr>
          <w:rFonts w:eastAsia="SimSun"/>
          <w:kern w:val="24"/>
          <w:lang w:val="es-ES" w:eastAsia="es-MX"/>
        </w:rPr>
        <w:t xml:space="preserve">Individuos mayores de 18 años, con diagnóstico </w:t>
      </w:r>
      <w:proofErr w:type="spellStart"/>
      <w:r w:rsidRPr="001819EC">
        <w:rPr>
          <w:rFonts w:eastAsia="SimSun"/>
          <w:kern w:val="24"/>
          <w:lang w:val="es-ES" w:eastAsia="es-MX"/>
        </w:rPr>
        <w:t>citohistológico</w:t>
      </w:r>
      <w:proofErr w:type="spellEnd"/>
      <w:r w:rsidRPr="001819EC">
        <w:rPr>
          <w:rFonts w:eastAsia="SimSun"/>
          <w:kern w:val="24"/>
          <w:lang w:val="es-ES" w:eastAsia="es-MX"/>
        </w:rPr>
        <w:t xml:space="preserve"> de </w:t>
      </w:r>
      <w:proofErr w:type="spellStart"/>
      <w:r w:rsidRPr="001819EC">
        <w:rPr>
          <w:rFonts w:eastAsia="SimSun"/>
          <w:kern w:val="24"/>
          <w:lang w:val="es-ES" w:eastAsia="es-MX"/>
        </w:rPr>
        <w:t>CPCNP</w:t>
      </w:r>
      <w:proofErr w:type="spellEnd"/>
      <w:r w:rsidRPr="001819EC">
        <w:rPr>
          <w:rFonts w:eastAsia="SimSun"/>
          <w:kern w:val="24"/>
          <w:lang w:val="es-ES" w:eastAsia="es-MX"/>
        </w:rPr>
        <w:t>, en estadios avanzados de la enfermedad (</w:t>
      </w:r>
      <w:proofErr w:type="spellStart"/>
      <w:r w:rsidRPr="001819EC">
        <w:rPr>
          <w:rFonts w:eastAsia="SimSun"/>
          <w:kern w:val="24"/>
          <w:lang w:val="es-ES" w:eastAsia="es-MX"/>
        </w:rPr>
        <w:t>IIIB</w:t>
      </w:r>
      <w:proofErr w:type="spellEnd"/>
      <w:r w:rsidRPr="001819EC">
        <w:rPr>
          <w:rFonts w:eastAsia="SimSun"/>
          <w:kern w:val="24"/>
          <w:lang w:val="es-ES" w:eastAsia="es-MX"/>
        </w:rPr>
        <w:t xml:space="preserve"> y IV).</w:t>
      </w:r>
      <w:bookmarkStart w:id="15" w:name="_Hlk127621707"/>
      <w:r w:rsidRPr="001819EC">
        <w:rPr>
          <w:rFonts w:eastAsia="SimSun"/>
          <w:kern w:val="24"/>
          <w:lang w:val="es-ES" w:eastAsia="es-MX"/>
        </w:rPr>
        <w:t xml:space="preserve"> Fueron seleccionados los pacientes de 4 </w:t>
      </w:r>
      <w:proofErr w:type="spellStart"/>
      <w:r w:rsidRPr="001819EC">
        <w:rPr>
          <w:rFonts w:eastAsia="SimSun"/>
          <w:kern w:val="24"/>
          <w:lang w:val="es-ES" w:eastAsia="es-MX"/>
        </w:rPr>
        <w:t>ECs</w:t>
      </w:r>
      <w:proofErr w:type="spellEnd"/>
      <w:r w:rsidRPr="001819EC">
        <w:rPr>
          <w:rFonts w:eastAsia="SimSun"/>
          <w:kern w:val="24"/>
          <w:lang w:val="es-ES" w:eastAsia="es-MX"/>
        </w:rPr>
        <w:t>, para formar 3 grupos de tratamiento:</w:t>
      </w:r>
    </w:p>
    <w:p w14:paraId="21843B39" w14:textId="77777777" w:rsidR="001819EC" w:rsidRPr="001819EC" w:rsidRDefault="001819EC" w:rsidP="001819EC">
      <w:pPr>
        <w:spacing w:line="360" w:lineRule="auto"/>
        <w:jc w:val="both"/>
        <w:rPr>
          <w:rFonts w:eastAsia="SimSun"/>
          <w:kern w:val="24"/>
          <w:lang w:val="es-ES" w:eastAsia="es-MX"/>
        </w:rPr>
      </w:pPr>
      <w:bookmarkStart w:id="16" w:name="_Hlk130141750"/>
    </w:p>
    <w:p w14:paraId="68E0BEB7" w14:textId="77777777" w:rsidR="001819EC" w:rsidRPr="001819EC" w:rsidRDefault="001819EC" w:rsidP="001819EC">
      <w:pPr>
        <w:spacing w:line="360" w:lineRule="auto"/>
        <w:jc w:val="both"/>
        <w:rPr>
          <w:rFonts w:eastAsia="Calibri"/>
          <w:lang w:val="es-ES" w:eastAsia="en-US"/>
        </w:rPr>
      </w:pPr>
      <w:r w:rsidRPr="001819EC">
        <w:rPr>
          <w:rFonts w:eastAsia="SimSun"/>
          <w:kern w:val="24"/>
          <w:lang w:val="es-ES" w:eastAsia="es-MX"/>
        </w:rPr>
        <w:t>Primer grupo: control (202 pacientes).</w:t>
      </w:r>
    </w:p>
    <w:p w14:paraId="1101577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Segundo grupo: </w:t>
      </w:r>
      <w:proofErr w:type="spellStart"/>
      <w:r w:rsidRPr="001819EC">
        <w:rPr>
          <w:rFonts w:eastAsia="Calibri"/>
          <w:lang w:val="es-ES" w:eastAsia="en-US"/>
        </w:rPr>
        <w:t>docetaxel</w:t>
      </w:r>
      <w:proofErr w:type="spellEnd"/>
      <w:r w:rsidRPr="001819EC">
        <w:rPr>
          <w:rFonts w:eastAsia="Calibri"/>
          <w:lang w:val="es-ES" w:eastAsia="en-US"/>
        </w:rPr>
        <w:t xml:space="preserve"> (</w:t>
      </w:r>
      <w:r w:rsidRPr="001819EC">
        <w:rPr>
          <w:rFonts w:eastAsia="SimSun"/>
          <w:kern w:val="24"/>
          <w:lang w:val="es-ES" w:eastAsia="es-MX"/>
        </w:rPr>
        <w:t>106 pacientes).</w:t>
      </w:r>
    </w:p>
    <w:p w14:paraId="7B860430" w14:textId="77777777" w:rsidR="001819EC" w:rsidRPr="001819EC" w:rsidRDefault="001819EC" w:rsidP="001819EC">
      <w:pPr>
        <w:spacing w:line="360" w:lineRule="auto"/>
        <w:jc w:val="both"/>
        <w:rPr>
          <w:rFonts w:eastAsia="Calibri"/>
          <w:lang w:val="es-ES" w:eastAsia="en-US"/>
        </w:rPr>
      </w:pPr>
      <w:proofErr w:type="spellStart"/>
      <w:r w:rsidRPr="001819EC">
        <w:rPr>
          <w:rFonts w:eastAsia="SimSun"/>
          <w:kern w:val="24"/>
          <w:lang w:val="es-ES" w:eastAsia="es-MX"/>
        </w:rPr>
        <w:t>Tecer</w:t>
      </w:r>
      <w:proofErr w:type="spellEnd"/>
      <w:r w:rsidRPr="001819EC">
        <w:rPr>
          <w:rFonts w:eastAsia="SimSun"/>
          <w:kern w:val="24"/>
          <w:lang w:val="es-ES" w:eastAsia="es-MX"/>
        </w:rPr>
        <w:t xml:space="preserve"> grupo: </w:t>
      </w:r>
      <w:proofErr w:type="spellStart"/>
      <w:r w:rsidRPr="001819EC">
        <w:rPr>
          <w:rFonts w:eastAsia="SimSun"/>
          <w:kern w:val="24"/>
          <w:lang w:val="es-ES" w:eastAsia="es-MX"/>
        </w:rPr>
        <w:t>AcM</w:t>
      </w:r>
      <w:proofErr w:type="spellEnd"/>
      <w:r w:rsidRPr="001819EC">
        <w:rPr>
          <w:rFonts w:eastAsia="SimSun"/>
          <w:kern w:val="24"/>
          <w:lang w:val="es-ES" w:eastAsia="es-MX"/>
        </w:rPr>
        <w:t xml:space="preserve"> </w:t>
      </w:r>
      <w:proofErr w:type="spellStart"/>
      <w:r w:rsidRPr="001819EC">
        <w:rPr>
          <w:rFonts w:eastAsia="SimSun"/>
          <w:kern w:val="24"/>
          <w:lang w:val="es-ES" w:eastAsia="es-MX"/>
        </w:rPr>
        <w:t>nimotuzumab</w:t>
      </w:r>
      <w:proofErr w:type="spellEnd"/>
      <w:r w:rsidRPr="001819EC">
        <w:rPr>
          <w:rFonts w:eastAsia="SimSun"/>
          <w:kern w:val="24"/>
          <w:lang w:val="es-ES" w:eastAsia="es-MX"/>
        </w:rPr>
        <w:t xml:space="preserve"> (90 pacientes).</w:t>
      </w:r>
    </w:p>
    <w:bookmarkEnd w:id="16"/>
    <w:p w14:paraId="5F5BA4F7" w14:textId="77777777" w:rsidR="001819EC" w:rsidRPr="001819EC" w:rsidRDefault="001819EC" w:rsidP="001819EC">
      <w:pPr>
        <w:suppressAutoHyphens/>
        <w:spacing w:line="360" w:lineRule="auto"/>
        <w:ind w:right="49"/>
        <w:jc w:val="both"/>
        <w:rPr>
          <w:rFonts w:eastAsia="SimSun"/>
          <w:kern w:val="24"/>
          <w:lang w:val="es-ES" w:eastAsia="es-MX"/>
        </w:rPr>
      </w:pPr>
    </w:p>
    <w:p w14:paraId="59D47790" w14:textId="77777777" w:rsidR="001819EC" w:rsidRPr="001819EC" w:rsidRDefault="001819EC" w:rsidP="001819EC">
      <w:pPr>
        <w:suppressAutoHyphens/>
        <w:spacing w:line="360" w:lineRule="auto"/>
        <w:ind w:right="49"/>
        <w:jc w:val="both"/>
        <w:rPr>
          <w:rFonts w:eastAsia="SimSun"/>
          <w:kern w:val="24"/>
          <w:lang w:val="es-ES" w:eastAsia="es-MX"/>
        </w:rPr>
      </w:pPr>
      <w:r w:rsidRPr="001819EC">
        <w:rPr>
          <w:rFonts w:eastAsia="SimSun"/>
          <w:kern w:val="24"/>
          <w:lang w:val="es-ES" w:eastAsia="es-MX"/>
        </w:rPr>
        <w:t xml:space="preserve">La selección se realizó de los siguientes </w:t>
      </w:r>
      <w:proofErr w:type="spellStart"/>
      <w:r w:rsidRPr="001819EC">
        <w:rPr>
          <w:rFonts w:eastAsia="SimSun"/>
          <w:kern w:val="24"/>
          <w:lang w:val="es-ES" w:eastAsia="es-MX"/>
        </w:rPr>
        <w:t>ECs</w:t>
      </w:r>
      <w:proofErr w:type="spellEnd"/>
      <w:r w:rsidRPr="001819EC">
        <w:rPr>
          <w:rFonts w:eastAsia="SimSun"/>
          <w:kern w:val="24"/>
          <w:lang w:val="es-ES" w:eastAsia="es-MX"/>
        </w:rPr>
        <w:t>:</w:t>
      </w:r>
    </w:p>
    <w:p w14:paraId="46FBB55D" w14:textId="77777777" w:rsidR="001819EC" w:rsidRPr="001819EC" w:rsidRDefault="001819EC" w:rsidP="004A0B00">
      <w:pPr>
        <w:suppressAutoHyphens/>
        <w:spacing w:line="360" w:lineRule="auto"/>
        <w:ind w:right="49"/>
        <w:jc w:val="both"/>
        <w:rPr>
          <w:rFonts w:eastAsia="SimSun"/>
          <w:kern w:val="24"/>
          <w:lang w:val="es-ES" w:eastAsia="es-MX"/>
        </w:rPr>
      </w:pPr>
    </w:p>
    <w:p w14:paraId="7B39677D" w14:textId="70FB8B5E" w:rsidR="004A0B00" w:rsidRPr="004A0B00" w:rsidRDefault="004A0B00" w:rsidP="00CF7460">
      <w:pPr>
        <w:pStyle w:val="Prrafodelista"/>
        <w:numPr>
          <w:ilvl w:val="0"/>
          <w:numId w:val="2"/>
        </w:numPr>
        <w:spacing w:after="0" w:line="360" w:lineRule="auto"/>
        <w:jc w:val="both"/>
        <w:rPr>
          <w:rFonts w:ascii="Times New Roman" w:hAnsi="Times New Roman" w:cs="Times New Roman"/>
          <w:sz w:val="24"/>
          <w:szCs w:val="24"/>
        </w:rPr>
      </w:pPr>
      <w:bookmarkStart w:id="17" w:name="_Hlk126012630"/>
      <w:r w:rsidRPr="004A0B00">
        <w:rPr>
          <w:rFonts w:ascii="Times New Roman" w:hAnsi="Times New Roman" w:cs="Times New Roman"/>
          <w:sz w:val="24"/>
          <w:szCs w:val="24"/>
        </w:rPr>
        <w:t xml:space="preserve">Fase II: Uso del preparado vacunal con el factor de crecimiento epidérmico humano recombinante como tratamiento a pacientes con tumores de pulmón de origen epitelial. </w:t>
      </w:r>
      <w:proofErr w:type="spellStart"/>
      <w:r w:rsidRPr="004A0B00">
        <w:rPr>
          <w:rFonts w:ascii="Times New Roman" w:hAnsi="Times New Roman" w:cs="Times New Roman"/>
          <w:sz w:val="24"/>
          <w:szCs w:val="24"/>
        </w:rPr>
        <w:t>IIC</w:t>
      </w:r>
      <w:proofErr w:type="spellEnd"/>
      <w:r w:rsidRPr="004A0B00">
        <w:rPr>
          <w:rFonts w:ascii="Times New Roman" w:hAnsi="Times New Roman" w:cs="Times New Roman"/>
          <w:sz w:val="24"/>
          <w:szCs w:val="24"/>
        </w:rPr>
        <w:t xml:space="preserve"> RD-</w:t>
      </w:r>
      <w:proofErr w:type="spellStart"/>
      <w:r w:rsidRPr="004A0B00">
        <w:rPr>
          <w:rFonts w:ascii="Times New Roman" w:hAnsi="Times New Roman" w:cs="Times New Roman"/>
          <w:sz w:val="24"/>
          <w:szCs w:val="24"/>
        </w:rPr>
        <w:t>EC056</w:t>
      </w:r>
      <w:proofErr w:type="spellEnd"/>
      <w:r w:rsidRPr="004A0B00">
        <w:rPr>
          <w:rFonts w:ascii="Times New Roman" w:hAnsi="Times New Roman" w:cs="Times New Roman"/>
          <w:sz w:val="24"/>
          <w:szCs w:val="24"/>
        </w:rPr>
        <w:t xml:space="preserve"> 2/4/2002-03/7/2004   </w:t>
      </w:r>
    </w:p>
    <w:p w14:paraId="0B3C93AD" w14:textId="6D4B423F" w:rsidR="001819EC" w:rsidRPr="001819EC" w:rsidRDefault="001819EC" w:rsidP="004A0B00">
      <w:pPr>
        <w:numPr>
          <w:ilvl w:val="0"/>
          <w:numId w:val="2"/>
        </w:numPr>
        <w:spacing w:line="360" w:lineRule="auto"/>
        <w:contextualSpacing/>
        <w:jc w:val="both"/>
        <w:rPr>
          <w:rFonts w:eastAsia="Calibri"/>
          <w:lang w:val="es-ES" w:eastAsia="en-US"/>
        </w:rPr>
      </w:pPr>
      <w:r w:rsidRPr="001819EC">
        <w:rPr>
          <w:rFonts w:eastAsia="Calibri"/>
          <w:lang w:val="es-ES" w:eastAsia="en-US"/>
        </w:rPr>
        <w:lastRenderedPageBreak/>
        <w:t xml:space="preserve">Fase II: </w:t>
      </w:r>
      <w:bookmarkEnd w:id="17"/>
      <w:r w:rsidRPr="001819EC">
        <w:rPr>
          <w:rFonts w:eastAsia="DejaVuSans"/>
          <w:lang w:val="es-ES" w:eastAsia="en-US"/>
        </w:rPr>
        <w:t xml:space="preserve">Inmunoterapia activa específica con la vacuna anti </w:t>
      </w:r>
      <w:proofErr w:type="spellStart"/>
      <w:r w:rsidRPr="001819EC">
        <w:rPr>
          <w:rFonts w:eastAsia="DejaVuSans"/>
          <w:lang w:val="es-ES" w:eastAsia="en-US"/>
        </w:rPr>
        <w:t>idiotípica</w:t>
      </w:r>
      <w:proofErr w:type="spellEnd"/>
      <w:r w:rsidRPr="001819EC">
        <w:rPr>
          <w:rFonts w:eastAsia="DejaVuSans"/>
          <w:lang w:val="es-ES" w:eastAsia="en-US"/>
        </w:rPr>
        <w:t xml:space="preserve"> </w:t>
      </w:r>
      <w:proofErr w:type="spellStart"/>
      <w:r w:rsidRPr="001819EC">
        <w:rPr>
          <w:rFonts w:eastAsia="DejaVuSans"/>
          <w:lang w:val="es-ES" w:eastAsia="en-US"/>
        </w:rPr>
        <w:t>1E10</w:t>
      </w:r>
      <w:proofErr w:type="spellEnd"/>
      <w:r w:rsidRPr="001819EC">
        <w:rPr>
          <w:rFonts w:eastAsia="DejaVuSans"/>
          <w:lang w:val="es-ES" w:eastAsia="en-US"/>
        </w:rPr>
        <w:t xml:space="preserve"> en el tratamiento de los pacientes con cáncer avanzado de pulmón de células no pequeñas.</w:t>
      </w:r>
      <w:r w:rsidRPr="001819EC">
        <w:rPr>
          <w:rFonts w:eastAsia="Calibri"/>
          <w:lang w:val="es-ES" w:eastAsia="en-US"/>
        </w:rPr>
        <w:t xml:space="preserve"> </w:t>
      </w:r>
      <w:proofErr w:type="spellStart"/>
      <w:r w:rsidRPr="001819EC">
        <w:rPr>
          <w:rFonts w:eastAsia="Calibri"/>
          <w:lang w:val="es-ES" w:eastAsia="en-US"/>
        </w:rPr>
        <w:t>IICRD</w:t>
      </w:r>
      <w:proofErr w:type="spellEnd"/>
      <w:r w:rsidRPr="001819EC">
        <w:rPr>
          <w:rFonts w:eastAsia="Calibri"/>
          <w:lang w:val="es-ES" w:eastAsia="en-US"/>
        </w:rPr>
        <w:t>-EC-080, Registro Público Cubano de EC (</w:t>
      </w:r>
      <w:proofErr w:type="spellStart"/>
      <w:r w:rsidRPr="001819EC">
        <w:rPr>
          <w:rFonts w:eastAsia="Calibri"/>
          <w:lang w:val="es-ES" w:eastAsia="en-US"/>
        </w:rPr>
        <w:t>RPCEC</w:t>
      </w:r>
      <w:proofErr w:type="spellEnd"/>
      <w:r w:rsidRPr="001819EC">
        <w:rPr>
          <w:rFonts w:eastAsia="Calibri"/>
          <w:lang w:val="es-ES" w:eastAsia="en-US"/>
        </w:rPr>
        <w:t>) 1019/05-017-</w:t>
      </w:r>
      <w:proofErr w:type="spellStart"/>
      <w:r w:rsidRPr="001819EC">
        <w:rPr>
          <w:rFonts w:eastAsia="Calibri"/>
          <w:lang w:val="es-ES" w:eastAsia="en-US"/>
        </w:rPr>
        <w:t>06B</w:t>
      </w:r>
      <w:proofErr w:type="spellEnd"/>
      <w:r w:rsidRPr="001819EC">
        <w:rPr>
          <w:rFonts w:eastAsia="Calibri"/>
          <w:lang w:val="es-ES" w:eastAsia="en-US"/>
        </w:rPr>
        <w:t xml:space="preserve"> (27/09/2006-28/06/2010). </w:t>
      </w:r>
    </w:p>
    <w:p w14:paraId="2DFA126A" w14:textId="77777777" w:rsidR="001819EC" w:rsidRPr="001819EC" w:rsidRDefault="001819EC" w:rsidP="004A0B00">
      <w:pPr>
        <w:numPr>
          <w:ilvl w:val="0"/>
          <w:numId w:val="2"/>
        </w:numPr>
        <w:spacing w:line="360" w:lineRule="auto"/>
        <w:contextualSpacing/>
        <w:jc w:val="both"/>
        <w:rPr>
          <w:rFonts w:eastAsia="DejaVuSans"/>
          <w:bCs/>
          <w:lang w:val="es-ES" w:eastAsia="en-US"/>
        </w:rPr>
      </w:pPr>
      <w:r w:rsidRPr="001819EC">
        <w:rPr>
          <w:rFonts w:eastAsia="Calibri"/>
          <w:lang w:val="es-ES" w:eastAsia="en-US"/>
        </w:rPr>
        <w:t xml:space="preserve">Fase III: Evaluación de supervivencia de pacientes con tumores avanzados de pulmón de células no pequeñas tratados con la vacuna </w:t>
      </w:r>
      <w:proofErr w:type="spellStart"/>
      <w:r w:rsidRPr="001819EC">
        <w:rPr>
          <w:rFonts w:eastAsia="Calibri"/>
          <w:lang w:val="es-ES" w:eastAsia="en-US"/>
        </w:rPr>
        <w:t>CIMAvax-EGF</w:t>
      </w:r>
      <w:proofErr w:type="spellEnd"/>
      <w:r w:rsidRPr="001819EC">
        <w:rPr>
          <w:rFonts w:eastAsia="Calibri"/>
          <w:vertAlign w:val="superscript"/>
          <w:lang w:val="es-ES" w:eastAsia="en-US"/>
        </w:rPr>
        <w:t>®</w:t>
      </w:r>
      <w:r w:rsidRPr="001819EC">
        <w:rPr>
          <w:rFonts w:eastAsia="Calibri"/>
          <w:lang w:val="es-ES" w:eastAsia="en-US"/>
        </w:rPr>
        <w:t xml:space="preserve"> en comparación con el tratamiento convencional.</w:t>
      </w:r>
      <w:r w:rsidRPr="001819EC">
        <w:rPr>
          <w:rFonts w:eastAsia="SimSun"/>
          <w:kern w:val="24"/>
          <w:lang w:val="es-ES" w:eastAsia="es-MX"/>
        </w:rPr>
        <w:t xml:space="preserve"> </w:t>
      </w:r>
      <w:proofErr w:type="spellStart"/>
      <w:r w:rsidRPr="001819EC">
        <w:rPr>
          <w:rFonts w:eastAsia="Calibri"/>
          <w:lang w:val="es-ES" w:eastAsia="en-US"/>
        </w:rPr>
        <w:t>IICRD</w:t>
      </w:r>
      <w:proofErr w:type="spellEnd"/>
      <w:r w:rsidRPr="001819EC">
        <w:rPr>
          <w:rFonts w:eastAsia="Calibri"/>
          <w:lang w:val="es-ES" w:eastAsia="en-US"/>
        </w:rPr>
        <w:t>-EC-081, Registro Público Cubano de EC (</w:t>
      </w:r>
      <w:proofErr w:type="spellStart"/>
      <w:r w:rsidRPr="001819EC">
        <w:rPr>
          <w:rFonts w:eastAsia="Calibri"/>
          <w:lang w:val="es-ES" w:eastAsia="en-US"/>
        </w:rPr>
        <w:t>RPCEC</w:t>
      </w:r>
      <w:proofErr w:type="spellEnd"/>
      <w:r w:rsidRPr="001819EC">
        <w:rPr>
          <w:rFonts w:eastAsia="Calibri"/>
          <w:lang w:val="es-ES" w:eastAsia="en-US"/>
        </w:rPr>
        <w:t>) B-08-063-</w:t>
      </w:r>
      <w:proofErr w:type="spellStart"/>
      <w:r w:rsidRPr="001819EC">
        <w:rPr>
          <w:rFonts w:eastAsia="Calibri"/>
          <w:lang w:val="es-ES" w:eastAsia="en-US"/>
        </w:rPr>
        <w:t>L03C</w:t>
      </w:r>
      <w:proofErr w:type="spellEnd"/>
      <w:r w:rsidRPr="001819EC">
        <w:rPr>
          <w:rFonts w:eastAsia="Calibri"/>
          <w:lang w:val="es-ES" w:eastAsia="en-US"/>
        </w:rPr>
        <w:t xml:space="preserve"> (05/07/2006-03/01/2012). </w:t>
      </w:r>
    </w:p>
    <w:p w14:paraId="6DA139AE" w14:textId="77777777" w:rsidR="001819EC" w:rsidRPr="001819EC" w:rsidRDefault="001819EC" w:rsidP="004A0B00">
      <w:pPr>
        <w:numPr>
          <w:ilvl w:val="0"/>
          <w:numId w:val="3"/>
        </w:numPr>
        <w:suppressAutoHyphens/>
        <w:spacing w:line="360" w:lineRule="auto"/>
        <w:ind w:right="49"/>
        <w:contextualSpacing/>
        <w:jc w:val="both"/>
        <w:rPr>
          <w:rFonts w:eastAsia="DejaVuSans"/>
          <w:lang w:val="es-ES" w:eastAsia="en-US"/>
        </w:rPr>
      </w:pPr>
      <w:r w:rsidRPr="001819EC">
        <w:rPr>
          <w:rFonts w:eastAsia="SimSun"/>
          <w:kern w:val="24"/>
          <w:lang w:val="es-ES" w:eastAsia="es-MX"/>
        </w:rPr>
        <w:t>Fase III</w:t>
      </w:r>
      <w:r w:rsidRPr="001819EC">
        <w:rPr>
          <w:rFonts w:eastAsia="MS Mincho"/>
          <w:lang w:val="es-ES" w:eastAsia="es-MX"/>
        </w:rPr>
        <w:t xml:space="preserve"> multicéntrico, aleatorizado, estratificado, abierto y comparado en pacientes con </w:t>
      </w:r>
      <w:proofErr w:type="spellStart"/>
      <w:r w:rsidRPr="001819EC">
        <w:rPr>
          <w:rFonts w:eastAsia="MS Mincho"/>
          <w:lang w:val="es-ES" w:eastAsia="es-MX"/>
        </w:rPr>
        <w:t>CPCNP</w:t>
      </w:r>
      <w:proofErr w:type="spellEnd"/>
      <w:r w:rsidRPr="001819EC">
        <w:rPr>
          <w:rFonts w:eastAsia="MS Mincho"/>
          <w:lang w:val="es-ES" w:eastAsia="es-MX"/>
        </w:rPr>
        <w:t xml:space="preserve"> avanzado tratados con </w:t>
      </w:r>
      <w:proofErr w:type="spellStart"/>
      <w:r w:rsidRPr="001819EC">
        <w:rPr>
          <w:rFonts w:eastAsia="MS Mincho"/>
          <w:lang w:val="es-ES" w:eastAsia="es-MX"/>
        </w:rPr>
        <w:t>racotumumab</w:t>
      </w:r>
      <w:proofErr w:type="spellEnd"/>
      <w:r w:rsidRPr="001819EC">
        <w:rPr>
          <w:rFonts w:eastAsia="MS Mincho"/>
          <w:lang w:val="es-ES" w:eastAsia="es-MX"/>
        </w:rPr>
        <w:t xml:space="preserve"> o </w:t>
      </w:r>
      <w:proofErr w:type="spellStart"/>
      <w:r w:rsidRPr="001819EC">
        <w:rPr>
          <w:rFonts w:eastAsia="MS Mincho"/>
          <w:lang w:val="es-ES" w:eastAsia="es-MX"/>
        </w:rPr>
        <w:t>nimotuzumab</w:t>
      </w:r>
      <w:proofErr w:type="spellEnd"/>
      <w:r w:rsidRPr="001819EC">
        <w:rPr>
          <w:rFonts w:eastAsia="MS Mincho"/>
          <w:lang w:val="es-ES" w:eastAsia="es-MX"/>
        </w:rPr>
        <w:t xml:space="preserve"> o </w:t>
      </w:r>
      <w:proofErr w:type="spellStart"/>
      <w:r w:rsidRPr="001819EC">
        <w:rPr>
          <w:rFonts w:eastAsia="MS Mincho"/>
          <w:lang w:val="es-ES" w:eastAsia="es-MX"/>
        </w:rPr>
        <w:t>docetaxel</w:t>
      </w:r>
      <w:proofErr w:type="spellEnd"/>
      <w:r w:rsidRPr="001819EC">
        <w:rPr>
          <w:rFonts w:eastAsia="MS Mincho"/>
          <w:lang w:val="es-ES" w:eastAsia="es-MX"/>
        </w:rPr>
        <w:t xml:space="preserve"> después de la primera línea de tratamiento </w:t>
      </w:r>
      <w:proofErr w:type="spellStart"/>
      <w:r w:rsidRPr="001819EC">
        <w:rPr>
          <w:rFonts w:eastAsia="MS Mincho"/>
          <w:lang w:val="es-ES" w:eastAsia="es-MX"/>
        </w:rPr>
        <w:t>oncoespecífico</w:t>
      </w:r>
      <w:proofErr w:type="spellEnd"/>
      <w:r w:rsidRPr="001819EC">
        <w:rPr>
          <w:rFonts w:eastAsia="MS Mincho"/>
          <w:lang w:val="es-ES" w:eastAsia="es-MX"/>
        </w:rPr>
        <w:t>. (</w:t>
      </w:r>
      <w:proofErr w:type="spellStart"/>
      <w:r w:rsidRPr="001819EC">
        <w:rPr>
          <w:rFonts w:eastAsia="MS Mincho"/>
          <w:lang w:val="es-ES" w:eastAsia="es-MX"/>
        </w:rPr>
        <w:t>RANIDO</w:t>
      </w:r>
      <w:proofErr w:type="spellEnd"/>
      <w:r w:rsidRPr="001819EC">
        <w:rPr>
          <w:rFonts w:eastAsia="MS Mincho"/>
          <w:lang w:val="es-ES" w:eastAsia="es-MX"/>
        </w:rPr>
        <w:t>)</w:t>
      </w:r>
      <w:r w:rsidRPr="001819EC">
        <w:rPr>
          <w:rFonts w:eastAsia="Calibri"/>
          <w:lang w:val="es-ES" w:eastAsia="en-US"/>
        </w:rPr>
        <w:t xml:space="preserve"> </w:t>
      </w:r>
      <w:proofErr w:type="spellStart"/>
      <w:r w:rsidRPr="001819EC">
        <w:rPr>
          <w:rFonts w:eastAsia="Calibri"/>
          <w:lang w:val="es-ES" w:eastAsia="en-US"/>
        </w:rPr>
        <w:t>IICRD</w:t>
      </w:r>
      <w:proofErr w:type="spellEnd"/>
      <w:r w:rsidRPr="001819EC">
        <w:rPr>
          <w:rFonts w:eastAsia="Calibri"/>
          <w:lang w:val="es-ES" w:eastAsia="en-US"/>
        </w:rPr>
        <w:t>-EC-147, Registro Público Cubano de EC (</w:t>
      </w:r>
      <w:proofErr w:type="spellStart"/>
      <w:r w:rsidRPr="001819EC">
        <w:rPr>
          <w:rFonts w:eastAsia="Calibri"/>
          <w:lang w:val="es-ES" w:eastAsia="en-US"/>
        </w:rPr>
        <w:t>RPCEC</w:t>
      </w:r>
      <w:proofErr w:type="spellEnd"/>
      <w:r w:rsidRPr="001819EC">
        <w:rPr>
          <w:rFonts w:eastAsia="Calibri"/>
          <w:lang w:val="es-ES" w:eastAsia="en-US"/>
        </w:rPr>
        <w:t>) B-13-001-</w:t>
      </w:r>
      <w:proofErr w:type="spellStart"/>
      <w:r w:rsidRPr="001819EC">
        <w:rPr>
          <w:rFonts w:eastAsia="Calibri"/>
          <w:lang w:val="es-ES" w:eastAsia="en-US"/>
        </w:rPr>
        <w:t>l03C</w:t>
      </w:r>
      <w:proofErr w:type="spellEnd"/>
      <w:r w:rsidRPr="001819EC">
        <w:rPr>
          <w:rFonts w:eastAsia="Calibri"/>
          <w:lang w:val="es-ES" w:eastAsia="en-US"/>
        </w:rPr>
        <w:t xml:space="preserve"> (11/02/2013-19/03/2018).  </w:t>
      </w:r>
    </w:p>
    <w:bookmarkEnd w:id="15"/>
    <w:p w14:paraId="5D2ECBDC" w14:textId="77777777" w:rsidR="001819EC" w:rsidRPr="001819EC" w:rsidRDefault="001819EC" w:rsidP="004A0B00">
      <w:pPr>
        <w:spacing w:line="360" w:lineRule="auto"/>
        <w:jc w:val="both"/>
        <w:rPr>
          <w:rFonts w:eastAsia="Calibri"/>
          <w:lang w:val="es-ES" w:eastAsia="en-US"/>
        </w:rPr>
      </w:pPr>
    </w:p>
    <w:p w14:paraId="674F964E" w14:textId="77777777" w:rsidR="001819EC" w:rsidRPr="001819EC" w:rsidRDefault="001819EC" w:rsidP="001819EC">
      <w:pPr>
        <w:spacing w:line="360" w:lineRule="auto"/>
        <w:contextualSpacing/>
        <w:jc w:val="both"/>
        <w:rPr>
          <w:rFonts w:eastAsia="Calibri"/>
          <w:lang w:val="es-ES" w:eastAsia="en-US"/>
        </w:rPr>
      </w:pPr>
      <w:r w:rsidRPr="001819EC">
        <w:rPr>
          <w:rFonts w:eastAsia="Calibri"/>
          <w:lang w:val="es-ES" w:eastAsia="en-US"/>
        </w:rPr>
        <w:t xml:space="preserve">El universo del estudio quedó constituido por 498 pacientes con </w:t>
      </w:r>
      <w:proofErr w:type="spellStart"/>
      <w:r w:rsidRPr="001819EC">
        <w:rPr>
          <w:rFonts w:eastAsia="Calibri"/>
          <w:lang w:val="es-ES" w:eastAsia="en-US"/>
        </w:rPr>
        <w:t>CPCNP</w:t>
      </w:r>
      <w:proofErr w:type="spellEnd"/>
      <w:r w:rsidRPr="001819EC">
        <w:rPr>
          <w:rFonts w:eastAsia="Calibri"/>
          <w:lang w:val="es-ES" w:eastAsia="en-US"/>
        </w:rPr>
        <w:t xml:space="preserve"> </w:t>
      </w:r>
      <w:r w:rsidRPr="001819EC">
        <w:rPr>
          <w:rFonts w:eastAsia="Calibri"/>
          <w:bCs/>
          <w:lang w:val="es-ES" w:eastAsia="en-US"/>
        </w:rPr>
        <w:t>en estadios avanzados, que recibieron tratamiento de primera línea con quimioterapia (QT) o QT-radioterapia (</w:t>
      </w:r>
      <w:proofErr w:type="spellStart"/>
      <w:r w:rsidRPr="001819EC">
        <w:rPr>
          <w:rFonts w:eastAsia="Calibri"/>
          <w:bCs/>
          <w:lang w:val="es-ES" w:eastAsia="en-US"/>
        </w:rPr>
        <w:t>RT</w:t>
      </w:r>
      <w:proofErr w:type="spellEnd"/>
      <w:r w:rsidRPr="001819EC">
        <w:rPr>
          <w:rFonts w:eastAsia="Calibri"/>
          <w:bCs/>
          <w:lang w:val="es-ES" w:eastAsia="en-US"/>
        </w:rPr>
        <w:t xml:space="preserve">); estos individuos se clasificaron en: no </w:t>
      </w:r>
      <w:proofErr w:type="spellStart"/>
      <w:r w:rsidRPr="001819EC">
        <w:rPr>
          <w:rFonts w:eastAsia="Calibri"/>
          <w:bCs/>
          <w:lang w:val="es-ES" w:eastAsia="en-US"/>
        </w:rPr>
        <w:t>progresores</w:t>
      </w:r>
      <w:proofErr w:type="spellEnd"/>
      <w:r w:rsidRPr="001819EC">
        <w:rPr>
          <w:rFonts w:eastAsia="Calibri"/>
          <w:bCs/>
          <w:lang w:val="es-ES" w:eastAsia="en-US"/>
        </w:rPr>
        <w:t xml:space="preserve"> (n</w:t>
      </w:r>
      <w:r w:rsidRPr="001819EC">
        <w:rPr>
          <w:rFonts w:eastAsia="Calibri"/>
          <w:lang w:val="es-ES" w:eastAsia="en-US"/>
        </w:rPr>
        <w:t>= </w:t>
      </w:r>
      <w:r w:rsidRPr="001819EC">
        <w:rPr>
          <w:rFonts w:eastAsia="Calibri"/>
          <w:bCs/>
          <w:lang w:val="es-ES" w:eastAsia="en-US"/>
        </w:rPr>
        <w:t xml:space="preserve">322) y </w:t>
      </w:r>
      <w:proofErr w:type="spellStart"/>
      <w:r w:rsidRPr="001819EC">
        <w:rPr>
          <w:rFonts w:eastAsia="Calibri"/>
          <w:bCs/>
          <w:lang w:val="es-ES" w:eastAsia="en-US"/>
        </w:rPr>
        <w:t>progresores</w:t>
      </w:r>
      <w:proofErr w:type="spellEnd"/>
      <w:r w:rsidRPr="001819EC">
        <w:rPr>
          <w:rFonts w:eastAsia="Calibri"/>
          <w:bCs/>
          <w:lang w:val="es-ES" w:eastAsia="en-US"/>
        </w:rPr>
        <w:t xml:space="preserve"> (n</w:t>
      </w:r>
      <w:r w:rsidRPr="001819EC">
        <w:rPr>
          <w:rFonts w:eastAsia="Calibri"/>
          <w:lang w:val="es-ES" w:eastAsia="en-US"/>
        </w:rPr>
        <w:t>= </w:t>
      </w:r>
      <w:r w:rsidRPr="001819EC">
        <w:rPr>
          <w:rFonts w:eastAsia="Calibri"/>
          <w:bCs/>
          <w:lang w:val="es-ES" w:eastAsia="en-US"/>
        </w:rPr>
        <w:t>176)</w:t>
      </w:r>
      <w:r w:rsidRPr="001819EC">
        <w:rPr>
          <w:rFonts w:eastAsia="Calibri"/>
          <w:lang w:val="es-ES" w:eastAsia="en-US"/>
        </w:rPr>
        <w:t xml:space="preserve"> según </w:t>
      </w:r>
      <w:r w:rsidRPr="001819EC">
        <w:rPr>
          <w:rFonts w:eastAsia="Calibri"/>
          <w:bCs/>
          <w:lang w:val="es-ES" w:eastAsia="en-US"/>
        </w:rPr>
        <w:t>los criterios de evaluación de respuesta de tumores sólidos (</w:t>
      </w:r>
      <w:proofErr w:type="spellStart"/>
      <w:r w:rsidRPr="001819EC">
        <w:rPr>
          <w:rFonts w:eastAsia="Calibri"/>
          <w:bCs/>
          <w:lang w:val="es-ES" w:eastAsia="en-US"/>
        </w:rPr>
        <w:t>RECIST</w:t>
      </w:r>
      <w:proofErr w:type="spellEnd"/>
      <w:r w:rsidRPr="001819EC">
        <w:rPr>
          <w:rFonts w:eastAsia="Calibri"/>
          <w:bCs/>
          <w:lang w:val="es-ES" w:eastAsia="en-US"/>
        </w:rPr>
        <w:t xml:space="preserve"> por sus siglas en inglés). </w:t>
      </w:r>
    </w:p>
    <w:p w14:paraId="6204C8E3" w14:textId="77777777" w:rsidR="001819EC" w:rsidRPr="001819EC" w:rsidRDefault="001819EC" w:rsidP="009B3576">
      <w:pPr>
        <w:spacing w:line="360" w:lineRule="auto"/>
        <w:contextualSpacing/>
        <w:jc w:val="center"/>
        <w:rPr>
          <w:rFonts w:eastAsia="SimSun"/>
          <w:b/>
          <w:color w:val="000000"/>
          <w:kern w:val="24"/>
          <w:sz w:val="28"/>
          <w:szCs w:val="28"/>
          <w:lang w:val="es-ES" w:eastAsia="es-MX"/>
        </w:rPr>
      </w:pPr>
      <w:r w:rsidRPr="001819EC">
        <w:rPr>
          <w:rFonts w:eastAsia="SimSun"/>
          <w:b/>
          <w:color w:val="000000"/>
          <w:kern w:val="24"/>
          <w:sz w:val="28"/>
          <w:szCs w:val="28"/>
          <w:lang w:val="es-ES" w:eastAsia="es-MX"/>
        </w:rPr>
        <w:t>Variables</w:t>
      </w:r>
    </w:p>
    <w:p w14:paraId="6C9B967C" w14:textId="77777777" w:rsidR="001819EC" w:rsidRPr="001819EC" w:rsidRDefault="001819EC" w:rsidP="009B3576">
      <w:pPr>
        <w:spacing w:line="360" w:lineRule="auto"/>
        <w:contextualSpacing/>
        <w:jc w:val="center"/>
        <w:rPr>
          <w:rFonts w:eastAsia="SimSun"/>
          <w:b/>
          <w:color w:val="000000"/>
          <w:kern w:val="24"/>
          <w:sz w:val="28"/>
          <w:szCs w:val="28"/>
          <w:lang w:val="es-ES" w:eastAsia="es-MX"/>
        </w:rPr>
      </w:pPr>
    </w:p>
    <w:p w14:paraId="27E91413" w14:textId="77777777" w:rsidR="001819EC" w:rsidRPr="001819EC" w:rsidRDefault="001819EC" w:rsidP="009B3576">
      <w:pPr>
        <w:numPr>
          <w:ilvl w:val="0"/>
          <w:numId w:val="4"/>
        </w:numPr>
        <w:spacing w:line="360" w:lineRule="auto"/>
        <w:contextualSpacing/>
        <w:jc w:val="both"/>
        <w:rPr>
          <w:rFonts w:eastAsia="SimSun"/>
          <w:color w:val="000000"/>
          <w:kern w:val="24"/>
          <w:lang w:val="es-ES" w:eastAsia="es-MX"/>
        </w:rPr>
      </w:pPr>
      <w:r w:rsidRPr="001819EC">
        <w:rPr>
          <w:rFonts w:eastAsia="SimSun"/>
          <w:color w:val="000000"/>
          <w:kern w:val="24"/>
          <w:lang w:val="es-ES" w:eastAsia="es-MX"/>
        </w:rPr>
        <w:t xml:space="preserve">Edad: </w:t>
      </w:r>
      <w:r w:rsidRPr="001819EC">
        <w:rPr>
          <w:rFonts w:eastAsia="Calibri"/>
          <w:lang w:val="es-ES" w:eastAsia="en-US"/>
        </w:rPr>
        <w:t>años cumplidos en el momento de la inclusión en el EC.</w:t>
      </w:r>
    </w:p>
    <w:p w14:paraId="33B3EEA6"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SimSun"/>
          <w:color w:val="000000"/>
          <w:kern w:val="24"/>
          <w:lang w:val="es-ES" w:eastAsia="es-MX"/>
        </w:rPr>
        <w:t>S</w:t>
      </w:r>
      <w:r w:rsidRPr="001819EC">
        <w:rPr>
          <w:rFonts w:eastAsia="Calibri"/>
          <w:lang w:val="es-ES" w:eastAsia="en-US"/>
        </w:rPr>
        <w:t>exo.</w:t>
      </w:r>
    </w:p>
    <w:p w14:paraId="18D736AA"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Color de la piel: blanca, negra, mestiza.</w:t>
      </w:r>
    </w:p>
    <w:p w14:paraId="1358E1DD"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Hábito de fumar: condición de fumador, ex fumador, no fumador.</w:t>
      </w:r>
    </w:p>
    <w:p w14:paraId="53DDA769"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Histología: dividida en adenocarcinoma (</w:t>
      </w:r>
      <w:proofErr w:type="spellStart"/>
      <w:r w:rsidRPr="001819EC">
        <w:rPr>
          <w:rFonts w:eastAsia="Calibri"/>
          <w:lang w:val="es-ES" w:eastAsia="en-US"/>
        </w:rPr>
        <w:t>ADC</w:t>
      </w:r>
      <w:proofErr w:type="spellEnd"/>
      <w:r w:rsidRPr="001819EC">
        <w:rPr>
          <w:rFonts w:eastAsia="Calibri"/>
          <w:lang w:val="es-ES" w:eastAsia="en-US"/>
        </w:rPr>
        <w:t xml:space="preserve">) y no </w:t>
      </w:r>
      <w:proofErr w:type="spellStart"/>
      <w:r w:rsidRPr="001819EC">
        <w:rPr>
          <w:rFonts w:eastAsia="Calibri"/>
          <w:lang w:val="es-ES" w:eastAsia="en-US"/>
        </w:rPr>
        <w:t>ADC</w:t>
      </w:r>
      <w:proofErr w:type="spellEnd"/>
      <w:r w:rsidRPr="001819EC">
        <w:rPr>
          <w:rFonts w:eastAsia="Calibri"/>
          <w:lang w:val="es-ES" w:eastAsia="en-US"/>
        </w:rPr>
        <w:t>.</w:t>
      </w:r>
    </w:p>
    <w:p w14:paraId="796C55F6"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 xml:space="preserve">Estado funcional: medido por la escala </w:t>
      </w:r>
      <w:r w:rsidRPr="001819EC">
        <w:rPr>
          <w:rFonts w:eastAsia="Calibri"/>
          <w:i/>
          <w:iCs/>
          <w:lang w:val="es-ES" w:eastAsia="en-US"/>
        </w:rPr>
        <w:t xml:space="preserve">Eastern Cooperative </w:t>
      </w:r>
      <w:proofErr w:type="spellStart"/>
      <w:r w:rsidRPr="001819EC">
        <w:rPr>
          <w:rFonts w:eastAsia="Calibri"/>
          <w:i/>
          <w:iCs/>
          <w:lang w:val="es-ES" w:eastAsia="en-US"/>
        </w:rPr>
        <w:t>Oncology</w:t>
      </w:r>
      <w:proofErr w:type="spellEnd"/>
      <w:r w:rsidRPr="001819EC">
        <w:rPr>
          <w:rFonts w:eastAsia="Calibri"/>
          <w:i/>
          <w:iCs/>
          <w:lang w:val="es-ES" w:eastAsia="en-US"/>
        </w:rPr>
        <w:t xml:space="preserve"> </w:t>
      </w:r>
      <w:proofErr w:type="spellStart"/>
      <w:r w:rsidRPr="001819EC">
        <w:rPr>
          <w:rFonts w:eastAsia="Calibri"/>
          <w:i/>
          <w:iCs/>
          <w:lang w:val="es-ES" w:eastAsia="en-US"/>
        </w:rPr>
        <w:t>Group</w:t>
      </w:r>
      <w:proofErr w:type="spellEnd"/>
      <w:r w:rsidRPr="001819EC">
        <w:rPr>
          <w:rFonts w:eastAsia="Calibri"/>
          <w:lang w:val="es-ES" w:eastAsia="en-US"/>
        </w:rPr>
        <w:t xml:space="preserve"> (ECOG).</w:t>
      </w:r>
    </w:p>
    <w:p w14:paraId="4C2AB102"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 xml:space="preserve">Etapa clínica </w:t>
      </w:r>
      <w:proofErr w:type="spellStart"/>
      <w:r w:rsidRPr="001819EC">
        <w:rPr>
          <w:rFonts w:eastAsia="SimSun"/>
          <w:lang w:val="es-ES" w:eastAsia="en-US"/>
        </w:rPr>
        <w:t>IIIB</w:t>
      </w:r>
      <w:proofErr w:type="spellEnd"/>
      <w:r w:rsidRPr="001819EC">
        <w:rPr>
          <w:rFonts w:eastAsia="SimSun"/>
          <w:lang w:val="es-ES" w:eastAsia="en-US"/>
        </w:rPr>
        <w:t xml:space="preserve"> y IV</w:t>
      </w:r>
      <w:r w:rsidRPr="001819EC">
        <w:rPr>
          <w:rFonts w:eastAsia="Calibri"/>
          <w:lang w:val="es-ES" w:eastAsia="en-US"/>
        </w:rPr>
        <w:t>.</w:t>
      </w:r>
    </w:p>
    <w:p w14:paraId="1CD57045"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Tratamiento previo a la inclusión al EC: QT o QT-</w:t>
      </w:r>
      <w:proofErr w:type="spellStart"/>
      <w:r w:rsidRPr="001819EC">
        <w:rPr>
          <w:rFonts w:eastAsia="Calibri"/>
          <w:lang w:val="es-ES" w:eastAsia="en-US"/>
        </w:rPr>
        <w:t>RT</w:t>
      </w:r>
      <w:proofErr w:type="spellEnd"/>
      <w:r w:rsidRPr="001819EC">
        <w:rPr>
          <w:rFonts w:eastAsia="Calibri"/>
          <w:lang w:val="es-ES" w:eastAsia="en-US"/>
        </w:rPr>
        <w:t>.</w:t>
      </w:r>
    </w:p>
    <w:p w14:paraId="4340D90A" w14:textId="77777777" w:rsidR="001819EC" w:rsidRPr="001819EC" w:rsidRDefault="001819EC" w:rsidP="009B3576">
      <w:pPr>
        <w:numPr>
          <w:ilvl w:val="0"/>
          <w:numId w:val="4"/>
        </w:numPr>
        <w:spacing w:line="360" w:lineRule="auto"/>
        <w:contextualSpacing/>
        <w:jc w:val="both"/>
        <w:rPr>
          <w:rFonts w:eastAsia="Calibri"/>
          <w:lang w:val="es-ES" w:eastAsia="en-US"/>
        </w:rPr>
      </w:pPr>
      <w:r w:rsidRPr="001819EC">
        <w:rPr>
          <w:rFonts w:eastAsia="Calibri"/>
          <w:lang w:val="es-ES" w:eastAsia="en-US"/>
        </w:rPr>
        <w:t xml:space="preserve">Tratamiento en investigación: </w:t>
      </w:r>
      <w:proofErr w:type="spellStart"/>
      <w:r w:rsidRPr="001819EC">
        <w:rPr>
          <w:rFonts w:eastAsia="Calibri"/>
          <w:lang w:val="es-ES" w:eastAsia="en-US"/>
        </w:rPr>
        <w:t>nimotuzumab</w:t>
      </w:r>
      <w:proofErr w:type="spellEnd"/>
      <w:r w:rsidRPr="001819EC">
        <w:rPr>
          <w:rFonts w:eastAsia="Calibri"/>
          <w:lang w:val="es-ES" w:eastAsia="en-US"/>
        </w:rPr>
        <w:t xml:space="preserve">, </w:t>
      </w:r>
      <w:proofErr w:type="spellStart"/>
      <w:r w:rsidRPr="001819EC">
        <w:rPr>
          <w:rFonts w:eastAsia="Calibri"/>
          <w:lang w:val="es-ES" w:eastAsia="en-US"/>
        </w:rPr>
        <w:t>docetaxel</w:t>
      </w:r>
      <w:proofErr w:type="spellEnd"/>
      <w:r w:rsidRPr="001819EC">
        <w:rPr>
          <w:rFonts w:eastAsia="Calibri"/>
          <w:lang w:val="es-ES" w:eastAsia="en-US"/>
        </w:rPr>
        <w:t>, control (mejor tratamiento de soporte).</w:t>
      </w:r>
    </w:p>
    <w:p w14:paraId="29D32389" w14:textId="77777777" w:rsidR="001819EC" w:rsidRPr="001819EC" w:rsidRDefault="001819EC" w:rsidP="009B3576">
      <w:pPr>
        <w:numPr>
          <w:ilvl w:val="0"/>
          <w:numId w:val="4"/>
        </w:numPr>
        <w:spacing w:line="360" w:lineRule="auto"/>
        <w:contextualSpacing/>
        <w:jc w:val="both"/>
        <w:rPr>
          <w:rFonts w:eastAsia="Calibri"/>
          <w:lang w:val="es-ES" w:eastAsia="en-US"/>
        </w:rPr>
      </w:pPr>
      <w:bookmarkStart w:id="18" w:name="_Hlk127622073"/>
      <w:proofErr w:type="spellStart"/>
      <w:r w:rsidRPr="001819EC">
        <w:rPr>
          <w:rFonts w:eastAsia="Calibri"/>
          <w:lang w:val="es-ES" w:eastAsia="en-US"/>
        </w:rPr>
        <w:lastRenderedPageBreak/>
        <w:t>INL</w:t>
      </w:r>
      <w:proofErr w:type="spellEnd"/>
      <w:r w:rsidRPr="001819EC">
        <w:rPr>
          <w:rFonts w:eastAsia="Calibri"/>
          <w:lang w:val="es-ES" w:eastAsia="en-US"/>
        </w:rPr>
        <w:t xml:space="preserve">: Índice de neutrófilos/linfocitos, valor de corte seleccionado: </w:t>
      </w:r>
      <w:bookmarkStart w:id="19" w:name="_Hlk126017145"/>
      <w:r w:rsidRPr="001819EC">
        <w:rPr>
          <w:rFonts w:eastAsia="Calibri"/>
          <w:lang w:val="es-ES" w:eastAsia="en-US"/>
        </w:rPr>
        <w:t>4: &lt; 4 y ≥ 4.</w:t>
      </w:r>
    </w:p>
    <w:bookmarkEnd w:id="19"/>
    <w:p w14:paraId="2406FC83" w14:textId="77777777" w:rsidR="001819EC" w:rsidRPr="001819EC" w:rsidRDefault="001819EC" w:rsidP="009B3576">
      <w:pPr>
        <w:numPr>
          <w:ilvl w:val="0"/>
          <w:numId w:val="4"/>
        </w:numPr>
        <w:spacing w:line="360" w:lineRule="auto"/>
        <w:contextualSpacing/>
        <w:jc w:val="both"/>
        <w:rPr>
          <w:rFonts w:eastAsia="Calibri"/>
          <w:lang w:val="es-ES" w:eastAsia="en-US"/>
        </w:rPr>
      </w:pPr>
      <w:proofErr w:type="spellStart"/>
      <w:r w:rsidRPr="001819EC">
        <w:rPr>
          <w:rFonts w:eastAsia="Calibri"/>
          <w:lang w:val="es-ES" w:eastAsia="en-US"/>
        </w:rPr>
        <w:t>IPL</w:t>
      </w:r>
      <w:proofErr w:type="spellEnd"/>
      <w:r w:rsidRPr="001819EC">
        <w:rPr>
          <w:rFonts w:eastAsia="Calibri"/>
          <w:lang w:val="es-ES" w:eastAsia="en-US"/>
        </w:rPr>
        <w:t>: Índice de plaquetas/linfocitos, valor de corte seleccionado: 100: &lt; 100 y ≥ 100.</w:t>
      </w:r>
    </w:p>
    <w:bookmarkEnd w:id="18"/>
    <w:p w14:paraId="3B11FAD7" w14:textId="77777777" w:rsidR="001819EC" w:rsidRPr="001819EC" w:rsidRDefault="001819EC" w:rsidP="009B3576">
      <w:pPr>
        <w:numPr>
          <w:ilvl w:val="0"/>
          <w:numId w:val="4"/>
        </w:numPr>
        <w:spacing w:line="360" w:lineRule="auto"/>
        <w:contextualSpacing/>
        <w:jc w:val="both"/>
        <w:rPr>
          <w:rFonts w:eastAsia="MS Mincho"/>
          <w:bCs/>
          <w:color w:val="0D0D0D"/>
          <w:lang w:val="es-ES"/>
        </w:rPr>
      </w:pPr>
      <w:r w:rsidRPr="001819EC">
        <w:rPr>
          <w:rFonts w:eastAsia="MS Mincho"/>
          <w:bCs/>
          <w:lang w:val="es-ES"/>
        </w:rPr>
        <w:t>Supervivencia global (SG): tiempo que transcurrió desde el comienzo con los tratamientos en investigación, hasta el fallecimiento o fecha de últimas noticias</w:t>
      </w:r>
      <w:r w:rsidRPr="001819EC">
        <w:rPr>
          <w:rFonts w:eastAsia="MS Mincho"/>
          <w:bCs/>
          <w:color w:val="0D0D0D"/>
          <w:lang w:val="es-ES"/>
        </w:rPr>
        <w:t xml:space="preserve"> del paciente, en caso de cierre de las bases de datos y que el paciente estuviera vivo.</w:t>
      </w:r>
    </w:p>
    <w:p w14:paraId="3BD0EE5C" w14:textId="77777777" w:rsidR="001819EC" w:rsidRPr="001819EC" w:rsidRDefault="001819EC" w:rsidP="009B3576">
      <w:pPr>
        <w:spacing w:line="360" w:lineRule="auto"/>
        <w:jc w:val="both"/>
        <w:rPr>
          <w:rFonts w:eastAsia="Calibri"/>
          <w:lang w:val="es-ES" w:eastAsia="en-US"/>
        </w:rPr>
      </w:pPr>
      <w:bookmarkStart w:id="20" w:name="_Hlk118360875"/>
    </w:p>
    <w:p w14:paraId="59551A9C" w14:textId="77777777" w:rsidR="001819EC" w:rsidRPr="001819EC" w:rsidRDefault="001819EC" w:rsidP="009B3576">
      <w:pPr>
        <w:spacing w:line="360" w:lineRule="auto"/>
        <w:jc w:val="center"/>
        <w:rPr>
          <w:rFonts w:eastAsia="Calibri"/>
          <w:b/>
          <w:bCs/>
          <w:sz w:val="28"/>
          <w:szCs w:val="28"/>
          <w:lang w:val="es-ES" w:eastAsia="en-US"/>
        </w:rPr>
      </w:pPr>
      <w:r w:rsidRPr="001819EC">
        <w:rPr>
          <w:rFonts w:eastAsia="Calibri"/>
          <w:b/>
          <w:bCs/>
          <w:sz w:val="28"/>
          <w:szCs w:val="28"/>
          <w:lang w:val="es-ES" w:eastAsia="en-US"/>
        </w:rPr>
        <w:t>Procedimientos</w:t>
      </w:r>
    </w:p>
    <w:p w14:paraId="30EAAEAF"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Los pacientes recibieron el tratamiento según el grupo del EC en el que fueron incluidos.</w:t>
      </w:r>
      <w:r w:rsidRPr="001819EC">
        <w:rPr>
          <w:rFonts w:eastAsia="SimSun"/>
          <w:kern w:val="24"/>
          <w:lang w:val="es-ES" w:eastAsia="es-MX"/>
        </w:rPr>
        <w:t xml:space="preserve"> El </w:t>
      </w:r>
      <w:proofErr w:type="spellStart"/>
      <w:r w:rsidRPr="001819EC">
        <w:rPr>
          <w:rFonts w:eastAsia="SimSun"/>
          <w:kern w:val="24"/>
          <w:lang w:val="es-ES" w:eastAsia="es-MX"/>
        </w:rPr>
        <w:t>nimotuzumab</w:t>
      </w:r>
      <w:proofErr w:type="spellEnd"/>
      <w:r w:rsidRPr="001819EC">
        <w:rPr>
          <w:rFonts w:eastAsia="Calibri"/>
          <w:lang w:val="es-ES" w:eastAsia="en-US"/>
        </w:rPr>
        <w:t xml:space="preserve"> se administró a dosis de 200 mg, semanal por 6 semanas en la etapa de inducción y se continuó una vez cada 14 días, hasta la aparición de toxicidad </w:t>
      </w:r>
      <w:bookmarkStart w:id="21" w:name="_Hlk130146760"/>
      <w:r w:rsidRPr="001819EC">
        <w:rPr>
          <w:rFonts w:eastAsia="Calibri"/>
          <w:lang w:val="es-ES" w:eastAsia="en-US"/>
        </w:rPr>
        <w:t>no manejable o el empeoramiento del estado general ECOG &gt; 3</w:t>
      </w:r>
      <w:bookmarkEnd w:id="21"/>
      <w:r w:rsidRPr="001819EC">
        <w:rPr>
          <w:rFonts w:eastAsia="Calibri"/>
          <w:lang w:val="es-ES" w:eastAsia="en-US"/>
        </w:rPr>
        <w:t xml:space="preserve"> en la etapa de mantenimiento.</w:t>
      </w:r>
    </w:p>
    <w:p w14:paraId="363C4B83"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El </w:t>
      </w:r>
      <w:proofErr w:type="spellStart"/>
      <w:r w:rsidRPr="001819EC">
        <w:rPr>
          <w:rFonts w:eastAsia="Calibri"/>
          <w:lang w:val="es-ES" w:eastAsia="en-US"/>
        </w:rPr>
        <w:t>docetaxel</w:t>
      </w:r>
      <w:proofErr w:type="spellEnd"/>
      <w:r w:rsidRPr="001819EC">
        <w:rPr>
          <w:rFonts w:eastAsia="SimSun"/>
          <w:kern w:val="24"/>
          <w:lang w:val="es-ES" w:eastAsia="es-MX"/>
        </w:rPr>
        <w:t xml:space="preserve"> como QT de segunda línea o en mantenimiento de cambio, se administró a dosis</w:t>
      </w:r>
      <w:r w:rsidRPr="001819EC">
        <w:rPr>
          <w:rFonts w:eastAsia="Calibri"/>
          <w:lang w:val="es-ES" w:eastAsia="en-US"/>
        </w:rPr>
        <w:t xml:space="preserve"> de 75 mg/</w:t>
      </w:r>
      <w:proofErr w:type="spellStart"/>
      <w:r w:rsidRPr="001819EC">
        <w:rPr>
          <w:rFonts w:eastAsia="Calibri"/>
          <w:lang w:val="es-ES" w:eastAsia="en-US"/>
        </w:rPr>
        <w:t>m</w:t>
      </w:r>
      <w:r w:rsidRPr="001819EC">
        <w:rPr>
          <w:rFonts w:eastAsia="Calibri"/>
          <w:vertAlign w:val="superscript"/>
          <w:lang w:val="es-ES" w:eastAsia="en-US"/>
        </w:rPr>
        <w:t>2</w:t>
      </w:r>
      <w:proofErr w:type="spellEnd"/>
      <w:r w:rsidRPr="001819EC">
        <w:rPr>
          <w:rFonts w:eastAsia="Calibri"/>
          <w:lang w:val="es-ES" w:eastAsia="en-US"/>
        </w:rPr>
        <w:t xml:space="preserve"> por vía </w:t>
      </w:r>
      <w:proofErr w:type="spellStart"/>
      <w:r w:rsidRPr="001819EC">
        <w:rPr>
          <w:rFonts w:eastAsia="Calibri"/>
          <w:lang w:val="es-ES" w:eastAsia="en-US"/>
        </w:rPr>
        <w:t>i.v</w:t>
      </w:r>
      <w:proofErr w:type="spellEnd"/>
      <w:r w:rsidRPr="001819EC">
        <w:rPr>
          <w:rFonts w:eastAsia="Calibri"/>
          <w:lang w:val="es-ES" w:eastAsia="en-US"/>
        </w:rPr>
        <w:t>. durante 1 hora, cada 3 semanas, hasta un máximo de 6 ciclos, si el individuo no presentaba toxicidad no manejable o el empeoramiento del estado general ECOG &gt; 3. En el grupo control los pacientes no recibieron tratamiento específico, solo soporte y alivio de los síntomas.</w:t>
      </w:r>
    </w:p>
    <w:p w14:paraId="4229B58F"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La información de los individuos del estudio se tomó de las bases de datos de los </w:t>
      </w:r>
      <w:proofErr w:type="spellStart"/>
      <w:r w:rsidRPr="001819EC">
        <w:rPr>
          <w:rFonts w:eastAsia="Calibri"/>
          <w:lang w:val="es-ES" w:eastAsia="en-US"/>
        </w:rPr>
        <w:t>ECs</w:t>
      </w:r>
      <w:proofErr w:type="spellEnd"/>
      <w:r w:rsidRPr="001819EC">
        <w:rPr>
          <w:rFonts w:eastAsia="Calibri"/>
          <w:lang w:val="es-ES" w:eastAsia="en-US"/>
        </w:rPr>
        <w:t xml:space="preserve"> seleccionados (fuente primaria para la investigación).</w:t>
      </w:r>
    </w:p>
    <w:p w14:paraId="5527080A" w14:textId="77777777" w:rsidR="001819EC" w:rsidRPr="001819EC" w:rsidRDefault="001819EC" w:rsidP="001819EC">
      <w:pPr>
        <w:spacing w:line="360" w:lineRule="auto"/>
        <w:jc w:val="center"/>
        <w:rPr>
          <w:rFonts w:eastAsia="Calibri"/>
          <w:sz w:val="28"/>
          <w:szCs w:val="28"/>
          <w:lang w:val="es-ES" w:eastAsia="en-US"/>
        </w:rPr>
      </w:pPr>
      <w:r w:rsidRPr="001819EC">
        <w:rPr>
          <w:rFonts w:eastAsia="Calibri"/>
          <w:b/>
          <w:bCs/>
          <w:sz w:val="28"/>
          <w:szCs w:val="28"/>
          <w:lang w:val="es-ES" w:eastAsia="en-US"/>
        </w:rPr>
        <w:t>Procesamiento</w:t>
      </w:r>
    </w:p>
    <w:p w14:paraId="556C4059" w14:textId="7F7B5FF0"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El procesamiento estadístico se realizó con programa SPSS v. 25. Se calculó la estadística descriptiva; con las variables cualitativas se construyó </w:t>
      </w:r>
      <w:r w:rsidR="00725C8C" w:rsidRPr="001819EC">
        <w:rPr>
          <w:rFonts w:eastAsia="Calibri"/>
          <w:lang w:val="es-ES" w:eastAsia="en-US"/>
        </w:rPr>
        <w:t>una tabla</w:t>
      </w:r>
      <w:r w:rsidRPr="001819EC">
        <w:rPr>
          <w:rFonts w:eastAsia="Calibri"/>
          <w:lang w:val="es-ES" w:eastAsia="en-US"/>
        </w:rPr>
        <w:t xml:space="preserve"> de contingencias y se realizó </w:t>
      </w:r>
      <w:proofErr w:type="gramStart"/>
      <w:r w:rsidRPr="001819EC">
        <w:rPr>
          <w:rFonts w:eastAsia="Calibri"/>
          <w:lang w:val="es-ES" w:eastAsia="en-US"/>
        </w:rPr>
        <w:t>una análisis</w:t>
      </w:r>
      <w:proofErr w:type="gramEnd"/>
      <w:r w:rsidRPr="001819EC">
        <w:rPr>
          <w:rFonts w:eastAsia="Calibri"/>
          <w:lang w:val="es-ES" w:eastAsia="en-US"/>
        </w:rPr>
        <w:t xml:space="preserve"> de frecuencias; para las cuantitativas se calcularon la media, mediana, desviación estándar, valores máximo y mínimo, el rango y el error estándar de la media para cada grupo de tratamiento. Se compararon las proporciones con la prueba exacta </w:t>
      </w:r>
      <w:r w:rsidRPr="001819EC">
        <w:rPr>
          <w:rFonts w:eastAsia="Calibri"/>
          <w:i/>
          <w:iCs/>
          <w:lang w:val="es-ES" w:eastAsia="en-US"/>
        </w:rPr>
        <w:t>ji</w:t>
      </w:r>
      <w:r w:rsidRPr="001819EC">
        <w:rPr>
          <w:rFonts w:eastAsia="Calibri"/>
          <w:lang w:val="es-ES" w:eastAsia="en-US"/>
        </w:rPr>
        <w:t xml:space="preserve"> cuadrado, para determinar la asociación estadística entre las variables. </w:t>
      </w:r>
    </w:p>
    <w:p w14:paraId="34ED7292" w14:textId="77777777" w:rsidR="001819EC" w:rsidRPr="001819EC" w:rsidRDefault="001819EC" w:rsidP="001819EC">
      <w:pPr>
        <w:spacing w:line="360" w:lineRule="auto"/>
        <w:jc w:val="both"/>
        <w:rPr>
          <w:rFonts w:eastAsia="Calibri"/>
          <w:lang w:val="es-MX" w:eastAsia="en-US"/>
        </w:rPr>
      </w:pPr>
      <w:r w:rsidRPr="001819EC">
        <w:rPr>
          <w:rFonts w:eastAsia="Calibri"/>
          <w:lang w:val="es-MX" w:eastAsia="en-US"/>
        </w:rPr>
        <w:t xml:space="preserve">A la variable sexo, se le realizó procesamiento según distribución de frecuencias absolutas y proporciones expresadas en por cientos; a la </w:t>
      </w:r>
      <w:r w:rsidRPr="001819EC">
        <w:rPr>
          <w:rFonts w:eastAsia="SimSun"/>
          <w:color w:val="000000"/>
          <w:kern w:val="24"/>
          <w:lang w:val="es-MX" w:eastAsia="es-MX"/>
        </w:rPr>
        <w:t xml:space="preserve">edad, </w:t>
      </w:r>
      <w:r w:rsidRPr="001819EC">
        <w:rPr>
          <w:rFonts w:eastAsia="Calibri"/>
          <w:lang w:val="es-MX" w:eastAsia="en-US"/>
        </w:rPr>
        <w:t xml:space="preserve">ECOG, </w:t>
      </w:r>
      <w:proofErr w:type="spellStart"/>
      <w:r w:rsidRPr="001819EC">
        <w:rPr>
          <w:rFonts w:eastAsia="Calibri"/>
          <w:lang w:val="es-MX" w:eastAsia="en-US"/>
        </w:rPr>
        <w:t>INL</w:t>
      </w:r>
      <w:proofErr w:type="spellEnd"/>
      <w:r w:rsidRPr="001819EC">
        <w:rPr>
          <w:rFonts w:eastAsia="Calibri"/>
          <w:lang w:val="es-MX" w:eastAsia="en-US"/>
        </w:rPr>
        <w:t xml:space="preserve">, </w:t>
      </w:r>
      <w:proofErr w:type="spellStart"/>
      <w:r w:rsidRPr="001819EC">
        <w:rPr>
          <w:rFonts w:eastAsia="Calibri"/>
          <w:lang w:val="es-MX" w:eastAsia="en-US"/>
        </w:rPr>
        <w:t>IPL</w:t>
      </w:r>
      <w:proofErr w:type="spellEnd"/>
      <w:r w:rsidRPr="001819EC">
        <w:rPr>
          <w:rFonts w:eastAsia="Calibri"/>
          <w:lang w:val="es-MX" w:eastAsia="en-US"/>
        </w:rPr>
        <w:t xml:space="preserve"> se les calculó media, mínimo y máximo, distribución agrupada; al </w:t>
      </w:r>
      <w:r w:rsidRPr="001819EC">
        <w:rPr>
          <w:rFonts w:eastAsia="SimSun"/>
          <w:color w:val="000000"/>
          <w:kern w:val="24"/>
          <w:lang w:val="es-MX" w:eastAsia="es-MX"/>
        </w:rPr>
        <w:t>c</w:t>
      </w:r>
      <w:r w:rsidRPr="001819EC">
        <w:rPr>
          <w:rFonts w:eastAsia="Calibri"/>
          <w:lang w:val="es-MX" w:eastAsia="en-US"/>
        </w:rPr>
        <w:t>olor de la piel, hábito de fumar, histología, etapa clínica, tratamiento realizado, la distribución de frecuencias, distribución agrupada.</w:t>
      </w:r>
    </w:p>
    <w:p w14:paraId="14511585" w14:textId="77777777" w:rsidR="001819EC" w:rsidRPr="001819EC" w:rsidRDefault="001819EC" w:rsidP="001819EC">
      <w:pPr>
        <w:spacing w:line="360" w:lineRule="auto"/>
        <w:jc w:val="both"/>
        <w:rPr>
          <w:rFonts w:eastAsia="Calibri"/>
          <w:lang w:eastAsia="en-US"/>
        </w:rPr>
      </w:pPr>
      <w:bookmarkStart w:id="22" w:name="_Hlk127621969"/>
      <w:r w:rsidRPr="001819EC">
        <w:rPr>
          <w:rFonts w:eastAsia="Calibri"/>
          <w:lang w:val="es-ES" w:eastAsia="en-US"/>
        </w:rPr>
        <w:lastRenderedPageBreak/>
        <w:t xml:space="preserve">El valor de corte para la estratificación de los pacientes, para cada índice a analizar, se determinó utilizando el software x-tile </w:t>
      </w:r>
      <w:proofErr w:type="gramStart"/>
      <w:r w:rsidRPr="001819EC">
        <w:rPr>
          <w:rFonts w:eastAsia="Calibri"/>
          <w:lang w:val="es-ES" w:eastAsia="en-US"/>
        </w:rPr>
        <w:t>3.6.1,</w:t>
      </w:r>
      <w:r w:rsidRPr="001819EC">
        <w:rPr>
          <w:rFonts w:eastAsia="Calibri"/>
          <w:vertAlign w:val="superscript"/>
          <w:lang w:val="es-ES" w:eastAsia="en-US"/>
        </w:rPr>
        <w:t>(</w:t>
      </w:r>
      <w:proofErr w:type="gramEnd"/>
      <w:r w:rsidRPr="001819EC">
        <w:rPr>
          <w:rFonts w:eastAsia="Calibri"/>
          <w:vertAlign w:val="superscript"/>
          <w:lang w:val="es-ES" w:eastAsia="en-US"/>
        </w:rPr>
        <w:t xml:space="preserve">12) </w:t>
      </w:r>
      <w:r w:rsidRPr="001819EC">
        <w:rPr>
          <w:rFonts w:eastAsia="Calibri"/>
          <w:lang w:val="es-ES" w:eastAsia="en-US"/>
        </w:rPr>
        <w:t xml:space="preserve">para ajustar los efectos de biomarcadores predictivos y pronósticos con modelos de umbral de biomarcadores y modelos de umbral continuo. </w:t>
      </w:r>
    </w:p>
    <w:bookmarkEnd w:id="22"/>
    <w:p w14:paraId="05B357E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La SG se calculó por el método de Kaplan Meier. Se estimaron las varianzas y los intervalos de confianza según los índices seleccionados (relación neutrófilos/linfocitos y plaquetas/linfocitos); la comparación entre las curvas se realizó con el test de Long Rank. En los test estadísticos se consideran diferencias significativas cuando p˂ 0,05. </w:t>
      </w:r>
    </w:p>
    <w:p w14:paraId="4C40D2F3" w14:textId="77777777" w:rsidR="001819EC" w:rsidRPr="001819EC" w:rsidRDefault="001819EC" w:rsidP="001819EC">
      <w:pPr>
        <w:spacing w:line="360" w:lineRule="auto"/>
        <w:jc w:val="center"/>
        <w:rPr>
          <w:rFonts w:eastAsia="Calibri"/>
          <w:b/>
          <w:bCs/>
          <w:sz w:val="28"/>
          <w:szCs w:val="28"/>
          <w:lang w:val="es-ES" w:eastAsia="en-US"/>
        </w:rPr>
      </w:pPr>
      <w:r w:rsidRPr="001819EC">
        <w:rPr>
          <w:rFonts w:eastAsia="Calibri"/>
          <w:b/>
          <w:bCs/>
          <w:sz w:val="28"/>
          <w:szCs w:val="28"/>
          <w:lang w:val="es-ES" w:eastAsia="en-US"/>
        </w:rPr>
        <w:t>Aspectos bioéticos</w:t>
      </w:r>
    </w:p>
    <w:p w14:paraId="6DE9826D" w14:textId="77777777" w:rsidR="001819EC" w:rsidRPr="001819EC" w:rsidRDefault="001819EC" w:rsidP="001819EC">
      <w:pPr>
        <w:spacing w:line="360" w:lineRule="auto"/>
        <w:jc w:val="both"/>
        <w:rPr>
          <w:rFonts w:eastAsia="Calibri"/>
          <w:lang w:val="es-ES" w:eastAsia="en-US"/>
        </w:rPr>
      </w:pPr>
      <w:r w:rsidRPr="001819EC">
        <w:rPr>
          <w:rFonts w:eastAsia="SimSun"/>
          <w:kern w:val="24"/>
          <w:lang w:val="es-ES" w:eastAsia="en-US"/>
        </w:rPr>
        <w:t xml:space="preserve">Se respetaron las normas de buenas prácticas clínicas establecidas por el Ministerio de Salud Pública de Cuba, </w:t>
      </w:r>
      <w:r w:rsidRPr="001819EC">
        <w:rPr>
          <w:rFonts w:eastAsia="Calibri"/>
          <w:lang w:val="es-ES" w:eastAsia="en-US"/>
        </w:rPr>
        <w:t>conforme a los descrito en la regulación 165-2000</w:t>
      </w:r>
      <w:r w:rsidRPr="001819EC">
        <w:rPr>
          <w:rFonts w:eastAsia="Calibri"/>
          <w:vertAlign w:val="superscript"/>
          <w:lang w:val="es-ES" w:eastAsia="en-US"/>
        </w:rPr>
        <w:t>(13)</w:t>
      </w:r>
      <w:r w:rsidRPr="001819EC">
        <w:rPr>
          <w:rFonts w:eastAsia="Calibri"/>
          <w:lang w:val="es-ES" w:eastAsia="en-US"/>
        </w:rPr>
        <w:t xml:space="preserve"> del Centro para el Control Estatal de Medicamentos, Equipos y Dispositivos Médicos (</w:t>
      </w:r>
      <w:proofErr w:type="spellStart"/>
      <w:r w:rsidRPr="001819EC">
        <w:rPr>
          <w:rFonts w:eastAsia="Calibri"/>
          <w:lang w:val="es-ES" w:eastAsia="en-US"/>
        </w:rPr>
        <w:t>CECMED</w:t>
      </w:r>
      <w:bookmarkStart w:id="23" w:name="_Hlk139873028"/>
      <w:proofErr w:type="spellEnd"/>
      <w:r w:rsidRPr="001819EC">
        <w:rPr>
          <w:rFonts w:eastAsia="SimSun"/>
          <w:kern w:val="24"/>
          <w:lang w:val="es-ES" w:eastAsia="en-US"/>
        </w:rPr>
        <w:t>).</w:t>
      </w:r>
      <w:bookmarkEnd w:id="23"/>
      <w:r w:rsidRPr="001819EC">
        <w:rPr>
          <w:rFonts w:eastAsia="SimSun"/>
          <w:kern w:val="24"/>
          <w:lang w:val="es-ES" w:eastAsia="en-US"/>
        </w:rPr>
        <w:t xml:space="preserve"> </w:t>
      </w:r>
      <w:r w:rsidRPr="001819EC">
        <w:rPr>
          <w:rFonts w:eastAsia="SimSun"/>
          <w:kern w:val="24"/>
          <w:lang w:val="es-ES" w:eastAsia="es-MX"/>
        </w:rPr>
        <w:t xml:space="preserve">Cada EC declarado en esta investigación fue aprobado en los consejos científicos y comités de ética de las instituciones participantes y los pacientes y familiares firmaron un consentimiento informado antes de ser incluidos. </w:t>
      </w:r>
      <w:bookmarkEnd w:id="20"/>
      <w:r w:rsidRPr="001819EC">
        <w:rPr>
          <w:rFonts w:eastAsia="Calibri"/>
          <w:lang w:val="es-ES" w:eastAsia="en-US"/>
        </w:rPr>
        <w:t>No serán publicados resultados que visualicen la identidad de los pacientes.</w:t>
      </w:r>
    </w:p>
    <w:p w14:paraId="323D7ABF" w14:textId="77777777" w:rsidR="001819EC" w:rsidRPr="001819EC" w:rsidRDefault="001819EC" w:rsidP="001819EC">
      <w:pPr>
        <w:tabs>
          <w:tab w:val="left" w:pos="2175"/>
        </w:tabs>
        <w:spacing w:line="360" w:lineRule="auto"/>
        <w:jc w:val="both"/>
        <w:rPr>
          <w:rFonts w:eastAsia="Calibri"/>
          <w:lang w:val="es-ES" w:eastAsia="en-US"/>
        </w:rPr>
      </w:pPr>
      <w:bookmarkStart w:id="24" w:name="_Hlk141349678"/>
    </w:p>
    <w:p w14:paraId="7B9AC1A2" w14:textId="77777777" w:rsidR="001819EC" w:rsidRPr="001819EC" w:rsidRDefault="001819EC" w:rsidP="001819EC">
      <w:pPr>
        <w:tabs>
          <w:tab w:val="left" w:pos="2175"/>
        </w:tabs>
        <w:spacing w:line="360" w:lineRule="auto"/>
        <w:jc w:val="both"/>
        <w:rPr>
          <w:rFonts w:eastAsia="Calibri"/>
          <w:lang w:val="es-ES" w:eastAsia="en-US"/>
        </w:rPr>
      </w:pPr>
    </w:p>
    <w:bookmarkEnd w:id="24"/>
    <w:p w14:paraId="7B03524B" w14:textId="77777777" w:rsidR="001819EC" w:rsidRPr="001819EC" w:rsidRDefault="001819EC" w:rsidP="001819EC">
      <w:pPr>
        <w:tabs>
          <w:tab w:val="left" w:pos="2175"/>
        </w:tabs>
        <w:spacing w:line="360" w:lineRule="auto"/>
        <w:jc w:val="center"/>
        <w:rPr>
          <w:rFonts w:eastAsia="Calibri"/>
          <w:b/>
          <w:sz w:val="32"/>
          <w:szCs w:val="32"/>
          <w:lang w:val="es-ES" w:eastAsia="en-US"/>
        </w:rPr>
      </w:pPr>
      <w:r w:rsidRPr="001819EC">
        <w:rPr>
          <w:rFonts w:eastAsia="Calibri"/>
          <w:b/>
          <w:sz w:val="32"/>
          <w:szCs w:val="32"/>
          <w:lang w:val="es-ES" w:eastAsia="en-US"/>
        </w:rPr>
        <w:t>RESULTADOS</w:t>
      </w:r>
    </w:p>
    <w:p w14:paraId="4978FD8F" w14:textId="77777777" w:rsidR="001819EC" w:rsidRPr="001819EC" w:rsidRDefault="001819EC" w:rsidP="001819EC">
      <w:pPr>
        <w:spacing w:line="360" w:lineRule="auto"/>
        <w:jc w:val="both"/>
        <w:rPr>
          <w:rFonts w:eastAsia="Calibri"/>
          <w:bCs/>
          <w:lang w:val="es-ES" w:eastAsia="en-US"/>
        </w:rPr>
      </w:pPr>
      <w:r w:rsidRPr="001819EC">
        <w:rPr>
          <w:rFonts w:eastAsia="Calibri"/>
          <w:bCs/>
          <w:lang w:val="es-ES" w:eastAsia="en-US"/>
        </w:rPr>
        <w:t>Las</w:t>
      </w:r>
      <w:r w:rsidRPr="001819EC">
        <w:rPr>
          <w:rFonts w:eastAsia="Calibri"/>
          <w:b/>
          <w:lang w:val="es-ES" w:eastAsia="en-US"/>
        </w:rPr>
        <w:t xml:space="preserve"> </w:t>
      </w:r>
      <w:r w:rsidRPr="001819EC">
        <w:rPr>
          <w:rFonts w:eastAsia="Calibri"/>
          <w:bCs/>
          <w:lang w:val="es-ES" w:eastAsia="en-US"/>
        </w:rPr>
        <w:t xml:space="preserve">características demográficas, clínicas, hábito de fumar de los pacientes con </w:t>
      </w:r>
      <w:proofErr w:type="spellStart"/>
      <w:r w:rsidRPr="001819EC">
        <w:rPr>
          <w:rFonts w:eastAsia="Calibri"/>
          <w:bCs/>
          <w:lang w:val="es-ES" w:eastAsia="en-US"/>
        </w:rPr>
        <w:t>CPCNP</w:t>
      </w:r>
      <w:proofErr w:type="spellEnd"/>
      <w:r w:rsidRPr="001819EC">
        <w:rPr>
          <w:rFonts w:eastAsia="Calibri"/>
          <w:bCs/>
          <w:lang w:val="es-ES" w:eastAsia="en-US"/>
        </w:rPr>
        <w:t xml:space="preserve">, </w:t>
      </w:r>
      <w:proofErr w:type="spellStart"/>
      <w:r w:rsidRPr="001819EC">
        <w:rPr>
          <w:rFonts w:eastAsia="Calibri"/>
          <w:bCs/>
          <w:lang w:val="es-ES" w:eastAsia="en-US"/>
        </w:rPr>
        <w:t>citohistológicas</w:t>
      </w:r>
      <w:proofErr w:type="spellEnd"/>
      <w:r w:rsidRPr="001819EC">
        <w:rPr>
          <w:rFonts w:eastAsia="Calibri"/>
          <w:bCs/>
          <w:lang w:val="es-ES" w:eastAsia="en-US"/>
        </w:rPr>
        <w:t xml:space="preserve"> del tumor y tratamientos recibidos previo a la inclusión en los </w:t>
      </w:r>
      <w:proofErr w:type="spellStart"/>
      <w:r w:rsidRPr="001819EC">
        <w:rPr>
          <w:rFonts w:eastAsia="Calibri"/>
          <w:bCs/>
          <w:lang w:val="es-ES" w:eastAsia="en-US"/>
        </w:rPr>
        <w:t>ECs</w:t>
      </w:r>
      <w:proofErr w:type="spellEnd"/>
      <w:r w:rsidRPr="001819EC">
        <w:rPr>
          <w:rFonts w:eastAsia="Calibri"/>
          <w:bCs/>
          <w:lang w:val="es-ES" w:eastAsia="en-US"/>
        </w:rPr>
        <w:t xml:space="preserve"> se presentan en la tabla 1.</w:t>
      </w:r>
    </w:p>
    <w:p w14:paraId="41A42998" w14:textId="77777777" w:rsidR="001819EC" w:rsidRPr="001819EC" w:rsidRDefault="001819EC" w:rsidP="001819EC">
      <w:pPr>
        <w:spacing w:line="360" w:lineRule="auto"/>
        <w:rPr>
          <w:rFonts w:eastAsia="Calibri"/>
          <w:b/>
          <w:lang w:val="es-ES" w:eastAsia="en-US"/>
        </w:rPr>
      </w:pPr>
      <w:bookmarkStart w:id="25" w:name="_Hlk114785790"/>
    </w:p>
    <w:p w14:paraId="51DC9378" w14:textId="77777777" w:rsidR="001819EC" w:rsidRPr="001819EC" w:rsidRDefault="001819EC" w:rsidP="001819EC">
      <w:pPr>
        <w:spacing w:after="160" w:line="259" w:lineRule="auto"/>
        <w:rPr>
          <w:rFonts w:ascii="Verdana" w:eastAsia="Calibri" w:hAnsi="Verdana"/>
          <w:b/>
          <w:sz w:val="20"/>
          <w:szCs w:val="20"/>
          <w:lang w:val="es-ES" w:eastAsia="en-US"/>
        </w:rPr>
      </w:pPr>
      <w:r w:rsidRPr="001819EC">
        <w:rPr>
          <w:rFonts w:ascii="Verdana" w:eastAsia="Calibri" w:hAnsi="Verdana"/>
          <w:b/>
          <w:sz w:val="20"/>
          <w:szCs w:val="20"/>
          <w:lang w:val="es-ES" w:eastAsia="en-US"/>
        </w:rPr>
        <w:br w:type="page"/>
      </w:r>
    </w:p>
    <w:p w14:paraId="161247FA" w14:textId="77777777" w:rsidR="001819EC" w:rsidRPr="001819EC" w:rsidRDefault="001819EC" w:rsidP="001819EC">
      <w:pPr>
        <w:spacing w:line="360" w:lineRule="auto"/>
        <w:jc w:val="center"/>
        <w:rPr>
          <w:rFonts w:eastAsia="Calibri"/>
          <w:b/>
          <w:sz w:val="22"/>
          <w:szCs w:val="22"/>
          <w:lang w:val="es-ES" w:eastAsia="en-US"/>
        </w:rPr>
      </w:pPr>
      <w:r w:rsidRPr="001819EC">
        <w:rPr>
          <w:rFonts w:eastAsia="Calibri"/>
          <w:b/>
          <w:sz w:val="22"/>
          <w:szCs w:val="22"/>
          <w:lang w:val="es-ES" w:eastAsia="en-US"/>
        </w:rPr>
        <w:lastRenderedPageBreak/>
        <w:t xml:space="preserve">Tabla 1 - </w:t>
      </w:r>
      <w:bookmarkStart w:id="26" w:name="_Hlk127613159"/>
      <w:bookmarkStart w:id="27" w:name="_Hlk126275008"/>
      <w:r w:rsidRPr="001819EC">
        <w:rPr>
          <w:rFonts w:eastAsia="Calibri"/>
          <w:sz w:val="22"/>
          <w:szCs w:val="22"/>
          <w:lang w:val="es-ES" w:eastAsia="en-US"/>
        </w:rPr>
        <w:t xml:space="preserve">Características demográficas, clínicas, hábito de fumar de los pacientes con </w:t>
      </w:r>
      <w:proofErr w:type="spellStart"/>
      <w:r w:rsidRPr="001819EC">
        <w:rPr>
          <w:rFonts w:eastAsia="Calibri"/>
          <w:sz w:val="22"/>
          <w:szCs w:val="22"/>
          <w:lang w:val="es-ES" w:eastAsia="en-US"/>
        </w:rPr>
        <w:t>CPCNP</w:t>
      </w:r>
      <w:proofErr w:type="spellEnd"/>
      <w:r w:rsidRPr="001819EC">
        <w:rPr>
          <w:rFonts w:eastAsia="Calibri"/>
          <w:sz w:val="22"/>
          <w:szCs w:val="22"/>
          <w:lang w:val="es-ES" w:eastAsia="en-US"/>
        </w:rPr>
        <w:t xml:space="preserve">, </w:t>
      </w:r>
      <w:proofErr w:type="spellStart"/>
      <w:r w:rsidRPr="001819EC">
        <w:rPr>
          <w:rFonts w:eastAsia="Calibri"/>
          <w:sz w:val="22"/>
          <w:szCs w:val="22"/>
          <w:lang w:val="es-ES" w:eastAsia="en-US"/>
        </w:rPr>
        <w:t>citohistológicas</w:t>
      </w:r>
      <w:proofErr w:type="spellEnd"/>
      <w:r w:rsidRPr="001819EC">
        <w:rPr>
          <w:rFonts w:eastAsia="Calibri"/>
          <w:sz w:val="22"/>
          <w:szCs w:val="22"/>
          <w:lang w:val="es-ES" w:eastAsia="en-US"/>
        </w:rPr>
        <w:t xml:space="preserve"> del tumor y tratamientos recibidos previo a la inclusión en los </w:t>
      </w:r>
      <w:proofErr w:type="spellStart"/>
      <w:r w:rsidRPr="001819EC">
        <w:rPr>
          <w:rFonts w:eastAsia="Calibri"/>
          <w:sz w:val="22"/>
          <w:szCs w:val="22"/>
          <w:lang w:val="es-ES" w:eastAsia="en-US"/>
        </w:rPr>
        <w:t>E</w:t>
      </w:r>
      <w:bookmarkEnd w:id="26"/>
      <w:r w:rsidRPr="001819EC">
        <w:rPr>
          <w:rFonts w:eastAsia="Calibri"/>
          <w:sz w:val="22"/>
          <w:szCs w:val="22"/>
          <w:lang w:val="es-ES" w:eastAsia="en-US"/>
        </w:rPr>
        <w:t>Cs</w:t>
      </w:r>
      <w:bookmarkEnd w:id="25"/>
      <w:bookmarkEnd w:id="27"/>
      <w:proofErr w:type="spellEnd"/>
    </w:p>
    <w:p w14:paraId="56A58BB1" w14:textId="441F866D" w:rsidR="00C526E4" w:rsidRDefault="00C526E4" w:rsidP="001819EC">
      <w:pPr>
        <w:spacing w:line="360" w:lineRule="auto"/>
        <w:jc w:val="center"/>
        <w:rPr>
          <w:rFonts w:eastAsia="Calibri"/>
          <w:sz w:val="16"/>
          <w:szCs w:val="16"/>
          <w:lang w:val="en-US" w:eastAsia="en-US"/>
        </w:rPr>
      </w:pPr>
      <w:r>
        <w:rPr>
          <w:rFonts w:eastAsia="Calibri"/>
          <w:noProof/>
          <w:sz w:val="16"/>
          <w:szCs w:val="16"/>
          <w:lang w:val="en-US" w:eastAsia="en-US"/>
        </w:rPr>
        <w:drawing>
          <wp:inline distT="0" distB="0" distL="0" distR="0" wp14:anchorId="0874CADC" wp14:editId="536B84ED">
            <wp:extent cx="4733333" cy="4504762"/>
            <wp:effectExtent l="0" t="0" r="0" b="0"/>
            <wp:docPr id="10281559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155925" name="Imagen 1028155925"/>
                    <pic:cNvPicPr/>
                  </pic:nvPicPr>
                  <pic:blipFill>
                    <a:blip r:embed="rId22">
                      <a:extLst>
                        <a:ext uri="{28A0092B-C50C-407E-A947-70E740481C1C}">
                          <a14:useLocalDpi xmlns:a14="http://schemas.microsoft.com/office/drawing/2010/main" val="0"/>
                        </a:ext>
                      </a:extLst>
                    </a:blip>
                    <a:stretch>
                      <a:fillRect/>
                    </a:stretch>
                  </pic:blipFill>
                  <pic:spPr>
                    <a:xfrm>
                      <a:off x="0" y="0"/>
                      <a:ext cx="4733333" cy="4504762"/>
                    </a:xfrm>
                    <a:prstGeom prst="rect">
                      <a:avLst/>
                    </a:prstGeom>
                  </pic:spPr>
                </pic:pic>
              </a:graphicData>
            </a:graphic>
          </wp:inline>
        </w:drawing>
      </w:r>
    </w:p>
    <w:p w14:paraId="3AB6C6C4" w14:textId="5C12C1E6" w:rsidR="001819EC" w:rsidRPr="001819EC" w:rsidRDefault="001819EC" w:rsidP="001819EC">
      <w:pPr>
        <w:spacing w:line="360" w:lineRule="auto"/>
        <w:jc w:val="center"/>
        <w:rPr>
          <w:rFonts w:eastAsia="Calibri"/>
          <w:sz w:val="16"/>
          <w:szCs w:val="16"/>
          <w:lang w:val="en-US" w:eastAsia="en-US"/>
        </w:rPr>
      </w:pPr>
      <w:r w:rsidRPr="001819EC">
        <w:rPr>
          <w:rFonts w:eastAsia="Calibri"/>
          <w:sz w:val="16"/>
          <w:szCs w:val="16"/>
          <w:lang w:val="en-US" w:eastAsia="en-US"/>
        </w:rPr>
        <w:t xml:space="preserve">NP: no </w:t>
      </w:r>
      <w:proofErr w:type="spellStart"/>
      <w:r w:rsidRPr="001819EC">
        <w:rPr>
          <w:rFonts w:eastAsia="Calibri"/>
          <w:sz w:val="16"/>
          <w:szCs w:val="16"/>
          <w:lang w:val="en-US" w:eastAsia="en-US"/>
        </w:rPr>
        <w:t>progresores</w:t>
      </w:r>
      <w:proofErr w:type="spellEnd"/>
      <w:r w:rsidRPr="001819EC">
        <w:rPr>
          <w:rFonts w:eastAsia="Calibri"/>
          <w:sz w:val="16"/>
          <w:szCs w:val="16"/>
          <w:lang w:val="en-US" w:eastAsia="en-US"/>
        </w:rPr>
        <w:t xml:space="preserve">; P: </w:t>
      </w:r>
      <w:proofErr w:type="spellStart"/>
      <w:r w:rsidRPr="001819EC">
        <w:rPr>
          <w:rFonts w:eastAsia="Calibri"/>
          <w:sz w:val="16"/>
          <w:szCs w:val="16"/>
          <w:lang w:val="en-US" w:eastAsia="en-US"/>
        </w:rPr>
        <w:t>progresores</w:t>
      </w:r>
      <w:proofErr w:type="spellEnd"/>
      <w:r w:rsidRPr="001819EC">
        <w:rPr>
          <w:rFonts w:eastAsia="Calibri"/>
          <w:sz w:val="16"/>
          <w:szCs w:val="16"/>
          <w:lang w:val="en-US" w:eastAsia="en-US"/>
        </w:rPr>
        <w:t xml:space="preserve">; </w:t>
      </w:r>
      <w:proofErr w:type="spellStart"/>
      <w:r w:rsidRPr="001819EC">
        <w:rPr>
          <w:rFonts w:eastAsia="Calibri"/>
          <w:sz w:val="16"/>
          <w:szCs w:val="16"/>
          <w:lang w:val="en-US" w:eastAsia="en-US"/>
        </w:rPr>
        <w:t>ECOG</w:t>
      </w:r>
      <w:proofErr w:type="spellEnd"/>
      <w:r w:rsidRPr="001819EC">
        <w:rPr>
          <w:rFonts w:eastAsia="Calibri"/>
          <w:sz w:val="16"/>
          <w:szCs w:val="16"/>
          <w:lang w:val="en-US" w:eastAsia="en-US"/>
        </w:rPr>
        <w:t xml:space="preserve">: </w:t>
      </w:r>
      <w:r w:rsidRPr="001819EC">
        <w:rPr>
          <w:rFonts w:eastAsia="Calibri"/>
          <w:i/>
          <w:iCs/>
          <w:sz w:val="16"/>
          <w:szCs w:val="16"/>
          <w:lang w:val="en-US" w:eastAsia="en-US"/>
        </w:rPr>
        <w:t>Eastern Cooperative Oncology Group</w:t>
      </w:r>
      <w:r w:rsidRPr="001819EC">
        <w:rPr>
          <w:rFonts w:eastAsia="Calibri"/>
          <w:sz w:val="16"/>
          <w:szCs w:val="16"/>
          <w:lang w:val="en-US" w:eastAsia="en-US"/>
        </w:rPr>
        <w:t xml:space="preserve">; ADC: adenocarcinoma; QT: </w:t>
      </w:r>
      <w:proofErr w:type="spellStart"/>
      <w:r w:rsidRPr="001819EC">
        <w:rPr>
          <w:rFonts w:eastAsia="Calibri"/>
          <w:sz w:val="16"/>
          <w:szCs w:val="16"/>
          <w:lang w:val="en-US" w:eastAsia="en-US"/>
        </w:rPr>
        <w:t>quimioterapia</w:t>
      </w:r>
      <w:proofErr w:type="spellEnd"/>
      <w:r w:rsidRPr="001819EC">
        <w:rPr>
          <w:rFonts w:eastAsia="Calibri"/>
          <w:sz w:val="16"/>
          <w:szCs w:val="16"/>
          <w:lang w:val="en-US" w:eastAsia="en-US"/>
        </w:rPr>
        <w:t xml:space="preserve">; RT: </w:t>
      </w:r>
      <w:proofErr w:type="spellStart"/>
      <w:r w:rsidRPr="001819EC">
        <w:rPr>
          <w:rFonts w:eastAsia="Calibri"/>
          <w:sz w:val="16"/>
          <w:szCs w:val="16"/>
          <w:lang w:val="en-US" w:eastAsia="en-US"/>
        </w:rPr>
        <w:t>radioterapia</w:t>
      </w:r>
      <w:proofErr w:type="spellEnd"/>
      <w:r w:rsidRPr="001819EC">
        <w:rPr>
          <w:rFonts w:eastAsia="Calibri"/>
          <w:sz w:val="16"/>
          <w:szCs w:val="16"/>
          <w:lang w:val="en-US" w:eastAsia="en-US"/>
        </w:rPr>
        <w:t>.</w:t>
      </w:r>
    </w:p>
    <w:p w14:paraId="10F43236" w14:textId="77777777" w:rsidR="001819EC" w:rsidRPr="001819EC" w:rsidRDefault="001819EC" w:rsidP="001819EC">
      <w:pPr>
        <w:spacing w:line="360" w:lineRule="auto"/>
        <w:jc w:val="both"/>
        <w:rPr>
          <w:rFonts w:eastAsia="Calibri"/>
          <w:lang w:val="en-US" w:eastAsia="en-US"/>
        </w:rPr>
      </w:pPr>
      <w:bookmarkStart w:id="28" w:name="_Hlk117752466"/>
    </w:p>
    <w:p w14:paraId="03370668"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la tabla 2 se analiza, en el grupo control, el valor pronóstico que presentan los </w:t>
      </w:r>
      <w:proofErr w:type="spellStart"/>
      <w:r w:rsidRPr="001819EC">
        <w:rPr>
          <w:rFonts w:eastAsia="Calibri"/>
          <w:lang w:val="es-ES" w:eastAsia="en-US"/>
        </w:rPr>
        <w:t>INL</w:t>
      </w:r>
      <w:proofErr w:type="spellEnd"/>
      <w:r w:rsidRPr="001819EC">
        <w:rPr>
          <w:rFonts w:eastAsia="Calibri"/>
          <w:lang w:val="es-ES" w:eastAsia="en-US"/>
        </w:rPr>
        <w:t xml:space="preserve"> según la supervivencia de los pacientes</w:t>
      </w:r>
      <w:r w:rsidRPr="001819EC">
        <w:rPr>
          <w:rFonts w:eastAsia="Calibri"/>
          <w:b/>
          <w:lang w:val="es-ES" w:eastAsia="en-US"/>
        </w:rPr>
        <w:t xml:space="preserve"> </w:t>
      </w:r>
      <w:r w:rsidRPr="001819EC">
        <w:rPr>
          <w:rFonts w:eastAsia="Calibri"/>
          <w:bCs/>
          <w:lang w:val="es-ES" w:eastAsia="en-US"/>
        </w:rPr>
        <w:t xml:space="preserve">no </w:t>
      </w:r>
      <w:proofErr w:type="spellStart"/>
      <w:r w:rsidRPr="001819EC">
        <w:rPr>
          <w:rFonts w:eastAsia="Calibri"/>
          <w:bCs/>
          <w:lang w:val="es-ES" w:eastAsia="en-US"/>
        </w:rPr>
        <w:t>progresores</w:t>
      </w:r>
      <w:bookmarkStart w:id="29" w:name="_Hlk122353831"/>
      <w:proofErr w:type="spellEnd"/>
      <w:r w:rsidRPr="001819EC">
        <w:rPr>
          <w:rFonts w:eastAsia="Calibri"/>
          <w:bCs/>
          <w:lang w:val="es-ES" w:eastAsia="en-US"/>
        </w:rPr>
        <w:t xml:space="preserve"> y no mostró diferencias significativas. </w:t>
      </w:r>
      <w:r w:rsidRPr="001819EC">
        <w:rPr>
          <w:rFonts w:eastAsia="Calibri"/>
          <w:color w:val="010205"/>
          <w:lang w:val="es-ES" w:eastAsia="en-US"/>
        </w:rPr>
        <w:t xml:space="preserve">Según el valor predictivo hubo diferencia significativa (p= 0,017) en el grupo de corte </w:t>
      </w:r>
      <w:r w:rsidRPr="001819EC">
        <w:rPr>
          <w:rFonts w:eastAsia="Calibri"/>
          <w:lang w:val="es-ES" w:eastAsia="en-US"/>
        </w:rPr>
        <w:t xml:space="preserve">&lt; 4 a favor del </w:t>
      </w:r>
      <w:proofErr w:type="spellStart"/>
      <w:r w:rsidRPr="001819EC">
        <w:rPr>
          <w:rFonts w:eastAsia="Calibri"/>
          <w:lang w:val="es-ES" w:eastAsia="en-US"/>
        </w:rPr>
        <w:t>nimotuzumab</w:t>
      </w:r>
      <w:proofErr w:type="spellEnd"/>
      <w:r w:rsidRPr="001819EC">
        <w:rPr>
          <w:rFonts w:eastAsia="Calibri"/>
          <w:lang w:val="es-ES" w:eastAsia="en-US"/>
        </w:rPr>
        <w:t xml:space="preserve"> sobre el control, con supervivencias de </w:t>
      </w:r>
      <w:r w:rsidRPr="001819EC">
        <w:rPr>
          <w:rFonts w:eastAsia="Calibri"/>
          <w:color w:val="010205"/>
          <w:lang w:val="es-ES" w:eastAsia="en-US"/>
        </w:rPr>
        <w:t xml:space="preserve">12,4 meses contra 8,2 meses; y en el del </w:t>
      </w:r>
      <w:proofErr w:type="spellStart"/>
      <w:r w:rsidRPr="001819EC">
        <w:rPr>
          <w:rFonts w:eastAsia="Calibri"/>
          <w:color w:val="010205"/>
          <w:lang w:val="es-ES" w:eastAsia="en-US"/>
        </w:rPr>
        <w:t>nimotuzumab</w:t>
      </w:r>
      <w:proofErr w:type="spellEnd"/>
      <w:r w:rsidRPr="001819EC">
        <w:rPr>
          <w:rFonts w:eastAsia="Calibri"/>
          <w:color w:val="010205"/>
          <w:lang w:val="es-ES" w:eastAsia="en-US"/>
        </w:rPr>
        <w:t xml:space="preserve"> sobre el </w:t>
      </w:r>
      <w:proofErr w:type="spellStart"/>
      <w:r w:rsidRPr="001819EC">
        <w:rPr>
          <w:rFonts w:eastAsia="Calibri"/>
          <w:color w:val="010205"/>
          <w:lang w:val="es-ES" w:eastAsia="en-US"/>
        </w:rPr>
        <w:t>docetaxel</w:t>
      </w:r>
      <w:proofErr w:type="spellEnd"/>
      <w:r w:rsidRPr="001819EC">
        <w:rPr>
          <w:rFonts w:eastAsia="Calibri"/>
          <w:color w:val="010205"/>
          <w:lang w:val="es-ES" w:eastAsia="en-US"/>
        </w:rPr>
        <w:t>,</w:t>
      </w:r>
      <w:r w:rsidRPr="001819EC">
        <w:rPr>
          <w:rFonts w:eastAsia="Calibri"/>
          <w:lang w:val="es-ES" w:eastAsia="en-US"/>
        </w:rPr>
        <w:t xml:space="preserve"> con supervivencias de </w:t>
      </w:r>
      <w:r w:rsidRPr="001819EC">
        <w:rPr>
          <w:rFonts w:eastAsia="Calibri"/>
          <w:color w:val="010205"/>
          <w:lang w:val="es-ES" w:eastAsia="en-US"/>
        </w:rPr>
        <w:t>12,4 meses contra 9,6 meses (p= </w:t>
      </w:r>
      <w:r w:rsidRPr="001819EC">
        <w:rPr>
          <w:rFonts w:eastAsia="Calibri"/>
          <w:bCs/>
          <w:lang w:val="es-ES" w:eastAsia="en-US"/>
        </w:rPr>
        <w:t>0,027)</w:t>
      </w:r>
      <w:r w:rsidRPr="001819EC">
        <w:rPr>
          <w:rFonts w:eastAsia="Calibri"/>
          <w:color w:val="010205"/>
          <w:lang w:val="es-ES" w:eastAsia="en-US"/>
        </w:rPr>
        <w:t>.</w:t>
      </w:r>
    </w:p>
    <w:bookmarkEnd w:id="28"/>
    <w:bookmarkEnd w:id="29"/>
    <w:p w14:paraId="70FD6D83" w14:textId="77777777" w:rsidR="001819EC" w:rsidRPr="001819EC" w:rsidRDefault="001819EC" w:rsidP="001819EC">
      <w:pPr>
        <w:spacing w:line="360" w:lineRule="auto"/>
        <w:rPr>
          <w:rFonts w:eastAsia="Calibri"/>
          <w:b/>
          <w:lang w:val="es-ES" w:eastAsia="en-US"/>
        </w:rPr>
      </w:pPr>
    </w:p>
    <w:p w14:paraId="455F4177" w14:textId="77777777" w:rsidR="001819EC" w:rsidRPr="001819EC" w:rsidRDefault="001819EC" w:rsidP="001819EC">
      <w:pPr>
        <w:spacing w:after="160" w:line="259" w:lineRule="auto"/>
        <w:rPr>
          <w:rFonts w:eastAsia="Calibri"/>
          <w:b/>
          <w:sz w:val="22"/>
          <w:szCs w:val="22"/>
          <w:lang w:val="es-ES" w:eastAsia="en-US"/>
        </w:rPr>
      </w:pPr>
      <w:r w:rsidRPr="001819EC">
        <w:rPr>
          <w:rFonts w:eastAsia="Calibri"/>
          <w:b/>
          <w:sz w:val="22"/>
          <w:szCs w:val="22"/>
          <w:lang w:val="es-ES" w:eastAsia="en-US"/>
        </w:rPr>
        <w:br w:type="page"/>
      </w:r>
    </w:p>
    <w:p w14:paraId="725F3AFC" w14:textId="77777777" w:rsidR="001819EC" w:rsidRPr="001819EC" w:rsidRDefault="001819EC" w:rsidP="001819EC">
      <w:pPr>
        <w:spacing w:line="360" w:lineRule="auto"/>
        <w:jc w:val="center"/>
        <w:rPr>
          <w:rFonts w:eastAsia="Calibri"/>
          <w:sz w:val="22"/>
          <w:szCs w:val="22"/>
          <w:lang w:val="es-ES" w:eastAsia="en-US"/>
        </w:rPr>
      </w:pPr>
      <w:r w:rsidRPr="001819EC">
        <w:rPr>
          <w:rFonts w:eastAsia="Calibri"/>
          <w:b/>
          <w:sz w:val="22"/>
          <w:szCs w:val="22"/>
          <w:lang w:val="es-ES" w:eastAsia="en-US"/>
        </w:rPr>
        <w:lastRenderedPageBreak/>
        <w:t xml:space="preserve">Tabla 2 - </w:t>
      </w:r>
      <w:r w:rsidRPr="001819EC">
        <w:rPr>
          <w:rFonts w:eastAsia="Calibri"/>
          <w:bCs/>
          <w:sz w:val="22"/>
          <w:szCs w:val="22"/>
          <w:lang w:val="es-ES" w:eastAsia="en-US"/>
        </w:rPr>
        <w:t xml:space="preserve">Análisis de </w:t>
      </w:r>
      <w:proofErr w:type="spellStart"/>
      <w:r w:rsidRPr="001819EC">
        <w:rPr>
          <w:rFonts w:eastAsia="Calibri"/>
          <w:bCs/>
          <w:sz w:val="22"/>
          <w:szCs w:val="22"/>
          <w:lang w:val="es-ES" w:eastAsia="en-US"/>
        </w:rPr>
        <w:t>INL</w:t>
      </w:r>
      <w:proofErr w:type="spellEnd"/>
      <w:r w:rsidRPr="001819EC">
        <w:rPr>
          <w:rFonts w:eastAsia="Calibri"/>
          <w:bCs/>
          <w:sz w:val="22"/>
          <w:szCs w:val="22"/>
          <w:lang w:val="es-ES" w:eastAsia="en-US"/>
        </w:rPr>
        <w:t xml:space="preserve"> relacionado con la supervivencia de los pacientes </w:t>
      </w:r>
      <w:bookmarkStart w:id="30" w:name="_Hlk117749210"/>
      <w:r w:rsidRPr="001819EC">
        <w:rPr>
          <w:rFonts w:eastAsia="Calibri"/>
          <w:bCs/>
          <w:sz w:val="22"/>
          <w:szCs w:val="22"/>
          <w:lang w:val="es-ES" w:eastAsia="en-US"/>
        </w:rPr>
        <w:t xml:space="preserve">no </w:t>
      </w:r>
      <w:proofErr w:type="spellStart"/>
      <w:r w:rsidRPr="001819EC">
        <w:rPr>
          <w:rFonts w:eastAsia="Calibri"/>
          <w:bCs/>
          <w:sz w:val="22"/>
          <w:szCs w:val="22"/>
          <w:lang w:val="es-ES" w:eastAsia="en-US"/>
        </w:rPr>
        <w:t>progresores</w:t>
      </w:r>
      <w:proofErr w:type="spellEnd"/>
      <w:r w:rsidRPr="001819EC">
        <w:rPr>
          <w:rFonts w:eastAsia="Calibri"/>
          <w:bCs/>
          <w:sz w:val="22"/>
          <w:szCs w:val="22"/>
          <w:lang w:val="es-ES" w:eastAsia="en-US"/>
        </w:rPr>
        <w:t xml:space="preserve"> a la primera línea de tratamiento con QT o </w:t>
      </w:r>
      <w:bookmarkEnd w:id="30"/>
      <w:r w:rsidRPr="001819EC">
        <w:rPr>
          <w:rFonts w:eastAsia="Calibri"/>
          <w:bCs/>
          <w:sz w:val="22"/>
          <w:szCs w:val="22"/>
          <w:lang w:val="es-ES" w:eastAsia="en-US"/>
        </w:rPr>
        <w:t>QT-</w:t>
      </w:r>
      <w:proofErr w:type="spellStart"/>
      <w:r w:rsidRPr="001819EC">
        <w:rPr>
          <w:rFonts w:eastAsia="Calibri"/>
          <w:bCs/>
          <w:sz w:val="22"/>
          <w:szCs w:val="22"/>
          <w:lang w:val="es-ES" w:eastAsia="en-US"/>
        </w:rPr>
        <w:t>RT</w:t>
      </w:r>
      <w:proofErr w:type="spellEnd"/>
    </w:p>
    <w:p w14:paraId="2FB7F187" w14:textId="701FE851" w:rsidR="00C526E4" w:rsidRDefault="00C526E4" w:rsidP="001819EC">
      <w:pPr>
        <w:autoSpaceDE w:val="0"/>
        <w:autoSpaceDN w:val="0"/>
        <w:adjustRightInd w:val="0"/>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1320669C" wp14:editId="5F70349C">
            <wp:extent cx="3628571" cy="3476190"/>
            <wp:effectExtent l="0" t="0" r="0" b="0"/>
            <wp:docPr id="62989537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95377" name="Imagen 629895377"/>
                    <pic:cNvPicPr/>
                  </pic:nvPicPr>
                  <pic:blipFill>
                    <a:blip r:embed="rId23">
                      <a:extLst>
                        <a:ext uri="{28A0092B-C50C-407E-A947-70E740481C1C}">
                          <a14:useLocalDpi xmlns:a14="http://schemas.microsoft.com/office/drawing/2010/main" val="0"/>
                        </a:ext>
                      </a:extLst>
                    </a:blip>
                    <a:stretch>
                      <a:fillRect/>
                    </a:stretch>
                  </pic:blipFill>
                  <pic:spPr>
                    <a:xfrm>
                      <a:off x="0" y="0"/>
                      <a:ext cx="3628571" cy="3476190"/>
                    </a:xfrm>
                    <a:prstGeom prst="rect">
                      <a:avLst/>
                    </a:prstGeom>
                  </pic:spPr>
                </pic:pic>
              </a:graphicData>
            </a:graphic>
          </wp:inline>
        </w:drawing>
      </w:r>
    </w:p>
    <w:p w14:paraId="5D2EA7BB" w14:textId="13D6BA5B" w:rsidR="001819EC" w:rsidRPr="001819EC" w:rsidRDefault="001819EC" w:rsidP="001819EC">
      <w:pPr>
        <w:autoSpaceDE w:val="0"/>
        <w:autoSpaceDN w:val="0"/>
        <w:adjustRightInd w:val="0"/>
        <w:spacing w:line="360" w:lineRule="auto"/>
        <w:jc w:val="center"/>
        <w:rPr>
          <w:rFonts w:eastAsia="Calibri"/>
          <w:sz w:val="16"/>
          <w:szCs w:val="16"/>
          <w:lang w:val="es-ES" w:eastAsia="en-US"/>
        </w:rPr>
      </w:pPr>
      <w:r w:rsidRPr="001819EC">
        <w:rPr>
          <w:rFonts w:eastAsia="Calibri"/>
          <w:sz w:val="16"/>
          <w:szCs w:val="16"/>
          <w:lang w:val="es-ES" w:eastAsia="en-US"/>
        </w:rPr>
        <w:t xml:space="preserve">*SG: supervivencia global, </w:t>
      </w:r>
      <w:bookmarkStart w:id="31" w:name="_Hlk141945105"/>
      <w:r w:rsidRPr="001819EC">
        <w:rPr>
          <w:rFonts w:eastAsia="Calibri"/>
          <w:sz w:val="16"/>
          <w:szCs w:val="16"/>
          <w:lang w:val="es-ES" w:eastAsia="en-US"/>
        </w:rPr>
        <w:t>**</w:t>
      </w:r>
      <w:proofErr w:type="spellStart"/>
      <w:r w:rsidRPr="001819EC">
        <w:rPr>
          <w:rFonts w:eastAsia="Calibri"/>
          <w:sz w:val="16"/>
          <w:szCs w:val="16"/>
          <w:lang w:val="es-ES" w:eastAsia="en-US"/>
        </w:rPr>
        <w:t>INL</w:t>
      </w:r>
      <w:proofErr w:type="spellEnd"/>
      <w:r w:rsidRPr="001819EC">
        <w:rPr>
          <w:rFonts w:eastAsia="Calibri"/>
          <w:sz w:val="16"/>
          <w:szCs w:val="16"/>
          <w:lang w:val="es-ES" w:eastAsia="en-US"/>
        </w:rPr>
        <w:t>: índice de neutrófilos linfocitos</w:t>
      </w:r>
      <w:bookmarkEnd w:id="31"/>
      <w:r w:rsidRPr="001819EC">
        <w:rPr>
          <w:rFonts w:eastAsia="Calibri"/>
          <w:sz w:val="16"/>
          <w:szCs w:val="16"/>
          <w:lang w:val="es-ES" w:eastAsia="en-US"/>
        </w:rPr>
        <w:t>.</w:t>
      </w:r>
    </w:p>
    <w:p w14:paraId="61E5A884" w14:textId="77777777" w:rsidR="001819EC" w:rsidRPr="001819EC" w:rsidRDefault="001819EC" w:rsidP="001819EC">
      <w:pPr>
        <w:autoSpaceDE w:val="0"/>
        <w:autoSpaceDN w:val="0"/>
        <w:adjustRightInd w:val="0"/>
        <w:spacing w:line="360" w:lineRule="auto"/>
        <w:jc w:val="center"/>
        <w:rPr>
          <w:rFonts w:eastAsia="Calibri"/>
          <w:sz w:val="16"/>
          <w:szCs w:val="16"/>
          <w:lang w:val="es-ES" w:eastAsia="en-US"/>
        </w:rPr>
      </w:pPr>
    </w:p>
    <w:p w14:paraId="427ECC42" w14:textId="77777777" w:rsidR="001819EC" w:rsidRPr="001819EC" w:rsidRDefault="001819EC" w:rsidP="001819EC">
      <w:pPr>
        <w:spacing w:line="360" w:lineRule="auto"/>
        <w:jc w:val="both"/>
        <w:rPr>
          <w:rFonts w:eastAsia="Calibri"/>
          <w:color w:val="010205"/>
          <w:lang w:val="es-ES" w:eastAsia="en-US"/>
        </w:rPr>
      </w:pPr>
      <w:bookmarkStart w:id="32" w:name="_Hlk122354706"/>
      <w:bookmarkStart w:id="33" w:name="_Hlk115032488"/>
      <w:r w:rsidRPr="001819EC">
        <w:rPr>
          <w:rFonts w:eastAsia="Calibri"/>
          <w:lang w:val="es-ES" w:eastAsia="en-US"/>
        </w:rPr>
        <w:t xml:space="preserve">En la tabla 3 se observa que, en el análisis de los </w:t>
      </w:r>
      <w:proofErr w:type="spellStart"/>
      <w:r w:rsidRPr="001819EC">
        <w:rPr>
          <w:rFonts w:eastAsia="Calibri"/>
          <w:lang w:val="es-ES" w:eastAsia="en-US"/>
        </w:rPr>
        <w:t>INL</w:t>
      </w:r>
      <w:proofErr w:type="spellEnd"/>
      <w:r w:rsidRPr="001819EC">
        <w:rPr>
          <w:rFonts w:eastAsia="Calibri"/>
          <w:lang w:val="es-ES" w:eastAsia="en-US"/>
        </w:rPr>
        <w:t xml:space="preserve">, en el grupo de pacientes </w:t>
      </w:r>
      <w:proofErr w:type="spellStart"/>
      <w:r w:rsidRPr="001819EC">
        <w:rPr>
          <w:rFonts w:eastAsia="Calibri"/>
          <w:lang w:val="es-ES" w:eastAsia="en-US"/>
        </w:rPr>
        <w:t>progresores</w:t>
      </w:r>
      <w:proofErr w:type="spellEnd"/>
      <w:r w:rsidRPr="001819EC">
        <w:rPr>
          <w:rFonts w:eastAsia="Calibri"/>
          <w:lang w:val="es-ES" w:eastAsia="en-US"/>
        </w:rPr>
        <w:t xml:space="preserve"> a la primera línea de tratamiento, no hubo significación estadística sobre el valor pronóstico, ni el predictivo. </w:t>
      </w:r>
    </w:p>
    <w:bookmarkEnd w:id="32"/>
    <w:p w14:paraId="156EE6EE" w14:textId="77777777" w:rsidR="001819EC" w:rsidRPr="001819EC" w:rsidRDefault="001819EC" w:rsidP="001819EC">
      <w:pPr>
        <w:spacing w:line="360" w:lineRule="auto"/>
        <w:jc w:val="both"/>
        <w:rPr>
          <w:rFonts w:eastAsia="Calibri"/>
          <w:lang w:val="es-ES" w:eastAsia="en-US"/>
        </w:rPr>
      </w:pPr>
    </w:p>
    <w:p w14:paraId="5A9E01F7" w14:textId="77777777" w:rsidR="001819EC" w:rsidRPr="001819EC" w:rsidRDefault="001819EC" w:rsidP="001819EC">
      <w:pPr>
        <w:spacing w:after="160" w:line="259" w:lineRule="auto"/>
        <w:rPr>
          <w:rFonts w:eastAsia="Calibri"/>
          <w:b/>
          <w:sz w:val="22"/>
          <w:szCs w:val="22"/>
          <w:lang w:val="es-ES" w:eastAsia="en-US"/>
        </w:rPr>
      </w:pPr>
      <w:r w:rsidRPr="001819EC">
        <w:rPr>
          <w:rFonts w:eastAsia="Calibri"/>
          <w:b/>
          <w:sz w:val="22"/>
          <w:szCs w:val="22"/>
          <w:lang w:val="es-ES" w:eastAsia="en-US"/>
        </w:rPr>
        <w:br w:type="page"/>
      </w:r>
    </w:p>
    <w:p w14:paraId="7ABE41D6" w14:textId="77777777" w:rsidR="001819EC" w:rsidRPr="001819EC" w:rsidRDefault="001819EC" w:rsidP="001819EC">
      <w:pPr>
        <w:spacing w:line="360" w:lineRule="auto"/>
        <w:jc w:val="center"/>
        <w:rPr>
          <w:rFonts w:eastAsia="Calibri"/>
          <w:bCs/>
          <w:sz w:val="22"/>
          <w:szCs w:val="22"/>
          <w:lang w:val="es-ES" w:eastAsia="en-US"/>
        </w:rPr>
      </w:pPr>
      <w:r w:rsidRPr="001819EC">
        <w:rPr>
          <w:rFonts w:eastAsia="Calibri"/>
          <w:b/>
          <w:sz w:val="22"/>
          <w:szCs w:val="22"/>
          <w:lang w:val="es-ES" w:eastAsia="en-US"/>
        </w:rPr>
        <w:lastRenderedPageBreak/>
        <w:t xml:space="preserve">Tabla 3 - </w:t>
      </w:r>
      <w:r w:rsidRPr="001819EC">
        <w:rPr>
          <w:rFonts w:eastAsia="Calibri"/>
          <w:bCs/>
          <w:sz w:val="22"/>
          <w:szCs w:val="22"/>
          <w:lang w:val="es-ES" w:eastAsia="en-US"/>
        </w:rPr>
        <w:t xml:space="preserve">Análisis de </w:t>
      </w:r>
      <w:proofErr w:type="spellStart"/>
      <w:r w:rsidRPr="001819EC">
        <w:rPr>
          <w:rFonts w:eastAsia="Calibri"/>
          <w:bCs/>
          <w:sz w:val="22"/>
          <w:szCs w:val="22"/>
          <w:lang w:val="es-ES" w:eastAsia="en-US"/>
        </w:rPr>
        <w:t>INL</w:t>
      </w:r>
      <w:proofErr w:type="spellEnd"/>
      <w:r w:rsidRPr="001819EC">
        <w:rPr>
          <w:rFonts w:eastAsia="Calibri"/>
          <w:bCs/>
          <w:sz w:val="22"/>
          <w:szCs w:val="22"/>
          <w:lang w:val="es-ES" w:eastAsia="en-US"/>
        </w:rPr>
        <w:t xml:space="preserve"> relacionado con la supervivencia de los pacientes </w:t>
      </w:r>
      <w:r w:rsidRPr="001819EC">
        <w:rPr>
          <w:rFonts w:eastAsia="Calibri"/>
          <w:bCs/>
          <w:sz w:val="22"/>
          <w:szCs w:val="22"/>
          <w:lang w:val="es-ES" w:eastAsia="en-US"/>
        </w:rPr>
        <w:br/>
      </w:r>
      <w:proofErr w:type="spellStart"/>
      <w:r w:rsidRPr="001819EC">
        <w:rPr>
          <w:rFonts w:eastAsia="Calibri"/>
          <w:bCs/>
          <w:sz w:val="22"/>
          <w:szCs w:val="22"/>
          <w:lang w:val="es-ES" w:eastAsia="en-US"/>
        </w:rPr>
        <w:t>progresores</w:t>
      </w:r>
      <w:proofErr w:type="spellEnd"/>
      <w:r w:rsidRPr="001819EC">
        <w:rPr>
          <w:rFonts w:eastAsia="Calibri"/>
          <w:bCs/>
          <w:sz w:val="22"/>
          <w:szCs w:val="22"/>
          <w:lang w:val="es-ES" w:eastAsia="en-US"/>
        </w:rPr>
        <w:t xml:space="preserve"> a </w:t>
      </w:r>
      <w:bookmarkStart w:id="34" w:name="_Hlk127807840"/>
      <w:r w:rsidRPr="001819EC">
        <w:rPr>
          <w:rFonts w:eastAsia="Calibri"/>
          <w:bCs/>
          <w:sz w:val="22"/>
          <w:szCs w:val="22"/>
          <w:lang w:val="es-ES" w:eastAsia="en-US"/>
        </w:rPr>
        <w:t xml:space="preserve">la primera línea de tratamiento con QT o </w:t>
      </w:r>
      <w:bookmarkEnd w:id="34"/>
      <w:r w:rsidRPr="001819EC">
        <w:rPr>
          <w:rFonts w:eastAsia="Calibri"/>
          <w:bCs/>
          <w:sz w:val="22"/>
          <w:szCs w:val="22"/>
          <w:lang w:val="es-ES" w:eastAsia="en-US"/>
        </w:rPr>
        <w:t>QT-</w:t>
      </w:r>
      <w:proofErr w:type="spellStart"/>
      <w:r w:rsidRPr="001819EC">
        <w:rPr>
          <w:rFonts w:eastAsia="Calibri"/>
          <w:bCs/>
          <w:sz w:val="22"/>
          <w:szCs w:val="22"/>
          <w:lang w:val="es-ES" w:eastAsia="en-US"/>
        </w:rPr>
        <w:t>RT</w:t>
      </w:r>
      <w:bookmarkEnd w:id="33"/>
      <w:proofErr w:type="spellEnd"/>
    </w:p>
    <w:p w14:paraId="6E284493" w14:textId="1CB086F5" w:rsidR="00C526E4" w:rsidRDefault="00C526E4" w:rsidP="001819EC">
      <w:pPr>
        <w:spacing w:line="360" w:lineRule="auto"/>
        <w:jc w:val="center"/>
        <w:rPr>
          <w:rFonts w:eastAsia="Calibri"/>
          <w:iCs/>
          <w:sz w:val="16"/>
          <w:szCs w:val="16"/>
          <w:lang w:val="es-ES" w:eastAsia="en-US"/>
        </w:rPr>
      </w:pPr>
      <w:r>
        <w:rPr>
          <w:rFonts w:eastAsia="Calibri"/>
          <w:iCs/>
          <w:noProof/>
          <w:sz w:val="16"/>
          <w:szCs w:val="16"/>
          <w:lang w:val="es-ES" w:eastAsia="en-US"/>
        </w:rPr>
        <w:drawing>
          <wp:inline distT="0" distB="0" distL="0" distR="0" wp14:anchorId="3B361A81" wp14:editId="0BC9437B">
            <wp:extent cx="3180952" cy="2257143"/>
            <wp:effectExtent l="0" t="0" r="635" b="0"/>
            <wp:docPr id="9770895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89579" name="Imagen 977089579"/>
                    <pic:cNvPicPr/>
                  </pic:nvPicPr>
                  <pic:blipFill>
                    <a:blip r:embed="rId24">
                      <a:extLst>
                        <a:ext uri="{28A0092B-C50C-407E-A947-70E740481C1C}">
                          <a14:useLocalDpi xmlns:a14="http://schemas.microsoft.com/office/drawing/2010/main" val="0"/>
                        </a:ext>
                      </a:extLst>
                    </a:blip>
                    <a:stretch>
                      <a:fillRect/>
                    </a:stretch>
                  </pic:blipFill>
                  <pic:spPr>
                    <a:xfrm>
                      <a:off x="0" y="0"/>
                      <a:ext cx="3180952" cy="2257143"/>
                    </a:xfrm>
                    <a:prstGeom prst="rect">
                      <a:avLst/>
                    </a:prstGeom>
                  </pic:spPr>
                </pic:pic>
              </a:graphicData>
            </a:graphic>
          </wp:inline>
        </w:drawing>
      </w:r>
    </w:p>
    <w:p w14:paraId="732F5525" w14:textId="21484FC0" w:rsidR="001819EC" w:rsidRPr="001819EC" w:rsidRDefault="001819EC" w:rsidP="001819EC">
      <w:pPr>
        <w:spacing w:line="360" w:lineRule="auto"/>
        <w:jc w:val="center"/>
        <w:rPr>
          <w:rFonts w:eastAsia="Calibri"/>
          <w:iCs/>
          <w:sz w:val="16"/>
          <w:szCs w:val="16"/>
          <w:lang w:val="es-ES" w:eastAsia="en-US"/>
        </w:rPr>
      </w:pPr>
      <w:r w:rsidRPr="001819EC">
        <w:rPr>
          <w:rFonts w:eastAsia="Calibri"/>
          <w:iCs/>
          <w:sz w:val="16"/>
          <w:szCs w:val="16"/>
          <w:lang w:val="es-ES" w:eastAsia="en-US"/>
        </w:rPr>
        <w:t>*SG supervivencia global, **</w:t>
      </w:r>
      <w:proofErr w:type="spellStart"/>
      <w:r w:rsidRPr="001819EC">
        <w:rPr>
          <w:rFonts w:eastAsia="Calibri"/>
          <w:iCs/>
          <w:sz w:val="16"/>
          <w:szCs w:val="16"/>
          <w:lang w:val="es-ES" w:eastAsia="en-US"/>
        </w:rPr>
        <w:t>INL</w:t>
      </w:r>
      <w:proofErr w:type="spellEnd"/>
      <w:r w:rsidRPr="001819EC">
        <w:rPr>
          <w:rFonts w:eastAsia="Calibri"/>
          <w:iCs/>
          <w:sz w:val="16"/>
          <w:szCs w:val="16"/>
          <w:lang w:val="es-ES" w:eastAsia="en-US"/>
        </w:rPr>
        <w:t>: índice de neutrófilos linfocitos.</w:t>
      </w:r>
    </w:p>
    <w:p w14:paraId="79E251AB" w14:textId="77777777" w:rsidR="001819EC" w:rsidRPr="001819EC" w:rsidRDefault="001819EC" w:rsidP="001819EC">
      <w:pPr>
        <w:spacing w:line="360" w:lineRule="auto"/>
        <w:jc w:val="center"/>
        <w:rPr>
          <w:rFonts w:eastAsia="Calibri"/>
          <w:sz w:val="16"/>
          <w:szCs w:val="16"/>
          <w:lang w:val="es-ES" w:eastAsia="en-US"/>
        </w:rPr>
      </w:pPr>
    </w:p>
    <w:p w14:paraId="7A63F63E" w14:textId="77777777" w:rsidR="001819EC" w:rsidRPr="001819EC" w:rsidRDefault="001819EC" w:rsidP="001819EC">
      <w:pPr>
        <w:spacing w:line="360" w:lineRule="auto"/>
        <w:jc w:val="both"/>
        <w:rPr>
          <w:rFonts w:eastAsia="Calibri"/>
          <w:lang w:val="es-ES" w:eastAsia="en-US"/>
        </w:rPr>
      </w:pPr>
      <w:bookmarkStart w:id="35" w:name="_Hlk122354739"/>
      <w:r w:rsidRPr="001819EC">
        <w:rPr>
          <w:rFonts w:eastAsia="Calibri"/>
          <w:lang w:val="es-ES" w:eastAsia="en-US"/>
        </w:rPr>
        <w:t xml:space="preserve">En la tabla 4 </w:t>
      </w:r>
      <w:bookmarkStart w:id="36" w:name="_Hlk142356716"/>
      <w:r w:rsidRPr="001819EC">
        <w:rPr>
          <w:rFonts w:eastAsia="Calibri"/>
          <w:lang w:val="es-ES" w:eastAsia="en-US"/>
        </w:rPr>
        <w:t xml:space="preserve">se analiza el valor pronóstico y predictivo que presentan los </w:t>
      </w:r>
      <w:proofErr w:type="spellStart"/>
      <w:r w:rsidRPr="001819EC">
        <w:rPr>
          <w:rFonts w:eastAsia="Calibri"/>
          <w:lang w:val="es-ES" w:eastAsia="en-US"/>
        </w:rPr>
        <w:t>IPL</w:t>
      </w:r>
      <w:proofErr w:type="spellEnd"/>
      <w:r w:rsidRPr="001819EC">
        <w:rPr>
          <w:rFonts w:eastAsia="Calibri"/>
          <w:lang w:val="es-ES" w:eastAsia="en-US"/>
        </w:rPr>
        <w:t xml:space="preserve">, según la supervivencia de </w:t>
      </w:r>
      <w:bookmarkStart w:id="37" w:name="_Hlk127823169"/>
      <w:r w:rsidRPr="001819EC">
        <w:rPr>
          <w:rFonts w:eastAsia="Calibri"/>
          <w:lang w:val="es-ES" w:eastAsia="en-US"/>
        </w:rPr>
        <w:t>los pacientes</w:t>
      </w:r>
      <w:r w:rsidRPr="001819EC">
        <w:rPr>
          <w:rFonts w:eastAsia="Calibri"/>
          <w:b/>
          <w:lang w:val="es-ES" w:eastAsia="en-US"/>
        </w:rPr>
        <w:t xml:space="preserve"> </w:t>
      </w:r>
      <w:r w:rsidRPr="001819EC">
        <w:rPr>
          <w:rFonts w:eastAsia="Calibri"/>
          <w:bCs/>
          <w:lang w:val="es-ES" w:eastAsia="en-US"/>
        </w:rPr>
        <w:t xml:space="preserve">no </w:t>
      </w:r>
      <w:proofErr w:type="spellStart"/>
      <w:r w:rsidRPr="001819EC">
        <w:rPr>
          <w:rFonts w:eastAsia="Calibri"/>
          <w:bCs/>
          <w:lang w:val="es-ES" w:eastAsia="en-US"/>
        </w:rPr>
        <w:t>progresores</w:t>
      </w:r>
      <w:proofErr w:type="spellEnd"/>
      <w:r w:rsidRPr="001819EC">
        <w:rPr>
          <w:rFonts w:eastAsia="Calibri"/>
          <w:bCs/>
          <w:lang w:val="es-ES" w:eastAsia="en-US"/>
        </w:rPr>
        <w:t xml:space="preserve"> a la primera línea de tratamiento oncológico.</w:t>
      </w:r>
      <w:bookmarkEnd w:id="37"/>
      <w:r w:rsidRPr="001819EC">
        <w:rPr>
          <w:rFonts w:eastAsia="Calibri"/>
          <w:bCs/>
          <w:lang w:val="es-ES" w:eastAsia="en-US"/>
        </w:rPr>
        <w:t xml:space="preserve"> Este índice no muestra diferencias en el grupo control y no refleja significación estadística en el valor pronóstico. </w:t>
      </w:r>
      <w:bookmarkEnd w:id="36"/>
      <w:r w:rsidRPr="001819EC">
        <w:rPr>
          <w:rFonts w:eastAsia="Calibri"/>
          <w:bCs/>
          <w:lang w:val="es-ES" w:eastAsia="en-US"/>
        </w:rPr>
        <w:t xml:space="preserve">Se muestra significación estadística en la supervivencia de los pacientes que recibieron </w:t>
      </w:r>
      <w:proofErr w:type="spellStart"/>
      <w:r w:rsidRPr="001819EC">
        <w:rPr>
          <w:rFonts w:eastAsia="Calibri"/>
          <w:bCs/>
          <w:lang w:val="es-ES" w:eastAsia="en-US"/>
        </w:rPr>
        <w:t>nimotuzumab</w:t>
      </w:r>
      <w:proofErr w:type="spellEnd"/>
      <w:r w:rsidRPr="001819EC">
        <w:rPr>
          <w:rFonts w:eastAsia="Calibri"/>
          <w:bCs/>
          <w:lang w:val="es-ES" w:eastAsia="en-US"/>
        </w:rPr>
        <w:t xml:space="preserve">, </w:t>
      </w:r>
      <w:r w:rsidRPr="001819EC">
        <w:rPr>
          <w:rFonts w:eastAsia="Calibri"/>
          <w:color w:val="010205"/>
          <w:lang w:val="es-ES" w:eastAsia="en-US"/>
        </w:rPr>
        <w:t xml:space="preserve">con </w:t>
      </w:r>
      <w:bookmarkStart w:id="38" w:name="_Hlk117754302"/>
      <w:bookmarkStart w:id="39" w:name="_Hlk122352928"/>
      <w:proofErr w:type="spellStart"/>
      <w:r w:rsidRPr="001819EC">
        <w:rPr>
          <w:rFonts w:eastAsia="Calibri"/>
          <w:color w:val="000000"/>
          <w:lang w:val="es-ES" w:eastAsia="en-US"/>
        </w:rPr>
        <w:t>IPL</w:t>
      </w:r>
      <w:proofErr w:type="spellEnd"/>
      <w:r w:rsidRPr="001819EC">
        <w:rPr>
          <w:rFonts w:eastAsia="Calibri"/>
          <w:lang w:val="es-ES" w:eastAsia="en-US"/>
        </w:rPr>
        <w:t>&lt; 10</w:t>
      </w:r>
      <w:bookmarkEnd w:id="38"/>
      <w:r w:rsidRPr="001819EC">
        <w:rPr>
          <w:rFonts w:eastAsia="Calibri"/>
          <w:lang w:val="es-ES" w:eastAsia="en-US"/>
        </w:rPr>
        <w:t>0, en relación con el grupo control</w:t>
      </w:r>
      <w:bookmarkStart w:id="40" w:name="_Hlk130157135"/>
      <w:bookmarkStart w:id="41" w:name="_Hlk117754323"/>
      <w:r w:rsidRPr="001819EC">
        <w:rPr>
          <w:rFonts w:eastAsia="Calibri"/>
          <w:lang w:val="es-ES" w:eastAsia="en-US"/>
        </w:rPr>
        <w:t>, p=</w:t>
      </w:r>
      <w:bookmarkEnd w:id="40"/>
      <w:r w:rsidRPr="001819EC">
        <w:rPr>
          <w:rFonts w:eastAsia="Calibri"/>
          <w:lang w:val="es-ES" w:eastAsia="en-US"/>
        </w:rPr>
        <w:t xml:space="preserve"> 0,030 y SG de 12,6 meses, </w:t>
      </w:r>
      <w:r w:rsidRPr="001819EC">
        <w:rPr>
          <w:rFonts w:eastAsia="Calibri"/>
          <w:color w:val="010205"/>
          <w:lang w:val="es-ES" w:eastAsia="en-US"/>
        </w:rPr>
        <w:t>contra 8,7 meses</w:t>
      </w:r>
      <w:bookmarkEnd w:id="41"/>
      <w:r w:rsidRPr="001819EC">
        <w:rPr>
          <w:rFonts w:eastAsia="Calibri"/>
          <w:color w:val="010205"/>
          <w:lang w:val="es-ES" w:eastAsia="en-US"/>
        </w:rPr>
        <w:t xml:space="preserve">. También se muestra significación estadística a favor del </w:t>
      </w:r>
      <w:proofErr w:type="spellStart"/>
      <w:r w:rsidRPr="001819EC">
        <w:rPr>
          <w:rFonts w:eastAsia="Calibri"/>
          <w:color w:val="010205"/>
          <w:lang w:val="es-ES" w:eastAsia="en-US"/>
        </w:rPr>
        <w:t>nimotuzumab</w:t>
      </w:r>
      <w:proofErr w:type="spellEnd"/>
      <w:r w:rsidRPr="001819EC">
        <w:rPr>
          <w:rFonts w:eastAsia="Calibri"/>
          <w:color w:val="010205"/>
          <w:lang w:val="es-ES" w:eastAsia="en-US"/>
        </w:rPr>
        <w:t xml:space="preserve"> sobre el </w:t>
      </w:r>
      <w:proofErr w:type="spellStart"/>
      <w:r w:rsidRPr="001819EC">
        <w:rPr>
          <w:rFonts w:eastAsia="Calibri"/>
          <w:color w:val="010205"/>
          <w:lang w:val="es-ES" w:eastAsia="en-US"/>
        </w:rPr>
        <w:t>docetaxel</w:t>
      </w:r>
      <w:proofErr w:type="spellEnd"/>
      <w:r w:rsidRPr="001819EC">
        <w:rPr>
          <w:rFonts w:eastAsia="Calibri"/>
          <w:color w:val="010205"/>
          <w:lang w:val="es-ES" w:eastAsia="en-US"/>
        </w:rPr>
        <w:t xml:space="preserve"> en los pacientes con </w:t>
      </w:r>
      <w:proofErr w:type="spellStart"/>
      <w:r w:rsidRPr="001819EC">
        <w:rPr>
          <w:rFonts w:eastAsia="Calibri"/>
          <w:lang w:val="es-ES" w:eastAsia="en-US"/>
        </w:rPr>
        <w:t>IPL</w:t>
      </w:r>
      <w:proofErr w:type="spellEnd"/>
      <w:r w:rsidRPr="001819EC">
        <w:rPr>
          <w:rFonts w:eastAsia="Calibri"/>
          <w:lang w:val="es-ES" w:eastAsia="en-US"/>
        </w:rPr>
        <w:t>&lt; 100, con p= 0,009 y supervivencia de 12,6 meses, contra 9,6 meses.</w:t>
      </w:r>
    </w:p>
    <w:bookmarkEnd w:id="35"/>
    <w:bookmarkEnd w:id="39"/>
    <w:p w14:paraId="67EAA2BB" w14:textId="77777777" w:rsidR="001819EC" w:rsidRPr="001819EC" w:rsidRDefault="001819EC" w:rsidP="001819EC">
      <w:pPr>
        <w:spacing w:line="360" w:lineRule="auto"/>
        <w:rPr>
          <w:rFonts w:eastAsia="Calibri"/>
          <w:b/>
          <w:lang w:val="es-ES" w:eastAsia="en-US"/>
        </w:rPr>
      </w:pPr>
    </w:p>
    <w:p w14:paraId="2F71C3AA" w14:textId="77777777" w:rsidR="001819EC" w:rsidRPr="001819EC" w:rsidRDefault="001819EC" w:rsidP="001819EC">
      <w:pPr>
        <w:spacing w:after="160" w:line="259" w:lineRule="auto"/>
        <w:rPr>
          <w:rFonts w:eastAsia="Calibri"/>
          <w:b/>
          <w:sz w:val="22"/>
          <w:szCs w:val="22"/>
          <w:lang w:val="es-ES" w:eastAsia="en-US"/>
        </w:rPr>
      </w:pPr>
      <w:r w:rsidRPr="001819EC">
        <w:rPr>
          <w:rFonts w:eastAsia="Calibri"/>
          <w:b/>
          <w:sz w:val="22"/>
          <w:szCs w:val="22"/>
          <w:lang w:val="es-ES" w:eastAsia="en-US"/>
        </w:rPr>
        <w:br w:type="page"/>
      </w:r>
    </w:p>
    <w:p w14:paraId="3A6C2188" w14:textId="77777777" w:rsidR="001819EC" w:rsidRPr="001819EC" w:rsidRDefault="001819EC" w:rsidP="001819EC">
      <w:pPr>
        <w:spacing w:line="360" w:lineRule="auto"/>
        <w:jc w:val="center"/>
        <w:rPr>
          <w:rFonts w:eastAsia="Calibri"/>
          <w:sz w:val="22"/>
          <w:szCs w:val="22"/>
          <w:lang w:val="es-ES" w:eastAsia="en-US"/>
        </w:rPr>
      </w:pPr>
      <w:r w:rsidRPr="001819EC">
        <w:rPr>
          <w:rFonts w:eastAsia="Calibri"/>
          <w:b/>
          <w:sz w:val="22"/>
          <w:szCs w:val="22"/>
          <w:lang w:val="es-ES" w:eastAsia="en-US"/>
        </w:rPr>
        <w:lastRenderedPageBreak/>
        <w:t xml:space="preserve">Tabla 4 - </w:t>
      </w:r>
      <w:r w:rsidRPr="001819EC">
        <w:rPr>
          <w:rFonts w:eastAsia="Calibri"/>
          <w:sz w:val="22"/>
          <w:szCs w:val="22"/>
          <w:lang w:val="es-ES" w:eastAsia="en-US"/>
        </w:rPr>
        <w:t xml:space="preserve">Análisis de </w:t>
      </w:r>
      <w:proofErr w:type="spellStart"/>
      <w:r w:rsidRPr="001819EC">
        <w:rPr>
          <w:rFonts w:eastAsia="Calibri"/>
          <w:sz w:val="22"/>
          <w:szCs w:val="22"/>
          <w:lang w:val="es-ES" w:eastAsia="en-US"/>
        </w:rPr>
        <w:t>IPL</w:t>
      </w:r>
      <w:proofErr w:type="spellEnd"/>
      <w:r w:rsidRPr="001819EC">
        <w:rPr>
          <w:rFonts w:eastAsia="Calibri"/>
          <w:sz w:val="22"/>
          <w:szCs w:val="22"/>
          <w:lang w:val="es-ES" w:eastAsia="en-US"/>
        </w:rPr>
        <w:t xml:space="preserve"> relacionado con la supervivencia de los </w:t>
      </w:r>
      <w:bookmarkStart w:id="42" w:name="_Hlk115043487"/>
      <w:r w:rsidRPr="001819EC">
        <w:rPr>
          <w:rFonts w:eastAsia="Calibri"/>
          <w:sz w:val="22"/>
          <w:szCs w:val="22"/>
          <w:lang w:val="es-ES" w:eastAsia="en-US"/>
        </w:rPr>
        <w:t xml:space="preserve">pacientes no </w:t>
      </w:r>
      <w:proofErr w:type="spellStart"/>
      <w:r w:rsidRPr="001819EC">
        <w:rPr>
          <w:rFonts w:eastAsia="Calibri"/>
          <w:sz w:val="22"/>
          <w:szCs w:val="22"/>
          <w:lang w:val="es-ES" w:eastAsia="en-US"/>
        </w:rPr>
        <w:t>progresores</w:t>
      </w:r>
      <w:proofErr w:type="spellEnd"/>
      <w:r w:rsidRPr="001819EC">
        <w:rPr>
          <w:rFonts w:eastAsia="Calibri"/>
          <w:sz w:val="22"/>
          <w:szCs w:val="22"/>
          <w:lang w:val="es-ES" w:eastAsia="en-US"/>
        </w:rPr>
        <w:t xml:space="preserve"> a la primera línea de tratamiento </w:t>
      </w:r>
      <w:proofErr w:type="spellStart"/>
      <w:r w:rsidRPr="001819EC">
        <w:rPr>
          <w:rFonts w:eastAsia="Calibri"/>
          <w:sz w:val="22"/>
          <w:szCs w:val="22"/>
          <w:lang w:val="es-ES" w:eastAsia="en-US"/>
        </w:rPr>
        <w:t>oncoespecífico</w:t>
      </w:r>
      <w:proofErr w:type="spellEnd"/>
      <w:r w:rsidRPr="001819EC">
        <w:rPr>
          <w:rFonts w:eastAsia="Calibri"/>
          <w:sz w:val="22"/>
          <w:szCs w:val="22"/>
          <w:lang w:val="es-ES" w:eastAsia="en-US"/>
        </w:rPr>
        <w:t xml:space="preserve"> con QT o </w:t>
      </w:r>
      <w:bookmarkEnd w:id="42"/>
      <w:r w:rsidRPr="001819EC">
        <w:rPr>
          <w:rFonts w:eastAsia="Calibri"/>
          <w:sz w:val="22"/>
          <w:szCs w:val="22"/>
          <w:lang w:val="es-ES" w:eastAsia="en-US"/>
        </w:rPr>
        <w:t>QT-</w:t>
      </w:r>
      <w:proofErr w:type="spellStart"/>
      <w:r w:rsidRPr="001819EC">
        <w:rPr>
          <w:rFonts w:eastAsia="Calibri"/>
          <w:sz w:val="22"/>
          <w:szCs w:val="22"/>
          <w:lang w:val="es-ES" w:eastAsia="en-US"/>
        </w:rPr>
        <w:t>RT</w:t>
      </w:r>
      <w:proofErr w:type="spellEnd"/>
    </w:p>
    <w:p w14:paraId="4D1A26F3" w14:textId="7E59F26B" w:rsidR="00C526E4" w:rsidRDefault="00C526E4" w:rsidP="001819EC">
      <w:pPr>
        <w:autoSpaceDE w:val="0"/>
        <w:autoSpaceDN w:val="0"/>
        <w:adjustRightInd w:val="0"/>
        <w:spacing w:line="360" w:lineRule="auto"/>
        <w:jc w:val="center"/>
        <w:rPr>
          <w:rFonts w:eastAsia="Calibri"/>
          <w:iCs/>
          <w:sz w:val="16"/>
          <w:szCs w:val="16"/>
          <w:lang w:val="es-ES" w:eastAsia="en-US"/>
        </w:rPr>
      </w:pPr>
      <w:r>
        <w:rPr>
          <w:rFonts w:eastAsia="Calibri"/>
          <w:iCs/>
          <w:noProof/>
          <w:sz w:val="16"/>
          <w:szCs w:val="16"/>
          <w:lang w:val="es-ES" w:eastAsia="en-US"/>
        </w:rPr>
        <w:drawing>
          <wp:inline distT="0" distB="0" distL="0" distR="0" wp14:anchorId="5BB5FB9D" wp14:editId="01B07534">
            <wp:extent cx="3895238" cy="3476190"/>
            <wp:effectExtent l="0" t="0" r="0" b="0"/>
            <wp:docPr id="14856415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41522" name="Imagen 1485641522"/>
                    <pic:cNvPicPr/>
                  </pic:nvPicPr>
                  <pic:blipFill>
                    <a:blip r:embed="rId25">
                      <a:extLst>
                        <a:ext uri="{28A0092B-C50C-407E-A947-70E740481C1C}">
                          <a14:useLocalDpi xmlns:a14="http://schemas.microsoft.com/office/drawing/2010/main" val="0"/>
                        </a:ext>
                      </a:extLst>
                    </a:blip>
                    <a:stretch>
                      <a:fillRect/>
                    </a:stretch>
                  </pic:blipFill>
                  <pic:spPr>
                    <a:xfrm>
                      <a:off x="0" y="0"/>
                      <a:ext cx="3895238" cy="3476190"/>
                    </a:xfrm>
                    <a:prstGeom prst="rect">
                      <a:avLst/>
                    </a:prstGeom>
                  </pic:spPr>
                </pic:pic>
              </a:graphicData>
            </a:graphic>
          </wp:inline>
        </w:drawing>
      </w:r>
    </w:p>
    <w:p w14:paraId="70955B90" w14:textId="5C15D85C" w:rsidR="001819EC" w:rsidRPr="001819EC" w:rsidRDefault="001819EC" w:rsidP="001819EC">
      <w:pPr>
        <w:autoSpaceDE w:val="0"/>
        <w:autoSpaceDN w:val="0"/>
        <w:adjustRightInd w:val="0"/>
        <w:spacing w:line="360" w:lineRule="auto"/>
        <w:jc w:val="center"/>
        <w:rPr>
          <w:rFonts w:eastAsia="Calibri"/>
          <w:i/>
          <w:sz w:val="16"/>
          <w:szCs w:val="16"/>
          <w:lang w:val="es-ES" w:eastAsia="en-US"/>
        </w:rPr>
      </w:pPr>
      <w:r w:rsidRPr="001819EC">
        <w:rPr>
          <w:rFonts w:eastAsia="Calibri"/>
          <w:iCs/>
          <w:sz w:val="16"/>
          <w:szCs w:val="16"/>
          <w:lang w:val="es-ES" w:eastAsia="en-US"/>
        </w:rPr>
        <w:t>*SG: supervivencia global, **</w:t>
      </w:r>
      <w:proofErr w:type="spellStart"/>
      <w:r w:rsidRPr="001819EC">
        <w:rPr>
          <w:rFonts w:eastAsia="Calibri"/>
          <w:iCs/>
          <w:sz w:val="16"/>
          <w:szCs w:val="16"/>
          <w:lang w:val="es-ES" w:eastAsia="en-US"/>
        </w:rPr>
        <w:t>IPL</w:t>
      </w:r>
      <w:proofErr w:type="spellEnd"/>
      <w:r w:rsidRPr="001819EC">
        <w:rPr>
          <w:rFonts w:eastAsia="Calibri"/>
          <w:iCs/>
          <w:sz w:val="16"/>
          <w:szCs w:val="16"/>
          <w:lang w:val="es-ES" w:eastAsia="en-US"/>
        </w:rPr>
        <w:t>: índice de plaquetas linfocitos.</w:t>
      </w:r>
    </w:p>
    <w:p w14:paraId="2CE6A6AA" w14:textId="77777777" w:rsidR="001819EC" w:rsidRPr="001819EC" w:rsidRDefault="001819EC" w:rsidP="001819EC">
      <w:pPr>
        <w:autoSpaceDE w:val="0"/>
        <w:autoSpaceDN w:val="0"/>
        <w:adjustRightInd w:val="0"/>
        <w:spacing w:line="360" w:lineRule="auto"/>
        <w:jc w:val="both"/>
        <w:rPr>
          <w:rFonts w:eastAsia="Calibri"/>
          <w:lang w:val="es-ES" w:eastAsia="en-US"/>
        </w:rPr>
      </w:pPr>
    </w:p>
    <w:p w14:paraId="27948B45" w14:textId="77777777" w:rsidR="001819EC" w:rsidRPr="001819EC" w:rsidRDefault="001819EC" w:rsidP="001819EC">
      <w:pPr>
        <w:spacing w:line="360" w:lineRule="auto"/>
        <w:jc w:val="both"/>
        <w:rPr>
          <w:rFonts w:eastAsia="Calibri"/>
          <w:lang w:val="es-ES" w:eastAsia="en-US"/>
        </w:rPr>
      </w:pPr>
      <w:bookmarkStart w:id="43" w:name="_Hlk122354766"/>
      <w:r w:rsidRPr="001819EC">
        <w:rPr>
          <w:rFonts w:eastAsia="Calibri"/>
          <w:lang w:val="es-ES" w:eastAsia="en-US"/>
        </w:rPr>
        <w:t xml:space="preserve">En la tabla 5 se muestra que el </w:t>
      </w:r>
      <w:proofErr w:type="spellStart"/>
      <w:r w:rsidRPr="001819EC">
        <w:rPr>
          <w:rFonts w:eastAsia="Calibri"/>
          <w:lang w:val="es-ES" w:eastAsia="en-US"/>
        </w:rPr>
        <w:t>IPL</w:t>
      </w:r>
      <w:proofErr w:type="spellEnd"/>
      <w:r w:rsidRPr="001819EC">
        <w:rPr>
          <w:rFonts w:eastAsia="Calibri"/>
          <w:lang w:val="es-ES" w:eastAsia="en-US"/>
        </w:rPr>
        <w:t xml:space="preserve"> en pacientes </w:t>
      </w:r>
      <w:proofErr w:type="spellStart"/>
      <w:r w:rsidRPr="001819EC">
        <w:rPr>
          <w:rFonts w:eastAsia="Calibri"/>
          <w:bCs/>
          <w:lang w:val="es-ES" w:eastAsia="en-US"/>
        </w:rPr>
        <w:t>progresores</w:t>
      </w:r>
      <w:proofErr w:type="spellEnd"/>
      <w:r w:rsidRPr="001819EC">
        <w:rPr>
          <w:rFonts w:eastAsia="Calibri"/>
          <w:bCs/>
          <w:lang w:val="es-ES" w:eastAsia="en-US"/>
        </w:rPr>
        <w:t xml:space="preserve"> </w:t>
      </w:r>
      <w:r w:rsidRPr="001819EC">
        <w:rPr>
          <w:rFonts w:eastAsia="Calibri"/>
          <w:lang w:val="es-ES" w:eastAsia="en-US"/>
        </w:rPr>
        <w:t xml:space="preserve">no refleja valor pronóstico, ni predictivo cuando se analizan a los individuos tratados con </w:t>
      </w:r>
      <w:proofErr w:type="spellStart"/>
      <w:r w:rsidRPr="001819EC">
        <w:rPr>
          <w:rFonts w:eastAsia="Calibri"/>
          <w:lang w:val="es-ES" w:eastAsia="en-US"/>
        </w:rPr>
        <w:t>nimotuzumab</w:t>
      </w:r>
      <w:proofErr w:type="spellEnd"/>
      <w:r w:rsidRPr="001819EC">
        <w:rPr>
          <w:rFonts w:eastAsia="Calibri"/>
          <w:lang w:val="es-ES" w:eastAsia="en-US"/>
        </w:rPr>
        <w:t xml:space="preserve">. </w:t>
      </w:r>
    </w:p>
    <w:p w14:paraId="08AFA2CC" w14:textId="77777777" w:rsidR="001819EC" w:rsidRPr="001819EC" w:rsidRDefault="001819EC" w:rsidP="001819EC">
      <w:pPr>
        <w:spacing w:line="360" w:lineRule="auto"/>
        <w:jc w:val="both"/>
        <w:rPr>
          <w:rFonts w:eastAsia="Calibri"/>
          <w:lang w:val="es-ES" w:eastAsia="en-US"/>
        </w:rPr>
      </w:pPr>
    </w:p>
    <w:bookmarkEnd w:id="43"/>
    <w:p w14:paraId="55051F96" w14:textId="77777777" w:rsidR="001819EC" w:rsidRPr="001819EC" w:rsidRDefault="001819EC" w:rsidP="001819EC">
      <w:pPr>
        <w:spacing w:after="160" w:line="259" w:lineRule="auto"/>
        <w:rPr>
          <w:rFonts w:ascii="Verdana" w:eastAsia="Calibri" w:hAnsi="Verdana"/>
          <w:b/>
          <w:sz w:val="20"/>
          <w:szCs w:val="20"/>
          <w:lang w:val="es-ES" w:eastAsia="en-US"/>
        </w:rPr>
      </w:pPr>
      <w:r w:rsidRPr="001819EC">
        <w:rPr>
          <w:rFonts w:ascii="Verdana" w:eastAsia="Calibri" w:hAnsi="Verdana"/>
          <w:b/>
          <w:sz w:val="20"/>
          <w:szCs w:val="20"/>
          <w:lang w:val="es-ES" w:eastAsia="en-US"/>
        </w:rPr>
        <w:br w:type="page"/>
      </w:r>
    </w:p>
    <w:p w14:paraId="40998F2A" w14:textId="77777777" w:rsidR="001819EC" w:rsidRPr="001819EC" w:rsidRDefault="001819EC" w:rsidP="001819EC">
      <w:pPr>
        <w:spacing w:line="360" w:lineRule="auto"/>
        <w:jc w:val="center"/>
        <w:rPr>
          <w:rFonts w:eastAsia="Calibri"/>
          <w:sz w:val="22"/>
          <w:szCs w:val="22"/>
          <w:lang w:val="es-ES" w:eastAsia="en-US"/>
        </w:rPr>
      </w:pPr>
      <w:r w:rsidRPr="001819EC">
        <w:rPr>
          <w:rFonts w:eastAsia="Calibri"/>
          <w:b/>
          <w:sz w:val="22"/>
          <w:szCs w:val="22"/>
          <w:lang w:val="es-ES" w:eastAsia="en-US"/>
        </w:rPr>
        <w:lastRenderedPageBreak/>
        <w:t xml:space="preserve">Tabla 5 - </w:t>
      </w:r>
      <w:r w:rsidRPr="001819EC">
        <w:rPr>
          <w:rFonts w:eastAsia="Calibri"/>
          <w:sz w:val="22"/>
          <w:szCs w:val="22"/>
          <w:lang w:val="es-ES" w:eastAsia="en-US"/>
        </w:rPr>
        <w:t xml:space="preserve">Análisis de </w:t>
      </w:r>
      <w:proofErr w:type="spellStart"/>
      <w:r w:rsidRPr="001819EC">
        <w:rPr>
          <w:rFonts w:eastAsia="Calibri"/>
          <w:sz w:val="22"/>
          <w:szCs w:val="22"/>
          <w:lang w:val="es-ES" w:eastAsia="en-US"/>
        </w:rPr>
        <w:t>IPL</w:t>
      </w:r>
      <w:proofErr w:type="spellEnd"/>
      <w:r w:rsidRPr="001819EC">
        <w:rPr>
          <w:rFonts w:eastAsia="Calibri"/>
          <w:sz w:val="22"/>
          <w:szCs w:val="22"/>
          <w:lang w:val="es-ES" w:eastAsia="en-US"/>
        </w:rPr>
        <w:t xml:space="preserve"> relacionado con la supervivencia de los pacientes </w:t>
      </w:r>
      <w:bookmarkStart w:id="44" w:name="_Hlk127822934"/>
      <w:r w:rsidRPr="001819EC">
        <w:rPr>
          <w:rFonts w:eastAsia="Calibri"/>
          <w:sz w:val="22"/>
          <w:szCs w:val="22"/>
          <w:lang w:val="es-ES" w:eastAsia="en-US"/>
        </w:rPr>
        <w:br/>
      </w:r>
      <w:proofErr w:type="spellStart"/>
      <w:r w:rsidRPr="001819EC">
        <w:rPr>
          <w:rFonts w:eastAsia="Calibri"/>
          <w:sz w:val="22"/>
          <w:szCs w:val="22"/>
          <w:lang w:val="es-ES" w:eastAsia="en-US"/>
        </w:rPr>
        <w:t>progresores</w:t>
      </w:r>
      <w:proofErr w:type="spellEnd"/>
      <w:r w:rsidRPr="001819EC">
        <w:rPr>
          <w:rFonts w:eastAsia="Calibri"/>
          <w:sz w:val="22"/>
          <w:szCs w:val="22"/>
          <w:lang w:val="es-ES" w:eastAsia="en-US"/>
        </w:rPr>
        <w:t xml:space="preserve"> a la primera línea de tratamiento </w:t>
      </w:r>
      <w:proofErr w:type="spellStart"/>
      <w:r w:rsidRPr="001819EC">
        <w:rPr>
          <w:rFonts w:eastAsia="Calibri"/>
          <w:sz w:val="22"/>
          <w:szCs w:val="22"/>
          <w:lang w:val="es-ES" w:eastAsia="en-US"/>
        </w:rPr>
        <w:t>oncoespecífico</w:t>
      </w:r>
      <w:proofErr w:type="spellEnd"/>
      <w:r w:rsidRPr="001819EC">
        <w:rPr>
          <w:rFonts w:eastAsia="Calibri"/>
          <w:sz w:val="22"/>
          <w:szCs w:val="22"/>
          <w:lang w:val="es-ES" w:eastAsia="en-US"/>
        </w:rPr>
        <w:t xml:space="preserve"> con QT o QT-</w:t>
      </w:r>
      <w:proofErr w:type="spellStart"/>
      <w:r w:rsidRPr="001819EC">
        <w:rPr>
          <w:rFonts w:eastAsia="Calibri"/>
          <w:sz w:val="22"/>
          <w:szCs w:val="22"/>
          <w:lang w:val="es-ES" w:eastAsia="en-US"/>
        </w:rPr>
        <w:t>RT</w:t>
      </w:r>
      <w:bookmarkEnd w:id="44"/>
      <w:proofErr w:type="spellEnd"/>
    </w:p>
    <w:p w14:paraId="7999A604" w14:textId="35E15682" w:rsidR="00C526E4" w:rsidRDefault="00C526E4" w:rsidP="001819EC">
      <w:pPr>
        <w:autoSpaceDE w:val="0"/>
        <w:autoSpaceDN w:val="0"/>
        <w:adjustRightInd w:val="0"/>
        <w:spacing w:line="360" w:lineRule="auto"/>
        <w:jc w:val="center"/>
        <w:rPr>
          <w:rFonts w:eastAsia="Calibri"/>
          <w:iCs/>
          <w:sz w:val="16"/>
          <w:szCs w:val="16"/>
          <w:lang w:val="es-ES" w:eastAsia="en-US"/>
        </w:rPr>
      </w:pPr>
      <w:r>
        <w:rPr>
          <w:rFonts w:eastAsia="Calibri"/>
          <w:iCs/>
          <w:noProof/>
          <w:sz w:val="16"/>
          <w:szCs w:val="16"/>
          <w:lang w:val="es-ES" w:eastAsia="en-US"/>
        </w:rPr>
        <w:drawing>
          <wp:inline distT="0" distB="0" distL="0" distR="0" wp14:anchorId="20C0849B" wp14:editId="734FEBCC">
            <wp:extent cx="3447619" cy="2257143"/>
            <wp:effectExtent l="0" t="0" r="635" b="0"/>
            <wp:docPr id="18811704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70408" name="Imagen 1881170408"/>
                    <pic:cNvPicPr/>
                  </pic:nvPicPr>
                  <pic:blipFill>
                    <a:blip r:embed="rId26">
                      <a:extLst>
                        <a:ext uri="{28A0092B-C50C-407E-A947-70E740481C1C}">
                          <a14:useLocalDpi xmlns:a14="http://schemas.microsoft.com/office/drawing/2010/main" val="0"/>
                        </a:ext>
                      </a:extLst>
                    </a:blip>
                    <a:stretch>
                      <a:fillRect/>
                    </a:stretch>
                  </pic:blipFill>
                  <pic:spPr>
                    <a:xfrm>
                      <a:off x="0" y="0"/>
                      <a:ext cx="3447619" cy="2257143"/>
                    </a:xfrm>
                    <a:prstGeom prst="rect">
                      <a:avLst/>
                    </a:prstGeom>
                  </pic:spPr>
                </pic:pic>
              </a:graphicData>
            </a:graphic>
          </wp:inline>
        </w:drawing>
      </w:r>
    </w:p>
    <w:p w14:paraId="1255DF37" w14:textId="4714875C" w:rsidR="001819EC" w:rsidRPr="001819EC" w:rsidRDefault="001819EC" w:rsidP="001819EC">
      <w:pPr>
        <w:autoSpaceDE w:val="0"/>
        <w:autoSpaceDN w:val="0"/>
        <w:adjustRightInd w:val="0"/>
        <w:spacing w:line="360" w:lineRule="auto"/>
        <w:jc w:val="center"/>
        <w:rPr>
          <w:rFonts w:eastAsia="Calibri"/>
          <w:iCs/>
          <w:sz w:val="16"/>
          <w:szCs w:val="16"/>
          <w:lang w:val="es-ES" w:eastAsia="en-US"/>
        </w:rPr>
      </w:pPr>
      <w:r w:rsidRPr="001819EC">
        <w:rPr>
          <w:rFonts w:eastAsia="Calibri"/>
          <w:iCs/>
          <w:sz w:val="16"/>
          <w:szCs w:val="16"/>
          <w:lang w:val="es-ES" w:eastAsia="en-US"/>
        </w:rPr>
        <w:t>*SG: supervivencia global; **</w:t>
      </w:r>
      <w:proofErr w:type="spellStart"/>
      <w:r w:rsidRPr="001819EC">
        <w:rPr>
          <w:rFonts w:eastAsia="Calibri"/>
          <w:iCs/>
          <w:sz w:val="16"/>
          <w:szCs w:val="16"/>
          <w:lang w:val="es-ES" w:eastAsia="en-US"/>
        </w:rPr>
        <w:t>IPL</w:t>
      </w:r>
      <w:proofErr w:type="spellEnd"/>
      <w:r w:rsidRPr="001819EC">
        <w:rPr>
          <w:rFonts w:eastAsia="Calibri"/>
          <w:iCs/>
          <w:sz w:val="16"/>
          <w:szCs w:val="16"/>
          <w:lang w:val="es-ES" w:eastAsia="en-US"/>
        </w:rPr>
        <w:t>: índice de plaquetas linfocitos.</w:t>
      </w:r>
    </w:p>
    <w:p w14:paraId="03610039" w14:textId="77777777" w:rsidR="001819EC" w:rsidRPr="001819EC" w:rsidRDefault="001819EC" w:rsidP="001819EC">
      <w:pPr>
        <w:spacing w:line="360" w:lineRule="auto"/>
        <w:jc w:val="both"/>
        <w:rPr>
          <w:rFonts w:eastAsia="Calibri"/>
          <w:b/>
          <w:lang w:val="es-ES" w:eastAsia="en-US"/>
        </w:rPr>
      </w:pPr>
    </w:p>
    <w:p w14:paraId="3B5249DF" w14:textId="77777777" w:rsidR="001819EC" w:rsidRPr="001819EC" w:rsidRDefault="001819EC" w:rsidP="001819EC">
      <w:pPr>
        <w:spacing w:line="360" w:lineRule="auto"/>
        <w:jc w:val="both"/>
        <w:rPr>
          <w:rFonts w:eastAsia="Calibri"/>
          <w:b/>
          <w:lang w:val="es-ES" w:eastAsia="en-US"/>
        </w:rPr>
      </w:pPr>
    </w:p>
    <w:p w14:paraId="5EE8CE92" w14:textId="77777777" w:rsidR="001819EC" w:rsidRPr="001819EC" w:rsidRDefault="001819EC" w:rsidP="001819EC">
      <w:pPr>
        <w:spacing w:line="360" w:lineRule="auto"/>
        <w:jc w:val="center"/>
        <w:rPr>
          <w:rFonts w:eastAsia="Calibri"/>
          <w:b/>
          <w:sz w:val="32"/>
          <w:szCs w:val="32"/>
          <w:lang w:val="es-ES" w:eastAsia="en-US"/>
        </w:rPr>
      </w:pPr>
      <w:r w:rsidRPr="001819EC">
        <w:rPr>
          <w:rFonts w:eastAsia="Calibri"/>
          <w:b/>
          <w:sz w:val="32"/>
          <w:szCs w:val="32"/>
          <w:lang w:val="es-ES" w:eastAsia="en-US"/>
        </w:rPr>
        <w:t>DISCUSIÓN</w:t>
      </w:r>
    </w:p>
    <w:p w14:paraId="244999B9" w14:textId="77777777" w:rsidR="001819EC" w:rsidRPr="001819EC" w:rsidRDefault="001819EC" w:rsidP="001819EC">
      <w:pPr>
        <w:spacing w:line="360" w:lineRule="auto"/>
        <w:jc w:val="both"/>
        <w:rPr>
          <w:rFonts w:eastAsia="Calibri"/>
          <w:b/>
          <w:lang w:val="es-ES" w:eastAsia="en-US"/>
        </w:rPr>
      </w:pPr>
      <w:r w:rsidRPr="001819EC">
        <w:rPr>
          <w:rFonts w:eastAsia="Calibri"/>
          <w:lang w:val="es-ES" w:eastAsia="en-US"/>
        </w:rPr>
        <w:t xml:space="preserve">En los sujetos estudiados se incluyó mayor número de pacientes no </w:t>
      </w:r>
      <w:proofErr w:type="spellStart"/>
      <w:r w:rsidRPr="001819EC">
        <w:rPr>
          <w:rFonts w:eastAsia="Calibri"/>
          <w:lang w:val="es-ES" w:eastAsia="en-US"/>
        </w:rPr>
        <w:t>progresores</w:t>
      </w:r>
      <w:proofErr w:type="spellEnd"/>
      <w:r w:rsidRPr="001819EC">
        <w:rPr>
          <w:rFonts w:eastAsia="Calibri"/>
          <w:lang w:val="es-ES" w:eastAsia="en-US"/>
        </w:rPr>
        <w:t xml:space="preserve"> a la primera línea de tratamiento, que </w:t>
      </w:r>
      <w:proofErr w:type="spellStart"/>
      <w:r w:rsidRPr="001819EC">
        <w:rPr>
          <w:rFonts w:eastAsia="Calibri"/>
          <w:lang w:val="es-ES" w:eastAsia="en-US"/>
        </w:rPr>
        <w:t>progresores</w:t>
      </w:r>
      <w:proofErr w:type="spellEnd"/>
      <w:r w:rsidRPr="001819EC">
        <w:rPr>
          <w:rFonts w:eastAsia="Calibri"/>
          <w:lang w:val="es-ES" w:eastAsia="en-US"/>
        </w:rPr>
        <w:t xml:space="preserve">; por lo general en los estadios avanzados, ocurre lo contrario. En un </w:t>
      </w:r>
      <w:proofErr w:type="gramStart"/>
      <w:r w:rsidRPr="001819EC">
        <w:rPr>
          <w:rFonts w:eastAsia="Calibri"/>
          <w:lang w:val="es-ES" w:eastAsia="en-US"/>
        </w:rPr>
        <w:t>trabajo</w:t>
      </w:r>
      <w:r w:rsidRPr="001819EC">
        <w:rPr>
          <w:rFonts w:eastAsia="Calibri"/>
          <w:vertAlign w:val="superscript"/>
          <w:lang w:val="es-ES" w:eastAsia="en-US"/>
        </w:rPr>
        <w:t>(</w:t>
      </w:r>
      <w:proofErr w:type="gramEnd"/>
      <w:r w:rsidRPr="001819EC">
        <w:rPr>
          <w:rFonts w:eastAsia="Calibri"/>
          <w:vertAlign w:val="superscript"/>
          <w:lang w:val="es-ES" w:eastAsia="en-US"/>
        </w:rPr>
        <w:t>14)</w:t>
      </w:r>
      <w:r w:rsidRPr="001819EC">
        <w:rPr>
          <w:rFonts w:eastAsia="Calibri"/>
          <w:lang w:val="es-ES" w:eastAsia="en-US"/>
        </w:rPr>
        <w:t xml:space="preserve"> se reporta un 40,3 % de pacientes con respuesta objetiva en la evaluación y se identifica progresión de la enfermedad en el 71,4 % de los casos. </w:t>
      </w:r>
    </w:p>
    <w:p w14:paraId="369B0A27"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un </w:t>
      </w:r>
      <w:proofErr w:type="gramStart"/>
      <w:r w:rsidRPr="001819EC">
        <w:rPr>
          <w:rFonts w:eastAsia="Calibri"/>
          <w:lang w:val="es-ES" w:eastAsia="en-US"/>
        </w:rPr>
        <w:t>estudio</w:t>
      </w:r>
      <w:r w:rsidRPr="001819EC">
        <w:rPr>
          <w:rFonts w:eastAsia="Calibri"/>
          <w:vertAlign w:val="superscript"/>
          <w:lang w:val="es-ES" w:eastAsia="en-US"/>
        </w:rPr>
        <w:t>(</w:t>
      </w:r>
      <w:proofErr w:type="gramEnd"/>
      <w:r w:rsidRPr="001819EC">
        <w:rPr>
          <w:rFonts w:eastAsia="Calibri"/>
          <w:vertAlign w:val="superscript"/>
          <w:lang w:val="es-ES" w:eastAsia="en-US"/>
        </w:rPr>
        <w:t>15)</w:t>
      </w:r>
      <w:r w:rsidRPr="001819EC">
        <w:rPr>
          <w:rFonts w:eastAsia="Calibri"/>
          <w:lang w:val="es-ES" w:eastAsia="en-US"/>
        </w:rPr>
        <w:t xml:space="preserve"> en 392 pacientes con </w:t>
      </w:r>
      <w:proofErr w:type="spellStart"/>
      <w:r w:rsidRPr="001819EC">
        <w:rPr>
          <w:rFonts w:eastAsia="Calibri"/>
          <w:lang w:val="es-ES" w:eastAsia="en-US"/>
        </w:rPr>
        <w:t>CPCNP</w:t>
      </w:r>
      <w:proofErr w:type="spellEnd"/>
      <w:r w:rsidRPr="001819EC">
        <w:rPr>
          <w:rFonts w:eastAsia="Calibri"/>
          <w:lang w:val="es-ES" w:eastAsia="en-US"/>
        </w:rPr>
        <w:t xml:space="preserve">, se reporta que el 90,6 % de los casos eran mayores de 50 años, el 50,5 % mujeres, el 53,8 % tenía antecedentes de tabaquismo, el 40,1 % era no fumador y el </w:t>
      </w:r>
      <w:proofErr w:type="spellStart"/>
      <w:r w:rsidRPr="001819EC">
        <w:rPr>
          <w:rFonts w:eastAsia="Calibri"/>
          <w:lang w:val="es-ES" w:eastAsia="en-US"/>
        </w:rPr>
        <w:t>ADC</w:t>
      </w:r>
      <w:proofErr w:type="spellEnd"/>
      <w:r w:rsidRPr="001819EC">
        <w:rPr>
          <w:rFonts w:eastAsia="Calibri"/>
          <w:lang w:val="es-ES" w:eastAsia="en-US"/>
        </w:rPr>
        <w:t xml:space="preserve">  fue el subtipo histológico más frecuente, con el 74,7 %. En la presente investigación existe similitud con en cuanto a la edad y el hábito tabáquico; sin embargo, no ocurre así con el sexo y la histología, probablemente debido a los criterios de inclusión de los </w:t>
      </w:r>
      <w:proofErr w:type="spellStart"/>
      <w:r w:rsidRPr="001819EC">
        <w:rPr>
          <w:rFonts w:eastAsia="Calibri"/>
          <w:lang w:val="es-ES" w:eastAsia="en-US"/>
        </w:rPr>
        <w:t>ECs</w:t>
      </w:r>
      <w:proofErr w:type="spellEnd"/>
      <w:r w:rsidRPr="001819EC">
        <w:rPr>
          <w:rFonts w:eastAsia="Calibri"/>
          <w:lang w:val="es-ES" w:eastAsia="en-US"/>
        </w:rPr>
        <w:t xml:space="preserve">: no había limitaciones con el sexo, ni el subtipo histológico del </w:t>
      </w:r>
      <w:proofErr w:type="spellStart"/>
      <w:r w:rsidRPr="001819EC">
        <w:rPr>
          <w:rFonts w:eastAsia="Calibri"/>
          <w:lang w:val="es-ES" w:eastAsia="en-US"/>
        </w:rPr>
        <w:t>CPCNP</w:t>
      </w:r>
      <w:proofErr w:type="spellEnd"/>
      <w:r w:rsidRPr="001819EC">
        <w:rPr>
          <w:rFonts w:eastAsia="Calibri"/>
          <w:lang w:val="es-ES" w:eastAsia="en-US"/>
        </w:rPr>
        <w:t xml:space="preserve">. Además, estos resultados son difíciles de comparar con estudios epidemiológicos, pues los </w:t>
      </w:r>
      <w:proofErr w:type="spellStart"/>
      <w:r w:rsidRPr="001819EC">
        <w:rPr>
          <w:rFonts w:eastAsia="Calibri"/>
          <w:lang w:val="es-ES" w:eastAsia="en-US"/>
        </w:rPr>
        <w:t>ECs</w:t>
      </w:r>
      <w:proofErr w:type="spellEnd"/>
      <w:r w:rsidRPr="001819EC">
        <w:rPr>
          <w:rFonts w:eastAsia="Calibri"/>
          <w:lang w:val="es-ES" w:eastAsia="en-US"/>
        </w:rPr>
        <w:t xml:space="preserve"> tienen un diseño de reclutamiento de pacientes homogéneo.</w:t>
      </w:r>
    </w:p>
    <w:p w14:paraId="74E139A1"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el estudio de </w:t>
      </w:r>
      <w:r w:rsidRPr="001819EC">
        <w:rPr>
          <w:rFonts w:eastAsia="Calibri"/>
          <w:i/>
          <w:iCs/>
          <w:lang w:val="es-ES" w:eastAsia="en-US"/>
        </w:rPr>
        <w:t xml:space="preserve">Carballo Torres </w:t>
      </w:r>
      <w:r w:rsidRPr="001819EC">
        <w:rPr>
          <w:rFonts w:eastAsia="Calibri"/>
          <w:lang w:val="es-ES" w:eastAsia="en-US"/>
        </w:rPr>
        <w:t xml:space="preserve">y </w:t>
      </w:r>
      <w:proofErr w:type="gramStart"/>
      <w:r w:rsidRPr="001819EC">
        <w:rPr>
          <w:rFonts w:eastAsia="Calibri"/>
          <w:lang w:val="es-ES" w:eastAsia="en-US"/>
        </w:rPr>
        <w:t>otros</w:t>
      </w:r>
      <w:r w:rsidRPr="001819EC">
        <w:rPr>
          <w:rFonts w:eastAsia="Calibri"/>
          <w:vertAlign w:val="superscript"/>
          <w:lang w:val="es-ES" w:eastAsia="en-US"/>
        </w:rPr>
        <w:t>(</w:t>
      </w:r>
      <w:proofErr w:type="gramEnd"/>
      <w:r w:rsidRPr="001819EC">
        <w:rPr>
          <w:rFonts w:eastAsia="Calibri"/>
          <w:vertAlign w:val="superscript"/>
          <w:lang w:val="es-ES" w:eastAsia="en-US"/>
        </w:rPr>
        <w:t>14)</w:t>
      </w:r>
      <w:r w:rsidRPr="001819EC">
        <w:rPr>
          <w:rFonts w:eastAsia="Calibri"/>
          <w:lang w:val="es-ES" w:eastAsia="en-US"/>
        </w:rPr>
        <w:t xml:space="preserve"> se reportan más del 50 % de pacientes mayores de 65 años de edad y sexo masculino. El 80 % de los tratados presentaron ECOG 0-1, etapas </w:t>
      </w:r>
      <w:proofErr w:type="spellStart"/>
      <w:r w:rsidRPr="001819EC">
        <w:rPr>
          <w:rFonts w:eastAsia="Calibri"/>
          <w:lang w:val="es-ES" w:eastAsia="en-US"/>
        </w:rPr>
        <w:t>IIIB</w:t>
      </w:r>
      <w:proofErr w:type="spellEnd"/>
      <w:r w:rsidRPr="001819EC">
        <w:rPr>
          <w:rFonts w:eastAsia="Calibri"/>
          <w:lang w:val="es-ES" w:eastAsia="en-US"/>
        </w:rPr>
        <w:t xml:space="preserve"> y IVA agrupadas </w:t>
      </w:r>
      <w:r w:rsidRPr="001819EC">
        <w:rPr>
          <w:rFonts w:eastAsia="Calibri"/>
          <w:lang w:val="es-ES" w:eastAsia="en-US"/>
        </w:rPr>
        <w:lastRenderedPageBreak/>
        <w:t xml:space="preserve">en el 85,8 % de los casos, mientras que la histología predominante fue el </w:t>
      </w:r>
      <w:proofErr w:type="spellStart"/>
      <w:r w:rsidRPr="001819EC">
        <w:rPr>
          <w:rFonts w:eastAsia="Calibri"/>
          <w:lang w:val="es-ES" w:eastAsia="en-US"/>
        </w:rPr>
        <w:t>ADC</w:t>
      </w:r>
      <w:proofErr w:type="spellEnd"/>
      <w:r w:rsidRPr="001819EC">
        <w:rPr>
          <w:rFonts w:eastAsia="Calibri"/>
          <w:lang w:val="es-ES" w:eastAsia="en-US"/>
        </w:rPr>
        <w:t xml:space="preserve"> con 41,6 % y QT la modalidad más frecuente; de igual forma ocurre en el mundo.</w:t>
      </w:r>
    </w:p>
    <w:p w14:paraId="7F6CCFEB"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La inflamación es impulsada por un equilibrio entre las células proinflamatorias, como los neutrófilos, plaquetas, y las células antiinflamatorias, como los linfocitos. Las proinflamatorias sintetizan citoquinas, quimiocinas y factores de crecimiento, que juegan un papel clave, tanto en la inflamación, como en el cáncer. Los linfocitos actúan como células antiinflamatorias y están dotados de actividad </w:t>
      </w:r>
      <w:proofErr w:type="gramStart"/>
      <w:r w:rsidRPr="001819EC">
        <w:rPr>
          <w:rFonts w:eastAsia="Calibri"/>
          <w:lang w:val="es-ES" w:eastAsia="en-US"/>
        </w:rPr>
        <w:t>antitumoral.</w:t>
      </w:r>
      <w:r w:rsidRPr="001819EC">
        <w:rPr>
          <w:rFonts w:eastAsia="Calibri"/>
          <w:vertAlign w:val="superscript"/>
          <w:lang w:val="es-ES" w:eastAsia="en-US"/>
        </w:rPr>
        <w:t>(</w:t>
      </w:r>
      <w:proofErr w:type="gramEnd"/>
      <w:r w:rsidRPr="001819EC">
        <w:rPr>
          <w:rFonts w:eastAsia="Calibri"/>
          <w:vertAlign w:val="superscript"/>
          <w:lang w:val="es-ES" w:eastAsia="en-US"/>
        </w:rPr>
        <w:t>16)</w:t>
      </w:r>
      <w:r w:rsidRPr="001819EC">
        <w:rPr>
          <w:rFonts w:eastAsia="Calibri"/>
          <w:lang w:val="es-ES" w:eastAsia="en-US"/>
        </w:rPr>
        <w:t xml:space="preserve"> Se han realizado varias investigaciones</w:t>
      </w:r>
      <w:r w:rsidRPr="001819EC">
        <w:rPr>
          <w:rFonts w:eastAsia="Calibri"/>
          <w:vertAlign w:val="superscript"/>
          <w:lang w:val="es-ES" w:eastAsia="en-US"/>
        </w:rPr>
        <w:t xml:space="preserve">(17,18,19) </w:t>
      </w:r>
      <w:r w:rsidRPr="001819EC">
        <w:rPr>
          <w:rFonts w:eastAsia="Calibri"/>
          <w:lang w:val="es-ES" w:eastAsia="en-US"/>
        </w:rPr>
        <w:t>que evalúan la relación entre estas células en la sangre periférica, la supervivencia y la respuesta al tratamiento en diferentes tipos de tumores, como el cáncer colorrectal, el de pulmón no microcítico y el de cabeza y cuello.</w:t>
      </w:r>
      <w:r w:rsidRPr="001819EC">
        <w:rPr>
          <w:rFonts w:eastAsia="Calibri"/>
          <w:vertAlign w:val="superscript"/>
          <w:lang w:val="es-ES" w:eastAsia="en-US"/>
        </w:rPr>
        <w:t xml:space="preserve"> </w:t>
      </w:r>
    </w:p>
    <w:p w14:paraId="0C716316"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un </w:t>
      </w:r>
      <w:proofErr w:type="gramStart"/>
      <w:r w:rsidRPr="001819EC">
        <w:rPr>
          <w:rFonts w:eastAsia="Calibri"/>
          <w:lang w:val="es-ES" w:eastAsia="en-US"/>
        </w:rPr>
        <w:t>estudio</w:t>
      </w:r>
      <w:r w:rsidRPr="001819EC">
        <w:rPr>
          <w:rFonts w:eastAsia="Calibri"/>
          <w:vertAlign w:val="superscript"/>
          <w:lang w:val="es-ES" w:eastAsia="en-US"/>
        </w:rPr>
        <w:t>(</w:t>
      </w:r>
      <w:proofErr w:type="gramEnd"/>
      <w:r w:rsidRPr="001819EC">
        <w:rPr>
          <w:rFonts w:eastAsia="Calibri"/>
          <w:vertAlign w:val="superscript"/>
          <w:lang w:val="es-ES" w:eastAsia="en-US"/>
        </w:rPr>
        <w:t xml:space="preserve">20) </w:t>
      </w:r>
      <w:r w:rsidRPr="001819EC">
        <w:rPr>
          <w:rFonts w:eastAsia="Calibri"/>
          <w:lang w:val="es-ES" w:eastAsia="en-US"/>
        </w:rPr>
        <w:t xml:space="preserve"> realizado en Cuba se colectaron pacientes con tumores malignos avanzados de cabeza y cuello incluidos en 3 </w:t>
      </w:r>
      <w:proofErr w:type="spellStart"/>
      <w:r w:rsidRPr="001819EC">
        <w:rPr>
          <w:rFonts w:eastAsia="Calibri"/>
          <w:lang w:val="es-ES" w:eastAsia="en-US"/>
        </w:rPr>
        <w:t>ECs</w:t>
      </w:r>
      <w:proofErr w:type="spellEnd"/>
      <w:r w:rsidRPr="001819EC">
        <w:rPr>
          <w:rFonts w:eastAsia="Calibri"/>
          <w:lang w:val="es-ES" w:eastAsia="en-US"/>
        </w:rPr>
        <w:t xml:space="preserve"> multicéntricos, que recibieron tratamiento con </w:t>
      </w:r>
      <w:proofErr w:type="spellStart"/>
      <w:r w:rsidRPr="001819EC">
        <w:rPr>
          <w:rFonts w:eastAsia="Calibri"/>
          <w:lang w:val="es-ES" w:eastAsia="en-US"/>
        </w:rPr>
        <w:t>nimotuzumab</w:t>
      </w:r>
      <w:proofErr w:type="spellEnd"/>
      <w:r w:rsidRPr="001819EC">
        <w:rPr>
          <w:rFonts w:eastAsia="Calibri"/>
          <w:lang w:val="es-ES" w:eastAsia="en-US"/>
        </w:rPr>
        <w:t xml:space="preserve">. Resulta que quienes tienen altos índices de inflamación antes del tratamiento, sobreviven menos que quienes tienen bajos índices de inflamación. Los pacientes con </w:t>
      </w:r>
      <w:proofErr w:type="spellStart"/>
      <w:r w:rsidRPr="001819EC">
        <w:rPr>
          <w:rFonts w:eastAsia="Calibri"/>
          <w:lang w:val="es-ES" w:eastAsia="en-US"/>
        </w:rPr>
        <w:t>INL</w:t>
      </w:r>
      <w:proofErr w:type="spellEnd"/>
      <w:r w:rsidRPr="001819EC">
        <w:rPr>
          <w:rFonts w:eastAsia="Calibri"/>
          <w:lang w:val="es-ES" w:eastAsia="en-US"/>
        </w:rPr>
        <w:t xml:space="preserve"> elevado sobrevivieron 7 meses menos que los pacientes con </w:t>
      </w:r>
      <w:proofErr w:type="spellStart"/>
      <w:r w:rsidRPr="001819EC">
        <w:rPr>
          <w:rFonts w:eastAsia="Calibri"/>
          <w:lang w:val="es-ES" w:eastAsia="en-US"/>
        </w:rPr>
        <w:t>INL</w:t>
      </w:r>
      <w:proofErr w:type="spellEnd"/>
      <w:r w:rsidRPr="001819EC">
        <w:rPr>
          <w:rFonts w:eastAsia="Calibri"/>
          <w:lang w:val="es-ES" w:eastAsia="en-US"/>
        </w:rPr>
        <w:t xml:space="preserve"> bajo (13,4 meses frente a 20,8 meses) (p= 0,002). Los pacientes con </w:t>
      </w:r>
      <w:proofErr w:type="spellStart"/>
      <w:r w:rsidRPr="001819EC">
        <w:rPr>
          <w:rFonts w:eastAsia="Calibri"/>
          <w:lang w:val="es-ES" w:eastAsia="en-US"/>
        </w:rPr>
        <w:t>IPL</w:t>
      </w:r>
      <w:proofErr w:type="spellEnd"/>
      <w:r w:rsidRPr="001819EC">
        <w:rPr>
          <w:rFonts w:eastAsia="Calibri"/>
          <w:lang w:val="es-ES" w:eastAsia="en-US"/>
        </w:rPr>
        <w:t xml:space="preserve"> alto sobrevivieron 6 meses menos que los pacientes con </w:t>
      </w:r>
      <w:proofErr w:type="spellStart"/>
      <w:r w:rsidRPr="001819EC">
        <w:rPr>
          <w:rFonts w:eastAsia="Calibri"/>
          <w:lang w:val="es-ES" w:eastAsia="en-US"/>
        </w:rPr>
        <w:t>IPL</w:t>
      </w:r>
      <w:proofErr w:type="spellEnd"/>
      <w:r w:rsidRPr="001819EC">
        <w:rPr>
          <w:rFonts w:eastAsia="Calibri"/>
          <w:lang w:val="es-ES" w:eastAsia="en-US"/>
        </w:rPr>
        <w:t xml:space="preserve"> bajo (14,5 meses contra 20,8 meses) (p= 0,001).</w:t>
      </w:r>
      <w:r w:rsidRPr="001819EC">
        <w:rPr>
          <w:rFonts w:eastAsia="Calibri"/>
          <w:vertAlign w:val="superscript"/>
          <w:lang w:val="es-ES" w:eastAsia="en-US"/>
        </w:rPr>
        <w:t xml:space="preserve"> </w:t>
      </w:r>
      <w:r w:rsidRPr="001819EC">
        <w:rPr>
          <w:rFonts w:eastAsia="Calibri"/>
          <w:lang w:val="es-ES" w:eastAsia="en-US"/>
        </w:rPr>
        <w:t>Lo mismo pasó en esta investigación, que alcanzaron mejor supervivencia, los pacientes con menos inflamación.</w:t>
      </w:r>
    </w:p>
    <w:p w14:paraId="74F2E814"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un </w:t>
      </w:r>
      <w:proofErr w:type="gramStart"/>
      <w:r w:rsidRPr="001819EC">
        <w:rPr>
          <w:rFonts w:eastAsia="Calibri"/>
          <w:lang w:val="es-ES" w:eastAsia="en-US"/>
        </w:rPr>
        <w:t>estudio</w:t>
      </w:r>
      <w:r w:rsidRPr="001819EC">
        <w:rPr>
          <w:rFonts w:eastAsia="Calibri"/>
          <w:vertAlign w:val="superscript"/>
          <w:lang w:val="es-ES" w:eastAsia="en-US"/>
        </w:rPr>
        <w:t>(</w:t>
      </w:r>
      <w:proofErr w:type="gramEnd"/>
      <w:r w:rsidRPr="001819EC">
        <w:rPr>
          <w:rFonts w:eastAsia="Calibri"/>
          <w:vertAlign w:val="superscript"/>
          <w:lang w:val="es-ES" w:eastAsia="en-US"/>
        </w:rPr>
        <w:t xml:space="preserve">21) </w:t>
      </w:r>
      <w:r w:rsidRPr="001819EC">
        <w:rPr>
          <w:rFonts w:eastAsia="Calibri"/>
          <w:lang w:val="es-ES" w:eastAsia="en-US"/>
        </w:rPr>
        <w:t xml:space="preserve">en pacientes con </w:t>
      </w:r>
      <w:proofErr w:type="spellStart"/>
      <w:r w:rsidRPr="001819EC">
        <w:rPr>
          <w:rFonts w:eastAsia="Calibri"/>
          <w:lang w:val="es-ES" w:eastAsia="en-US"/>
        </w:rPr>
        <w:t>CPCNP</w:t>
      </w:r>
      <w:proofErr w:type="spellEnd"/>
      <w:r w:rsidRPr="001819EC">
        <w:rPr>
          <w:rFonts w:eastAsia="Calibri"/>
          <w:lang w:val="es-ES" w:eastAsia="en-US"/>
        </w:rPr>
        <w:t xml:space="preserve"> en estadios avanzados, con mutación del </w:t>
      </w:r>
      <w:proofErr w:type="spellStart"/>
      <w:r w:rsidRPr="001819EC">
        <w:rPr>
          <w:rFonts w:eastAsia="Calibri"/>
          <w:lang w:val="es-ES" w:eastAsia="en-US"/>
        </w:rPr>
        <w:t>EGFR</w:t>
      </w:r>
      <w:proofErr w:type="spellEnd"/>
      <w:r w:rsidRPr="001819EC">
        <w:rPr>
          <w:rFonts w:eastAsia="Calibri"/>
          <w:lang w:val="es-ES" w:eastAsia="en-US"/>
        </w:rPr>
        <w:t xml:space="preserve">, tratados con un inhibidor de la tirosina cinasa, en el cual el objetivo era evaluar el efecto de la inflamación sobre la supervivencia y el resultado del tratamiento, mediante el </w:t>
      </w:r>
      <w:proofErr w:type="spellStart"/>
      <w:r w:rsidRPr="001819EC">
        <w:rPr>
          <w:rFonts w:eastAsia="Calibri"/>
          <w:lang w:val="es-ES" w:eastAsia="en-US"/>
        </w:rPr>
        <w:t>INL</w:t>
      </w:r>
      <w:proofErr w:type="spellEnd"/>
      <w:r w:rsidRPr="001819EC">
        <w:rPr>
          <w:rFonts w:eastAsia="Calibri"/>
          <w:lang w:val="es-ES" w:eastAsia="en-US"/>
        </w:rPr>
        <w:t xml:space="preserve">; resultó una mediana de SG en el grupo de </w:t>
      </w:r>
      <w:proofErr w:type="spellStart"/>
      <w:r w:rsidRPr="001819EC">
        <w:rPr>
          <w:rFonts w:eastAsia="Calibri"/>
          <w:lang w:val="es-ES" w:eastAsia="en-US"/>
        </w:rPr>
        <w:t>INL</w:t>
      </w:r>
      <w:proofErr w:type="spellEnd"/>
      <w:r w:rsidRPr="001819EC">
        <w:rPr>
          <w:rFonts w:eastAsia="Calibri"/>
          <w:lang w:val="es-ES" w:eastAsia="en-US"/>
        </w:rPr>
        <w:t xml:space="preserve"> bajo, de 32,4 meses y de 18,4 meses en el grupo de </w:t>
      </w:r>
      <w:proofErr w:type="spellStart"/>
      <w:r w:rsidRPr="001819EC">
        <w:rPr>
          <w:rFonts w:eastAsia="Calibri"/>
          <w:lang w:val="es-ES" w:eastAsia="en-US"/>
        </w:rPr>
        <w:t>INL</w:t>
      </w:r>
      <w:proofErr w:type="spellEnd"/>
      <w:r w:rsidRPr="001819EC">
        <w:rPr>
          <w:rFonts w:eastAsia="Calibri"/>
          <w:lang w:val="es-ES" w:eastAsia="en-US"/>
        </w:rPr>
        <w:t xml:space="preserve"> alto. En este grupo de pacientes, el 58,1 % presentó </w:t>
      </w:r>
      <w:proofErr w:type="spellStart"/>
      <w:r w:rsidRPr="001819EC">
        <w:rPr>
          <w:rFonts w:eastAsia="Calibri"/>
          <w:lang w:val="es-ES" w:eastAsia="en-US"/>
        </w:rPr>
        <w:t>INL</w:t>
      </w:r>
      <w:proofErr w:type="spellEnd"/>
      <w:r w:rsidRPr="001819EC">
        <w:rPr>
          <w:rFonts w:eastAsia="Calibri"/>
          <w:lang w:val="es-ES" w:eastAsia="en-US"/>
        </w:rPr>
        <w:t xml:space="preserve"> altos y el 41,9 % bajos.</w:t>
      </w:r>
      <w:r w:rsidRPr="001819EC">
        <w:rPr>
          <w:rFonts w:eastAsia="Calibri"/>
          <w:vertAlign w:val="superscript"/>
          <w:lang w:val="es-ES" w:eastAsia="en-US"/>
        </w:rPr>
        <w:t xml:space="preserve"> </w:t>
      </w:r>
      <w:r w:rsidRPr="001819EC">
        <w:rPr>
          <w:rFonts w:eastAsia="Calibri"/>
          <w:lang w:val="es-ES" w:eastAsia="en-US"/>
        </w:rPr>
        <w:t xml:space="preserve">Se reporta que ese es el primer estudio que evalúa la importancia pronóstica de los </w:t>
      </w:r>
      <w:proofErr w:type="spellStart"/>
      <w:r w:rsidRPr="001819EC">
        <w:rPr>
          <w:rFonts w:eastAsia="Calibri"/>
          <w:lang w:val="es-ES" w:eastAsia="en-US"/>
        </w:rPr>
        <w:t>INL</w:t>
      </w:r>
      <w:proofErr w:type="spellEnd"/>
      <w:r w:rsidRPr="001819EC">
        <w:rPr>
          <w:rFonts w:eastAsia="Calibri"/>
          <w:lang w:val="es-ES" w:eastAsia="en-US"/>
        </w:rPr>
        <w:t xml:space="preserve"> en </w:t>
      </w:r>
      <w:proofErr w:type="spellStart"/>
      <w:r w:rsidRPr="001819EC">
        <w:rPr>
          <w:rFonts w:eastAsia="Calibri"/>
          <w:lang w:val="es-ES" w:eastAsia="en-US"/>
        </w:rPr>
        <w:t>CPCNP</w:t>
      </w:r>
      <w:proofErr w:type="spellEnd"/>
      <w:r w:rsidRPr="001819EC">
        <w:rPr>
          <w:rFonts w:eastAsia="Calibri"/>
          <w:lang w:val="es-ES" w:eastAsia="en-US"/>
        </w:rPr>
        <w:t xml:space="preserve"> avanzado mutante </w:t>
      </w:r>
      <w:proofErr w:type="spellStart"/>
      <w:r w:rsidRPr="001819EC">
        <w:rPr>
          <w:rFonts w:eastAsia="Calibri"/>
          <w:lang w:val="es-ES" w:eastAsia="en-US"/>
        </w:rPr>
        <w:t>EGFR</w:t>
      </w:r>
      <w:proofErr w:type="spellEnd"/>
      <w:r w:rsidRPr="001819EC">
        <w:rPr>
          <w:rFonts w:eastAsia="Calibri"/>
          <w:lang w:val="es-ES" w:eastAsia="en-US"/>
        </w:rPr>
        <w:t>. En esta investigación, a pesar de que las supervivencias son mayores, porque están tratados con una diana molecular, coincide con la actual en cuanto a la supervivencia mayor en los índices inflamatorios bajos.</w:t>
      </w:r>
    </w:p>
    <w:p w14:paraId="25BE4419"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En otro </w:t>
      </w:r>
      <w:proofErr w:type="gramStart"/>
      <w:r w:rsidRPr="001819EC">
        <w:rPr>
          <w:rFonts w:eastAsia="Calibri"/>
          <w:lang w:val="es-ES" w:eastAsia="en-US"/>
        </w:rPr>
        <w:t>estudio</w:t>
      </w:r>
      <w:r w:rsidRPr="001819EC">
        <w:rPr>
          <w:rFonts w:eastAsia="Calibri"/>
          <w:vertAlign w:val="superscript"/>
          <w:lang w:val="es-ES" w:eastAsia="en-US"/>
        </w:rPr>
        <w:t>(</w:t>
      </w:r>
      <w:proofErr w:type="gramEnd"/>
      <w:r w:rsidRPr="001819EC">
        <w:rPr>
          <w:rFonts w:eastAsia="Calibri"/>
          <w:vertAlign w:val="superscript"/>
          <w:lang w:val="es-ES" w:eastAsia="en-US"/>
        </w:rPr>
        <w:t>22)</w:t>
      </w:r>
      <w:r w:rsidRPr="001819EC">
        <w:rPr>
          <w:rFonts w:eastAsia="Calibri"/>
          <w:lang w:val="es-ES" w:eastAsia="en-US"/>
        </w:rPr>
        <w:t xml:space="preserve"> en individuos con CP avanzado, sin mutación conductora, se demostró que la inflamación está relacionada con un mal pronóstico. En un </w:t>
      </w:r>
      <w:proofErr w:type="gramStart"/>
      <w:r w:rsidRPr="001819EC">
        <w:rPr>
          <w:rFonts w:eastAsia="Calibri"/>
          <w:lang w:val="es-ES" w:eastAsia="en-US"/>
        </w:rPr>
        <w:t>metaanálisis</w:t>
      </w:r>
      <w:r w:rsidRPr="001819EC">
        <w:rPr>
          <w:rFonts w:eastAsia="Calibri"/>
          <w:vertAlign w:val="superscript"/>
          <w:lang w:val="es-ES" w:eastAsia="en-US"/>
        </w:rPr>
        <w:t>(</w:t>
      </w:r>
      <w:proofErr w:type="gramEnd"/>
      <w:r w:rsidRPr="001819EC">
        <w:rPr>
          <w:rFonts w:eastAsia="Calibri"/>
          <w:vertAlign w:val="superscript"/>
          <w:lang w:val="es-ES" w:eastAsia="en-US"/>
        </w:rPr>
        <w:t>23,24)</w:t>
      </w:r>
      <w:r w:rsidRPr="001819EC">
        <w:rPr>
          <w:rFonts w:eastAsia="Calibri"/>
          <w:lang w:val="es-ES" w:eastAsia="en-US"/>
        </w:rPr>
        <w:t xml:space="preserve"> en el que se analizaron varios </w:t>
      </w:r>
      <w:proofErr w:type="spellStart"/>
      <w:r w:rsidRPr="001819EC">
        <w:rPr>
          <w:rFonts w:eastAsia="Calibri"/>
          <w:lang w:val="es-ES" w:eastAsia="en-US"/>
        </w:rPr>
        <w:t>ECs</w:t>
      </w:r>
      <w:proofErr w:type="spellEnd"/>
      <w:r w:rsidRPr="001819EC">
        <w:rPr>
          <w:rFonts w:eastAsia="Calibri"/>
          <w:lang w:val="es-ES" w:eastAsia="en-US"/>
        </w:rPr>
        <w:t xml:space="preserve">, muestra que un </w:t>
      </w:r>
      <w:proofErr w:type="spellStart"/>
      <w:r w:rsidRPr="001819EC">
        <w:rPr>
          <w:rFonts w:eastAsia="Calibri"/>
          <w:lang w:val="es-ES" w:eastAsia="en-US"/>
        </w:rPr>
        <w:t>INL</w:t>
      </w:r>
      <w:proofErr w:type="spellEnd"/>
      <w:r w:rsidRPr="001819EC">
        <w:rPr>
          <w:rFonts w:eastAsia="Calibri"/>
          <w:lang w:val="es-ES" w:eastAsia="en-US"/>
        </w:rPr>
        <w:t xml:space="preserve"> alto se relaciona significativamente con una supervivencia deficiente. </w:t>
      </w:r>
    </w:p>
    <w:p w14:paraId="0F473E3D"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lastRenderedPageBreak/>
        <w:t xml:space="preserve">Otra </w:t>
      </w:r>
      <w:proofErr w:type="gramStart"/>
      <w:r w:rsidRPr="001819EC">
        <w:rPr>
          <w:rFonts w:eastAsia="Calibri"/>
          <w:lang w:val="es-ES" w:eastAsia="en-US"/>
        </w:rPr>
        <w:t>investigación</w:t>
      </w:r>
      <w:r w:rsidRPr="001819EC">
        <w:rPr>
          <w:rFonts w:eastAsia="Calibri"/>
          <w:vertAlign w:val="superscript"/>
          <w:lang w:val="es-ES" w:eastAsia="en-US"/>
        </w:rPr>
        <w:t>(</w:t>
      </w:r>
      <w:proofErr w:type="gramEnd"/>
      <w:r w:rsidRPr="001819EC">
        <w:rPr>
          <w:rFonts w:eastAsia="Calibri"/>
          <w:vertAlign w:val="superscript"/>
          <w:lang w:val="es-ES" w:eastAsia="en-US"/>
        </w:rPr>
        <w:t xml:space="preserve">25) </w:t>
      </w:r>
      <w:r w:rsidRPr="001819EC">
        <w:rPr>
          <w:rFonts w:eastAsia="Calibri"/>
          <w:lang w:val="es-ES" w:eastAsia="en-US"/>
        </w:rPr>
        <w:t xml:space="preserve">estudió los </w:t>
      </w:r>
      <w:bookmarkStart w:id="45" w:name="_Hlk122350761"/>
      <w:r w:rsidRPr="001819EC">
        <w:rPr>
          <w:rFonts w:eastAsia="Calibri"/>
          <w:lang w:val="es-ES" w:eastAsia="en-US"/>
        </w:rPr>
        <w:t xml:space="preserve">índices inflamatorios </w:t>
      </w:r>
      <w:bookmarkEnd w:id="45"/>
      <w:r w:rsidRPr="001819EC">
        <w:rPr>
          <w:rFonts w:eastAsia="Calibri"/>
          <w:lang w:val="es-ES" w:eastAsia="en-US"/>
        </w:rPr>
        <w:t xml:space="preserve">como marcador pronóstico en </w:t>
      </w:r>
      <w:proofErr w:type="spellStart"/>
      <w:r w:rsidRPr="001819EC">
        <w:rPr>
          <w:rFonts w:eastAsia="Calibri"/>
          <w:lang w:val="es-ES" w:eastAsia="en-US"/>
        </w:rPr>
        <w:t>CPCNP</w:t>
      </w:r>
      <w:proofErr w:type="spellEnd"/>
      <w:r w:rsidRPr="001819EC">
        <w:rPr>
          <w:rFonts w:eastAsia="Calibri"/>
          <w:lang w:val="es-ES" w:eastAsia="en-US"/>
        </w:rPr>
        <w:t xml:space="preserve"> avanzado, en especial en pacientes tratados con inhibidores de puntos de control inmunitarios; también reporta mejores tasas de supervivencia en los pacientes con índices inflamatorios más bajos.</w:t>
      </w:r>
    </w:p>
    <w:p w14:paraId="3B2B64C1"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Los pacientes evaluados en la presente investigación, que recibieron una primera línea oncológica con respuesta favorable, ya sea estable o parcial, mostraron un beneficio terapéutico al recibir el </w:t>
      </w:r>
      <w:proofErr w:type="spellStart"/>
      <w:r w:rsidRPr="001819EC">
        <w:rPr>
          <w:rFonts w:eastAsia="Calibri"/>
          <w:lang w:val="es-ES" w:eastAsia="en-US"/>
        </w:rPr>
        <w:t>AcM</w:t>
      </w:r>
      <w:proofErr w:type="spellEnd"/>
      <w:r w:rsidRPr="001819EC">
        <w:rPr>
          <w:rFonts w:eastAsia="Calibri"/>
          <w:lang w:val="es-ES" w:eastAsia="en-US"/>
        </w:rPr>
        <w:t xml:space="preserve"> humanizado </w:t>
      </w:r>
      <w:proofErr w:type="spellStart"/>
      <w:r w:rsidRPr="001819EC">
        <w:rPr>
          <w:rFonts w:eastAsia="Calibri"/>
          <w:lang w:val="es-ES" w:eastAsia="en-US"/>
        </w:rPr>
        <w:t>nimotuzumab</w:t>
      </w:r>
      <w:proofErr w:type="spellEnd"/>
      <w:r w:rsidRPr="001819EC">
        <w:rPr>
          <w:rFonts w:eastAsia="Calibri"/>
          <w:lang w:val="es-ES" w:eastAsia="en-US"/>
        </w:rPr>
        <w:t xml:space="preserve">, cuando tenían menores índices inflamatorios, antes de recibir el tratamiento. Para el caso del </w:t>
      </w:r>
      <w:proofErr w:type="spellStart"/>
      <w:r w:rsidRPr="001819EC">
        <w:rPr>
          <w:rFonts w:eastAsia="Calibri"/>
          <w:lang w:val="es-ES" w:eastAsia="en-US"/>
        </w:rPr>
        <w:t>IPL</w:t>
      </w:r>
      <w:proofErr w:type="spellEnd"/>
      <w:r w:rsidRPr="001819EC">
        <w:rPr>
          <w:rFonts w:eastAsia="Calibri"/>
          <w:lang w:val="es-ES" w:eastAsia="en-US"/>
        </w:rPr>
        <w:t xml:space="preserve"> se muestran resultados similares, no relevantes para los individuos que no respondieron a la primera línea de quimioterapia.</w:t>
      </w:r>
    </w:p>
    <w:p w14:paraId="0AC51B9B"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La selección de un paciente con menor índice inflamatorio beneficia la eficacia del tratamiento con el </w:t>
      </w:r>
      <w:proofErr w:type="spellStart"/>
      <w:r w:rsidRPr="001819EC">
        <w:rPr>
          <w:rFonts w:eastAsia="Calibri"/>
          <w:lang w:val="es-ES" w:eastAsia="en-US"/>
        </w:rPr>
        <w:t>AcM</w:t>
      </w:r>
      <w:proofErr w:type="spellEnd"/>
      <w:r w:rsidRPr="001819EC">
        <w:rPr>
          <w:rFonts w:eastAsia="Calibri"/>
          <w:lang w:val="es-ES" w:eastAsia="en-US"/>
        </w:rPr>
        <w:t xml:space="preserve"> humanizado </w:t>
      </w:r>
      <w:proofErr w:type="spellStart"/>
      <w:r w:rsidRPr="001819EC">
        <w:rPr>
          <w:rFonts w:eastAsia="Calibri"/>
          <w:lang w:val="es-ES" w:eastAsia="en-US"/>
        </w:rPr>
        <w:t>nimotuzumab</w:t>
      </w:r>
      <w:proofErr w:type="spellEnd"/>
      <w:r w:rsidRPr="001819EC">
        <w:rPr>
          <w:rFonts w:eastAsia="Calibri"/>
          <w:lang w:val="es-ES" w:eastAsia="en-US"/>
        </w:rPr>
        <w:t xml:space="preserve"> en el cáncer de pulmón no microcítico avanzado, la que se convierte en una herramienta predictiva de la respuesta al tratamiento. </w:t>
      </w:r>
    </w:p>
    <w:p w14:paraId="46C0B478" w14:textId="77777777" w:rsidR="001819EC" w:rsidRPr="001819EC" w:rsidRDefault="001819EC" w:rsidP="001819EC">
      <w:pPr>
        <w:spacing w:line="360" w:lineRule="auto"/>
        <w:jc w:val="both"/>
        <w:rPr>
          <w:rFonts w:eastAsia="Calibri"/>
          <w:lang w:val="es-ES" w:eastAsia="en-US"/>
        </w:rPr>
      </w:pPr>
    </w:p>
    <w:p w14:paraId="69D82B0B" w14:textId="77777777" w:rsidR="001819EC" w:rsidRPr="001819EC" w:rsidRDefault="001819EC" w:rsidP="001819EC">
      <w:pPr>
        <w:spacing w:line="360" w:lineRule="auto"/>
        <w:jc w:val="both"/>
        <w:rPr>
          <w:rFonts w:eastAsia="Calibri"/>
          <w:lang w:val="es-ES" w:eastAsia="en-US"/>
        </w:rPr>
      </w:pPr>
    </w:p>
    <w:p w14:paraId="24F841D4" w14:textId="77777777" w:rsidR="001819EC" w:rsidRPr="001819EC" w:rsidRDefault="001819EC" w:rsidP="001819EC">
      <w:pPr>
        <w:spacing w:line="360" w:lineRule="auto"/>
        <w:jc w:val="center"/>
        <w:rPr>
          <w:rFonts w:eastAsia="Calibri"/>
          <w:b/>
          <w:bCs/>
          <w:sz w:val="32"/>
          <w:szCs w:val="32"/>
          <w:lang w:val="en-US" w:eastAsia="en-US"/>
        </w:rPr>
      </w:pPr>
      <w:proofErr w:type="spellStart"/>
      <w:r w:rsidRPr="001819EC">
        <w:rPr>
          <w:rFonts w:eastAsia="Calibri"/>
          <w:b/>
          <w:bCs/>
          <w:sz w:val="32"/>
          <w:szCs w:val="32"/>
          <w:lang w:val="en-US" w:eastAsia="en-US"/>
        </w:rPr>
        <w:t>REFERENCIAS</w:t>
      </w:r>
      <w:proofErr w:type="spellEnd"/>
      <w:r w:rsidRPr="001819EC">
        <w:rPr>
          <w:rFonts w:eastAsia="Calibri"/>
          <w:b/>
          <w:bCs/>
          <w:sz w:val="32"/>
          <w:szCs w:val="32"/>
          <w:lang w:val="en-US" w:eastAsia="en-US"/>
        </w:rPr>
        <w:t xml:space="preserve"> </w:t>
      </w:r>
      <w:proofErr w:type="spellStart"/>
      <w:r w:rsidRPr="001819EC">
        <w:rPr>
          <w:rFonts w:eastAsia="Calibri"/>
          <w:b/>
          <w:bCs/>
          <w:sz w:val="32"/>
          <w:szCs w:val="32"/>
          <w:lang w:val="en-US" w:eastAsia="en-US"/>
        </w:rPr>
        <w:t>BIBLIOGRÁFICAS</w:t>
      </w:r>
      <w:proofErr w:type="spellEnd"/>
    </w:p>
    <w:p w14:paraId="63022D04" w14:textId="2CE66DBE" w:rsidR="001819EC" w:rsidRPr="001819EC" w:rsidRDefault="001819EC" w:rsidP="001819EC">
      <w:pPr>
        <w:spacing w:line="360" w:lineRule="auto"/>
        <w:rPr>
          <w:rFonts w:eastAsia="Calibri"/>
          <w:lang w:val="es-ES" w:eastAsia="en-US"/>
        </w:rPr>
      </w:pPr>
      <w:r w:rsidRPr="001819EC">
        <w:rPr>
          <w:rFonts w:eastAsia="Calibri"/>
          <w:lang w:val="en-US" w:eastAsia="en-US"/>
        </w:rPr>
        <w:t xml:space="preserve">1. Sung H, </w:t>
      </w:r>
      <w:proofErr w:type="spellStart"/>
      <w:r w:rsidRPr="001819EC">
        <w:rPr>
          <w:rFonts w:eastAsia="Calibri"/>
          <w:lang w:val="en-US" w:eastAsia="en-US"/>
        </w:rPr>
        <w:t>Ferlay</w:t>
      </w:r>
      <w:proofErr w:type="spellEnd"/>
      <w:r w:rsidRPr="001819EC">
        <w:rPr>
          <w:rFonts w:eastAsia="Calibri"/>
          <w:lang w:val="en-US" w:eastAsia="en-US"/>
        </w:rPr>
        <w:t xml:space="preserve"> J, Siegel </w:t>
      </w:r>
      <w:proofErr w:type="spellStart"/>
      <w:proofErr w:type="gramStart"/>
      <w:r w:rsidRPr="001819EC">
        <w:rPr>
          <w:rFonts w:eastAsia="Calibri"/>
          <w:lang w:val="en-US" w:eastAsia="en-US"/>
        </w:rPr>
        <w:t>RL</w:t>
      </w:r>
      <w:proofErr w:type="spellEnd"/>
      <w:r w:rsidRPr="001819EC">
        <w:rPr>
          <w:rFonts w:eastAsia="Calibri"/>
          <w:lang w:val="en-US" w:eastAsia="en-US"/>
        </w:rPr>
        <w:t xml:space="preserve">,  </w:t>
      </w:r>
      <w:proofErr w:type="spellStart"/>
      <w:r w:rsidRPr="001819EC">
        <w:rPr>
          <w:rFonts w:eastAsia="Calibri"/>
          <w:lang w:val="en-US" w:eastAsia="en-US"/>
        </w:rPr>
        <w:t>Laversanne</w:t>
      </w:r>
      <w:proofErr w:type="spellEnd"/>
      <w:proofErr w:type="gramEnd"/>
      <w:r w:rsidRPr="001819EC">
        <w:rPr>
          <w:rFonts w:eastAsia="Calibri"/>
          <w:lang w:val="en-US" w:eastAsia="en-US"/>
        </w:rPr>
        <w:t xml:space="preserve"> M,  Jemal A. Global Cancer Statistics 2020: </w:t>
      </w:r>
      <w:proofErr w:type="spellStart"/>
      <w:r w:rsidRPr="001819EC">
        <w:rPr>
          <w:rFonts w:eastAsia="Calibri"/>
          <w:lang w:val="en-US" w:eastAsia="en-US"/>
        </w:rPr>
        <w:t>GLOBOCAN</w:t>
      </w:r>
      <w:proofErr w:type="spellEnd"/>
      <w:r w:rsidRPr="001819EC">
        <w:rPr>
          <w:rFonts w:eastAsia="Calibri"/>
          <w:lang w:val="en-US" w:eastAsia="en-US"/>
        </w:rPr>
        <w:t xml:space="preserve">, Estimates of Incidence and Mortality Worldwide for 36 Cancers in 185 Countries. </w:t>
      </w:r>
      <w:r w:rsidRPr="001819EC">
        <w:rPr>
          <w:rFonts w:eastAsia="Calibri"/>
          <w:lang w:val="es-CU" w:eastAsia="en-US"/>
        </w:rPr>
        <w:t xml:space="preserve">CA </w:t>
      </w:r>
      <w:proofErr w:type="spellStart"/>
      <w:r w:rsidRPr="001819EC">
        <w:rPr>
          <w:rFonts w:eastAsia="Calibri"/>
          <w:lang w:val="es-CU" w:eastAsia="en-US"/>
        </w:rPr>
        <w:t>Cancer</w:t>
      </w:r>
      <w:proofErr w:type="spellEnd"/>
      <w:r w:rsidRPr="001819EC">
        <w:rPr>
          <w:rFonts w:eastAsia="Calibri"/>
          <w:lang w:val="es-CU" w:eastAsia="en-US"/>
        </w:rPr>
        <w:t xml:space="preserve"> J Clin. </w:t>
      </w:r>
      <w:r w:rsidRPr="001819EC">
        <w:rPr>
          <w:rFonts w:eastAsia="Calibri"/>
          <w:lang w:val="es-ES" w:eastAsia="en-US"/>
        </w:rPr>
        <w:t xml:space="preserve">2021; 71(3):191-280. </w:t>
      </w:r>
      <w:proofErr w:type="spellStart"/>
      <w:r w:rsidRPr="001819EC">
        <w:rPr>
          <w:rFonts w:eastAsia="Calibri"/>
          <w:lang w:val="es-ES" w:eastAsia="en-US"/>
        </w:rPr>
        <w:t>DOI</w:t>
      </w:r>
      <w:proofErr w:type="spellEnd"/>
      <w:r w:rsidRPr="001819EC">
        <w:rPr>
          <w:rFonts w:eastAsia="Calibri"/>
          <w:lang w:val="es-ES" w:eastAsia="en-US"/>
        </w:rPr>
        <w:t>: 10.3322/</w:t>
      </w:r>
      <w:proofErr w:type="spellStart"/>
      <w:r w:rsidRPr="001819EC">
        <w:rPr>
          <w:rFonts w:eastAsia="Calibri"/>
          <w:lang w:val="es-ES" w:eastAsia="en-US"/>
        </w:rPr>
        <w:t>caac.21660</w:t>
      </w:r>
      <w:proofErr w:type="spellEnd"/>
    </w:p>
    <w:p w14:paraId="6585EBD6"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2. Ministerio de Salud Pública. Dirección de Registro Médicos y Estadísticas de Salud. Anuario estadístico de salud 2019. La Habana: MINSAP; 2020. [acceso: 19/08/2022]. Disponible en: </w:t>
      </w:r>
      <w:hyperlink r:id="rId27" w:history="1">
        <w:r w:rsidRPr="001819EC">
          <w:rPr>
            <w:rFonts w:eastAsia="Calibri"/>
            <w:color w:val="0563C1"/>
            <w:lang w:val="es-ES" w:eastAsia="en-US"/>
          </w:rPr>
          <w:t>https://salud.msp.gob.cu/wp-content/Anuario/anuario_2019_edici%C3%B3n_2020.pdf</w:t>
        </w:r>
      </w:hyperlink>
      <w:r w:rsidRPr="001819EC">
        <w:rPr>
          <w:rFonts w:eastAsia="Calibri"/>
          <w:lang w:val="es-ES" w:eastAsia="en-US"/>
        </w:rPr>
        <w:t xml:space="preserve"> </w:t>
      </w:r>
    </w:p>
    <w:p w14:paraId="5DB55478"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3. Murphy SE, Park SL, Balbo S, Haiman CA, </w:t>
      </w:r>
      <w:proofErr w:type="spellStart"/>
      <w:r w:rsidRPr="001819EC">
        <w:rPr>
          <w:rFonts w:eastAsia="Calibri"/>
          <w:lang w:val="en-US" w:eastAsia="en-US"/>
        </w:rPr>
        <w:t>Hatsukami</w:t>
      </w:r>
      <w:proofErr w:type="spellEnd"/>
      <w:r w:rsidRPr="001819EC">
        <w:rPr>
          <w:rFonts w:eastAsia="Calibri"/>
          <w:lang w:val="en-US" w:eastAsia="en-US"/>
        </w:rPr>
        <w:t xml:space="preserve"> DK. Tobacco biomarkers and genetic/epigenetic analysis to investigate ethnic/racial differences in lung cancer risk among smokers. </w:t>
      </w:r>
      <w:proofErr w:type="spellStart"/>
      <w:r w:rsidRPr="001819EC">
        <w:rPr>
          <w:rFonts w:eastAsia="Calibri"/>
          <w:lang w:val="en-US" w:eastAsia="en-US"/>
        </w:rPr>
        <w:t>NPJ</w:t>
      </w:r>
      <w:proofErr w:type="spellEnd"/>
      <w:r w:rsidRPr="001819EC">
        <w:rPr>
          <w:rFonts w:eastAsia="Calibri"/>
          <w:lang w:val="en-US" w:eastAsia="en-US"/>
        </w:rPr>
        <w:t xml:space="preserve"> precision oncology. 2018; 2(1):1-10. </w:t>
      </w:r>
      <w:proofErr w:type="spellStart"/>
      <w:r w:rsidRPr="001819EC">
        <w:rPr>
          <w:rFonts w:eastAsia="Calibri"/>
          <w:lang w:val="en-US" w:eastAsia="en-US"/>
        </w:rPr>
        <w:t>DOI:10.1038</w:t>
      </w:r>
      <w:proofErr w:type="spellEnd"/>
      <w:r w:rsidRPr="001819EC">
        <w:rPr>
          <w:rFonts w:eastAsia="Calibri"/>
          <w:lang w:val="en-US" w:eastAsia="en-US"/>
        </w:rPr>
        <w:t>/</w:t>
      </w:r>
      <w:proofErr w:type="spellStart"/>
      <w:r w:rsidRPr="001819EC">
        <w:rPr>
          <w:rFonts w:eastAsia="Calibri"/>
          <w:lang w:val="en-US" w:eastAsia="en-US"/>
        </w:rPr>
        <w:t>s41698</w:t>
      </w:r>
      <w:proofErr w:type="spellEnd"/>
      <w:r w:rsidRPr="001819EC">
        <w:rPr>
          <w:rFonts w:eastAsia="Calibri"/>
          <w:lang w:val="en-US" w:eastAsia="en-US"/>
        </w:rPr>
        <w:t xml:space="preserve">-018-0057-y  </w:t>
      </w:r>
    </w:p>
    <w:p w14:paraId="107676BC" w14:textId="77777777" w:rsidR="001819EC" w:rsidRPr="001819EC" w:rsidRDefault="001819EC" w:rsidP="001819EC">
      <w:pPr>
        <w:spacing w:line="360" w:lineRule="auto"/>
        <w:rPr>
          <w:rFonts w:eastAsia="Calibri"/>
          <w:lang w:val="es-CU" w:eastAsia="en-US"/>
        </w:rPr>
      </w:pPr>
      <w:r w:rsidRPr="001819EC">
        <w:rPr>
          <w:rFonts w:eastAsia="Calibri"/>
          <w:lang w:val="en-US" w:eastAsia="en-US"/>
        </w:rPr>
        <w:t xml:space="preserve">4. Bade BC, Cruz CS. Lung cancer 2020: epidemiology, etiology, and prevention. </w:t>
      </w:r>
      <w:proofErr w:type="spellStart"/>
      <w:r w:rsidRPr="001819EC">
        <w:rPr>
          <w:rFonts w:eastAsia="Calibri"/>
          <w:lang w:val="es-CU" w:eastAsia="en-US"/>
        </w:rPr>
        <w:t>Clinics</w:t>
      </w:r>
      <w:proofErr w:type="spellEnd"/>
      <w:r w:rsidRPr="001819EC">
        <w:rPr>
          <w:rFonts w:eastAsia="Calibri"/>
          <w:lang w:val="es-CU" w:eastAsia="en-US"/>
        </w:rPr>
        <w:t xml:space="preserve"> in </w:t>
      </w:r>
      <w:proofErr w:type="spellStart"/>
      <w:r w:rsidRPr="001819EC">
        <w:rPr>
          <w:rFonts w:eastAsia="Calibri"/>
          <w:lang w:val="es-CU" w:eastAsia="en-US"/>
        </w:rPr>
        <w:t>Chest</w:t>
      </w:r>
      <w:proofErr w:type="spellEnd"/>
      <w:r w:rsidRPr="001819EC">
        <w:rPr>
          <w:rFonts w:eastAsia="Calibri"/>
          <w:lang w:val="es-CU" w:eastAsia="en-US"/>
        </w:rPr>
        <w:t xml:space="preserve"> Medicine. 2020;41(1):1-24. </w:t>
      </w:r>
      <w:proofErr w:type="spellStart"/>
      <w:proofErr w:type="gramStart"/>
      <w:r w:rsidRPr="001819EC">
        <w:rPr>
          <w:rFonts w:eastAsia="Calibri"/>
          <w:lang w:val="es-CU" w:eastAsia="en-US"/>
        </w:rPr>
        <w:t>DOI:10.1016</w:t>
      </w:r>
      <w:proofErr w:type="spellEnd"/>
      <w:r w:rsidRPr="001819EC">
        <w:rPr>
          <w:rFonts w:eastAsia="Calibri"/>
          <w:lang w:val="es-CU" w:eastAsia="en-US"/>
        </w:rPr>
        <w:t>/</w:t>
      </w:r>
      <w:proofErr w:type="spellStart"/>
      <w:r w:rsidRPr="001819EC">
        <w:rPr>
          <w:rFonts w:eastAsia="Calibri"/>
          <w:lang w:val="es-CU" w:eastAsia="en-US"/>
        </w:rPr>
        <w:t>j.ccm</w:t>
      </w:r>
      <w:proofErr w:type="gramEnd"/>
      <w:r w:rsidRPr="001819EC">
        <w:rPr>
          <w:rFonts w:eastAsia="Calibri"/>
          <w:lang w:val="es-CU" w:eastAsia="en-US"/>
        </w:rPr>
        <w:t>.2019.10.001</w:t>
      </w:r>
      <w:proofErr w:type="spellEnd"/>
      <w:r w:rsidRPr="001819EC">
        <w:rPr>
          <w:rFonts w:eastAsia="Calibri"/>
          <w:lang w:val="es-CU" w:eastAsia="en-US"/>
        </w:rPr>
        <w:t xml:space="preserve"> </w:t>
      </w:r>
    </w:p>
    <w:p w14:paraId="2BB5B66E"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5. Sánchez Ríos CP, Rumbo </w:t>
      </w:r>
      <w:proofErr w:type="spellStart"/>
      <w:r w:rsidRPr="001819EC">
        <w:rPr>
          <w:rFonts w:eastAsia="Calibri"/>
          <w:lang w:val="es-ES" w:eastAsia="en-US"/>
        </w:rPr>
        <w:t>NU</w:t>
      </w:r>
      <w:proofErr w:type="spellEnd"/>
      <w:r w:rsidRPr="001819EC">
        <w:rPr>
          <w:rFonts w:eastAsia="Calibri"/>
          <w:lang w:val="es-ES" w:eastAsia="en-US"/>
        </w:rPr>
        <w:t xml:space="preserve">, Báez SR, Rivera Rosales </w:t>
      </w:r>
      <w:proofErr w:type="spellStart"/>
      <w:r w:rsidRPr="001819EC">
        <w:rPr>
          <w:rFonts w:eastAsia="Calibri"/>
          <w:lang w:val="es-ES" w:eastAsia="en-US"/>
        </w:rPr>
        <w:t>RM</w:t>
      </w:r>
      <w:proofErr w:type="spellEnd"/>
      <w:r w:rsidRPr="001819EC">
        <w:rPr>
          <w:rFonts w:eastAsia="Calibri"/>
          <w:lang w:val="es-ES" w:eastAsia="en-US"/>
        </w:rPr>
        <w:t xml:space="preserve">, Luna Rivero C. Perfil mutacional de </w:t>
      </w:r>
      <w:proofErr w:type="spellStart"/>
      <w:r w:rsidRPr="001819EC">
        <w:rPr>
          <w:rFonts w:eastAsia="Calibri"/>
          <w:lang w:val="es-ES" w:eastAsia="en-US"/>
        </w:rPr>
        <w:t>EGFR</w:t>
      </w:r>
      <w:proofErr w:type="spellEnd"/>
      <w:r w:rsidRPr="001819EC">
        <w:rPr>
          <w:rFonts w:eastAsia="Calibri"/>
          <w:lang w:val="es-ES" w:eastAsia="en-US"/>
        </w:rPr>
        <w:t xml:space="preserve"> en adenocarcinoma pulmonar en pacientes fumadores y no fumadores. </w:t>
      </w:r>
      <w:proofErr w:type="spellStart"/>
      <w:r w:rsidRPr="001819EC">
        <w:rPr>
          <w:rFonts w:eastAsia="Calibri"/>
          <w:lang w:val="es-ES" w:eastAsia="en-US"/>
        </w:rPr>
        <w:t>Neumol</w:t>
      </w:r>
      <w:proofErr w:type="spellEnd"/>
      <w:r w:rsidRPr="001819EC">
        <w:rPr>
          <w:rFonts w:eastAsia="Calibri"/>
          <w:lang w:val="es-ES" w:eastAsia="en-US"/>
        </w:rPr>
        <w:t xml:space="preserve">. </w:t>
      </w:r>
      <w:proofErr w:type="spellStart"/>
      <w:r w:rsidRPr="001819EC">
        <w:rPr>
          <w:rFonts w:eastAsia="Calibri"/>
          <w:lang w:val="es-ES" w:eastAsia="en-US"/>
        </w:rPr>
        <w:t>cir.</w:t>
      </w:r>
      <w:proofErr w:type="spellEnd"/>
      <w:r w:rsidRPr="001819EC">
        <w:rPr>
          <w:rFonts w:eastAsia="Calibri"/>
          <w:lang w:val="es-ES" w:eastAsia="en-US"/>
        </w:rPr>
        <w:t xml:space="preserve"> </w:t>
      </w:r>
      <w:proofErr w:type="spellStart"/>
      <w:r w:rsidRPr="001819EC">
        <w:rPr>
          <w:rFonts w:eastAsia="Calibri"/>
          <w:lang w:val="es-ES" w:eastAsia="en-US"/>
        </w:rPr>
        <w:t>torax</w:t>
      </w:r>
      <w:proofErr w:type="spellEnd"/>
      <w:r w:rsidRPr="001819EC">
        <w:rPr>
          <w:rFonts w:eastAsia="Calibri"/>
          <w:lang w:val="es-ES" w:eastAsia="en-US"/>
        </w:rPr>
        <w:t xml:space="preserve">. 2018 </w:t>
      </w:r>
      <w:r w:rsidRPr="001819EC">
        <w:rPr>
          <w:rFonts w:eastAsia="Calibri"/>
          <w:lang w:val="es-ES" w:eastAsia="en-US"/>
        </w:rPr>
        <w:lastRenderedPageBreak/>
        <w:t xml:space="preserve">[acceso: 05/09/2022]; 77(2):137-44. Disponible en: </w:t>
      </w:r>
      <w:hyperlink r:id="rId28" w:history="1">
        <w:r w:rsidRPr="001819EC">
          <w:rPr>
            <w:rFonts w:eastAsia="Calibri"/>
            <w:color w:val="0563C1"/>
            <w:lang w:val="es-ES" w:eastAsia="en-US"/>
          </w:rPr>
          <w:t>http://www.scielo.org.mx/scielo.php?script=sci_arttext&amp;pid=S0028-37462018000200137&amp;lng=es</w:t>
        </w:r>
      </w:hyperlink>
      <w:r w:rsidRPr="001819EC">
        <w:rPr>
          <w:rFonts w:eastAsia="Calibri"/>
          <w:lang w:val="es-ES" w:eastAsia="en-US"/>
        </w:rPr>
        <w:t xml:space="preserve">  </w:t>
      </w:r>
    </w:p>
    <w:p w14:paraId="75247346"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6. Arrieta O, Cardona </w:t>
      </w:r>
      <w:proofErr w:type="spellStart"/>
      <w:r w:rsidRPr="001819EC">
        <w:rPr>
          <w:rFonts w:eastAsia="Calibri"/>
          <w:lang w:val="es-ES" w:eastAsia="en-US"/>
        </w:rPr>
        <w:t>AF</w:t>
      </w:r>
      <w:proofErr w:type="spellEnd"/>
      <w:r w:rsidRPr="001819EC">
        <w:rPr>
          <w:rFonts w:eastAsia="Calibri"/>
          <w:lang w:val="es-ES" w:eastAsia="en-US"/>
        </w:rPr>
        <w:t xml:space="preserve">, Zatarain </w:t>
      </w:r>
      <w:proofErr w:type="spellStart"/>
      <w:r w:rsidRPr="001819EC">
        <w:rPr>
          <w:rFonts w:eastAsia="Calibri"/>
          <w:lang w:val="es-ES" w:eastAsia="en-US"/>
        </w:rPr>
        <w:t>Barron</w:t>
      </w:r>
      <w:proofErr w:type="spellEnd"/>
      <w:r w:rsidRPr="001819EC">
        <w:rPr>
          <w:rFonts w:eastAsia="Calibri"/>
          <w:lang w:val="es-ES" w:eastAsia="en-US"/>
        </w:rPr>
        <w:t xml:space="preserve"> </w:t>
      </w:r>
      <w:proofErr w:type="spellStart"/>
      <w:r w:rsidRPr="001819EC">
        <w:rPr>
          <w:rFonts w:eastAsia="Calibri"/>
          <w:lang w:val="es-ES" w:eastAsia="en-US"/>
        </w:rPr>
        <w:t>ZL</w:t>
      </w:r>
      <w:proofErr w:type="spellEnd"/>
      <w:r w:rsidRPr="001819EC">
        <w:rPr>
          <w:rFonts w:eastAsia="Calibri"/>
          <w:lang w:val="es-ES" w:eastAsia="en-US"/>
        </w:rPr>
        <w:t xml:space="preserve">, </w:t>
      </w:r>
      <w:proofErr w:type="spellStart"/>
      <w:r w:rsidRPr="001819EC">
        <w:rPr>
          <w:rFonts w:eastAsia="Calibri"/>
          <w:lang w:val="es-ES" w:eastAsia="en-US"/>
        </w:rPr>
        <w:t>Rolfo</w:t>
      </w:r>
      <w:proofErr w:type="spellEnd"/>
      <w:r w:rsidRPr="001819EC">
        <w:rPr>
          <w:rFonts w:eastAsia="Calibri"/>
          <w:lang w:val="es-ES" w:eastAsia="en-US"/>
        </w:rPr>
        <w:t xml:space="preserve"> C, Ordoñez C.  Historia del cáncer de pulmón: desde </w:t>
      </w:r>
      <w:proofErr w:type="spellStart"/>
      <w:r w:rsidRPr="001819EC">
        <w:rPr>
          <w:rFonts w:eastAsia="Calibri"/>
          <w:lang w:val="es-ES" w:eastAsia="en-US"/>
        </w:rPr>
        <w:t>Doll</w:t>
      </w:r>
      <w:proofErr w:type="spellEnd"/>
      <w:r w:rsidRPr="001819EC">
        <w:rPr>
          <w:rFonts w:eastAsia="Calibri"/>
          <w:lang w:val="es-ES" w:eastAsia="en-US"/>
        </w:rPr>
        <w:t xml:space="preserve"> y Hill hasta las terapias de precisión. Revista Medicina. 2021; [acceso: 18/08/2022]; 43(1):107-39. Disponible en: </w:t>
      </w:r>
      <w:hyperlink r:id="rId29" w:history="1">
        <w:r w:rsidRPr="001819EC">
          <w:rPr>
            <w:rFonts w:eastAsia="Calibri"/>
            <w:color w:val="0563C1"/>
            <w:lang w:val="es-ES" w:eastAsia="en-US"/>
          </w:rPr>
          <w:t>https://www.revistamedicina.net/index.php/Medicina/article/view/1589/2038</w:t>
        </w:r>
      </w:hyperlink>
      <w:r w:rsidRPr="001819EC">
        <w:rPr>
          <w:rFonts w:eastAsia="Calibri"/>
          <w:lang w:val="es-ES" w:eastAsia="en-US"/>
        </w:rPr>
        <w:t xml:space="preserve">  </w:t>
      </w:r>
    </w:p>
    <w:p w14:paraId="1267320E"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7. </w:t>
      </w:r>
      <w:proofErr w:type="spellStart"/>
      <w:r w:rsidRPr="001819EC">
        <w:rPr>
          <w:rFonts w:eastAsia="Calibri"/>
          <w:lang w:val="es-ES" w:eastAsia="en-US"/>
        </w:rPr>
        <w:t>Remon</w:t>
      </w:r>
      <w:proofErr w:type="spellEnd"/>
      <w:r w:rsidRPr="001819EC">
        <w:rPr>
          <w:rFonts w:eastAsia="Calibri"/>
          <w:lang w:val="es-ES" w:eastAsia="en-US"/>
        </w:rPr>
        <w:t xml:space="preserve"> J. La revolución de la inmunoterapia: Inhibidores de punto de control inmune para el cáncer de pulmón de células no pequeñas. Revista Medicina. 2021 [acceso: 18/08/2022]; 43(1):176-88. Disponible en: </w:t>
      </w:r>
      <w:hyperlink r:id="rId30" w:history="1">
        <w:r w:rsidRPr="001819EC">
          <w:rPr>
            <w:rFonts w:eastAsia="Calibri"/>
            <w:color w:val="0563C1"/>
            <w:lang w:val="es-ES" w:eastAsia="en-US"/>
          </w:rPr>
          <w:t>https://www.revistamedicina.net/index.php/Medicina/article/view/1593/2045</w:t>
        </w:r>
      </w:hyperlink>
      <w:r w:rsidRPr="001819EC">
        <w:rPr>
          <w:rFonts w:eastAsia="Calibri"/>
          <w:lang w:val="es-ES" w:eastAsia="en-US"/>
        </w:rPr>
        <w:t xml:space="preserve">  </w:t>
      </w:r>
    </w:p>
    <w:p w14:paraId="1BF7ECAC"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8. </w:t>
      </w:r>
      <w:proofErr w:type="spellStart"/>
      <w:r w:rsidRPr="001819EC">
        <w:rPr>
          <w:rFonts w:eastAsia="Calibri"/>
          <w:lang w:val="es-ES" w:eastAsia="en-US"/>
        </w:rPr>
        <w:t>CECMED</w:t>
      </w:r>
      <w:proofErr w:type="spellEnd"/>
      <w:r w:rsidRPr="001819EC">
        <w:rPr>
          <w:rFonts w:eastAsia="Calibri"/>
          <w:lang w:val="es-ES" w:eastAsia="en-US"/>
        </w:rPr>
        <w:t xml:space="preserve">. Resumen de las características del producto. La Habana: </w:t>
      </w:r>
      <w:proofErr w:type="spellStart"/>
      <w:r w:rsidRPr="001819EC">
        <w:rPr>
          <w:rFonts w:eastAsia="Calibri"/>
          <w:lang w:val="es-ES" w:eastAsia="en-US"/>
        </w:rPr>
        <w:t>CECMED</w:t>
      </w:r>
      <w:proofErr w:type="spellEnd"/>
      <w:r w:rsidRPr="001819EC">
        <w:rPr>
          <w:rFonts w:eastAsia="Calibri"/>
          <w:lang w:val="es-ES" w:eastAsia="en-US"/>
        </w:rPr>
        <w:t xml:space="preserve">; 2019. [acceso: 19/08/2022]. Disponible en:  </w:t>
      </w:r>
      <w:hyperlink r:id="rId31" w:history="1">
        <w:r w:rsidRPr="001819EC">
          <w:rPr>
            <w:rFonts w:eastAsia="Calibri"/>
            <w:color w:val="0563C1"/>
            <w:lang w:val="es-ES" w:eastAsia="en-US"/>
          </w:rPr>
          <w:t>https://www.cecmed.cu/sites/default/files/adjuntos/rcp/biologicos/rcp_cimaher.pdf</w:t>
        </w:r>
      </w:hyperlink>
      <w:r w:rsidRPr="001819EC">
        <w:rPr>
          <w:rFonts w:eastAsia="Calibri"/>
          <w:lang w:val="es-ES" w:eastAsia="en-US"/>
        </w:rPr>
        <w:t xml:space="preserve">  </w:t>
      </w:r>
    </w:p>
    <w:p w14:paraId="113F550F"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9. National Comprehensive Cancer Network. </w:t>
      </w:r>
      <w:proofErr w:type="spellStart"/>
      <w:r w:rsidRPr="001819EC">
        <w:rPr>
          <w:rFonts w:eastAsia="Calibri"/>
          <w:lang w:val="en-US" w:eastAsia="en-US"/>
        </w:rPr>
        <w:t>NCCN</w:t>
      </w:r>
      <w:proofErr w:type="spellEnd"/>
      <w:r w:rsidRPr="001819EC">
        <w:rPr>
          <w:rFonts w:eastAsia="Calibri"/>
          <w:lang w:val="en-US" w:eastAsia="en-US"/>
        </w:rPr>
        <w:t xml:space="preserve"> Clinical Practice Guidelines in Oncology. Non-Small Cell Lung Cancer. Pennsylvania: </w:t>
      </w:r>
      <w:proofErr w:type="spellStart"/>
      <w:r w:rsidRPr="001819EC">
        <w:rPr>
          <w:rFonts w:eastAsia="Calibri"/>
          <w:lang w:val="en-US" w:eastAsia="en-US"/>
        </w:rPr>
        <w:t>NCCN</w:t>
      </w:r>
      <w:proofErr w:type="spellEnd"/>
      <w:r w:rsidRPr="001819EC">
        <w:rPr>
          <w:rFonts w:eastAsia="Calibri"/>
          <w:lang w:val="en-US" w:eastAsia="en-US"/>
        </w:rPr>
        <w:t>; 2020. [</w:t>
      </w:r>
      <w:proofErr w:type="spellStart"/>
      <w:r w:rsidRPr="001819EC">
        <w:rPr>
          <w:rFonts w:eastAsia="Calibri"/>
          <w:lang w:val="en-US" w:eastAsia="en-US"/>
        </w:rPr>
        <w:t>acceso</w:t>
      </w:r>
      <w:proofErr w:type="spellEnd"/>
      <w:r w:rsidRPr="001819EC">
        <w:rPr>
          <w:rFonts w:eastAsia="Calibri"/>
          <w:lang w:val="en-US" w:eastAsia="en-US"/>
        </w:rPr>
        <w:t xml:space="preserve">: 26/06/2021]. Disponible </w:t>
      </w:r>
      <w:proofErr w:type="spellStart"/>
      <w:r w:rsidRPr="001819EC">
        <w:rPr>
          <w:rFonts w:eastAsia="Calibri"/>
          <w:lang w:val="en-US" w:eastAsia="en-US"/>
        </w:rPr>
        <w:t>en</w:t>
      </w:r>
      <w:proofErr w:type="spellEnd"/>
      <w:r w:rsidRPr="001819EC">
        <w:rPr>
          <w:rFonts w:eastAsia="Calibri"/>
          <w:lang w:val="en-US" w:eastAsia="en-US"/>
        </w:rPr>
        <w:t xml:space="preserve">: </w:t>
      </w:r>
      <w:hyperlink r:id="rId32" w:history="1">
        <w:r w:rsidRPr="001819EC">
          <w:rPr>
            <w:rFonts w:eastAsia="Calibri"/>
            <w:color w:val="0563C1"/>
            <w:lang w:val="en-US" w:eastAsia="en-US"/>
          </w:rPr>
          <w:t>https://www2.trikobe.org/nccn/guideline/lung/english/non_small.pdf</w:t>
        </w:r>
      </w:hyperlink>
      <w:r w:rsidRPr="001819EC">
        <w:rPr>
          <w:rFonts w:eastAsia="Calibri"/>
          <w:lang w:val="en-US" w:eastAsia="en-US"/>
        </w:rPr>
        <w:t xml:space="preserve"> </w:t>
      </w:r>
    </w:p>
    <w:p w14:paraId="45AEDA5E"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10. Yang R, Chang Q, Meng X, Gao N, Wang W. Prognostic value of Systemic immune-inflammation index in cancer: A meta-analysis. J Cancer. 2018; 9(18): 3295. DOI: 10.7150/</w:t>
      </w:r>
      <w:proofErr w:type="spellStart"/>
      <w:r w:rsidRPr="001819EC">
        <w:rPr>
          <w:rFonts w:eastAsia="Calibri"/>
          <w:lang w:val="en-US" w:eastAsia="en-US"/>
        </w:rPr>
        <w:t>jca.25691</w:t>
      </w:r>
      <w:proofErr w:type="spellEnd"/>
      <w:r w:rsidRPr="001819EC">
        <w:rPr>
          <w:rFonts w:eastAsia="Calibri"/>
          <w:lang w:val="en-US" w:eastAsia="en-US"/>
        </w:rPr>
        <w:t xml:space="preserve"> </w:t>
      </w:r>
    </w:p>
    <w:p w14:paraId="5FFC31A5"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11. Howard R, Peter A, </w:t>
      </w:r>
      <w:proofErr w:type="spellStart"/>
      <w:r w:rsidRPr="001819EC">
        <w:rPr>
          <w:rFonts w:eastAsia="Calibri"/>
          <w:lang w:val="en-US" w:eastAsia="en-US"/>
        </w:rPr>
        <w:t>Kanetsky</w:t>
      </w:r>
      <w:proofErr w:type="spellEnd"/>
      <w:r w:rsidRPr="001819EC">
        <w:rPr>
          <w:rFonts w:eastAsia="Calibri"/>
          <w:lang w:val="en-US" w:eastAsia="en-US"/>
        </w:rPr>
        <w:t xml:space="preserve"> P, Kathleen M, Egan H. Exploring the prognostic value of the neutrophil-to-lymphocyte ratio in cancer. Scientific Reports. 2019; 9:19673.  DOI: 10.1038/</w:t>
      </w:r>
      <w:proofErr w:type="spellStart"/>
      <w:r w:rsidRPr="001819EC">
        <w:rPr>
          <w:rFonts w:eastAsia="Calibri"/>
          <w:lang w:val="en-US" w:eastAsia="en-US"/>
        </w:rPr>
        <w:t>s41598</w:t>
      </w:r>
      <w:proofErr w:type="spellEnd"/>
      <w:r w:rsidRPr="001819EC">
        <w:rPr>
          <w:rFonts w:eastAsia="Calibri"/>
          <w:lang w:val="en-US" w:eastAsia="en-US"/>
        </w:rPr>
        <w:t>-019-56218-z</w:t>
      </w:r>
    </w:p>
    <w:p w14:paraId="69097D8D" w14:textId="77777777" w:rsidR="001819EC" w:rsidRPr="001819EC" w:rsidRDefault="001819EC" w:rsidP="001819EC">
      <w:pPr>
        <w:spacing w:line="360" w:lineRule="auto"/>
        <w:rPr>
          <w:rFonts w:eastAsia="Calibri"/>
          <w:lang w:val="es-CU" w:eastAsia="en-US"/>
        </w:rPr>
      </w:pPr>
      <w:r w:rsidRPr="001819EC">
        <w:rPr>
          <w:rFonts w:eastAsia="Calibri"/>
          <w:lang w:val="en-US" w:eastAsia="en-US"/>
        </w:rPr>
        <w:t xml:space="preserve">12. Camp </w:t>
      </w:r>
      <w:proofErr w:type="spellStart"/>
      <w:r w:rsidRPr="001819EC">
        <w:rPr>
          <w:rFonts w:eastAsia="Calibri"/>
          <w:lang w:val="en-US" w:eastAsia="en-US"/>
        </w:rPr>
        <w:t>RL</w:t>
      </w:r>
      <w:proofErr w:type="spellEnd"/>
      <w:r w:rsidRPr="001819EC">
        <w:rPr>
          <w:rFonts w:eastAsia="Calibri"/>
          <w:lang w:val="en-US" w:eastAsia="en-US"/>
        </w:rPr>
        <w:t>, Dolled-</w:t>
      </w:r>
      <w:proofErr w:type="spellStart"/>
      <w:r w:rsidRPr="001819EC">
        <w:rPr>
          <w:rFonts w:eastAsia="Calibri"/>
          <w:lang w:val="en-US" w:eastAsia="en-US"/>
        </w:rPr>
        <w:t>Filhart</w:t>
      </w:r>
      <w:proofErr w:type="spellEnd"/>
      <w:r w:rsidRPr="001819EC">
        <w:rPr>
          <w:rFonts w:eastAsia="Calibri"/>
          <w:lang w:val="en-US" w:eastAsia="en-US"/>
        </w:rPr>
        <w:t xml:space="preserve"> M, Rimm DL. X-tile: a new bio-informatics tool for biomarker assessment and outcome-based cut-point optimization. </w:t>
      </w:r>
      <w:r w:rsidRPr="001819EC">
        <w:rPr>
          <w:rFonts w:eastAsia="Calibri"/>
          <w:lang w:val="es-CU" w:eastAsia="en-US"/>
        </w:rPr>
        <w:t xml:space="preserve">Clin </w:t>
      </w:r>
      <w:proofErr w:type="spellStart"/>
      <w:r w:rsidRPr="001819EC">
        <w:rPr>
          <w:rFonts w:eastAsia="Calibri"/>
          <w:lang w:val="es-CU" w:eastAsia="en-US"/>
        </w:rPr>
        <w:t>Cancer</w:t>
      </w:r>
      <w:proofErr w:type="spellEnd"/>
      <w:r w:rsidRPr="001819EC">
        <w:rPr>
          <w:rFonts w:eastAsia="Calibri"/>
          <w:lang w:val="es-CU" w:eastAsia="en-US"/>
        </w:rPr>
        <w:t xml:space="preserve"> Res. 2004;10(21):7252-9. </w:t>
      </w:r>
      <w:proofErr w:type="spellStart"/>
      <w:r w:rsidRPr="001819EC">
        <w:rPr>
          <w:rFonts w:eastAsia="Calibri"/>
          <w:lang w:val="es-CU" w:eastAsia="en-US"/>
        </w:rPr>
        <w:t>DOI</w:t>
      </w:r>
      <w:proofErr w:type="spellEnd"/>
      <w:r w:rsidRPr="001819EC">
        <w:rPr>
          <w:rFonts w:eastAsia="Calibri"/>
          <w:lang w:val="es-CU" w:eastAsia="en-US"/>
        </w:rPr>
        <w:t>: 10.1158/1078-</w:t>
      </w:r>
      <w:proofErr w:type="spellStart"/>
      <w:r w:rsidRPr="001819EC">
        <w:rPr>
          <w:rFonts w:eastAsia="Calibri"/>
          <w:lang w:val="es-CU" w:eastAsia="en-US"/>
        </w:rPr>
        <w:t>0432.CCR</w:t>
      </w:r>
      <w:proofErr w:type="spellEnd"/>
      <w:r w:rsidRPr="001819EC">
        <w:rPr>
          <w:rFonts w:eastAsia="Calibri"/>
          <w:lang w:val="es-CU" w:eastAsia="en-US"/>
        </w:rPr>
        <w:t>-04-0713</w:t>
      </w:r>
      <w:r w:rsidRPr="001819EC">
        <w:rPr>
          <w:rFonts w:eastAsia="Calibri"/>
          <w:highlight w:val="cyan"/>
          <w:lang w:val="es-CU" w:eastAsia="en-US"/>
        </w:rPr>
        <w:t xml:space="preserve"> </w:t>
      </w:r>
    </w:p>
    <w:p w14:paraId="2C2278AB" w14:textId="77777777" w:rsidR="001819EC" w:rsidRPr="001819EC" w:rsidRDefault="001819EC" w:rsidP="001819EC">
      <w:pPr>
        <w:tabs>
          <w:tab w:val="left" w:pos="2175"/>
        </w:tabs>
        <w:spacing w:line="360" w:lineRule="auto"/>
        <w:rPr>
          <w:rFonts w:eastAsia="Calibri"/>
          <w:b/>
          <w:lang w:val="es-ES" w:eastAsia="en-US"/>
        </w:rPr>
      </w:pPr>
      <w:r w:rsidRPr="001819EC">
        <w:rPr>
          <w:rFonts w:eastAsia="Calibri"/>
          <w:lang w:val="es-ES" w:eastAsia="en-US"/>
        </w:rPr>
        <w:t xml:space="preserve">13. </w:t>
      </w:r>
      <w:proofErr w:type="spellStart"/>
      <w:r w:rsidRPr="001819EC">
        <w:rPr>
          <w:rFonts w:eastAsia="Calibri"/>
          <w:lang w:val="es-ES" w:eastAsia="en-US"/>
        </w:rPr>
        <w:t>CECMED</w:t>
      </w:r>
      <w:proofErr w:type="spellEnd"/>
      <w:r w:rsidRPr="001819EC">
        <w:rPr>
          <w:rFonts w:eastAsia="Calibri"/>
          <w:lang w:val="es-ES" w:eastAsia="en-US"/>
        </w:rPr>
        <w:t xml:space="preserve">. Resolución Ministerial </w:t>
      </w:r>
      <w:proofErr w:type="spellStart"/>
      <w:r w:rsidRPr="001819EC">
        <w:rPr>
          <w:rFonts w:eastAsia="Calibri"/>
          <w:lang w:val="es-ES" w:eastAsia="en-US"/>
        </w:rPr>
        <w:t>No.165</w:t>
      </w:r>
      <w:proofErr w:type="spellEnd"/>
      <w:r w:rsidRPr="001819EC">
        <w:rPr>
          <w:rFonts w:eastAsia="Calibri"/>
          <w:lang w:val="es-ES" w:eastAsia="en-US"/>
        </w:rPr>
        <w:t xml:space="preserve">/2000. Directrices sobre Buenas Prácticas Clínicas en Cuba. La Habana: </w:t>
      </w:r>
      <w:proofErr w:type="spellStart"/>
      <w:r w:rsidRPr="001819EC">
        <w:rPr>
          <w:rFonts w:eastAsia="Calibri"/>
          <w:lang w:val="es-ES" w:eastAsia="en-US"/>
        </w:rPr>
        <w:t>CECMED</w:t>
      </w:r>
      <w:proofErr w:type="spellEnd"/>
      <w:r w:rsidRPr="001819EC">
        <w:rPr>
          <w:rFonts w:eastAsia="Calibri"/>
          <w:lang w:val="es-ES" w:eastAsia="en-US"/>
        </w:rPr>
        <w:t xml:space="preserve">; 2021. </w:t>
      </w:r>
      <w:bookmarkStart w:id="46" w:name="_Hlk141957334"/>
      <w:r w:rsidRPr="001819EC">
        <w:rPr>
          <w:rFonts w:eastAsia="Calibri"/>
          <w:lang w:val="es-ES" w:eastAsia="en-US"/>
        </w:rPr>
        <w:t xml:space="preserve">[acceso: 12/12/2021]. </w:t>
      </w:r>
      <w:bookmarkEnd w:id="46"/>
      <w:r w:rsidRPr="001819EC">
        <w:rPr>
          <w:rFonts w:eastAsia="Calibri"/>
          <w:lang w:val="es-ES" w:eastAsia="en-US"/>
        </w:rPr>
        <w:t xml:space="preserve">Disponible en: </w:t>
      </w:r>
      <w:hyperlink r:id="rId33" w:history="1">
        <w:r w:rsidRPr="001819EC">
          <w:rPr>
            <w:rFonts w:eastAsia="Calibri"/>
            <w:color w:val="0563C1"/>
            <w:lang w:val="es-ES" w:eastAsia="en-US"/>
          </w:rPr>
          <w:t>https://www.cecmed.cu/sites/default/files/adjuntos/ambitor/ambreg-18.pdf</w:t>
        </w:r>
      </w:hyperlink>
      <w:r w:rsidRPr="001819EC">
        <w:rPr>
          <w:rFonts w:eastAsia="Calibri"/>
          <w:lang w:val="es-ES" w:eastAsia="en-US"/>
        </w:rPr>
        <w:t xml:space="preserve"> </w:t>
      </w:r>
    </w:p>
    <w:p w14:paraId="417C07EC"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14. Carballo Torres D, </w:t>
      </w:r>
      <w:proofErr w:type="spellStart"/>
      <w:r w:rsidRPr="001819EC">
        <w:rPr>
          <w:rFonts w:eastAsia="Calibri"/>
          <w:lang w:val="es-ES" w:eastAsia="en-US"/>
        </w:rPr>
        <w:t>Nenínger</w:t>
      </w:r>
      <w:proofErr w:type="spellEnd"/>
      <w:r w:rsidRPr="001819EC">
        <w:rPr>
          <w:rFonts w:eastAsia="Calibri"/>
          <w:lang w:val="es-ES" w:eastAsia="en-US"/>
        </w:rPr>
        <w:t xml:space="preserve"> </w:t>
      </w:r>
      <w:proofErr w:type="spellStart"/>
      <w:r w:rsidRPr="001819EC">
        <w:rPr>
          <w:rFonts w:eastAsia="Calibri"/>
          <w:lang w:val="es-ES" w:eastAsia="en-US"/>
        </w:rPr>
        <w:t>Vinageras</w:t>
      </w:r>
      <w:proofErr w:type="spellEnd"/>
      <w:r w:rsidRPr="001819EC">
        <w:rPr>
          <w:rFonts w:eastAsia="Calibri"/>
          <w:lang w:val="es-ES" w:eastAsia="en-US"/>
        </w:rPr>
        <w:t xml:space="preserve"> E, Soriano García </w:t>
      </w:r>
      <w:proofErr w:type="spellStart"/>
      <w:r w:rsidRPr="001819EC">
        <w:rPr>
          <w:rFonts w:eastAsia="Calibri"/>
          <w:lang w:val="es-ES" w:eastAsia="en-US"/>
        </w:rPr>
        <w:t>JL</w:t>
      </w:r>
      <w:proofErr w:type="spellEnd"/>
      <w:r w:rsidRPr="001819EC">
        <w:rPr>
          <w:rFonts w:eastAsia="Calibri"/>
          <w:lang w:val="es-ES" w:eastAsia="en-US"/>
        </w:rPr>
        <w:t xml:space="preserve">, Saavedra Hernández D, Viada González C. Supervivencia en pacientes con cáncer pulmonar no microcítico avanzado en </w:t>
      </w:r>
      <w:r w:rsidRPr="001819EC">
        <w:rPr>
          <w:rFonts w:eastAsia="Calibri"/>
          <w:lang w:val="es-ES" w:eastAsia="en-US"/>
        </w:rPr>
        <w:lastRenderedPageBreak/>
        <w:t xml:space="preserve">mantenimiento con </w:t>
      </w:r>
      <w:proofErr w:type="spellStart"/>
      <w:r w:rsidRPr="001819EC">
        <w:rPr>
          <w:rFonts w:eastAsia="Calibri"/>
          <w:lang w:val="es-ES" w:eastAsia="en-US"/>
        </w:rPr>
        <w:t>CIMAvax-EGF</w:t>
      </w:r>
      <w:proofErr w:type="spellEnd"/>
      <w:r w:rsidRPr="001819EC">
        <w:rPr>
          <w:rFonts w:eastAsia="Calibri"/>
          <w:lang w:val="es-ES" w:eastAsia="en-US"/>
        </w:rPr>
        <w:t xml:space="preserve">® o </w:t>
      </w:r>
      <w:proofErr w:type="spellStart"/>
      <w:r w:rsidRPr="001819EC">
        <w:rPr>
          <w:rFonts w:eastAsia="Calibri"/>
          <w:lang w:val="es-ES" w:eastAsia="en-US"/>
        </w:rPr>
        <w:t>Nimotuzumab</w:t>
      </w:r>
      <w:proofErr w:type="spellEnd"/>
      <w:r w:rsidRPr="001819EC">
        <w:rPr>
          <w:rFonts w:eastAsia="Calibri"/>
          <w:lang w:val="es-ES" w:eastAsia="en-US"/>
        </w:rPr>
        <w:t xml:space="preserve">. </w:t>
      </w:r>
      <w:proofErr w:type="spellStart"/>
      <w:r w:rsidRPr="001819EC">
        <w:rPr>
          <w:rFonts w:eastAsia="Calibri"/>
          <w:lang w:val="es-ES" w:eastAsia="en-US"/>
        </w:rPr>
        <w:t>Rev</w:t>
      </w:r>
      <w:proofErr w:type="spellEnd"/>
      <w:r w:rsidRPr="001819EC">
        <w:rPr>
          <w:rFonts w:eastAsia="Calibri"/>
          <w:lang w:val="es-ES" w:eastAsia="en-US"/>
        </w:rPr>
        <w:t xml:space="preserve"> </w:t>
      </w:r>
      <w:proofErr w:type="spellStart"/>
      <w:r w:rsidRPr="001819EC">
        <w:rPr>
          <w:rFonts w:eastAsia="Calibri"/>
          <w:lang w:val="es-ES" w:eastAsia="en-US"/>
        </w:rPr>
        <w:t>Cub</w:t>
      </w:r>
      <w:proofErr w:type="spellEnd"/>
      <w:r w:rsidRPr="001819EC">
        <w:rPr>
          <w:rFonts w:eastAsia="Calibri"/>
          <w:lang w:val="es-ES" w:eastAsia="en-US"/>
        </w:rPr>
        <w:t xml:space="preserve"> Oncol. 2021 [acceso: 26/12/2022]; 19(1):112. Disponible en: </w:t>
      </w:r>
      <w:hyperlink r:id="rId34" w:history="1">
        <w:r w:rsidRPr="001819EC">
          <w:rPr>
            <w:rFonts w:eastAsia="Calibri"/>
            <w:color w:val="0563C1"/>
            <w:lang w:val="es-ES" w:eastAsia="en-US"/>
          </w:rPr>
          <w:t>https://revoncologia.sld.cu/index.php/onc/article/view/112</w:t>
        </w:r>
      </w:hyperlink>
      <w:r w:rsidRPr="001819EC">
        <w:rPr>
          <w:rFonts w:eastAsia="Calibri"/>
          <w:lang w:val="es-ES" w:eastAsia="en-US"/>
        </w:rPr>
        <w:t xml:space="preserve"> </w:t>
      </w:r>
    </w:p>
    <w:p w14:paraId="4E48AD5E" w14:textId="77777777" w:rsidR="001819EC" w:rsidRPr="001819EC" w:rsidRDefault="001819EC" w:rsidP="001819EC">
      <w:pPr>
        <w:spacing w:line="360" w:lineRule="auto"/>
        <w:rPr>
          <w:rFonts w:eastAsia="Calibri"/>
          <w:lang w:val="en-US" w:eastAsia="en-US"/>
        </w:rPr>
      </w:pPr>
      <w:r w:rsidRPr="001819EC">
        <w:rPr>
          <w:rFonts w:eastAsia="Calibri"/>
          <w:lang w:val="es-ES" w:eastAsia="en-US"/>
        </w:rPr>
        <w:t xml:space="preserve">15. Alarcón ML, </w:t>
      </w:r>
      <w:proofErr w:type="spellStart"/>
      <w:r w:rsidRPr="001819EC">
        <w:rPr>
          <w:rFonts w:eastAsia="Calibri"/>
          <w:lang w:val="es-ES" w:eastAsia="en-US"/>
        </w:rPr>
        <w:t>Brugés</w:t>
      </w:r>
      <w:proofErr w:type="spellEnd"/>
      <w:r w:rsidRPr="001819EC">
        <w:rPr>
          <w:rFonts w:eastAsia="Calibri"/>
          <w:lang w:val="es-ES" w:eastAsia="en-US"/>
        </w:rPr>
        <w:t xml:space="preserve"> R, Carvajal C, Vallejo C, Beltrán R. Características de los pacientes con cáncer de pulmón de célula no pequeña en el Instituto Nacional de Cancerología de Colombia. </w:t>
      </w:r>
      <w:r w:rsidRPr="001819EC">
        <w:rPr>
          <w:rFonts w:eastAsia="Calibri"/>
          <w:lang w:val="en-US" w:eastAsia="en-US"/>
        </w:rPr>
        <w:t xml:space="preserve">Rev Colomb </w:t>
      </w:r>
      <w:proofErr w:type="spellStart"/>
      <w:r w:rsidRPr="001819EC">
        <w:rPr>
          <w:rFonts w:eastAsia="Calibri"/>
          <w:lang w:val="en-US" w:eastAsia="en-US"/>
        </w:rPr>
        <w:t>Cancerol</w:t>
      </w:r>
      <w:proofErr w:type="spellEnd"/>
      <w:r w:rsidRPr="001819EC">
        <w:rPr>
          <w:rFonts w:eastAsia="Calibri"/>
          <w:lang w:val="en-US" w:eastAsia="en-US"/>
        </w:rPr>
        <w:t>. 2021; 25(2):103-9. DOI: 10.35509/01239015.706</w:t>
      </w:r>
    </w:p>
    <w:p w14:paraId="552FD7AC"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16. Guo W, Cai S, Zhang F. Systemic </w:t>
      </w:r>
      <w:proofErr w:type="spellStart"/>
      <w:r w:rsidRPr="001819EC">
        <w:rPr>
          <w:rFonts w:eastAsia="Calibri"/>
          <w:lang w:val="en-US" w:eastAsia="en-US"/>
        </w:rPr>
        <w:t>immuneinflammation</w:t>
      </w:r>
      <w:proofErr w:type="spellEnd"/>
      <w:r w:rsidRPr="001819EC">
        <w:rPr>
          <w:rFonts w:eastAsia="Calibri"/>
          <w:lang w:val="en-US" w:eastAsia="en-US"/>
        </w:rPr>
        <w:t xml:space="preserve"> index (</w:t>
      </w:r>
      <w:proofErr w:type="spellStart"/>
      <w:r w:rsidRPr="001819EC">
        <w:rPr>
          <w:rFonts w:eastAsia="Calibri"/>
          <w:lang w:val="en-US" w:eastAsia="en-US"/>
        </w:rPr>
        <w:t>SII</w:t>
      </w:r>
      <w:proofErr w:type="spellEnd"/>
      <w:r w:rsidRPr="001819EC">
        <w:rPr>
          <w:rFonts w:eastAsia="Calibri"/>
          <w:lang w:val="en-US" w:eastAsia="en-US"/>
        </w:rPr>
        <w:t xml:space="preserve">) is useful to predict survival outcomes in patients with surgically resected non-small cell lung cancer. </w:t>
      </w:r>
      <w:proofErr w:type="spellStart"/>
      <w:r w:rsidRPr="001819EC">
        <w:rPr>
          <w:rFonts w:eastAsia="Calibri"/>
          <w:lang w:val="en-US" w:eastAsia="en-US"/>
        </w:rPr>
        <w:t>Thorac</w:t>
      </w:r>
      <w:proofErr w:type="spellEnd"/>
      <w:r w:rsidRPr="001819EC">
        <w:rPr>
          <w:rFonts w:eastAsia="Calibri"/>
          <w:lang w:val="en-US" w:eastAsia="en-US"/>
        </w:rPr>
        <w:t xml:space="preserve"> Cancer. 2019; 10(4): 761–8. DOI: 10.1111/1759-7714.12995 </w:t>
      </w:r>
    </w:p>
    <w:p w14:paraId="2771CA3C"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17. Yucel S, Bilgin B. The prognostic values of systemic immune inflammation index and derived </w:t>
      </w:r>
      <w:proofErr w:type="spellStart"/>
      <w:r w:rsidRPr="001819EC">
        <w:rPr>
          <w:rFonts w:eastAsia="Calibri"/>
          <w:lang w:val="en-US" w:eastAsia="en-US"/>
        </w:rPr>
        <w:t>neutrophillymphocyte</w:t>
      </w:r>
      <w:proofErr w:type="spellEnd"/>
      <w:r w:rsidRPr="001819EC">
        <w:rPr>
          <w:rFonts w:eastAsia="Calibri"/>
          <w:lang w:val="en-US" w:eastAsia="en-US"/>
        </w:rPr>
        <w:t xml:space="preserve"> ratio in EGFR-mutant advanced non-small cell lung cancer. J Oncol Pharm Practice. 2020; 27(1):71–77. DOI: 10.1177/1078155220913106</w:t>
      </w:r>
    </w:p>
    <w:p w14:paraId="53683716"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18. Bilgin B, </w:t>
      </w:r>
      <w:proofErr w:type="spellStart"/>
      <w:r w:rsidRPr="001819EC">
        <w:rPr>
          <w:rFonts w:eastAsia="Calibri"/>
          <w:lang w:val="en-US" w:eastAsia="en-US"/>
        </w:rPr>
        <w:t>Sendur</w:t>
      </w:r>
      <w:proofErr w:type="spellEnd"/>
      <w:r w:rsidRPr="001819EC">
        <w:rPr>
          <w:rFonts w:eastAsia="Calibri"/>
          <w:lang w:val="en-US" w:eastAsia="en-US"/>
        </w:rPr>
        <w:t xml:space="preserve"> MAN, </w:t>
      </w:r>
      <w:proofErr w:type="spellStart"/>
      <w:r w:rsidRPr="001819EC">
        <w:rPr>
          <w:rFonts w:eastAsia="Calibri"/>
          <w:lang w:val="en-US" w:eastAsia="en-US"/>
        </w:rPr>
        <w:t>Hizal</w:t>
      </w:r>
      <w:proofErr w:type="spellEnd"/>
      <w:r w:rsidRPr="001819EC">
        <w:rPr>
          <w:rFonts w:eastAsia="Calibri"/>
          <w:lang w:val="en-US" w:eastAsia="en-US"/>
        </w:rPr>
        <w:t xml:space="preserve"> M. Prognostic effect of red cell distribution width-to-platelet ratio in colorectal cancer according to tumor stage and localization. J Cancer Res Ther. 2019; 15(1):54–60. </w:t>
      </w:r>
      <w:proofErr w:type="spellStart"/>
      <w:proofErr w:type="gramStart"/>
      <w:r w:rsidRPr="001819EC">
        <w:rPr>
          <w:rFonts w:eastAsia="Calibri"/>
          <w:lang w:val="en-US" w:eastAsia="en-US"/>
        </w:rPr>
        <w:t>DOI:10.4103</w:t>
      </w:r>
      <w:proofErr w:type="spellEnd"/>
      <w:r w:rsidRPr="001819EC">
        <w:rPr>
          <w:rFonts w:eastAsia="Calibri"/>
          <w:lang w:val="en-US" w:eastAsia="en-US"/>
        </w:rPr>
        <w:t>/</w:t>
      </w:r>
      <w:proofErr w:type="spellStart"/>
      <w:r w:rsidRPr="001819EC">
        <w:rPr>
          <w:rFonts w:eastAsia="Calibri"/>
          <w:lang w:val="en-US" w:eastAsia="en-US"/>
        </w:rPr>
        <w:t>jcrt.JCRT</w:t>
      </w:r>
      <w:proofErr w:type="gramEnd"/>
      <w:r w:rsidRPr="001819EC">
        <w:rPr>
          <w:rFonts w:eastAsia="Calibri"/>
          <w:lang w:val="en-US" w:eastAsia="en-US"/>
        </w:rPr>
        <w:t>_624_17</w:t>
      </w:r>
      <w:proofErr w:type="spellEnd"/>
    </w:p>
    <w:p w14:paraId="60163848" w14:textId="77777777" w:rsidR="001819EC" w:rsidRPr="001819EC" w:rsidRDefault="001819EC" w:rsidP="001819EC">
      <w:pPr>
        <w:spacing w:line="360" w:lineRule="auto"/>
        <w:rPr>
          <w:rFonts w:eastAsia="Calibri"/>
          <w:lang w:val="es-CU" w:eastAsia="en-US"/>
        </w:rPr>
      </w:pPr>
      <w:r w:rsidRPr="001819EC">
        <w:rPr>
          <w:rFonts w:eastAsia="Calibri"/>
          <w:lang w:val="en-US" w:eastAsia="en-US"/>
        </w:rPr>
        <w:t>19. Russo A, Franchina T, Ricciardi GRR. Baseline neutrophilia, derived neutrophil-to-lymphocyte ratio (</w:t>
      </w:r>
      <w:proofErr w:type="spellStart"/>
      <w:r w:rsidRPr="001819EC">
        <w:rPr>
          <w:rFonts w:eastAsia="Calibri"/>
          <w:lang w:val="en-US" w:eastAsia="en-US"/>
        </w:rPr>
        <w:t>dNLR</w:t>
      </w:r>
      <w:proofErr w:type="spellEnd"/>
      <w:r w:rsidRPr="001819EC">
        <w:rPr>
          <w:rFonts w:eastAsia="Calibri"/>
          <w:lang w:val="en-US" w:eastAsia="en-US"/>
        </w:rPr>
        <w:t xml:space="preserve">), platelet-to-lymphocyte ratio (PLR), and outcome in </w:t>
      </w:r>
      <w:proofErr w:type="spellStart"/>
      <w:r w:rsidRPr="001819EC">
        <w:rPr>
          <w:rFonts w:eastAsia="Calibri"/>
          <w:lang w:val="en-US" w:eastAsia="en-US"/>
        </w:rPr>
        <w:t>non small</w:t>
      </w:r>
      <w:proofErr w:type="spellEnd"/>
      <w:r w:rsidRPr="001819EC">
        <w:rPr>
          <w:rFonts w:eastAsia="Calibri"/>
          <w:lang w:val="en-US" w:eastAsia="en-US"/>
        </w:rPr>
        <w:t xml:space="preserve"> cell lung cancer (NSCLC) treated with nivolumab or docetaxel. </w:t>
      </w:r>
      <w:r w:rsidRPr="001819EC">
        <w:rPr>
          <w:rFonts w:eastAsia="Calibri"/>
          <w:lang w:val="es-CU" w:eastAsia="en-US"/>
        </w:rPr>
        <w:t xml:space="preserve">J Cell </w:t>
      </w:r>
      <w:proofErr w:type="spellStart"/>
      <w:r w:rsidRPr="001819EC">
        <w:rPr>
          <w:rFonts w:eastAsia="Calibri"/>
          <w:lang w:val="es-CU" w:eastAsia="en-US"/>
        </w:rPr>
        <w:t>Physio</w:t>
      </w:r>
      <w:proofErr w:type="spellEnd"/>
      <w:r w:rsidRPr="001819EC">
        <w:rPr>
          <w:rFonts w:eastAsia="Calibri"/>
          <w:lang w:val="es-CU" w:eastAsia="en-US"/>
        </w:rPr>
        <w:t xml:space="preserve">. 2018; 233(10): 6337–43.  </w:t>
      </w:r>
      <w:proofErr w:type="spellStart"/>
      <w:r w:rsidRPr="001819EC">
        <w:rPr>
          <w:rFonts w:eastAsia="Calibri"/>
          <w:lang w:val="es-CU" w:eastAsia="en-US"/>
        </w:rPr>
        <w:t>DOI</w:t>
      </w:r>
      <w:proofErr w:type="spellEnd"/>
      <w:r w:rsidRPr="001819EC">
        <w:rPr>
          <w:rFonts w:eastAsia="Calibri"/>
          <w:lang w:val="es-CU" w:eastAsia="en-US"/>
        </w:rPr>
        <w:t>: 10.1002/</w:t>
      </w:r>
      <w:proofErr w:type="spellStart"/>
      <w:r w:rsidRPr="001819EC">
        <w:rPr>
          <w:rFonts w:eastAsia="Calibri"/>
          <w:lang w:val="es-CU" w:eastAsia="en-US"/>
        </w:rPr>
        <w:t>jcp.26609</w:t>
      </w:r>
      <w:proofErr w:type="spellEnd"/>
      <w:r w:rsidRPr="001819EC">
        <w:rPr>
          <w:rFonts w:eastAsia="Calibri"/>
          <w:lang w:val="es-CU" w:eastAsia="en-US"/>
        </w:rPr>
        <w:t xml:space="preserve"> </w:t>
      </w:r>
    </w:p>
    <w:p w14:paraId="4F7A1492" w14:textId="77777777" w:rsidR="001819EC" w:rsidRPr="001819EC" w:rsidRDefault="001819EC" w:rsidP="001819EC">
      <w:pPr>
        <w:spacing w:line="360" w:lineRule="auto"/>
        <w:rPr>
          <w:rFonts w:eastAsia="Calibri"/>
          <w:lang w:val="es-ES" w:eastAsia="en-US"/>
        </w:rPr>
      </w:pPr>
      <w:r w:rsidRPr="001819EC">
        <w:rPr>
          <w:rFonts w:eastAsia="Calibri"/>
          <w:lang w:val="es-ES" w:eastAsia="en-US"/>
        </w:rPr>
        <w:t xml:space="preserve">20. Reyes Espinosa L, </w:t>
      </w:r>
      <w:proofErr w:type="spellStart"/>
      <w:r w:rsidRPr="001819EC">
        <w:rPr>
          <w:rFonts w:eastAsia="Calibri"/>
          <w:lang w:val="es-ES" w:eastAsia="en-US"/>
        </w:rPr>
        <w:t>Crombet</w:t>
      </w:r>
      <w:proofErr w:type="spellEnd"/>
      <w:r w:rsidRPr="001819EC">
        <w:rPr>
          <w:rFonts w:eastAsia="Calibri"/>
          <w:lang w:val="es-ES" w:eastAsia="en-US"/>
        </w:rPr>
        <w:t xml:space="preserve"> Ramos T, Lage Dávila A, Viada González CE. </w:t>
      </w:r>
      <w:r w:rsidRPr="001819EC">
        <w:rPr>
          <w:rFonts w:eastAsia="Calibri"/>
          <w:lang w:val="en-US" w:eastAsia="en-US"/>
        </w:rPr>
        <w:t xml:space="preserve">Inflammation Indexes Pretreatment Associated with Overall Survival and the Response to Nimotuzumab in Patients with Head and Neck Cancer Newly Diagnosed. </w:t>
      </w:r>
      <w:r w:rsidRPr="001819EC">
        <w:rPr>
          <w:rFonts w:eastAsia="Calibri"/>
          <w:lang w:val="es-ES" w:eastAsia="en-US"/>
        </w:rPr>
        <w:t xml:space="preserve">Head </w:t>
      </w:r>
      <w:proofErr w:type="spellStart"/>
      <w:r w:rsidRPr="001819EC">
        <w:rPr>
          <w:rFonts w:eastAsia="Calibri"/>
          <w:lang w:val="es-ES" w:eastAsia="en-US"/>
        </w:rPr>
        <w:t>Neck</w:t>
      </w:r>
      <w:proofErr w:type="spellEnd"/>
      <w:r w:rsidRPr="001819EC">
        <w:rPr>
          <w:rFonts w:eastAsia="Calibri"/>
          <w:lang w:val="es-ES" w:eastAsia="en-US"/>
        </w:rPr>
        <w:t xml:space="preserve"> </w:t>
      </w:r>
      <w:proofErr w:type="spellStart"/>
      <w:r w:rsidRPr="001819EC">
        <w:rPr>
          <w:rFonts w:eastAsia="Calibri"/>
          <w:lang w:val="es-ES" w:eastAsia="en-US"/>
        </w:rPr>
        <w:t>Cancer</w:t>
      </w:r>
      <w:proofErr w:type="spellEnd"/>
      <w:r w:rsidRPr="001819EC">
        <w:rPr>
          <w:rFonts w:eastAsia="Calibri"/>
          <w:lang w:val="es-ES" w:eastAsia="en-US"/>
        </w:rPr>
        <w:t xml:space="preserve"> Res. 2021 [acceso: 01/12/2022]; 6(5):1-7. Disponible en: </w:t>
      </w:r>
      <w:hyperlink r:id="rId35" w:history="1">
        <w:r w:rsidRPr="001819EC">
          <w:rPr>
            <w:rFonts w:eastAsia="Calibri"/>
            <w:color w:val="0563C1"/>
            <w:lang w:val="es-ES" w:eastAsia="en-US"/>
          </w:rPr>
          <w:t>https://head-and-neck-cancer-research.imedpub.com/inflammation-indexes-pretreatment-associated-with-overall-survival-and-the-response-to-nimotuzumab-in-patients-with-head-and-neck.php?aid=40524</w:t>
        </w:r>
      </w:hyperlink>
      <w:r w:rsidRPr="001819EC">
        <w:rPr>
          <w:rFonts w:eastAsia="Calibri"/>
          <w:lang w:val="es-ES" w:eastAsia="en-US"/>
        </w:rPr>
        <w:t xml:space="preserve"> </w:t>
      </w:r>
    </w:p>
    <w:p w14:paraId="19740CE4"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21. Zhang Y, Feng YC, Zhu HG. The peripheral blood neutrophil-to-lymphocyte ratio is a prognostic predictor for survival of EGFR-mutant </w:t>
      </w:r>
      <w:proofErr w:type="spellStart"/>
      <w:r w:rsidRPr="001819EC">
        <w:rPr>
          <w:rFonts w:eastAsia="Calibri"/>
          <w:lang w:val="en-US" w:eastAsia="en-US"/>
        </w:rPr>
        <w:t>nonsmall</w:t>
      </w:r>
      <w:proofErr w:type="spellEnd"/>
      <w:r w:rsidRPr="001819EC">
        <w:rPr>
          <w:rFonts w:eastAsia="Calibri"/>
          <w:lang w:val="en-US" w:eastAsia="en-US"/>
        </w:rPr>
        <w:t xml:space="preserve"> cell lung cancer patients treated with EGFR-</w:t>
      </w:r>
      <w:proofErr w:type="spellStart"/>
      <w:r w:rsidRPr="001819EC">
        <w:rPr>
          <w:rFonts w:eastAsia="Calibri"/>
          <w:lang w:val="en-US" w:eastAsia="en-US"/>
        </w:rPr>
        <w:t>TKIs</w:t>
      </w:r>
      <w:proofErr w:type="spellEnd"/>
      <w:r w:rsidRPr="001819EC">
        <w:rPr>
          <w:rFonts w:eastAsia="Calibri"/>
          <w:lang w:val="en-US" w:eastAsia="en-US"/>
        </w:rPr>
        <w:t>. Medicine (Baltimore). 2018; 97(30):11648. DOI: 10.1097/</w:t>
      </w:r>
      <w:proofErr w:type="spellStart"/>
      <w:r w:rsidRPr="001819EC">
        <w:rPr>
          <w:rFonts w:eastAsia="Calibri"/>
          <w:lang w:val="en-US" w:eastAsia="en-US"/>
        </w:rPr>
        <w:t>MD0000000000011648</w:t>
      </w:r>
      <w:proofErr w:type="spellEnd"/>
      <w:r w:rsidRPr="001819EC">
        <w:rPr>
          <w:rFonts w:eastAsia="Calibri"/>
          <w:lang w:val="en-US" w:eastAsia="en-US"/>
        </w:rPr>
        <w:t xml:space="preserve">  </w:t>
      </w:r>
    </w:p>
    <w:p w14:paraId="141F573B" w14:textId="77777777" w:rsidR="001819EC" w:rsidRPr="001819EC" w:rsidRDefault="001819EC" w:rsidP="001819EC">
      <w:pPr>
        <w:spacing w:line="360" w:lineRule="auto"/>
        <w:rPr>
          <w:rFonts w:eastAsia="Calibri"/>
          <w:lang w:val="en-US" w:eastAsia="en-US"/>
        </w:rPr>
      </w:pPr>
      <w:r w:rsidRPr="001819EC">
        <w:rPr>
          <w:rFonts w:eastAsia="Calibri"/>
          <w:lang w:val="en-US" w:eastAsia="en-US"/>
        </w:rPr>
        <w:lastRenderedPageBreak/>
        <w:t xml:space="preserve">22. Sebnem Y, Burak B. The prognostic values of systemic immune-inflammation index and derived neutrophil-lymphocyte ratio in EGFR-mutant advanced non-small cell lung cancer. J Oncol Pharm Practice. 2021; 27(1):71–77. </w:t>
      </w:r>
      <w:proofErr w:type="spellStart"/>
      <w:r w:rsidRPr="001819EC">
        <w:rPr>
          <w:rFonts w:eastAsia="Calibri"/>
          <w:lang w:val="en-US" w:eastAsia="en-US"/>
        </w:rPr>
        <w:t>DOI:10.1177</w:t>
      </w:r>
      <w:proofErr w:type="spellEnd"/>
      <w:r w:rsidRPr="001819EC">
        <w:rPr>
          <w:rFonts w:eastAsia="Calibri"/>
          <w:lang w:val="en-US" w:eastAsia="en-US"/>
        </w:rPr>
        <w:t xml:space="preserve">/1078155220913106 </w:t>
      </w:r>
    </w:p>
    <w:p w14:paraId="11622217"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23. Zhang Y, Chen B, Wang L. Systemic </w:t>
      </w:r>
      <w:proofErr w:type="spellStart"/>
      <w:r w:rsidRPr="001819EC">
        <w:rPr>
          <w:rFonts w:eastAsia="Calibri"/>
          <w:lang w:val="en-US" w:eastAsia="en-US"/>
        </w:rPr>
        <w:t>immuneinflammation</w:t>
      </w:r>
      <w:proofErr w:type="spellEnd"/>
      <w:r w:rsidRPr="001819EC">
        <w:rPr>
          <w:rFonts w:eastAsia="Calibri"/>
          <w:lang w:val="en-US" w:eastAsia="en-US"/>
        </w:rPr>
        <w:t xml:space="preserve"> index is a promising noninvasive marker to predict survival of lung cancer: a meta-analysis. Medicine (Baltimore). 2019; 98(3):13788. DOI: 10.1097/</w:t>
      </w:r>
      <w:proofErr w:type="spellStart"/>
      <w:r w:rsidRPr="001819EC">
        <w:rPr>
          <w:rFonts w:eastAsia="Calibri"/>
          <w:lang w:val="en-US" w:eastAsia="en-US"/>
        </w:rPr>
        <w:t>MD0000000000013788</w:t>
      </w:r>
      <w:proofErr w:type="spellEnd"/>
      <w:r w:rsidRPr="001819EC">
        <w:rPr>
          <w:rFonts w:eastAsia="Calibri"/>
          <w:lang w:val="en-US" w:eastAsia="en-US"/>
        </w:rPr>
        <w:t xml:space="preserve"> </w:t>
      </w:r>
    </w:p>
    <w:p w14:paraId="7CC293E9" w14:textId="77777777" w:rsidR="001819EC" w:rsidRPr="001819EC" w:rsidRDefault="001819EC" w:rsidP="001819EC">
      <w:pPr>
        <w:spacing w:line="360" w:lineRule="auto"/>
        <w:rPr>
          <w:rFonts w:eastAsia="Calibri"/>
          <w:lang w:val="en-US" w:eastAsia="en-US"/>
        </w:rPr>
      </w:pPr>
      <w:r w:rsidRPr="001819EC">
        <w:rPr>
          <w:rFonts w:eastAsia="Calibri"/>
          <w:lang w:val="en-US" w:eastAsia="en-US"/>
        </w:rPr>
        <w:t xml:space="preserve">24. Deng C, Zhang N, Wang Y. High systemic </w:t>
      </w:r>
      <w:proofErr w:type="spellStart"/>
      <w:r w:rsidRPr="001819EC">
        <w:rPr>
          <w:rFonts w:eastAsia="Calibri"/>
          <w:lang w:val="en-US" w:eastAsia="en-US"/>
        </w:rPr>
        <w:t>immuneinflammation</w:t>
      </w:r>
      <w:proofErr w:type="spellEnd"/>
      <w:r w:rsidRPr="001819EC">
        <w:rPr>
          <w:rFonts w:eastAsia="Calibri"/>
          <w:lang w:val="en-US" w:eastAsia="en-US"/>
        </w:rPr>
        <w:t xml:space="preserve"> index predicts poor prognosis in advanced lung adenocarcinoma patients treated with EGFR-</w:t>
      </w:r>
      <w:proofErr w:type="spellStart"/>
      <w:r w:rsidRPr="001819EC">
        <w:rPr>
          <w:rFonts w:eastAsia="Calibri"/>
          <w:lang w:val="en-US" w:eastAsia="en-US"/>
        </w:rPr>
        <w:t>TKIs</w:t>
      </w:r>
      <w:proofErr w:type="spellEnd"/>
      <w:r w:rsidRPr="001819EC">
        <w:rPr>
          <w:rFonts w:eastAsia="Calibri"/>
          <w:lang w:val="en-US" w:eastAsia="en-US"/>
        </w:rPr>
        <w:t>. Medicine (Baltimore). 2019; 98(33):16875. DOI: 10.1097/</w:t>
      </w:r>
      <w:proofErr w:type="spellStart"/>
      <w:r w:rsidRPr="001819EC">
        <w:rPr>
          <w:rFonts w:eastAsia="Calibri"/>
          <w:lang w:val="en-US" w:eastAsia="en-US"/>
        </w:rPr>
        <w:t>MD0000000000016875</w:t>
      </w:r>
      <w:proofErr w:type="spellEnd"/>
      <w:r w:rsidRPr="001819EC">
        <w:rPr>
          <w:rFonts w:eastAsia="Calibri"/>
          <w:lang w:val="en-US" w:eastAsia="en-US"/>
        </w:rPr>
        <w:t xml:space="preserve"> </w:t>
      </w:r>
    </w:p>
    <w:p w14:paraId="4FB13D64" w14:textId="77777777" w:rsidR="001819EC" w:rsidRPr="001819EC" w:rsidRDefault="001819EC" w:rsidP="001819EC">
      <w:pPr>
        <w:spacing w:line="360" w:lineRule="auto"/>
        <w:rPr>
          <w:rFonts w:eastAsia="Calibri"/>
          <w:lang w:val="es-ES" w:eastAsia="en-US"/>
        </w:rPr>
      </w:pPr>
      <w:r w:rsidRPr="001819EC">
        <w:rPr>
          <w:rFonts w:eastAsia="Calibri"/>
          <w:lang w:val="en-US" w:eastAsia="en-US"/>
        </w:rPr>
        <w:t xml:space="preserve">25. Dennehy C, McMahon E, Power DG. Clinical </w:t>
      </w:r>
      <w:proofErr w:type="spellStart"/>
      <w:r w:rsidRPr="001819EC">
        <w:rPr>
          <w:rFonts w:eastAsia="Calibri"/>
          <w:lang w:val="en-US" w:eastAsia="en-US"/>
        </w:rPr>
        <w:t>haematological</w:t>
      </w:r>
      <w:proofErr w:type="spellEnd"/>
      <w:r w:rsidRPr="001819EC">
        <w:rPr>
          <w:rFonts w:eastAsia="Calibri"/>
          <w:lang w:val="en-US" w:eastAsia="en-US"/>
        </w:rPr>
        <w:t xml:space="preserve"> biomarkers: derived neutrophil-</w:t>
      </w:r>
      <w:proofErr w:type="spellStart"/>
      <w:r w:rsidRPr="001819EC">
        <w:rPr>
          <w:rFonts w:eastAsia="Calibri"/>
          <w:lang w:val="en-US" w:eastAsia="en-US"/>
        </w:rPr>
        <w:t>tolymphocyte</w:t>
      </w:r>
      <w:proofErr w:type="spellEnd"/>
      <w:r w:rsidRPr="001819EC">
        <w:rPr>
          <w:rFonts w:eastAsia="Calibri"/>
          <w:lang w:val="en-US" w:eastAsia="en-US"/>
        </w:rPr>
        <w:t xml:space="preserve"> ratio (</w:t>
      </w:r>
      <w:proofErr w:type="spellStart"/>
      <w:r w:rsidRPr="001819EC">
        <w:rPr>
          <w:rFonts w:eastAsia="Calibri"/>
          <w:lang w:val="en-US" w:eastAsia="en-US"/>
        </w:rPr>
        <w:t>dNLR</w:t>
      </w:r>
      <w:proofErr w:type="spellEnd"/>
      <w:r w:rsidRPr="001819EC">
        <w:rPr>
          <w:rFonts w:eastAsia="Calibri"/>
          <w:lang w:val="en-US" w:eastAsia="en-US"/>
        </w:rPr>
        <w:t>), platelet-to-lymphocyte ratio (PLR), and prognostic nutritional index (</w:t>
      </w:r>
      <w:proofErr w:type="spellStart"/>
      <w:r w:rsidRPr="001819EC">
        <w:rPr>
          <w:rFonts w:eastAsia="Calibri"/>
          <w:lang w:val="en-US" w:eastAsia="en-US"/>
        </w:rPr>
        <w:t>PNI</w:t>
      </w:r>
      <w:proofErr w:type="spellEnd"/>
      <w:r w:rsidRPr="001819EC">
        <w:rPr>
          <w:rFonts w:eastAsia="Calibri"/>
          <w:lang w:val="en-US" w:eastAsia="en-US"/>
        </w:rPr>
        <w:t xml:space="preserve">) and their relationship to survival outcomes in non-small cell lung cancer (NSCLC) treated with immunotherapy: a multicenter review. </w:t>
      </w:r>
      <w:r w:rsidRPr="001819EC">
        <w:rPr>
          <w:rFonts w:eastAsia="Calibri"/>
          <w:lang w:val="es-ES" w:eastAsia="en-US"/>
        </w:rPr>
        <w:t xml:space="preserve">J Clin Oncol. 2019; 37(15):20704. </w:t>
      </w:r>
      <w:proofErr w:type="spellStart"/>
      <w:r w:rsidRPr="001819EC">
        <w:rPr>
          <w:rFonts w:eastAsia="Calibri"/>
          <w:lang w:val="es-ES" w:eastAsia="en-US"/>
        </w:rPr>
        <w:t>DOI</w:t>
      </w:r>
      <w:proofErr w:type="spellEnd"/>
      <w:r w:rsidRPr="001819EC">
        <w:rPr>
          <w:rFonts w:eastAsia="Calibri"/>
          <w:lang w:val="es-ES" w:eastAsia="en-US"/>
        </w:rPr>
        <w:t>: 10.1200/</w:t>
      </w:r>
      <w:proofErr w:type="spellStart"/>
      <w:r w:rsidRPr="001819EC">
        <w:rPr>
          <w:rFonts w:eastAsia="Calibri"/>
          <w:lang w:val="es-ES" w:eastAsia="en-US"/>
        </w:rPr>
        <w:t>JCO.2019.37.15_suppl.e2</w:t>
      </w:r>
      <w:proofErr w:type="spellEnd"/>
      <w:r w:rsidRPr="001819EC">
        <w:rPr>
          <w:rFonts w:eastAsia="Calibri"/>
          <w:lang w:val="es-ES" w:eastAsia="en-US"/>
        </w:rPr>
        <w:t xml:space="preserve"> </w:t>
      </w:r>
    </w:p>
    <w:p w14:paraId="5D8D06F5" w14:textId="77777777" w:rsidR="001819EC" w:rsidRPr="001819EC" w:rsidRDefault="001819EC" w:rsidP="001819EC">
      <w:pPr>
        <w:spacing w:line="360" w:lineRule="auto"/>
        <w:jc w:val="both"/>
        <w:rPr>
          <w:rFonts w:eastAsia="Calibri"/>
          <w:lang w:val="es-ES" w:eastAsia="en-US"/>
        </w:rPr>
      </w:pPr>
    </w:p>
    <w:p w14:paraId="0650D8D9" w14:textId="77777777" w:rsidR="001819EC" w:rsidRPr="001819EC" w:rsidRDefault="001819EC" w:rsidP="001819EC">
      <w:pPr>
        <w:spacing w:line="360" w:lineRule="auto"/>
        <w:jc w:val="center"/>
        <w:rPr>
          <w:rFonts w:eastAsia="Calibri"/>
          <w:b/>
          <w:bCs/>
          <w:lang w:val="es-ES" w:eastAsia="en-US"/>
        </w:rPr>
      </w:pPr>
    </w:p>
    <w:p w14:paraId="669BA943" w14:textId="77777777" w:rsidR="001819EC" w:rsidRPr="001819EC" w:rsidRDefault="001819EC" w:rsidP="001819EC">
      <w:pPr>
        <w:spacing w:line="360" w:lineRule="auto"/>
        <w:jc w:val="center"/>
        <w:rPr>
          <w:rFonts w:eastAsia="Calibri"/>
          <w:b/>
          <w:bCs/>
          <w:lang w:val="es-ES" w:eastAsia="en-US"/>
        </w:rPr>
      </w:pPr>
      <w:r w:rsidRPr="001819EC">
        <w:rPr>
          <w:rFonts w:eastAsia="Calibri"/>
          <w:b/>
          <w:bCs/>
          <w:lang w:val="es-ES" w:eastAsia="en-US"/>
        </w:rPr>
        <w:t>Conflictos de interés</w:t>
      </w:r>
    </w:p>
    <w:p w14:paraId="7CB96486"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Los autores declaran que no existen conflictos de interés.</w:t>
      </w:r>
    </w:p>
    <w:p w14:paraId="6F526C2D" w14:textId="77777777" w:rsidR="001819EC" w:rsidRPr="001819EC" w:rsidRDefault="001819EC" w:rsidP="001819EC">
      <w:pPr>
        <w:spacing w:line="360" w:lineRule="auto"/>
        <w:jc w:val="both"/>
        <w:rPr>
          <w:rFonts w:eastAsia="Calibri"/>
          <w:lang w:val="es-ES" w:eastAsia="en-US"/>
        </w:rPr>
      </w:pPr>
    </w:p>
    <w:p w14:paraId="480CF228" w14:textId="77777777" w:rsidR="001819EC" w:rsidRPr="001819EC" w:rsidRDefault="001819EC" w:rsidP="001819EC">
      <w:pPr>
        <w:spacing w:line="360" w:lineRule="auto"/>
        <w:jc w:val="center"/>
        <w:rPr>
          <w:rFonts w:eastAsia="Calibri"/>
          <w:b/>
          <w:bCs/>
          <w:lang w:val="es-ES" w:eastAsia="en-US"/>
        </w:rPr>
      </w:pPr>
      <w:r w:rsidRPr="001819EC">
        <w:rPr>
          <w:rFonts w:eastAsia="Calibri"/>
          <w:b/>
          <w:bCs/>
          <w:lang w:val="es-ES" w:eastAsia="en-US"/>
        </w:rPr>
        <w:t>Contribuciones de los autores</w:t>
      </w:r>
    </w:p>
    <w:p w14:paraId="33B2D374" w14:textId="77777777" w:rsidR="001819EC" w:rsidRPr="001819EC" w:rsidRDefault="001819EC" w:rsidP="001819EC">
      <w:pPr>
        <w:spacing w:line="360" w:lineRule="auto"/>
        <w:jc w:val="both"/>
        <w:rPr>
          <w:rFonts w:eastAsia="Calibri"/>
          <w:i/>
          <w:iCs/>
          <w:lang w:val="es-ES" w:eastAsia="en-US"/>
        </w:rPr>
      </w:pPr>
      <w:r w:rsidRPr="001819EC">
        <w:rPr>
          <w:rFonts w:eastAsia="Calibri"/>
          <w:lang w:val="es-ES" w:eastAsia="en-US"/>
        </w:rPr>
        <w:t xml:space="preserve">Conceptualización: </w:t>
      </w:r>
      <w:bookmarkStart w:id="47" w:name="_Hlk126001912"/>
      <w:bookmarkStart w:id="48" w:name="_Hlk126005785"/>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bookmarkEnd w:id="47"/>
      <w:proofErr w:type="spellEnd"/>
      <w:r w:rsidRPr="001819EC">
        <w:rPr>
          <w:rFonts w:eastAsia="Calibri"/>
          <w:i/>
          <w:iCs/>
          <w:lang w:val="es-ES" w:eastAsia="en-US"/>
        </w:rPr>
        <w:t xml:space="preserve">. </w:t>
      </w:r>
    </w:p>
    <w:bookmarkEnd w:id="48"/>
    <w:p w14:paraId="6E66EAB2"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Curación de datos: </w:t>
      </w:r>
      <w:bookmarkStart w:id="49" w:name="_Hlk126001961"/>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 xml:space="preserve">, </w:t>
      </w:r>
      <w:bookmarkEnd w:id="49"/>
      <w:r w:rsidRPr="001819EC">
        <w:rPr>
          <w:rFonts w:eastAsia="Calibri"/>
          <w:i/>
          <w:iCs/>
          <w:lang w:val="es-ES" w:eastAsia="en-US"/>
        </w:rPr>
        <w:t>Carmen Elena Viada González.</w:t>
      </w:r>
    </w:p>
    <w:p w14:paraId="7D469B88"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Análisis formal: </w:t>
      </w:r>
      <w:bookmarkStart w:id="50" w:name="_Hlk126002019"/>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 Carmen Elena Viada González</w:t>
      </w:r>
      <w:bookmarkEnd w:id="50"/>
      <w:r w:rsidRPr="001819EC">
        <w:rPr>
          <w:rFonts w:eastAsia="Calibri"/>
          <w:i/>
          <w:iCs/>
          <w:lang w:val="es-ES" w:eastAsia="en-US"/>
        </w:rPr>
        <w:t xml:space="preserve">. </w:t>
      </w:r>
    </w:p>
    <w:p w14:paraId="18C9ADC4"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Investigación: </w:t>
      </w:r>
      <w:r w:rsidRPr="001819EC">
        <w:rPr>
          <w:rFonts w:eastAsia="Calibri"/>
          <w:i/>
          <w:iCs/>
          <w:lang w:val="es-ES" w:eastAsia="en-US"/>
        </w:rPr>
        <w:t xml:space="preserve">Kirenia Camacho Sosa, Elia </w:t>
      </w:r>
      <w:proofErr w:type="spellStart"/>
      <w:r w:rsidRPr="001819EC">
        <w:rPr>
          <w:rFonts w:eastAsia="Calibri"/>
          <w:i/>
          <w:iCs/>
          <w:lang w:val="es-ES" w:eastAsia="en-US"/>
        </w:rPr>
        <w:t>Nenínger</w:t>
      </w:r>
      <w:proofErr w:type="spellEnd"/>
      <w:r w:rsidRPr="001819EC">
        <w:rPr>
          <w:rFonts w:eastAsia="Calibri"/>
          <w:i/>
          <w:iCs/>
          <w:lang w:val="es-ES" w:eastAsia="en-US"/>
        </w:rPr>
        <w:t xml:space="preserve"> </w:t>
      </w:r>
      <w:proofErr w:type="spellStart"/>
      <w:r w:rsidRPr="001819EC">
        <w:rPr>
          <w:rFonts w:eastAsia="Calibri"/>
          <w:i/>
          <w:iCs/>
          <w:lang w:val="es-ES" w:eastAsia="en-US"/>
        </w:rPr>
        <w:t>Vinageras</w:t>
      </w:r>
      <w:proofErr w:type="spellEnd"/>
      <w:r w:rsidRPr="001819EC">
        <w:rPr>
          <w:rFonts w:eastAsia="Calibri"/>
          <w:i/>
          <w:iCs/>
          <w:lang w:val="es-ES" w:eastAsia="en-US"/>
        </w:rPr>
        <w:t xml:space="preserve">, Eduardo Rafael Santiesteban Álvarez, </w:t>
      </w:r>
      <w:proofErr w:type="spellStart"/>
      <w:r w:rsidRPr="001819EC">
        <w:rPr>
          <w:rFonts w:eastAsia="Calibri"/>
          <w:i/>
          <w:iCs/>
          <w:lang w:val="es-CU" w:eastAsia="en-US"/>
        </w:rPr>
        <w:t>Maurenis</w:t>
      </w:r>
      <w:proofErr w:type="spellEnd"/>
      <w:r w:rsidRPr="001819EC">
        <w:rPr>
          <w:rFonts w:eastAsia="Calibri"/>
          <w:i/>
          <w:iCs/>
          <w:lang w:val="es-CU" w:eastAsia="en-US"/>
        </w:rPr>
        <w:t xml:space="preserve"> Hernández Pérez, </w:t>
      </w:r>
      <w:proofErr w:type="spellStart"/>
      <w:r w:rsidRPr="001819EC">
        <w:rPr>
          <w:rFonts w:eastAsia="Calibri"/>
          <w:i/>
          <w:iCs/>
          <w:lang w:val="es-CU" w:eastAsia="en-US"/>
        </w:rPr>
        <w:t>Yoanna</w:t>
      </w:r>
      <w:proofErr w:type="spellEnd"/>
      <w:r w:rsidRPr="001819EC">
        <w:rPr>
          <w:rFonts w:eastAsia="Calibri"/>
          <w:i/>
          <w:iCs/>
          <w:lang w:val="es-CU" w:eastAsia="en-US"/>
        </w:rPr>
        <w:t xml:space="preserve"> Ivette Flores Vega, </w:t>
      </w:r>
      <w:proofErr w:type="spellStart"/>
      <w:r w:rsidRPr="001819EC">
        <w:rPr>
          <w:rFonts w:eastAsia="Calibri"/>
          <w:i/>
          <w:iCs/>
          <w:lang w:val="es-CU" w:eastAsia="en-US"/>
        </w:rPr>
        <w:t>Saylin</w:t>
      </w:r>
      <w:proofErr w:type="spellEnd"/>
      <w:r w:rsidRPr="001819EC">
        <w:rPr>
          <w:rFonts w:eastAsia="Calibri"/>
          <w:i/>
          <w:iCs/>
          <w:lang w:val="es-CU" w:eastAsia="en-US"/>
        </w:rPr>
        <w:t xml:space="preserve"> Alfonso, </w:t>
      </w:r>
      <w:r w:rsidRPr="001819EC">
        <w:rPr>
          <w:rFonts w:eastAsia="Calibri"/>
          <w:i/>
          <w:iCs/>
          <w:lang w:val="es-ES" w:eastAsia="en-US"/>
        </w:rPr>
        <w:t xml:space="preserve">Ramón Alberto Ortiz </w:t>
      </w:r>
      <w:proofErr w:type="spellStart"/>
      <w:r w:rsidRPr="001819EC">
        <w:rPr>
          <w:rFonts w:eastAsia="Calibri"/>
          <w:i/>
          <w:iCs/>
          <w:lang w:val="es-ES" w:eastAsia="en-US"/>
        </w:rPr>
        <w:t>Carrodeguas</w:t>
      </w:r>
      <w:proofErr w:type="spellEnd"/>
      <w:r w:rsidRPr="001819EC">
        <w:rPr>
          <w:rFonts w:eastAsia="Calibri"/>
          <w:i/>
          <w:iCs/>
          <w:lang w:val="es-ES" w:eastAsia="en-US"/>
        </w:rPr>
        <w:t xml:space="preserve">, </w:t>
      </w:r>
      <w:r w:rsidRPr="001819EC">
        <w:rPr>
          <w:rFonts w:eastAsia="Calibri"/>
          <w:i/>
          <w:iCs/>
          <w:lang w:val="es-CU" w:eastAsia="en-US"/>
        </w:rPr>
        <w:t xml:space="preserve">Soraida </w:t>
      </w:r>
      <w:proofErr w:type="spellStart"/>
      <w:r w:rsidRPr="001819EC">
        <w:rPr>
          <w:rFonts w:eastAsia="Calibri"/>
          <w:i/>
          <w:iCs/>
          <w:lang w:val="es-CU" w:eastAsia="en-US"/>
        </w:rPr>
        <w:t>Candida</w:t>
      </w:r>
      <w:proofErr w:type="spellEnd"/>
      <w:r w:rsidRPr="001819EC">
        <w:rPr>
          <w:rFonts w:eastAsia="Calibri"/>
          <w:i/>
          <w:iCs/>
          <w:lang w:val="es-CU" w:eastAsia="en-US"/>
        </w:rPr>
        <w:t xml:space="preserve"> Acosta Brooks</w:t>
      </w:r>
      <w:r w:rsidRPr="001819EC">
        <w:rPr>
          <w:rFonts w:eastAsia="Calibri"/>
          <w:i/>
          <w:iCs/>
          <w:lang w:val="es-ES" w:eastAsia="en-US"/>
        </w:rPr>
        <w:t>.</w:t>
      </w:r>
    </w:p>
    <w:p w14:paraId="0C1BE756"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Metodología: </w:t>
      </w:r>
      <w:bookmarkStart w:id="51" w:name="_Hlk126005746"/>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bookmarkEnd w:id="51"/>
      <w:proofErr w:type="spellEnd"/>
      <w:r w:rsidRPr="001819EC">
        <w:rPr>
          <w:rFonts w:eastAsia="Calibri"/>
          <w:i/>
          <w:iCs/>
          <w:lang w:val="es-ES" w:eastAsia="en-US"/>
        </w:rPr>
        <w:t>, Carmen Elena Viada González.</w:t>
      </w:r>
    </w:p>
    <w:p w14:paraId="25868B63" w14:textId="77777777" w:rsidR="001819EC" w:rsidRPr="001819EC" w:rsidRDefault="001819EC" w:rsidP="001819EC">
      <w:pPr>
        <w:spacing w:line="360" w:lineRule="auto"/>
        <w:jc w:val="both"/>
        <w:rPr>
          <w:rFonts w:eastAsia="Calibri"/>
          <w:i/>
          <w:iCs/>
          <w:lang w:val="es-ES" w:eastAsia="en-US"/>
        </w:rPr>
      </w:pPr>
      <w:r w:rsidRPr="001819EC">
        <w:rPr>
          <w:rFonts w:eastAsia="Calibri"/>
          <w:lang w:val="es-ES" w:eastAsia="en-US"/>
        </w:rPr>
        <w:t xml:space="preserve">Administración del proyecto: </w:t>
      </w:r>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w:t>
      </w:r>
    </w:p>
    <w:p w14:paraId="359E10D5"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lastRenderedPageBreak/>
        <w:t xml:space="preserve">Recursos materiales: </w:t>
      </w:r>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 Carmen Elena Viada González.</w:t>
      </w:r>
    </w:p>
    <w:p w14:paraId="0BF89A3E"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Supervisión: </w:t>
      </w:r>
      <w:bookmarkStart w:id="52" w:name="_Hlk126005827"/>
      <w:r w:rsidRPr="001819EC">
        <w:rPr>
          <w:rFonts w:eastAsia="Calibri"/>
          <w:i/>
          <w:iCs/>
          <w:lang w:val="es-ES" w:eastAsia="en-US"/>
        </w:rPr>
        <w:t xml:space="preserve">Tania </w:t>
      </w:r>
      <w:proofErr w:type="spellStart"/>
      <w:r w:rsidRPr="001819EC">
        <w:rPr>
          <w:rFonts w:eastAsia="Calibri"/>
          <w:i/>
          <w:iCs/>
          <w:lang w:val="es-ES" w:eastAsia="en-US"/>
        </w:rPr>
        <w:t>Crombet</w:t>
      </w:r>
      <w:proofErr w:type="spellEnd"/>
      <w:r w:rsidRPr="001819EC">
        <w:rPr>
          <w:rFonts w:eastAsia="Calibri"/>
          <w:i/>
          <w:iCs/>
          <w:lang w:val="es-ES" w:eastAsia="en-US"/>
        </w:rPr>
        <w:t xml:space="preserve"> Ramos, Agustín Lage Dávila. </w:t>
      </w:r>
      <w:bookmarkEnd w:id="52"/>
    </w:p>
    <w:p w14:paraId="5B41EE59" w14:textId="77777777" w:rsidR="001819EC" w:rsidRPr="001819EC" w:rsidRDefault="001819EC" w:rsidP="001819EC">
      <w:pPr>
        <w:spacing w:line="360" w:lineRule="auto"/>
        <w:jc w:val="both"/>
        <w:rPr>
          <w:rFonts w:eastAsia="Calibri"/>
          <w:i/>
          <w:iCs/>
          <w:lang w:val="es-ES" w:eastAsia="en-US"/>
        </w:rPr>
      </w:pPr>
      <w:r w:rsidRPr="001819EC">
        <w:rPr>
          <w:rFonts w:eastAsia="Calibri"/>
          <w:lang w:val="es-ES" w:eastAsia="en-US"/>
        </w:rPr>
        <w:t xml:space="preserve">Validación: </w:t>
      </w:r>
      <w:r w:rsidRPr="001819EC">
        <w:rPr>
          <w:rFonts w:eastAsia="Calibri"/>
          <w:i/>
          <w:iCs/>
          <w:lang w:val="es-ES" w:eastAsia="en-US"/>
        </w:rPr>
        <w:t xml:space="preserve">Pedro Pablo Guerra </w:t>
      </w:r>
      <w:proofErr w:type="spellStart"/>
      <w:r w:rsidRPr="001819EC">
        <w:rPr>
          <w:rFonts w:eastAsia="Calibri"/>
          <w:i/>
          <w:iCs/>
          <w:lang w:val="es-ES" w:eastAsia="en-US"/>
        </w:rPr>
        <w:t>Chaviano</w:t>
      </w:r>
      <w:proofErr w:type="spellEnd"/>
      <w:r w:rsidRPr="001819EC">
        <w:rPr>
          <w:rFonts w:eastAsia="Calibri"/>
          <w:i/>
          <w:iCs/>
          <w:lang w:val="es-ES" w:eastAsia="en-US"/>
        </w:rPr>
        <w:t xml:space="preserve">, </w:t>
      </w:r>
      <w:proofErr w:type="spellStart"/>
      <w:r w:rsidRPr="001819EC">
        <w:rPr>
          <w:rFonts w:eastAsia="Calibri"/>
          <w:i/>
          <w:iCs/>
          <w:lang w:val="es-ES" w:eastAsia="en-US"/>
        </w:rPr>
        <w:t>Ivis</w:t>
      </w:r>
      <w:proofErr w:type="spellEnd"/>
      <w:r w:rsidRPr="001819EC">
        <w:rPr>
          <w:rFonts w:eastAsia="Calibri"/>
          <w:i/>
          <w:iCs/>
          <w:lang w:val="es-ES" w:eastAsia="en-US"/>
        </w:rPr>
        <w:t xml:space="preserve"> Mendoza Hernández. </w:t>
      </w:r>
    </w:p>
    <w:p w14:paraId="0B61C485" w14:textId="77777777" w:rsidR="001819EC" w:rsidRPr="001819EC" w:rsidRDefault="001819EC" w:rsidP="001819EC">
      <w:pPr>
        <w:spacing w:line="360" w:lineRule="auto"/>
        <w:jc w:val="both"/>
        <w:rPr>
          <w:rFonts w:eastAsia="Calibri"/>
          <w:i/>
          <w:iCs/>
          <w:lang w:val="es-ES" w:eastAsia="en-US"/>
        </w:rPr>
      </w:pPr>
      <w:r w:rsidRPr="001819EC">
        <w:rPr>
          <w:rFonts w:eastAsia="Calibri"/>
          <w:lang w:val="es-ES" w:eastAsia="en-US"/>
        </w:rPr>
        <w:t xml:space="preserve">Visualización: </w:t>
      </w:r>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 xml:space="preserve">. </w:t>
      </w:r>
    </w:p>
    <w:p w14:paraId="40BCE348"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Redacción – borrador original: </w:t>
      </w:r>
      <w:bookmarkStart w:id="53" w:name="_Hlk126005812"/>
      <w:r w:rsidRPr="001819EC">
        <w:rPr>
          <w:rFonts w:eastAsia="Calibri"/>
          <w:i/>
          <w:iCs/>
          <w:lang w:val="es-ES" w:eastAsia="en-US"/>
        </w:rPr>
        <w:t>Kirenia Camacho Sosa</w:t>
      </w:r>
      <w:bookmarkStart w:id="54" w:name="_Hlk126162007"/>
      <w:bookmarkEnd w:id="53"/>
      <w:r w:rsidRPr="001819EC">
        <w:rPr>
          <w:rFonts w:eastAsia="Calibri"/>
          <w:i/>
          <w:iCs/>
          <w:lang w:val="es-ES" w:eastAsia="en-US"/>
        </w:rPr>
        <w:t>.</w:t>
      </w:r>
    </w:p>
    <w:bookmarkEnd w:id="54"/>
    <w:p w14:paraId="29680724" w14:textId="77777777" w:rsidR="001819EC" w:rsidRPr="001819EC" w:rsidRDefault="001819EC" w:rsidP="001819EC">
      <w:pPr>
        <w:spacing w:line="360" w:lineRule="auto"/>
        <w:jc w:val="both"/>
        <w:rPr>
          <w:rFonts w:eastAsia="Calibri"/>
          <w:lang w:val="es-ES" w:eastAsia="en-US"/>
        </w:rPr>
      </w:pPr>
      <w:r w:rsidRPr="001819EC">
        <w:rPr>
          <w:rFonts w:eastAsia="Calibri"/>
          <w:lang w:val="es-ES" w:eastAsia="en-US"/>
        </w:rPr>
        <w:t xml:space="preserve">Redacción – revisión y edición: </w:t>
      </w:r>
      <w:r w:rsidRPr="001819EC">
        <w:rPr>
          <w:rFonts w:eastAsia="Calibri"/>
          <w:i/>
          <w:iCs/>
          <w:lang w:val="es-ES" w:eastAsia="en-US"/>
        </w:rPr>
        <w:t xml:space="preserve">Kirenia Camacho Sosa, Mayra Ramos </w:t>
      </w:r>
      <w:proofErr w:type="spellStart"/>
      <w:r w:rsidRPr="001819EC">
        <w:rPr>
          <w:rFonts w:eastAsia="Calibri"/>
          <w:i/>
          <w:iCs/>
          <w:lang w:val="es-ES" w:eastAsia="en-US"/>
        </w:rPr>
        <w:t>Suzarte</w:t>
      </w:r>
      <w:proofErr w:type="spellEnd"/>
      <w:r w:rsidRPr="001819EC">
        <w:rPr>
          <w:rFonts w:eastAsia="Calibri"/>
          <w:i/>
          <w:iCs/>
          <w:lang w:val="es-ES" w:eastAsia="en-US"/>
        </w:rPr>
        <w:t xml:space="preserve">, Tania </w:t>
      </w:r>
      <w:proofErr w:type="spellStart"/>
      <w:r w:rsidRPr="001819EC">
        <w:rPr>
          <w:rFonts w:eastAsia="Calibri"/>
          <w:i/>
          <w:iCs/>
          <w:lang w:val="es-ES" w:eastAsia="en-US"/>
        </w:rPr>
        <w:t>Crombet</w:t>
      </w:r>
      <w:proofErr w:type="spellEnd"/>
      <w:r w:rsidRPr="001819EC">
        <w:rPr>
          <w:rFonts w:eastAsia="Calibri"/>
          <w:i/>
          <w:iCs/>
          <w:lang w:val="es-ES" w:eastAsia="en-US"/>
        </w:rPr>
        <w:t xml:space="preserve"> Ramos, Agustín Lage Dávila.</w:t>
      </w:r>
    </w:p>
    <w:p w14:paraId="435BC753" w14:textId="77777777" w:rsidR="00675476" w:rsidRPr="001819EC" w:rsidRDefault="00675476" w:rsidP="00EA1FEF">
      <w:pPr>
        <w:pStyle w:val="PDFRevista"/>
        <w:rPr>
          <w:lang w:val="es-ES"/>
        </w:rPr>
      </w:pPr>
    </w:p>
    <w:sectPr w:rsidR="00675476" w:rsidRPr="001819EC"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DEA3" w14:textId="77777777" w:rsidR="00D13253" w:rsidRDefault="00D13253">
      <w:r>
        <w:separator/>
      </w:r>
    </w:p>
  </w:endnote>
  <w:endnote w:type="continuationSeparator" w:id="0">
    <w:p w14:paraId="3ABC5BD0" w14:textId="77777777" w:rsidR="00D13253" w:rsidRDefault="00D1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Sans">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305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6E6E9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CE" w14:textId="2D0707EF" w:rsidR="000F3690" w:rsidRPr="00AE044C" w:rsidRDefault="001819E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36496D1" wp14:editId="31B94E8B">
              <wp:simplePos x="0" y="0"/>
              <wp:positionH relativeFrom="column">
                <wp:posOffset>3810</wp:posOffset>
              </wp:positionH>
              <wp:positionV relativeFrom="paragraph">
                <wp:posOffset>50165</wp:posOffset>
              </wp:positionV>
              <wp:extent cx="6286500" cy="19050"/>
              <wp:effectExtent l="19050" t="19050" r="0" b="0"/>
              <wp:wrapNone/>
              <wp:docPr id="161496932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C39D8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A65563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CA9D858"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ADD89AD" w14:textId="61C652C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819EC" w:rsidRPr="001819EC">
      <w:rPr>
        <w:rFonts w:ascii="Verdana" w:hAnsi="Verdana"/>
        <w:noProof/>
        <w:sz w:val="18"/>
        <w:szCs w:val="18"/>
        <w:lang w:val="en-US" w:eastAsia="en-US"/>
      </w:rPr>
      <w:drawing>
        <wp:inline distT="0" distB="0" distL="0" distR="0" wp14:anchorId="54FAB5AD" wp14:editId="6E55846E">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FB47" w14:textId="77777777" w:rsidR="00D13253" w:rsidRDefault="00D13253">
      <w:r>
        <w:separator/>
      </w:r>
    </w:p>
  </w:footnote>
  <w:footnote w:type="continuationSeparator" w:id="0">
    <w:p w14:paraId="5F3D47D9" w14:textId="77777777" w:rsidR="00D13253" w:rsidRDefault="00D1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55C2" w14:textId="41AFD6E2" w:rsidR="00CC376A" w:rsidRPr="00AE044C" w:rsidRDefault="001819E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5D461EE" wp14:editId="4630300A">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e02303004</w:t>
    </w:r>
    <w:proofErr w:type="spellEnd"/>
  </w:p>
  <w:p w14:paraId="2B7BA707" w14:textId="13200460" w:rsidR="00A477DE" w:rsidRDefault="001819EC">
    <w:r>
      <w:rPr>
        <w:noProof/>
      </w:rPr>
      <mc:AlternateContent>
        <mc:Choice Requires="wps">
          <w:drawing>
            <wp:anchor distT="0" distB="0" distL="114300" distR="114300" simplePos="0" relativeHeight="251654144" behindDoc="0" locked="0" layoutInCell="1" allowOverlap="1" wp14:anchorId="1FBDE771" wp14:editId="39B5EBB3">
              <wp:simplePos x="0" y="0"/>
              <wp:positionH relativeFrom="column">
                <wp:posOffset>635</wp:posOffset>
              </wp:positionH>
              <wp:positionV relativeFrom="paragraph">
                <wp:posOffset>42545</wp:posOffset>
              </wp:positionV>
              <wp:extent cx="6307455" cy="28575"/>
              <wp:effectExtent l="19050" t="19050" r="17145" b="9525"/>
              <wp:wrapNone/>
              <wp:docPr id="106663062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3702D2"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E8521C7C"/>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A1E08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D"/>
    <w:multiLevelType w:val="hybridMultilevel"/>
    <w:tmpl w:val="0D222B06"/>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C9E041B"/>
    <w:multiLevelType w:val="hybridMultilevel"/>
    <w:tmpl w:val="7EC01874"/>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start w:val="1"/>
      <w:numFmt w:val="bullet"/>
      <w:lvlText w:val=""/>
      <w:lvlJc w:val="left"/>
      <w:pPr>
        <w:ind w:left="2880" w:hanging="360"/>
      </w:pPr>
      <w:rPr>
        <w:rFonts w:ascii="Symbol" w:hAnsi="Symbol" w:hint="default"/>
      </w:rPr>
    </w:lvl>
    <w:lvl w:ilvl="4" w:tplc="5C0A0003">
      <w:start w:val="1"/>
      <w:numFmt w:val="bullet"/>
      <w:lvlText w:val="o"/>
      <w:lvlJc w:val="left"/>
      <w:pPr>
        <w:ind w:left="3600" w:hanging="360"/>
      </w:pPr>
      <w:rPr>
        <w:rFonts w:ascii="Courier New" w:hAnsi="Courier New" w:cs="Courier New" w:hint="default"/>
      </w:rPr>
    </w:lvl>
    <w:lvl w:ilvl="5" w:tplc="5C0A0005">
      <w:start w:val="1"/>
      <w:numFmt w:val="bullet"/>
      <w:lvlText w:val=""/>
      <w:lvlJc w:val="left"/>
      <w:pPr>
        <w:ind w:left="4320" w:hanging="360"/>
      </w:pPr>
      <w:rPr>
        <w:rFonts w:ascii="Wingdings" w:hAnsi="Wingdings" w:hint="default"/>
      </w:rPr>
    </w:lvl>
    <w:lvl w:ilvl="6" w:tplc="5C0A0001">
      <w:start w:val="1"/>
      <w:numFmt w:val="bullet"/>
      <w:lvlText w:val=""/>
      <w:lvlJc w:val="left"/>
      <w:pPr>
        <w:ind w:left="5040" w:hanging="360"/>
      </w:pPr>
      <w:rPr>
        <w:rFonts w:ascii="Symbol" w:hAnsi="Symbol" w:hint="default"/>
      </w:rPr>
    </w:lvl>
    <w:lvl w:ilvl="7" w:tplc="5C0A0003">
      <w:start w:val="1"/>
      <w:numFmt w:val="bullet"/>
      <w:lvlText w:val="o"/>
      <w:lvlJc w:val="left"/>
      <w:pPr>
        <w:ind w:left="5760" w:hanging="360"/>
      </w:pPr>
      <w:rPr>
        <w:rFonts w:ascii="Courier New" w:hAnsi="Courier New" w:cs="Courier New" w:hint="default"/>
      </w:rPr>
    </w:lvl>
    <w:lvl w:ilvl="8" w:tplc="5C0A0005">
      <w:start w:val="1"/>
      <w:numFmt w:val="bullet"/>
      <w:lvlText w:val=""/>
      <w:lvlJc w:val="left"/>
      <w:pPr>
        <w:ind w:left="6480" w:hanging="360"/>
      </w:pPr>
      <w:rPr>
        <w:rFonts w:ascii="Wingdings" w:hAnsi="Wingdings" w:hint="default"/>
      </w:rPr>
    </w:lvl>
  </w:abstractNum>
  <w:num w:numId="1" w16cid:durableId="1490291865">
    <w:abstractNumId w:val="3"/>
  </w:num>
  <w:num w:numId="2" w16cid:durableId="1185441334">
    <w:abstractNumId w:val="2"/>
  </w:num>
  <w:num w:numId="3" w16cid:durableId="1966814971">
    <w:abstractNumId w:val="1"/>
  </w:num>
  <w:num w:numId="4" w16cid:durableId="1902475147">
    <w:abstractNumId w:val="0"/>
  </w:num>
  <w:num w:numId="5" w16cid:durableId="168022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EC"/>
    <w:rsid w:val="00057F45"/>
    <w:rsid w:val="000D3958"/>
    <w:rsid w:val="000F3690"/>
    <w:rsid w:val="001221D1"/>
    <w:rsid w:val="00165CB5"/>
    <w:rsid w:val="00180CE9"/>
    <w:rsid w:val="001819EC"/>
    <w:rsid w:val="00230DD5"/>
    <w:rsid w:val="00250AE9"/>
    <w:rsid w:val="00380D64"/>
    <w:rsid w:val="00391509"/>
    <w:rsid w:val="003E03D5"/>
    <w:rsid w:val="00486BFA"/>
    <w:rsid w:val="00493701"/>
    <w:rsid w:val="004A0B00"/>
    <w:rsid w:val="004E2065"/>
    <w:rsid w:val="00514F65"/>
    <w:rsid w:val="005264CA"/>
    <w:rsid w:val="005508A2"/>
    <w:rsid w:val="0055115D"/>
    <w:rsid w:val="00566F71"/>
    <w:rsid w:val="005918BD"/>
    <w:rsid w:val="006173A6"/>
    <w:rsid w:val="00675476"/>
    <w:rsid w:val="00725C8C"/>
    <w:rsid w:val="007C430F"/>
    <w:rsid w:val="007D2D0C"/>
    <w:rsid w:val="007D614D"/>
    <w:rsid w:val="00915D3C"/>
    <w:rsid w:val="00917476"/>
    <w:rsid w:val="00960D6A"/>
    <w:rsid w:val="009A0560"/>
    <w:rsid w:val="009B0917"/>
    <w:rsid w:val="009B3576"/>
    <w:rsid w:val="009E1AD7"/>
    <w:rsid w:val="009F0F96"/>
    <w:rsid w:val="00A21810"/>
    <w:rsid w:val="00A23C0C"/>
    <w:rsid w:val="00A477DE"/>
    <w:rsid w:val="00A66186"/>
    <w:rsid w:val="00A71E65"/>
    <w:rsid w:val="00AE044C"/>
    <w:rsid w:val="00B31971"/>
    <w:rsid w:val="00B4380A"/>
    <w:rsid w:val="00B66ECB"/>
    <w:rsid w:val="00C32EC2"/>
    <w:rsid w:val="00C526E4"/>
    <w:rsid w:val="00C7523A"/>
    <w:rsid w:val="00CC1B6E"/>
    <w:rsid w:val="00CC376A"/>
    <w:rsid w:val="00CC48A1"/>
    <w:rsid w:val="00CF50E0"/>
    <w:rsid w:val="00CF7460"/>
    <w:rsid w:val="00D13253"/>
    <w:rsid w:val="00D178EA"/>
    <w:rsid w:val="00D85951"/>
    <w:rsid w:val="00E62606"/>
    <w:rsid w:val="00EA1FEF"/>
    <w:rsid w:val="00EC5A6B"/>
    <w:rsid w:val="00EE301D"/>
    <w:rsid w:val="00FA7CC1"/>
    <w:rsid w:val="00FD0B2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15062"/>
  <w15:docId w15:val="{72FB47E6-165D-4134-8B9D-DF1A9AE7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1819EC"/>
  </w:style>
  <w:style w:type="paragraph" w:styleId="Textocomentario">
    <w:name w:val="annotation text"/>
    <w:basedOn w:val="Normal"/>
    <w:link w:val="TextocomentarioCar"/>
    <w:uiPriority w:val="99"/>
    <w:semiHidden/>
    <w:unhideWhenUsed/>
    <w:qFormat/>
    <w:rsid w:val="001819EC"/>
    <w:pPr>
      <w:spacing w:after="160"/>
    </w:pPr>
    <w:rPr>
      <w:rFonts w:ascii="Calibri" w:eastAsia="Calibri" w:hAnsi="Calibri" w:cs="SimSun"/>
      <w:sz w:val="20"/>
      <w:szCs w:val="20"/>
      <w:lang w:val="es-ES" w:eastAsia="en-US"/>
    </w:rPr>
  </w:style>
  <w:style w:type="character" w:customStyle="1" w:styleId="TextocomentarioCar">
    <w:name w:val="Texto comentario Car"/>
    <w:basedOn w:val="Fuentedeprrafopredeter"/>
    <w:link w:val="Textocomentario"/>
    <w:uiPriority w:val="99"/>
    <w:semiHidden/>
    <w:qFormat/>
    <w:rsid w:val="001819EC"/>
    <w:rPr>
      <w:rFonts w:ascii="Calibri" w:eastAsia="Calibri" w:hAnsi="Calibri" w:cs="SimSun"/>
      <w:lang w:val="es-ES"/>
    </w:rPr>
  </w:style>
  <w:style w:type="paragraph" w:styleId="Prrafodelista">
    <w:name w:val="List Paragraph"/>
    <w:basedOn w:val="Normal"/>
    <w:uiPriority w:val="34"/>
    <w:qFormat/>
    <w:rsid w:val="001819EC"/>
    <w:pPr>
      <w:spacing w:after="160" w:line="254" w:lineRule="auto"/>
      <w:ind w:left="720"/>
      <w:contextualSpacing/>
    </w:pPr>
    <w:rPr>
      <w:rFonts w:ascii="Calibri" w:eastAsia="Calibri" w:hAnsi="Calibri" w:cs="SimSun"/>
      <w:sz w:val="22"/>
      <w:szCs w:val="22"/>
      <w:lang w:val="es-ES" w:eastAsia="en-US"/>
    </w:rPr>
  </w:style>
  <w:style w:type="character" w:styleId="Refdecomentario">
    <w:name w:val="annotation reference"/>
    <w:uiPriority w:val="99"/>
    <w:semiHidden/>
    <w:unhideWhenUsed/>
    <w:rsid w:val="001819EC"/>
    <w:rPr>
      <w:sz w:val="16"/>
      <w:szCs w:val="16"/>
    </w:rPr>
  </w:style>
  <w:style w:type="table" w:customStyle="1" w:styleId="Tablaconcuadrcula1">
    <w:name w:val="Tabla con cuadrícula1"/>
    <w:basedOn w:val="Tablanormal"/>
    <w:next w:val="Tablaconcuadrcula"/>
    <w:uiPriority w:val="39"/>
    <w:rsid w:val="001819EC"/>
    <w:rPr>
      <w:rFonts w:ascii="Calibri" w:eastAsia="Calibri" w:hAnsi="Calibri" w:cs="SimSun"/>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1819EC"/>
    <w:rPr>
      <w:b/>
      <w:bCs/>
    </w:rPr>
  </w:style>
  <w:style w:type="paragraph" w:styleId="Revisin">
    <w:name w:val="Revision"/>
    <w:hidden/>
    <w:uiPriority w:val="99"/>
    <w:semiHidden/>
    <w:rsid w:val="001819EC"/>
    <w:rPr>
      <w:rFonts w:ascii="Calibri" w:eastAsia="Calibri" w:hAnsi="Calibri" w:cs="SimSun"/>
      <w:sz w:val="22"/>
      <w:szCs w:val="22"/>
      <w:lang w:val="es-ES"/>
    </w:rPr>
  </w:style>
  <w:style w:type="paragraph" w:styleId="Asuntodelcomentario">
    <w:name w:val="annotation subject"/>
    <w:basedOn w:val="Textocomentario"/>
    <w:next w:val="Textocomentario"/>
    <w:link w:val="AsuntodelcomentarioCar"/>
    <w:uiPriority w:val="99"/>
    <w:semiHidden/>
    <w:unhideWhenUsed/>
    <w:rsid w:val="001819EC"/>
    <w:rPr>
      <w:b/>
      <w:bCs/>
    </w:rPr>
  </w:style>
  <w:style w:type="character" w:customStyle="1" w:styleId="AsuntodelcomentarioCar">
    <w:name w:val="Asunto del comentario Car"/>
    <w:basedOn w:val="TextocomentarioCar"/>
    <w:link w:val="Asuntodelcomentario"/>
    <w:uiPriority w:val="99"/>
    <w:semiHidden/>
    <w:rsid w:val="001819EC"/>
    <w:rPr>
      <w:rFonts w:ascii="Calibri" w:eastAsia="Calibri" w:hAnsi="Calibri" w:cs="SimSun"/>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058-3224" TargetMode="External"/><Relationship Id="rId13" Type="http://schemas.openxmlformats.org/officeDocument/2006/relationships/hyperlink" Target="https://orcid.org/0000-0002-1135-5451" TargetMode="External"/><Relationship Id="rId18" Type="http://schemas.openxmlformats.org/officeDocument/2006/relationships/hyperlink" Target="https://orcid.org/0000-0002-4907-433X" TargetMode="External"/><Relationship Id="rId26" Type="http://schemas.openxmlformats.org/officeDocument/2006/relationships/image" Target="media/image5.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ireniac.mtz@infomed.sld.cu" TargetMode="External"/><Relationship Id="rId34" Type="http://schemas.openxmlformats.org/officeDocument/2006/relationships/hyperlink" Target="https://revoncologia.sld.cu/index.php/onc/article/view/112" TargetMode="External"/><Relationship Id="rId7" Type="http://schemas.openxmlformats.org/officeDocument/2006/relationships/endnotes" Target="endnotes.xml"/><Relationship Id="rId12" Type="http://schemas.openxmlformats.org/officeDocument/2006/relationships/hyperlink" Target="https://orcid.org/0000-000" TargetMode="External"/><Relationship Id="rId17" Type="http://schemas.openxmlformats.org/officeDocument/2006/relationships/hyperlink" Target="https://orcid.org/0000-0001-9882-8583" TargetMode="External"/><Relationship Id="rId25" Type="http://schemas.openxmlformats.org/officeDocument/2006/relationships/image" Target="media/image4.png"/><Relationship Id="rId33" Type="http://schemas.openxmlformats.org/officeDocument/2006/relationships/hyperlink" Target="https://www.cecmed.cu/sites/default/files/adjuntos/ambitor/ambreg-18.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0-0002-3008-8870" TargetMode="External"/><Relationship Id="rId20" Type="http://schemas.openxmlformats.org/officeDocument/2006/relationships/hyperlink" Target="https://orcid.org/0000-0001-9472-9158" TargetMode="External"/><Relationship Id="rId29" Type="http://schemas.openxmlformats.org/officeDocument/2006/relationships/hyperlink" Target="https://www.revistamedicina.net/index.php/Medicina/article/view/1589/2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296-7502" TargetMode="External"/><Relationship Id="rId24" Type="http://schemas.openxmlformats.org/officeDocument/2006/relationships/image" Target="media/image3.png"/><Relationship Id="rId32" Type="http://schemas.openxmlformats.org/officeDocument/2006/relationships/hyperlink" Target="https://www2.trikobe.org/nccn/guideline/lung/english/non_small.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cid.org/0000-0001-5034-8628" TargetMode="External"/><Relationship Id="rId23" Type="http://schemas.openxmlformats.org/officeDocument/2006/relationships/image" Target="media/image2.png"/><Relationship Id="rId28" Type="http://schemas.openxmlformats.org/officeDocument/2006/relationships/hyperlink" Target="http://www.scielo.org.mx/scielo.php?script=sci_arttext&amp;pid=S0028-37462018000200137&amp;lng=es" TargetMode="External"/><Relationship Id="rId36" Type="http://schemas.openxmlformats.org/officeDocument/2006/relationships/header" Target="header1.xml"/><Relationship Id="rId10" Type="http://schemas.openxmlformats.org/officeDocument/2006/relationships/hyperlink" Target="https://orcid.org/0000-0002-0923-1273" TargetMode="External"/><Relationship Id="rId19" Type="http://schemas.openxmlformats.org/officeDocument/2006/relationships/hyperlink" Target="https://orcid.org/0000-0002-2550-7292" TargetMode="External"/><Relationship Id="rId31" Type="http://schemas.openxmlformats.org/officeDocument/2006/relationships/hyperlink" Target="https://www.cecmed.cu/sites/default/files/adjuntos/rcp/biologicos/rcp_cimaher.pdf" TargetMode="External"/><Relationship Id="rId4" Type="http://schemas.openxmlformats.org/officeDocument/2006/relationships/settings" Target="settings.xml"/><Relationship Id="rId9" Type="http://schemas.openxmlformats.org/officeDocument/2006/relationships/hyperlink" Target="https://orcid.org/0000-0002-1604-3545" TargetMode="External"/><Relationship Id="rId14" Type="http://schemas.openxmlformats.org/officeDocument/2006/relationships/hyperlink" Target="https://orcid.org/0000-0002-8921-1124" TargetMode="External"/><Relationship Id="rId22" Type="http://schemas.openxmlformats.org/officeDocument/2006/relationships/image" Target="media/image1.png"/><Relationship Id="rId27" Type="http://schemas.openxmlformats.org/officeDocument/2006/relationships/hyperlink" Target="https://salud.msp.gob.cu/wp-content/Anuario/anuario_2019_edici%C3%B3n_2020.pdf" TargetMode="External"/><Relationship Id="rId30" Type="http://schemas.openxmlformats.org/officeDocument/2006/relationships/hyperlink" Target="https://www.revistamedicina.net/index.php/Medicina/article/view/1593/2045" TargetMode="External"/><Relationship Id="rId35" Type="http://schemas.openxmlformats.org/officeDocument/2006/relationships/hyperlink" Target="https://head-and-neck-cancer-research.imedpub.com/inflammation-indexes-pretreatment-associated-with-overall-survival-and-the-response-to-nimotuzumab-in-patients-with-head-and-neck.php?aid=4052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A6DC-6FDC-4445-A76B-81DA0EE9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OK_artículo_nuevo.dotx</Template>
  <TotalTime>17</TotalTime>
  <Pages>19</Pages>
  <Words>4638</Words>
  <Characters>26440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31016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15</cp:revision>
  <cp:lastPrinted>2023-08-26T17:50:00Z</cp:lastPrinted>
  <dcterms:created xsi:type="dcterms:W3CDTF">2023-08-26T17:41:00Z</dcterms:created>
  <dcterms:modified xsi:type="dcterms:W3CDTF">2023-08-26T18:09:00Z</dcterms:modified>
</cp:coreProperties>
</file>