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AD56F" w14:textId="77777777" w:rsidR="00663B20" w:rsidRPr="00663B20" w:rsidRDefault="00663B20" w:rsidP="00663B20">
      <w:pPr>
        <w:spacing w:line="360" w:lineRule="auto"/>
        <w:jc w:val="right"/>
        <w:rPr>
          <w:rFonts w:eastAsia="Calibri"/>
          <w:bCs/>
          <w:sz w:val="20"/>
          <w:szCs w:val="20"/>
          <w:lang w:val="es-ES" w:eastAsia="en-US"/>
        </w:rPr>
      </w:pPr>
      <w:r w:rsidRPr="00663B20">
        <w:rPr>
          <w:rFonts w:eastAsia="Calibri"/>
          <w:bCs/>
          <w:sz w:val="20"/>
          <w:szCs w:val="20"/>
          <w:lang w:val="es-ES" w:eastAsia="en-US"/>
        </w:rPr>
        <w:t>Artículo de investigación</w:t>
      </w:r>
    </w:p>
    <w:p w14:paraId="2D9ADA3F" w14:textId="77777777" w:rsidR="00663B20" w:rsidRPr="00663B20" w:rsidRDefault="00663B20" w:rsidP="00663B20">
      <w:pPr>
        <w:spacing w:line="360" w:lineRule="auto"/>
        <w:jc w:val="right"/>
        <w:rPr>
          <w:rFonts w:eastAsia="Calibri"/>
          <w:bCs/>
          <w:sz w:val="20"/>
          <w:szCs w:val="20"/>
          <w:lang w:val="es-ES" w:eastAsia="en-US"/>
        </w:rPr>
      </w:pPr>
    </w:p>
    <w:p w14:paraId="28B361FA" w14:textId="77777777" w:rsidR="00663B20" w:rsidRPr="00663B20" w:rsidRDefault="00663B20" w:rsidP="00663B20">
      <w:pPr>
        <w:spacing w:line="360" w:lineRule="auto"/>
        <w:jc w:val="center"/>
        <w:rPr>
          <w:rFonts w:eastAsia="Calibri"/>
          <w:b/>
          <w:bCs/>
          <w:sz w:val="28"/>
          <w:szCs w:val="28"/>
          <w:lang w:val="es-ES" w:eastAsia="en-US"/>
        </w:rPr>
      </w:pPr>
      <w:r w:rsidRPr="00663B20">
        <w:rPr>
          <w:rFonts w:eastAsia="Calibri"/>
          <w:b/>
          <w:bCs/>
          <w:sz w:val="28"/>
          <w:szCs w:val="28"/>
          <w:lang w:val="es-ES" w:eastAsia="en-US"/>
        </w:rPr>
        <w:t>Factores de riesgo relacionados con las complicaciones de la hemorragia obstétrica</w:t>
      </w:r>
    </w:p>
    <w:p w14:paraId="04C28B6A" w14:textId="77777777" w:rsidR="00663B20" w:rsidRPr="00663B20" w:rsidRDefault="00663B20" w:rsidP="00663B20">
      <w:pPr>
        <w:spacing w:line="360" w:lineRule="auto"/>
        <w:jc w:val="center"/>
        <w:rPr>
          <w:rFonts w:eastAsia="Calibri"/>
          <w:bCs/>
          <w:sz w:val="28"/>
          <w:szCs w:val="28"/>
          <w:lang w:val="en-US" w:eastAsia="en-US"/>
        </w:rPr>
      </w:pPr>
      <w:r w:rsidRPr="00663B20">
        <w:rPr>
          <w:rFonts w:eastAsia="Calibri"/>
          <w:bCs/>
          <w:sz w:val="28"/>
          <w:szCs w:val="28"/>
          <w:lang w:val="en-US" w:eastAsia="en-US"/>
        </w:rPr>
        <w:t>Risk factors related to complications of obstetric hemorrhage</w:t>
      </w:r>
    </w:p>
    <w:p w14:paraId="366B21F2" w14:textId="77777777" w:rsidR="00663B20" w:rsidRPr="00663B20" w:rsidRDefault="00663B20" w:rsidP="00663B20">
      <w:pPr>
        <w:spacing w:line="360" w:lineRule="auto"/>
        <w:jc w:val="center"/>
        <w:rPr>
          <w:rFonts w:eastAsia="Calibri"/>
          <w:bCs/>
          <w:sz w:val="28"/>
          <w:szCs w:val="28"/>
          <w:lang w:val="en-US" w:eastAsia="en-US"/>
        </w:rPr>
      </w:pPr>
    </w:p>
    <w:p w14:paraId="470222D8"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Luis Fong Pantoja</w:t>
      </w:r>
      <w:r w:rsidRPr="00663B20">
        <w:rPr>
          <w:rFonts w:eastAsia="Calibri"/>
          <w:vertAlign w:val="superscript"/>
          <w:lang w:val="es-ES" w:eastAsia="en-US"/>
        </w:rPr>
        <w:t>1</w:t>
      </w:r>
      <w:r w:rsidRPr="00663B20">
        <w:rPr>
          <w:rFonts w:eastAsia="Calibri"/>
          <w:lang w:val="es-ES" w:eastAsia="en-US"/>
        </w:rPr>
        <w:t xml:space="preserve">* </w:t>
      </w:r>
      <w:hyperlink r:id="rId7" w:history="1">
        <w:r w:rsidRPr="00663B20">
          <w:rPr>
            <w:rFonts w:eastAsia="Calibri"/>
            <w:color w:val="0563C1"/>
            <w:lang w:val="es-ES" w:eastAsia="en-US"/>
          </w:rPr>
          <w:t>https://orcid.org/0000-0002-7184-621X</w:t>
        </w:r>
      </w:hyperlink>
      <w:r w:rsidRPr="00663B20">
        <w:rPr>
          <w:rFonts w:eastAsia="Calibri"/>
          <w:lang w:val="es-ES" w:eastAsia="en-US"/>
        </w:rPr>
        <w:t xml:space="preserve"> </w:t>
      </w:r>
    </w:p>
    <w:p w14:paraId="37FFA1D2"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Milagros Garcés Suarez</w:t>
      </w:r>
      <w:r w:rsidRPr="00663B20">
        <w:rPr>
          <w:rFonts w:eastAsia="Calibri"/>
          <w:vertAlign w:val="superscript"/>
          <w:lang w:val="es-ES" w:eastAsia="en-US"/>
        </w:rPr>
        <w:t xml:space="preserve">1 </w:t>
      </w:r>
      <w:hyperlink r:id="rId8" w:history="1">
        <w:r w:rsidRPr="00663B20">
          <w:rPr>
            <w:rFonts w:eastAsia="Calibri"/>
            <w:color w:val="0563C1"/>
            <w:lang w:val="es-ES" w:eastAsia="en-US"/>
          </w:rPr>
          <w:t>https://orcid.org/0000-0001-8823-8635</w:t>
        </w:r>
      </w:hyperlink>
      <w:r w:rsidRPr="00663B20">
        <w:rPr>
          <w:rFonts w:eastAsia="Calibri"/>
          <w:lang w:val="es-ES" w:eastAsia="en-US"/>
        </w:rPr>
        <w:t xml:space="preserve"> </w:t>
      </w:r>
    </w:p>
    <w:p w14:paraId="64EFB799" w14:textId="77777777" w:rsidR="00663B20" w:rsidRPr="00663B20" w:rsidRDefault="00663B20" w:rsidP="00663B20">
      <w:pPr>
        <w:spacing w:line="360" w:lineRule="auto"/>
        <w:jc w:val="both"/>
        <w:rPr>
          <w:rFonts w:eastAsia="Calibri"/>
          <w:vertAlign w:val="superscript"/>
          <w:lang w:val="es-ES" w:eastAsia="en-US"/>
        </w:rPr>
      </w:pPr>
    </w:p>
    <w:p w14:paraId="5B635F44" w14:textId="77777777" w:rsidR="00663B20" w:rsidRPr="00663B20" w:rsidRDefault="00663B20" w:rsidP="00663B20">
      <w:pPr>
        <w:spacing w:line="360" w:lineRule="auto"/>
        <w:jc w:val="both"/>
        <w:rPr>
          <w:rFonts w:eastAsia="Calibri"/>
          <w:lang w:val="es-ES" w:eastAsia="en-US"/>
        </w:rPr>
      </w:pPr>
      <w:r w:rsidRPr="00663B20">
        <w:rPr>
          <w:rFonts w:eastAsia="Calibri"/>
          <w:vertAlign w:val="superscript"/>
          <w:lang w:val="es-ES" w:eastAsia="en-US"/>
        </w:rPr>
        <w:t>1</w:t>
      </w:r>
      <w:r w:rsidRPr="00663B20">
        <w:rPr>
          <w:rFonts w:eastAsia="Calibri"/>
          <w:lang w:val="es-ES" w:eastAsia="en-US"/>
        </w:rPr>
        <w:t>Hospital General Docente “Orlando Pantoja Tamayo”. Contramaestre, Cuba.</w:t>
      </w:r>
    </w:p>
    <w:p w14:paraId="0E4AA91E" w14:textId="77777777" w:rsidR="00663B20" w:rsidRPr="00663B20" w:rsidRDefault="00663B20" w:rsidP="00663B20">
      <w:pPr>
        <w:spacing w:line="360" w:lineRule="auto"/>
        <w:jc w:val="both"/>
        <w:rPr>
          <w:rFonts w:eastAsia="Calibri"/>
          <w:vertAlign w:val="superscript"/>
          <w:lang w:val="es-ES" w:eastAsia="en-US"/>
        </w:rPr>
      </w:pPr>
    </w:p>
    <w:p w14:paraId="6146AF93"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 xml:space="preserve">*Autor para la correspondencia. Correo electrónico: </w:t>
      </w:r>
      <w:hyperlink r:id="rId9" w:history="1">
        <w:r w:rsidRPr="00663B20">
          <w:rPr>
            <w:rFonts w:eastAsia="Calibri"/>
            <w:color w:val="0563C1"/>
            <w:lang w:val="es-ES" w:eastAsia="en-US"/>
          </w:rPr>
          <w:t>luisfong87@nauta.cu</w:t>
        </w:r>
      </w:hyperlink>
    </w:p>
    <w:p w14:paraId="6FCA85C6" w14:textId="77777777" w:rsidR="00663B20" w:rsidRPr="00663B20" w:rsidRDefault="00663B20" w:rsidP="00663B20">
      <w:pPr>
        <w:spacing w:line="360" w:lineRule="auto"/>
        <w:jc w:val="both"/>
        <w:rPr>
          <w:rFonts w:eastAsia="Calibri"/>
          <w:lang w:val="es-ES" w:eastAsia="en-US"/>
        </w:rPr>
      </w:pPr>
    </w:p>
    <w:p w14:paraId="477AE1EF" w14:textId="77777777" w:rsidR="00663B20" w:rsidRPr="00663B20" w:rsidRDefault="00663B20" w:rsidP="00663B20">
      <w:pPr>
        <w:spacing w:line="360" w:lineRule="auto"/>
        <w:rPr>
          <w:rFonts w:eastAsia="Calibri"/>
          <w:b/>
          <w:lang w:val="es-ES" w:eastAsia="en-US"/>
        </w:rPr>
      </w:pPr>
      <w:r w:rsidRPr="00663B20">
        <w:rPr>
          <w:rFonts w:eastAsia="Calibri"/>
          <w:b/>
          <w:lang w:val="es-ES" w:eastAsia="en-US"/>
        </w:rPr>
        <w:t>RESUMEN</w:t>
      </w:r>
    </w:p>
    <w:p w14:paraId="503A61F8" w14:textId="77777777" w:rsidR="00663B20" w:rsidRPr="00663B20" w:rsidRDefault="00663B20" w:rsidP="00663B20">
      <w:pPr>
        <w:spacing w:line="360" w:lineRule="auto"/>
        <w:jc w:val="both"/>
        <w:rPr>
          <w:rFonts w:eastAsia="Calibri"/>
          <w:b/>
          <w:lang w:val="es-ES" w:eastAsia="en-US"/>
        </w:rPr>
      </w:pPr>
      <w:r w:rsidRPr="00663B20">
        <w:rPr>
          <w:rFonts w:eastAsia="Calibri"/>
          <w:b/>
          <w:lang w:val="es-ES" w:eastAsia="en-US"/>
        </w:rPr>
        <w:t xml:space="preserve">Introducción: </w:t>
      </w:r>
      <w:r w:rsidRPr="00663B20">
        <w:rPr>
          <w:rFonts w:eastAsia="Calibri"/>
          <w:bCs/>
          <w:lang w:val="es-ES" w:eastAsia="en-US"/>
        </w:rPr>
        <w:t>La hemorragia obstétrica es considerada una causa mayor de mortalidad materna. El reconocimiento de las mujeres con riesgo de desarrollar complicaciones durante la hemorragia obstétrica, es la primera acción para promover un tratamiento optimizado y evitar la muerte.</w:t>
      </w:r>
    </w:p>
    <w:p w14:paraId="6ACD4042" w14:textId="77777777" w:rsidR="00663B20" w:rsidRPr="00663B20" w:rsidRDefault="00663B20" w:rsidP="00663B20">
      <w:pPr>
        <w:spacing w:line="360" w:lineRule="auto"/>
        <w:jc w:val="both"/>
        <w:rPr>
          <w:rFonts w:eastAsia="Calibri"/>
          <w:b/>
          <w:lang w:val="es-ES" w:eastAsia="en-US"/>
        </w:rPr>
      </w:pPr>
      <w:r w:rsidRPr="00663B20">
        <w:rPr>
          <w:rFonts w:eastAsia="Calibri"/>
          <w:b/>
          <w:lang w:val="es-ES" w:eastAsia="en-US"/>
        </w:rPr>
        <w:t xml:space="preserve">Objetivo: </w:t>
      </w:r>
      <w:r w:rsidRPr="00663B20">
        <w:rPr>
          <w:rFonts w:eastAsia="Calibri"/>
          <w:bCs/>
          <w:lang w:val="es-ES" w:eastAsia="en-US"/>
        </w:rPr>
        <w:t>Identificar los factores de riesgo de complicaciones en pacientes con hemorragia obstétrica.</w:t>
      </w:r>
    </w:p>
    <w:p w14:paraId="5F2703A9" w14:textId="77777777" w:rsidR="00663B20" w:rsidRPr="00663B20" w:rsidRDefault="00663B20" w:rsidP="00663B20">
      <w:pPr>
        <w:spacing w:line="360" w:lineRule="auto"/>
        <w:jc w:val="both"/>
        <w:rPr>
          <w:rFonts w:eastAsia="Calibri"/>
          <w:b/>
          <w:lang w:val="es-ES" w:eastAsia="en-US"/>
        </w:rPr>
      </w:pPr>
      <w:r w:rsidRPr="00663B20">
        <w:rPr>
          <w:rFonts w:eastAsia="Calibri"/>
          <w:b/>
          <w:lang w:val="es-ES" w:eastAsia="en-US"/>
        </w:rPr>
        <w:t xml:space="preserve">Métodos: </w:t>
      </w:r>
      <w:r w:rsidRPr="00663B20">
        <w:rPr>
          <w:rFonts w:eastAsia="Calibri"/>
          <w:lang w:val="es-ES" w:eastAsia="en-US"/>
        </w:rPr>
        <w:t xml:space="preserve">Estudio observacional, analítico de casos y controles, con 12 casos (con complicaciones) y 24 controles (sin complicaciones). Se aplicó las medidas resúmenes para cada tipo de variables y la determinación de los factores de riesgos mediante la aplicación del </w:t>
      </w:r>
      <w:r w:rsidRPr="00663B20">
        <w:rPr>
          <w:rFonts w:eastAsia="Calibri"/>
          <w:i/>
          <w:lang w:val="es-ES" w:eastAsia="en-US"/>
        </w:rPr>
        <w:t>odds ratio</w:t>
      </w:r>
      <w:r w:rsidRPr="00663B20">
        <w:rPr>
          <w:rFonts w:eastAsia="Calibri"/>
          <w:iCs/>
          <w:lang w:val="es-ES" w:eastAsia="en-US"/>
        </w:rPr>
        <w:t xml:space="preserve"> (OR)</w:t>
      </w:r>
      <w:r w:rsidRPr="00663B20">
        <w:rPr>
          <w:rFonts w:eastAsia="Calibri"/>
          <w:lang w:val="es-ES" w:eastAsia="en-US"/>
        </w:rPr>
        <w:t>, se utilizó el paquete estadístico SPSS versión 26.0, con un intervalo de confianza (IC) del 95 %.</w:t>
      </w:r>
    </w:p>
    <w:p w14:paraId="76C44295" w14:textId="77777777" w:rsidR="00663B20" w:rsidRPr="00663B20" w:rsidRDefault="00663B20" w:rsidP="00663B20">
      <w:pPr>
        <w:spacing w:line="360" w:lineRule="auto"/>
        <w:jc w:val="both"/>
        <w:rPr>
          <w:rFonts w:eastAsia="Calibri"/>
          <w:lang w:val="es-ES" w:eastAsia="en-US"/>
        </w:rPr>
      </w:pPr>
      <w:r w:rsidRPr="00663B20">
        <w:rPr>
          <w:rFonts w:eastAsia="Calibri"/>
          <w:b/>
          <w:lang w:val="es-ES" w:eastAsia="en-US"/>
        </w:rPr>
        <w:t xml:space="preserve">Resultados: </w:t>
      </w:r>
      <w:r w:rsidRPr="00663B20">
        <w:rPr>
          <w:rFonts w:eastAsia="Calibri"/>
          <w:lang w:val="es-ES" w:eastAsia="en-US"/>
        </w:rPr>
        <w:t>La combinación del choque hipovolémico, más la insuficiencia renal aguda, fue la complicación más frecuente para un 13,8 %. Predominó la atonía uterina para un 50,0 % como causa de hemorragia. Las variables predictivas de complicaciones fueron: el valor de creatinina ≥ 113 µmol/L (OR= 19,08; IC: 2,75-138,36), índice internacional normalizado ≥ 2 (OR= 4,66; IC: 1,46-14,90), hematocrito &lt; 0,23 (OR= 4,00; IC: 1,76-9,08) y hemoglobina &lt; 70 g/L (OR= 2,22; IC: 1,25-3,95).</w:t>
      </w:r>
    </w:p>
    <w:p w14:paraId="623B4650" w14:textId="77777777" w:rsidR="00663B20" w:rsidRPr="00663B20" w:rsidRDefault="00663B20" w:rsidP="00663B20">
      <w:pPr>
        <w:spacing w:line="360" w:lineRule="auto"/>
        <w:jc w:val="both"/>
        <w:rPr>
          <w:rFonts w:eastAsia="Calibri"/>
          <w:b/>
          <w:lang w:val="es-ES" w:eastAsia="en-US"/>
        </w:rPr>
      </w:pPr>
      <w:r w:rsidRPr="00663B20">
        <w:rPr>
          <w:rFonts w:eastAsia="Calibri"/>
          <w:b/>
          <w:lang w:val="es-ES" w:eastAsia="en-US"/>
        </w:rPr>
        <w:lastRenderedPageBreak/>
        <w:t xml:space="preserve">Conclusiones: </w:t>
      </w:r>
      <w:r w:rsidRPr="00663B20">
        <w:rPr>
          <w:rFonts w:eastAsia="Calibri"/>
          <w:bCs/>
          <w:lang w:val="es-ES" w:eastAsia="en-US"/>
        </w:rPr>
        <w:t>La</w:t>
      </w:r>
      <w:r w:rsidRPr="00663B20">
        <w:rPr>
          <w:rFonts w:eastAsia="Calibri"/>
          <w:b/>
          <w:lang w:val="es-ES" w:eastAsia="en-US"/>
        </w:rPr>
        <w:t xml:space="preserve"> </w:t>
      </w:r>
      <w:r w:rsidRPr="00663B20">
        <w:rPr>
          <w:rFonts w:eastAsia="Calibri"/>
          <w:lang w:val="es-ES" w:eastAsia="en-US"/>
        </w:rPr>
        <w:t>creatinina ≥ 113 µmol/L, índice internacional normalizado ≥ 2, hematocrito &lt; 0,23 y hemoglobina &lt; 70 g/L son los principales factores de riesgo identificados para el desarrollo de complicaciones durante la hemorragia obstétrica.</w:t>
      </w:r>
    </w:p>
    <w:p w14:paraId="17055264" w14:textId="77777777" w:rsidR="00663B20" w:rsidRPr="00663B20" w:rsidRDefault="00663B20" w:rsidP="00663B20">
      <w:pPr>
        <w:spacing w:line="360" w:lineRule="auto"/>
        <w:jc w:val="both"/>
        <w:rPr>
          <w:rFonts w:eastAsia="Calibri"/>
          <w:bCs/>
          <w:lang w:val="es-ES" w:eastAsia="en-US"/>
        </w:rPr>
      </w:pPr>
      <w:r w:rsidRPr="00663B20">
        <w:rPr>
          <w:rFonts w:eastAsia="Calibri"/>
          <w:b/>
          <w:lang w:val="es-ES" w:eastAsia="en-US"/>
        </w:rPr>
        <w:t xml:space="preserve">Palabras clave: </w:t>
      </w:r>
      <w:r w:rsidRPr="00663B20">
        <w:rPr>
          <w:rFonts w:eastAsia="Calibri"/>
          <w:bCs/>
          <w:lang w:val="es-ES" w:eastAsia="en-US"/>
        </w:rPr>
        <w:t>factores de riesgo; complicaciones del trabajo de parto; hemorragia posparto.</w:t>
      </w:r>
    </w:p>
    <w:p w14:paraId="42368C50" w14:textId="77777777" w:rsidR="00663B20" w:rsidRPr="00663B20" w:rsidRDefault="00663B20" w:rsidP="00663B20">
      <w:pPr>
        <w:spacing w:line="360" w:lineRule="auto"/>
        <w:jc w:val="center"/>
        <w:rPr>
          <w:rFonts w:eastAsia="Calibri"/>
          <w:b/>
          <w:lang w:val="es-CU" w:eastAsia="en-US"/>
        </w:rPr>
      </w:pPr>
    </w:p>
    <w:p w14:paraId="41B1A591" w14:textId="77777777" w:rsidR="00663B20" w:rsidRPr="00663B20" w:rsidRDefault="00663B20" w:rsidP="00663B20">
      <w:pPr>
        <w:spacing w:line="360" w:lineRule="auto"/>
        <w:rPr>
          <w:rFonts w:eastAsia="Calibri"/>
          <w:b/>
          <w:lang w:val="en-US" w:eastAsia="en-US"/>
        </w:rPr>
      </w:pPr>
      <w:r w:rsidRPr="00663B20">
        <w:rPr>
          <w:rFonts w:eastAsia="Calibri"/>
          <w:b/>
          <w:lang w:val="en-US" w:eastAsia="en-US"/>
        </w:rPr>
        <w:t>ABSTRACT</w:t>
      </w:r>
    </w:p>
    <w:p w14:paraId="5729709C" w14:textId="77777777" w:rsidR="00663B20" w:rsidRPr="00663B20" w:rsidRDefault="00663B20" w:rsidP="00663B20">
      <w:pPr>
        <w:spacing w:line="360" w:lineRule="auto"/>
        <w:jc w:val="both"/>
        <w:rPr>
          <w:rFonts w:eastAsia="Calibri"/>
          <w:bCs/>
          <w:lang w:val="en-US" w:eastAsia="en-US"/>
        </w:rPr>
      </w:pPr>
      <w:r w:rsidRPr="00663B20">
        <w:rPr>
          <w:rFonts w:eastAsia="Calibri"/>
          <w:b/>
          <w:lang w:val="en-US" w:eastAsia="en-US"/>
        </w:rPr>
        <w:t>Introduction:</w:t>
      </w:r>
      <w:r w:rsidRPr="00663B20">
        <w:rPr>
          <w:rFonts w:eastAsia="Calibri"/>
          <w:bCs/>
          <w:lang w:val="en-US" w:eastAsia="en-US"/>
        </w:rPr>
        <w:t xml:space="preserve"> Obstetric hemorrhage is considered a major cause of maternal mortality. Recognition of women at risk of developing complications during obstetric hemorrhage is the first action to promote optimized treatment and avoid death.</w:t>
      </w:r>
    </w:p>
    <w:p w14:paraId="6BD1EEB4" w14:textId="77777777" w:rsidR="00663B20" w:rsidRPr="00663B20" w:rsidRDefault="00663B20" w:rsidP="00663B20">
      <w:pPr>
        <w:spacing w:line="360" w:lineRule="auto"/>
        <w:jc w:val="both"/>
        <w:rPr>
          <w:rFonts w:eastAsia="Calibri"/>
          <w:bCs/>
          <w:lang w:val="en-US" w:eastAsia="en-US"/>
        </w:rPr>
      </w:pPr>
      <w:r w:rsidRPr="00663B20">
        <w:rPr>
          <w:rFonts w:eastAsia="Calibri"/>
          <w:b/>
          <w:lang w:val="en-US" w:eastAsia="en-US"/>
        </w:rPr>
        <w:t xml:space="preserve">Objective: </w:t>
      </w:r>
      <w:r w:rsidRPr="00663B20">
        <w:rPr>
          <w:rFonts w:eastAsia="Calibri"/>
          <w:bCs/>
          <w:lang w:val="en-US" w:eastAsia="en-US"/>
        </w:rPr>
        <w:t>Identify risk factors for complications in patients with obstetric hemorrhage.</w:t>
      </w:r>
    </w:p>
    <w:p w14:paraId="6FBF6E04" w14:textId="77777777" w:rsidR="00663B20" w:rsidRPr="00663B20" w:rsidRDefault="00663B20" w:rsidP="00663B20">
      <w:pPr>
        <w:spacing w:line="360" w:lineRule="auto"/>
        <w:jc w:val="both"/>
        <w:rPr>
          <w:rFonts w:eastAsia="Calibri"/>
          <w:bCs/>
          <w:lang w:val="en-US" w:eastAsia="en-US"/>
        </w:rPr>
      </w:pPr>
      <w:r w:rsidRPr="00663B20">
        <w:rPr>
          <w:rFonts w:eastAsia="Calibri"/>
          <w:b/>
          <w:lang w:val="en-US" w:eastAsia="en-US"/>
        </w:rPr>
        <w:t>Methods:</w:t>
      </w:r>
      <w:r w:rsidRPr="00663B20">
        <w:rPr>
          <w:rFonts w:eastAsia="Calibri"/>
          <w:bCs/>
          <w:lang w:val="en-US" w:eastAsia="en-US"/>
        </w:rPr>
        <w:t xml:space="preserve"> Observational, analytical case-control study, with 12 cases (with complications) and 24 controls (without complications). The summary measures were applied for each type of variables and the determination of the risk factors by applying the odds ratio (OR), the SPSS statistical package version 26.0 was used, with a confidence interval (CI) of 95%.</w:t>
      </w:r>
    </w:p>
    <w:p w14:paraId="1DEC8EC2" w14:textId="77777777" w:rsidR="00663B20" w:rsidRPr="00663B20" w:rsidRDefault="00663B20" w:rsidP="00663B20">
      <w:pPr>
        <w:spacing w:line="360" w:lineRule="auto"/>
        <w:jc w:val="both"/>
        <w:rPr>
          <w:rFonts w:eastAsia="Calibri"/>
          <w:bCs/>
          <w:lang w:val="en-US" w:eastAsia="en-US"/>
        </w:rPr>
      </w:pPr>
      <w:r w:rsidRPr="00663B20">
        <w:rPr>
          <w:rFonts w:eastAsia="Calibri"/>
          <w:b/>
          <w:lang w:val="en-US" w:eastAsia="en-US"/>
        </w:rPr>
        <w:t xml:space="preserve">Results: </w:t>
      </w:r>
      <w:r w:rsidRPr="00663B20">
        <w:rPr>
          <w:rFonts w:eastAsia="Calibri"/>
          <w:bCs/>
          <w:lang w:val="en-US" w:eastAsia="en-US"/>
        </w:rPr>
        <w:t>The combination of hypovolemic shock, plus acute renal failure, was the most frequent complication for 13.8%. Uterine atony predominated for 50.0% as the cause of hemorrhage. The predictive variables of complications were: creatinine value ≥ 113 µmol/L (OR= 19.08; CI: 2.75-138.36), international normalized ratio ≥ 2 (OR= 4.66; CI: 1. 46-14.90), hematocrit &lt; 0.23 (OR= 4.00; CI: 1.76</w:t>
      </w:r>
      <w:r w:rsidRPr="00663B20">
        <w:rPr>
          <w:rFonts w:eastAsia="Calibri"/>
          <w:bCs/>
          <w:lang w:val="en-US" w:eastAsia="en-US"/>
        </w:rPr>
        <w:noBreakHyphen/>
        <w:t>9.08) and hemoglobin &lt; 70 g/L (OR= 2.22; CI: 1.25-3 .95).</w:t>
      </w:r>
    </w:p>
    <w:p w14:paraId="172D7355" w14:textId="77777777" w:rsidR="00663B20" w:rsidRPr="00663B20" w:rsidRDefault="00663B20" w:rsidP="00663B20">
      <w:pPr>
        <w:spacing w:line="360" w:lineRule="auto"/>
        <w:jc w:val="both"/>
        <w:rPr>
          <w:rFonts w:eastAsia="Calibri"/>
          <w:bCs/>
          <w:lang w:val="en-US" w:eastAsia="en-US"/>
        </w:rPr>
      </w:pPr>
      <w:r w:rsidRPr="00663B20">
        <w:rPr>
          <w:rFonts w:eastAsia="Calibri"/>
          <w:b/>
          <w:lang w:val="en-US" w:eastAsia="en-US"/>
        </w:rPr>
        <w:t>Conclusions:</w:t>
      </w:r>
      <w:r w:rsidRPr="00663B20">
        <w:rPr>
          <w:rFonts w:eastAsia="Calibri"/>
          <w:bCs/>
          <w:lang w:val="en-US" w:eastAsia="en-US"/>
        </w:rPr>
        <w:t xml:space="preserve"> Creatinine ≥ 113 µmol/L, international normalized ratio ≥ 2, hematocrit &lt; 0.23 and hemoglobin &lt; 70 g/L are the main risk factors identified for the development of complications during obstetric hemorrhage.</w:t>
      </w:r>
    </w:p>
    <w:p w14:paraId="45AE48F6" w14:textId="77777777" w:rsidR="00663B20" w:rsidRPr="00663B20" w:rsidRDefault="00663B20" w:rsidP="00663B20">
      <w:pPr>
        <w:spacing w:line="360" w:lineRule="auto"/>
        <w:jc w:val="both"/>
        <w:rPr>
          <w:rFonts w:eastAsia="Calibri"/>
          <w:lang w:val="en-US" w:eastAsia="en-US"/>
        </w:rPr>
      </w:pPr>
      <w:r w:rsidRPr="00663B20">
        <w:rPr>
          <w:rFonts w:eastAsia="Calibri"/>
          <w:b/>
          <w:lang w:val="en-US" w:eastAsia="en-US"/>
        </w:rPr>
        <w:t>Keywords:</w:t>
      </w:r>
      <w:r w:rsidRPr="00663B20">
        <w:rPr>
          <w:rFonts w:eastAsia="Calibri"/>
          <w:lang w:val="en-US" w:eastAsia="en-US"/>
        </w:rPr>
        <w:t xml:space="preserve"> risk factors; obstetric labor complications, postpartum hemorrhage.</w:t>
      </w:r>
    </w:p>
    <w:p w14:paraId="4A31F157" w14:textId="77777777" w:rsidR="00663B20" w:rsidRPr="00663B20" w:rsidRDefault="00663B20" w:rsidP="00663B20">
      <w:pPr>
        <w:spacing w:line="360" w:lineRule="auto"/>
        <w:jc w:val="both"/>
        <w:rPr>
          <w:rFonts w:eastAsia="Calibri"/>
          <w:lang w:val="en-US" w:eastAsia="en-US"/>
        </w:rPr>
      </w:pPr>
    </w:p>
    <w:p w14:paraId="790466A0" w14:textId="77777777" w:rsidR="00663B20" w:rsidRPr="00663B20" w:rsidRDefault="00663B20" w:rsidP="00663B20">
      <w:pPr>
        <w:spacing w:line="360" w:lineRule="auto"/>
        <w:jc w:val="both"/>
        <w:rPr>
          <w:rFonts w:eastAsia="Calibri"/>
          <w:lang w:val="en-US" w:eastAsia="en-US"/>
        </w:rPr>
      </w:pPr>
    </w:p>
    <w:p w14:paraId="38E20807"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Recibido: 17/04/2023</w:t>
      </w:r>
    </w:p>
    <w:p w14:paraId="525AD0C7" w14:textId="77777777" w:rsidR="00663B20" w:rsidRPr="00663B20" w:rsidRDefault="00663B20" w:rsidP="00663B20">
      <w:pPr>
        <w:spacing w:line="360" w:lineRule="auto"/>
        <w:jc w:val="both"/>
        <w:rPr>
          <w:rFonts w:eastAsia="Calibri"/>
          <w:lang w:val="es-CU" w:eastAsia="en-US"/>
        </w:rPr>
      </w:pPr>
      <w:r w:rsidRPr="00663B20">
        <w:rPr>
          <w:rFonts w:eastAsia="Calibri"/>
          <w:lang w:val="es-CU" w:eastAsia="en-US"/>
        </w:rPr>
        <w:t>Aprobado: 16/09/2023</w:t>
      </w:r>
    </w:p>
    <w:p w14:paraId="01085324" w14:textId="77777777" w:rsidR="00663B20" w:rsidRPr="00663B20" w:rsidRDefault="00663B20" w:rsidP="00663B20">
      <w:pPr>
        <w:spacing w:line="360" w:lineRule="auto"/>
        <w:jc w:val="both"/>
        <w:rPr>
          <w:rFonts w:eastAsia="Calibri"/>
          <w:lang w:val="es-CU" w:eastAsia="en-US"/>
        </w:rPr>
      </w:pPr>
    </w:p>
    <w:p w14:paraId="376A2E52" w14:textId="77777777" w:rsidR="00663B20" w:rsidRPr="00663B20" w:rsidRDefault="00663B20" w:rsidP="00663B20">
      <w:pPr>
        <w:spacing w:line="360" w:lineRule="auto"/>
        <w:jc w:val="center"/>
        <w:rPr>
          <w:rFonts w:eastAsia="Calibri"/>
          <w:b/>
          <w:lang w:val="es-ES" w:eastAsia="en-US"/>
        </w:rPr>
      </w:pPr>
    </w:p>
    <w:p w14:paraId="7F7FDA00" w14:textId="77777777" w:rsidR="00663B20" w:rsidRPr="00663B20" w:rsidRDefault="00663B20" w:rsidP="00663B20">
      <w:pPr>
        <w:spacing w:line="360" w:lineRule="auto"/>
        <w:jc w:val="center"/>
        <w:rPr>
          <w:rFonts w:eastAsia="Calibri"/>
          <w:b/>
          <w:sz w:val="32"/>
          <w:szCs w:val="32"/>
          <w:lang w:val="es-ES" w:eastAsia="en-US"/>
        </w:rPr>
      </w:pPr>
      <w:r w:rsidRPr="00663B20">
        <w:rPr>
          <w:rFonts w:eastAsia="Calibri"/>
          <w:b/>
          <w:sz w:val="32"/>
          <w:szCs w:val="32"/>
          <w:lang w:val="es-ES" w:eastAsia="en-US"/>
        </w:rPr>
        <w:t>INTRODUCCIÓN</w:t>
      </w:r>
    </w:p>
    <w:p w14:paraId="66DB31FA" w14:textId="77777777" w:rsidR="00663B20" w:rsidRPr="00663B20" w:rsidRDefault="00663B20" w:rsidP="00663B20">
      <w:pPr>
        <w:spacing w:line="360" w:lineRule="auto"/>
        <w:jc w:val="both"/>
        <w:rPr>
          <w:rFonts w:eastAsia="Calibri"/>
          <w:bCs/>
          <w:color w:val="000000"/>
          <w:vertAlign w:val="superscript"/>
          <w:lang w:val="es-ES" w:eastAsia="en-US"/>
        </w:rPr>
      </w:pPr>
      <w:r w:rsidRPr="00663B20">
        <w:rPr>
          <w:rFonts w:eastAsia="Calibri"/>
          <w:bCs/>
          <w:lang w:val="es-ES" w:eastAsia="en-US"/>
        </w:rPr>
        <w:t>La muerte materna es un problema de salud que tiene efectos negativos en una nación y lleva a realizar esfuerzos para su disminución.</w:t>
      </w:r>
      <w:r w:rsidRPr="00663B20">
        <w:rPr>
          <w:rFonts w:eastAsia="Calibri"/>
          <w:bCs/>
          <w:vertAlign w:val="superscript"/>
          <w:lang w:val="es-ES" w:eastAsia="en-US"/>
        </w:rPr>
        <w:t>(1)</w:t>
      </w:r>
      <w:r w:rsidRPr="00663B20">
        <w:rPr>
          <w:rFonts w:eastAsia="Calibri"/>
          <w:bCs/>
          <w:lang w:val="es-ES" w:eastAsia="en-US"/>
        </w:rPr>
        <w:t xml:space="preserve"> La tasa de mortalidad materna es un indicador importante del desarrollo socioeconómico y de la voluntad política para el acceso a los servicios de salud. Se estima que en países desarrollados ocurren 585 000 muertes maternas al año, por lo que la reducción de la mortalidad materna es un objetivo prioritario en la agenda de salud internacional.</w:t>
      </w:r>
      <w:r w:rsidRPr="00663B20">
        <w:rPr>
          <w:rFonts w:eastAsia="Calibri"/>
          <w:bCs/>
          <w:vertAlign w:val="superscript"/>
          <w:lang w:val="es-ES" w:eastAsia="en-US"/>
        </w:rPr>
        <w:t>(2)</w:t>
      </w:r>
      <w:r w:rsidRPr="00663B20">
        <w:rPr>
          <w:rFonts w:eastAsia="Calibri"/>
          <w:bCs/>
          <w:lang w:val="es-ES" w:eastAsia="en-US"/>
        </w:rPr>
        <w:t xml:space="preserve"> Los cuidados obstétricos y las buenas prácticas, de una alta calidad, son la clave para reducir la mortalidad materna, basado en el manejo óptimo de la morbilidad materna extrema,</w:t>
      </w:r>
      <w:r w:rsidRPr="00663B20">
        <w:rPr>
          <w:rFonts w:eastAsia="Calibri"/>
          <w:bCs/>
          <w:vertAlign w:val="superscript"/>
          <w:lang w:val="es-ES" w:eastAsia="en-US"/>
        </w:rPr>
        <w:t xml:space="preserve">(3) </w:t>
      </w:r>
      <w:r w:rsidRPr="00663B20">
        <w:rPr>
          <w:rFonts w:eastAsia="Calibri"/>
          <w:bCs/>
          <w:lang w:val="es-ES" w:eastAsia="en-US"/>
        </w:rPr>
        <w:t>que se define como, aquellos episodios que amenazan la vida o la disfunción orgánica aguda, que puede provocar la muerte de las pacientes gestantes o puérperas.</w:t>
      </w:r>
      <w:r w:rsidRPr="00663B20">
        <w:rPr>
          <w:rFonts w:eastAsia="Calibri"/>
          <w:bCs/>
          <w:vertAlign w:val="superscript"/>
          <w:lang w:val="es-ES" w:eastAsia="en-US"/>
        </w:rPr>
        <w:t>(4,5)</w:t>
      </w:r>
      <w:r w:rsidRPr="00663B20">
        <w:rPr>
          <w:rFonts w:eastAsia="Calibri"/>
          <w:bCs/>
          <w:lang w:val="es-ES" w:eastAsia="en-US"/>
        </w:rPr>
        <w:t xml:space="preserve"> </w:t>
      </w:r>
    </w:p>
    <w:p w14:paraId="021926F4" w14:textId="77777777" w:rsidR="00663B20" w:rsidRPr="00663B20" w:rsidRDefault="00663B20" w:rsidP="00663B20">
      <w:pPr>
        <w:spacing w:line="360" w:lineRule="auto"/>
        <w:jc w:val="both"/>
        <w:rPr>
          <w:rFonts w:eastAsia="Calibri"/>
          <w:bCs/>
          <w:lang w:val="es-ES" w:eastAsia="en-US"/>
        </w:rPr>
      </w:pPr>
      <w:r w:rsidRPr="00663B20">
        <w:rPr>
          <w:rFonts w:eastAsia="Calibri"/>
          <w:bCs/>
          <w:lang w:val="es-ES" w:eastAsia="en-US"/>
        </w:rPr>
        <w:t>La hemorragia obstétrica se considera una seria complicación y causa mayor de mortalidad materna; se estiman 127 000 muertes maternas al año, por esta causa.</w:t>
      </w:r>
      <w:r w:rsidRPr="00663B20">
        <w:rPr>
          <w:rFonts w:eastAsia="Calibri"/>
          <w:bCs/>
          <w:vertAlign w:val="superscript"/>
          <w:lang w:val="es-ES" w:eastAsia="en-US"/>
        </w:rPr>
        <w:t>(6)</w:t>
      </w:r>
      <w:r w:rsidRPr="00663B20">
        <w:rPr>
          <w:rFonts w:eastAsia="Calibri"/>
          <w:bCs/>
          <w:lang w:val="es-ES" w:eastAsia="en-US"/>
        </w:rPr>
        <w:t xml:space="preserve"> </w:t>
      </w:r>
    </w:p>
    <w:p w14:paraId="19F81E08" w14:textId="77777777" w:rsidR="00663B20" w:rsidRPr="00663B20" w:rsidRDefault="00663B20" w:rsidP="00663B20">
      <w:pPr>
        <w:spacing w:line="360" w:lineRule="auto"/>
        <w:jc w:val="both"/>
        <w:rPr>
          <w:rFonts w:eastAsia="Calibri"/>
          <w:bCs/>
          <w:vertAlign w:val="superscript"/>
          <w:lang w:val="es-ES" w:eastAsia="en-US"/>
        </w:rPr>
      </w:pPr>
      <w:r w:rsidRPr="00663B20">
        <w:rPr>
          <w:rFonts w:eastAsia="Calibri"/>
          <w:bCs/>
          <w:lang w:val="es-ES" w:eastAsia="en-US"/>
        </w:rPr>
        <w:t>No existe una definición universal de la hemorragia obstétrica, puede ocurrir anteparto o postparto; según la estimación de las pérdidas hemáticas, se puede definir como el sangrado superior a los 500 mL en las primeras 24 horas posteriores al parto vaginal, o el sangramiento superior a 1000 mL posterior al parto por cesárea. La hemorragia obstétrica grave es el sangramiento, superior a los 1000 mL en el mismo periodo, sin importar la vía del parto.</w:t>
      </w:r>
      <w:r w:rsidRPr="00663B20">
        <w:rPr>
          <w:rFonts w:eastAsia="Calibri"/>
          <w:bCs/>
          <w:vertAlign w:val="superscript"/>
          <w:lang w:val="es-ES" w:eastAsia="en-US"/>
        </w:rPr>
        <w:t>(7)</w:t>
      </w:r>
      <w:r w:rsidRPr="00663B20">
        <w:rPr>
          <w:rFonts w:eastAsia="Calibri"/>
          <w:bCs/>
          <w:lang w:val="es-ES" w:eastAsia="en-US"/>
        </w:rPr>
        <w:t xml:space="preserve"> El </w:t>
      </w:r>
      <w:r w:rsidRPr="00663B20">
        <w:rPr>
          <w:rFonts w:eastAsia="Calibri"/>
          <w:bCs/>
          <w:i/>
          <w:iCs/>
          <w:lang w:val="es-ES" w:eastAsia="en-US"/>
        </w:rPr>
        <w:t>American College of Obstetricians and Gynecologists</w:t>
      </w:r>
      <w:r w:rsidRPr="00663B20">
        <w:rPr>
          <w:rFonts w:eastAsia="Calibri"/>
          <w:bCs/>
          <w:vertAlign w:val="superscript"/>
          <w:lang w:val="es-ES" w:eastAsia="en-US"/>
        </w:rPr>
        <w:t>(8)</w:t>
      </w:r>
      <w:r w:rsidRPr="00663B20">
        <w:rPr>
          <w:rFonts w:eastAsia="Calibri"/>
          <w:bCs/>
          <w:lang w:val="es-ES" w:eastAsia="en-US"/>
        </w:rPr>
        <w:t xml:space="preserve"> define hemorragia obstétrica, al sangrado acompañado de signos y síntomas de hipovolemia. En los últimos años la incidencia de la hemorragia obstétrica se ha incrementado en el mundo, incluso en los países desarrollados. El reconocimiento de las mujeres con riesgo de desarrollar hemorragia obstétrica y sus complicaciones, es la primera acción para promover un tratamiento optimizado y evitar la muerte.</w:t>
      </w:r>
      <w:r w:rsidRPr="00663B20">
        <w:rPr>
          <w:rFonts w:eastAsia="Calibri"/>
          <w:bCs/>
          <w:vertAlign w:val="superscript"/>
          <w:lang w:val="es-ES" w:eastAsia="en-US"/>
        </w:rPr>
        <w:t>(9,10)</w:t>
      </w:r>
      <w:r w:rsidRPr="00663B20">
        <w:rPr>
          <w:rFonts w:eastAsia="Calibri"/>
          <w:bCs/>
          <w:lang w:val="es-ES" w:eastAsia="en-US"/>
        </w:rPr>
        <w:t xml:space="preserve"> Para el desarrollo de la investigación se tomó como definición, la plasmada por la </w:t>
      </w:r>
      <w:r w:rsidRPr="00663B20">
        <w:rPr>
          <w:rFonts w:eastAsia="Calibri"/>
          <w:bCs/>
          <w:i/>
          <w:iCs/>
          <w:lang w:val="es-ES" w:eastAsia="en-US"/>
        </w:rPr>
        <w:t>American College of Obstetricians and Gynecologists.</w:t>
      </w:r>
      <w:r w:rsidRPr="00663B20">
        <w:rPr>
          <w:rFonts w:eastAsia="Calibri"/>
          <w:bCs/>
          <w:vertAlign w:val="superscript"/>
          <w:lang w:val="es-ES" w:eastAsia="en-US"/>
        </w:rPr>
        <w:t>(8)</w:t>
      </w:r>
    </w:p>
    <w:p w14:paraId="5EA4E602" w14:textId="77777777" w:rsidR="00663B20" w:rsidRPr="00663B20" w:rsidRDefault="00663B20" w:rsidP="00663B20">
      <w:pPr>
        <w:spacing w:line="360" w:lineRule="auto"/>
        <w:jc w:val="both"/>
        <w:rPr>
          <w:rFonts w:eastAsia="Calibri"/>
          <w:bCs/>
          <w:lang w:val="es-ES" w:eastAsia="en-US"/>
        </w:rPr>
      </w:pPr>
      <w:r w:rsidRPr="00663B20">
        <w:rPr>
          <w:rFonts w:eastAsia="Calibri"/>
          <w:bCs/>
          <w:lang w:val="es-ES" w:eastAsia="en-US"/>
        </w:rPr>
        <w:t>En Cuba, país en desarrollo, la tasa de mortalidad infantil ha disminuido hasta de 4,0 por 1000 nacidos vivos, pero la tasa de mortalidad materna no ha descendido al mismo ritmo, con cifras estacionarias en los últimos 10 años.</w:t>
      </w:r>
      <w:r w:rsidRPr="00663B20">
        <w:rPr>
          <w:rFonts w:eastAsia="Calibri"/>
          <w:bCs/>
          <w:vertAlign w:val="superscript"/>
          <w:lang w:val="es-ES" w:eastAsia="en-US"/>
        </w:rPr>
        <w:t>(2,5)</w:t>
      </w:r>
      <w:r w:rsidRPr="00663B20">
        <w:rPr>
          <w:rFonts w:eastAsia="Calibri"/>
          <w:bCs/>
          <w:lang w:val="es-ES" w:eastAsia="en-US"/>
        </w:rPr>
        <w:t xml:space="preserve"> Durante el año 2021, la tasa de mortalidad relacionada con el embarazo, parto y puerperio fue de 182,7 por cada 100 000 nacidos vivos, y la hemorragia obstétrica es una de sus principales contribuyentes.</w:t>
      </w:r>
      <w:r w:rsidRPr="00663B20">
        <w:rPr>
          <w:rFonts w:eastAsia="Calibri"/>
          <w:bCs/>
          <w:vertAlign w:val="superscript"/>
          <w:lang w:val="es-ES" w:eastAsia="en-US"/>
        </w:rPr>
        <w:t>(11,12)</w:t>
      </w:r>
      <w:r w:rsidRPr="00663B20">
        <w:rPr>
          <w:rFonts w:eastAsia="Calibri"/>
          <w:bCs/>
          <w:lang w:val="es-ES" w:eastAsia="en-US"/>
        </w:rPr>
        <w:t xml:space="preserve"> Se desea lograr una tasa de mortalidad materna inferior a 15 por cada </w:t>
      </w:r>
      <w:r w:rsidRPr="00663B20">
        <w:rPr>
          <w:rFonts w:eastAsia="Calibri"/>
          <w:bCs/>
          <w:lang w:val="es-ES" w:eastAsia="en-US"/>
        </w:rPr>
        <w:lastRenderedPageBreak/>
        <w:t>100 000 nacidos vivos, con el fin de cumplir con los objetivos de la Organización Mundial de la Salud y de la Organización Panamericana de la Salud, de menos de 70 muertes por cada 100 000 nacidos vivos; o al menos, que la tasa de mortalidad materna no supere el doble de la media mundial para el año 2030.</w:t>
      </w:r>
      <w:r w:rsidRPr="00663B20">
        <w:rPr>
          <w:rFonts w:eastAsia="Calibri"/>
          <w:bCs/>
          <w:vertAlign w:val="superscript"/>
          <w:lang w:val="es-ES" w:eastAsia="en-US"/>
        </w:rPr>
        <w:t xml:space="preserve">(13) </w:t>
      </w:r>
    </w:p>
    <w:p w14:paraId="7718C80B" w14:textId="77777777" w:rsidR="00663B20" w:rsidRPr="00663B20" w:rsidRDefault="00663B20" w:rsidP="00663B20">
      <w:pPr>
        <w:spacing w:line="360" w:lineRule="auto"/>
        <w:jc w:val="both"/>
        <w:rPr>
          <w:rFonts w:eastAsia="Calibri"/>
          <w:bCs/>
          <w:lang w:val="es-ES" w:eastAsia="en-US"/>
        </w:rPr>
      </w:pPr>
      <w:r w:rsidRPr="00663B20">
        <w:rPr>
          <w:rFonts w:eastAsia="Calibri"/>
          <w:bCs/>
          <w:lang w:val="es-ES" w:eastAsia="en-US"/>
        </w:rPr>
        <w:t xml:space="preserve">En consecuencia, se formuló la siguiente hipótesis de investigación: la presencia de factores de riesgo epidemiológicos, clínicos y de laboratorio permiten identificar el desarrollo de complicaciones durante la hemorragia obstétrica. </w:t>
      </w:r>
    </w:p>
    <w:p w14:paraId="0CBF4EBA" w14:textId="77777777" w:rsidR="00663B20" w:rsidRPr="00663B20" w:rsidRDefault="00663B20" w:rsidP="00663B20">
      <w:pPr>
        <w:spacing w:line="360" w:lineRule="auto"/>
        <w:jc w:val="both"/>
        <w:rPr>
          <w:rFonts w:eastAsia="Calibri"/>
          <w:bCs/>
          <w:lang w:val="es-ES" w:eastAsia="en-US"/>
        </w:rPr>
      </w:pPr>
      <w:r w:rsidRPr="00663B20">
        <w:rPr>
          <w:rFonts w:eastAsia="Calibri"/>
          <w:bCs/>
          <w:lang w:val="es-ES" w:eastAsia="en-US"/>
        </w:rPr>
        <w:t>El objetivo de esta investigación es identificar los factores de riesgo de complicaciones en pacientes con hemorragia obstétrica.</w:t>
      </w:r>
    </w:p>
    <w:p w14:paraId="223BEB72" w14:textId="77777777" w:rsidR="00663B20" w:rsidRPr="00663B20" w:rsidRDefault="00663B20" w:rsidP="00663B20">
      <w:pPr>
        <w:spacing w:line="360" w:lineRule="auto"/>
        <w:jc w:val="both"/>
        <w:rPr>
          <w:rFonts w:eastAsia="Calibri"/>
          <w:bCs/>
          <w:lang w:val="es-ES" w:eastAsia="en-US"/>
        </w:rPr>
      </w:pPr>
    </w:p>
    <w:p w14:paraId="6FC43EE4" w14:textId="77777777" w:rsidR="00663B20" w:rsidRPr="00663B20" w:rsidRDefault="00663B20" w:rsidP="00663B20">
      <w:pPr>
        <w:spacing w:line="360" w:lineRule="auto"/>
        <w:jc w:val="both"/>
        <w:rPr>
          <w:rFonts w:eastAsia="Calibri"/>
          <w:bCs/>
          <w:lang w:val="es-ES" w:eastAsia="en-US"/>
        </w:rPr>
      </w:pPr>
    </w:p>
    <w:p w14:paraId="56AD9FCC" w14:textId="77777777" w:rsidR="00663B20" w:rsidRPr="00663B20" w:rsidRDefault="00663B20" w:rsidP="00663B20">
      <w:pPr>
        <w:spacing w:line="360" w:lineRule="auto"/>
        <w:jc w:val="center"/>
        <w:rPr>
          <w:rFonts w:eastAsia="Calibri"/>
          <w:b/>
          <w:sz w:val="32"/>
          <w:szCs w:val="32"/>
          <w:lang w:val="es-ES" w:eastAsia="en-US"/>
        </w:rPr>
      </w:pPr>
      <w:r w:rsidRPr="00663B20">
        <w:rPr>
          <w:rFonts w:eastAsia="Calibri"/>
          <w:b/>
          <w:sz w:val="32"/>
          <w:szCs w:val="32"/>
          <w:lang w:val="es-ES" w:eastAsia="en-US"/>
        </w:rPr>
        <w:t>MÉTODOS</w:t>
      </w:r>
    </w:p>
    <w:p w14:paraId="5DD82F65" w14:textId="77777777" w:rsidR="00663B20" w:rsidRPr="00663B20" w:rsidRDefault="00663B20" w:rsidP="00663B20">
      <w:pPr>
        <w:spacing w:line="360" w:lineRule="auto"/>
        <w:jc w:val="center"/>
        <w:rPr>
          <w:rFonts w:eastAsia="Calibri"/>
          <w:b/>
          <w:sz w:val="28"/>
          <w:szCs w:val="28"/>
          <w:lang w:val="es-ES" w:eastAsia="en-US"/>
        </w:rPr>
      </w:pPr>
      <w:r w:rsidRPr="00663B20">
        <w:rPr>
          <w:rFonts w:eastAsia="Calibri"/>
          <w:b/>
          <w:sz w:val="28"/>
          <w:szCs w:val="28"/>
          <w:lang w:val="es-ES" w:eastAsia="en-US"/>
        </w:rPr>
        <w:t xml:space="preserve">Diseño </w:t>
      </w:r>
    </w:p>
    <w:p w14:paraId="499F312C"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Se realizó un estudio observacional, analítico de casos y controles, en el período de tiempo comprendido desde enero de 2018 hasta diciembre de 2020, en la unidad de cuidados intensivos (UCI) del Hospital General Docente “Orlando Pantoja Tamayo”, del municipio Contramaestre, provincia Santiago de Cuba.</w:t>
      </w:r>
    </w:p>
    <w:p w14:paraId="7B2E4C02" w14:textId="77777777" w:rsidR="00663B20" w:rsidRPr="00663B20" w:rsidRDefault="00663B20" w:rsidP="00663B20">
      <w:pPr>
        <w:spacing w:line="360" w:lineRule="auto"/>
        <w:jc w:val="center"/>
        <w:rPr>
          <w:rFonts w:eastAsia="Calibri"/>
          <w:b/>
          <w:sz w:val="28"/>
          <w:szCs w:val="28"/>
          <w:lang w:val="es-ES" w:eastAsia="en-US"/>
        </w:rPr>
      </w:pPr>
      <w:r w:rsidRPr="00663B20">
        <w:rPr>
          <w:rFonts w:eastAsia="Calibri"/>
          <w:b/>
          <w:sz w:val="28"/>
          <w:szCs w:val="28"/>
          <w:lang w:val="es-ES" w:eastAsia="en-US"/>
        </w:rPr>
        <w:t xml:space="preserve">Sujetos </w:t>
      </w:r>
    </w:p>
    <w:p w14:paraId="3A26DF90"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De la población de 42 pacientes con hemorragia obstétrica admitidas en la UCI, desde enero de 2018 hasta diciembre de 2020; 12 (28,5 %) pacientes sufrieron complicaciones durante la hemorragia obstétrica y 30 (71,5 %) no sufrieron complicaciones.</w:t>
      </w:r>
    </w:p>
    <w:p w14:paraId="005B7474" w14:textId="77777777" w:rsidR="00663B20" w:rsidRPr="00663B20" w:rsidRDefault="00663B20" w:rsidP="0006737A">
      <w:pPr>
        <w:spacing w:line="360" w:lineRule="auto"/>
        <w:jc w:val="both"/>
        <w:rPr>
          <w:rFonts w:eastAsia="Calibri"/>
          <w:lang w:val="es-ES" w:eastAsia="en-US"/>
        </w:rPr>
      </w:pPr>
      <w:r w:rsidRPr="00663B20">
        <w:rPr>
          <w:rFonts w:eastAsia="Calibri"/>
          <w:lang w:val="es-ES" w:eastAsia="en-US"/>
        </w:rPr>
        <w:t>Los criterios de selección de los casos fueron los siguientes:</w:t>
      </w:r>
    </w:p>
    <w:p w14:paraId="4F8F3126" w14:textId="77777777" w:rsidR="00663B20" w:rsidRPr="00663B20" w:rsidRDefault="00663B20" w:rsidP="0006737A">
      <w:pPr>
        <w:spacing w:line="360" w:lineRule="auto"/>
        <w:jc w:val="both"/>
        <w:rPr>
          <w:rFonts w:eastAsia="Calibri"/>
          <w:lang w:val="es-ES" w:eastAsia="en-US"/>
        </w:rPr>
      </w:pPr>
    </w:p>
    <w:p w14:paraId="435D62B0" w14:textId="77777777" w:rsidR="00663B20" w:rsidRPr="00663B20" w:rsidRDefault="00663B20" w:rsidP="0006737A">
      <w:pPr>
        <w:numPr>
          <w:ilvl w:val="0"/>
          <w:numId w:val="2"/>
        </w:numPr>
        <w:spacing w:line="360" w:lineRule="auto"/>
        <w:contextualSpacing/>
        <w:jc w:val="both"/>
        <w:rPr>
          <w:rFonts w:eastAsia="Calibri"/>
          <w:lang w:val="es-ES" w:eastAsia="en-US"/>
        </w:rPr>
      </w:pPr>
      <w:r w:rsidRPr="00663B20">
        <w:rPr>
          <w:rFonts w:eastAsia="Calibri"/>
          <w:lang w:val="es-ES" w:eastAsia="en-US"/>
        </w:rPr>
        <w:t>Pacientes obstétricas, con edad igual o mayor a 18 años.</w:t>
      </w:r>
    </w:p>
    <w:p w14:paraId="709FC0AB" w14:textId="77777777" w:rsidR="00663B20" w:rsidRPr="00663B20" w:rsidRDefault="00663B20" w:rsidP="0006737A">
      <w:pPr>
        <w:numPr>
          <w:ilvl w:val="0"/>
          <w:numId w:val="2"/>
        </w:numPr>
        <w:spacing w:line="360" w:lineRule="auto"/>
        <w:contextualSpacing/>
        <w:jc w:val="both"/>
        <w:rPr>
          <w:rFonts w:eastAsia="Calibri"/>
          <w:lang w:val="es-ES" w:eastAsia="en-US"/>
        </w:rPr>
      </w:pPr>
      <w:r w:rsidRPr="00663B20">
        <w:rPr>
          <w:rFonts w:eastAsia="Calibri"/>
          <w:lang w:val="es-ES" w:eastAsia="en-US"/>
        </w:rPr>
        <w:t>Diagnóstico de hemorragia obstétrica mayor.</w:t>
      </w:r>
    </w:p>
    <w:p w14:paraId="3BAF4BF2" w14:textId="77777777" w:rsidR="00663B20" w:rsidRPr="00663B20" w:rsidRDefault="00663B20" w:rsidP="0006737A">
      <w:pPr>
        <w:numPr>
          <w:ilvl w:val="0"/>
          <w:numId w:val="2"/>
        </w:numPr>
        <w:spacing w:line="360" w:lineRule="auto"/>
        <w:contextualSpacing/>
        <w:jc w:val="both"/>
        <w:rPr>
          <w:rFonts w:eastAsia="Calibri"/>
          <w:lang w:val="es-ES" w:eastAsia="en-US"/>
        </w:rPr>
      </w:pPr>
      <w:r w:rsidRPr="00663B20">
        <w:rPr>
          <w:rFonts w:eastAsia="Calibri"/>
          <w:lang w:val="es-ES" w:eastAsia="en-US"/>
        </w:rPr>
        <w:t>Admitidas en la UCI.</w:t>
      </w:r>
    </w:p>
    <w:p w14:paraId="4F014513" w14:textId="77777777" w:rsidR="00663B20" w:rsidRPr="00663B20" w:rsidRDefault="00663B20" w:rsidP="0006737A">
      <w:pPr>
        <w:numPr>
          <w:ilvl w:val="0"/>
          <w:numId w:val="2"/>
        </w:numPr>
        <w:spacing w:line="360" w:lineRule="auto"/>
        <w:contextualSpacing/>
        <w:jc w:val="both"/>
        <w:rPr>
          <w:rFonts w:eastAsia="Calibri"/>
          <w:lang w:val="es-ES" w:eastAsia="en-US"/>
        </w:rPr>
      </w:pPr>
      <w:r w:rsidRPr="00663B20">
        <w:rPr>
          <w:rFonts w:eastAsia="Calibri"/>
          <w:lang w:val="es-ES" w:eastAsia="en-US"/>
        </w:rPr>
        <w:t>Que sufrieran complicaciones durante la hemorragia obstétrica.</w:t>
      </w:r>
    </w:p>
    <w:p w14:paraId="7EC3D2A6" w14:textId="77777777" w:rsidR="00663B20" w:rsidRPr="00663B20" w:rsidRDefault="00663B20" w:rsidP="0006737A">
      <w:pPr>
        <w:spacing w:line="360" w:lineRule="auto"/>
        <w:jc w:val="both"/>
        <w:rPr>
          <w:rFonts w:eastAsia="Calibri"/>
          <w:lang w:val="es-ES" w:eastAsia="en-US"/>
        </w:rPr>
      </w:pPr>
    </w:p>
    <w:p w14:paraId="397527F6"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lastRenderedPageBreak/>
        <w:t>Los controles se seleccionaron de la misma población y características, pero pacientes sin complicaciones durante la hemorragia obstétrica. Se seleccionaron 2 controles por cada caso, de forma aleatoria, hasta completar las 24 pacientes; para ello se utilizó el programa Epidat, v. 4.2.</w:t>
      </w:r>
    </w:p>
    <w:p w14:paraId="5E8AD35E" w14:textId="77777777" w:rsidR="00663B20" w:rsidRPr="00663B20" w:rsidRDefault="00663B20" w:rsidP="00663B20">
      <w:pPr>
        <w:spacing w:line="360" w:lineRule="auto"/>
        <w:jc w:val="center"/>
        <w:rPr>
          <w:rFonts w:eastAsia="Calibri"/>
          <w:b/>
          <w:sz w:val="28"/>
          <w:szCs w:val="28"/>
          <w:lang w:val="es-ES" w:eastAsia="en-US"/>
        </w:rPr>
      </w:pPr>
      <w:r w:rsidRPr="00663B20">
        <w:rPr>
          <w:rFonts w:eastAsia="Calibri"/>
          <w:b/>
          <w:sz w:val="28"/>
          <w:szCs w:val="28"/>
          <w:lang w:val="es-ES" w:eastAsia="en-US"/>
        </w:rPr>
        <w:t>Variables</w:t>
      </w:r>
    </w:p>
    <w:p w14:paraId="0EDBB689" w14:textId="77777777" w:rsidR="00663B20" w:rsidRPr="00663B20" w:rsidRDefault="00663B20" w:rsidP="0006737A">
      <w:pPr>
        <w:spacing w:line="360" w:lineRule="auto"/>
        <w:jc w:val="both"/>
        <w:rPr>
          <w:rFonts w:eastAsia="Calibri"/>
          <w:lang w:val="es-ES" w:eastAsia="en-US"/>
        </w:rPr>
      </w:pPr>
    </w:p>
    <w:p w14:paraId="1DF66323" w14:textId="77777777" w:rsidR="00663B20" w:rsidRPr="00663B20" w:rsidRDefault="00663B20" w:rsidP="0006737A">
      <w:pPr>
        <w:numPr>
          <w:ilvl w:val="0"/>
          <w:numId w:val="3"/>
        </w:numPr>
        <w:spacing w:line="360" w:lineRule="auto"/>
        <w:ind w:left="426" w:hanging="426"/>
        <w:contextualSpacing/>
        <w:jc w:val="both"/>
        <w:rPr>
          <w:rFonts w:eastAsia="Calibri"/>
          <w:lang w:val="es-ES" w:eastAsia="en-US"/>
        </w:rPr>
      </w:pPr>
      <w:r w:rsidRPr="00663B20">
        <w:rPr>
          <w:rFonts w:eastAsia="Calibri"/>
          <w:lang w:val="es-ES" w:eastAsia="en-US"/>
        </w:rPr>
        <w:t>Sala de procedencia: salón de partos, salón de operaciones, cuerpo de guardia y puerperio.</w:t>
      </w:r>
    </w:p>
    <w:p w14:paraId="1046067E" w14:textId="77777777" w:rsidR="00663B20" w:rsidRPr="00663B20" w:rsidRDefault="00663B20" w:rsidP="0006737A">
      <w:pPr>
        <w:numPr>
          <w:ilvl w:val="0"/>
          <w:numId w:val="3"/>
        </w:numPr>
        <w:spacing w:line="360" w:lineRule="auto"/>
        <w:ind w:left="426" w:hanging="426"/>
        <w:contextualSpacing/>
        <w:jc w:val="both"/>
        <w:rPr>
          <w:rFonts w:eastAsia="Calibri"/>
          <w:lang w:val="es-ES" w:eastAsia="en-US"/>
        </w:rPr>
      </w:pPr>
      <w:r w:rsidRPr="00663B20">
        <w:rPr>
          <w:rFonts w:eastAsia="Calibri"/>
          <w:lang w:val="es-ES" w:eastAsia="en-US"/>
        </w:rPr>
        <w:t>Vía del parto: transvaginal o cesárea.</w:t>
      </w:r>
    </w:p>
    <w:p w14:paraId="6973BBE7" w14:textId="77777777" w:rsidR="00663B20" w:rsidRPr="00663B20" w:rsidRDefault="00663B20" w:rsidP="0006737A">
      <w:pPr>
        <w:numPr>
          <w:ilvl w:val="0"/>
          <w:numId w:val="3"/>
        </w:numPr>
        <w:spacing w:line="360" w:lineRule="auto"/>
        <w:ind w:left="426" w:hanging="426"/>
        <w:contextualSpacing/>
        <w:jc w:val="both"/>
        <w:rPr>
          <w:rFonts w:eastAsia="Calibri"/>
          <w:lang w:val="es-ES" w:eastAsia="en-US"/>
        </w:rPr>
      </w:pPr>
      <w:r w:rsidRPr="00663B20">
        <w:rPr>
          <w:rFonts w:eastAsia="Calibri"/>
          <w:lang w:val="es-ES" w:eastAsia="en-US"/>
        </w:rPr>
        <w:t>Tipo de complicación: choque hipovolémico, choque hipovolémico más insuficiencia renal aguda, hígado de choque, síndrome de distrés respiratorio agudo, hepatitis reactiva, perforación vesical e insuficiencia renal aguda.</w:t>
      </w:r>
    </w:p>
    <w:p w14:paraId="17FC8C99" w14:textId="77777777" w:rsidR="00663B20" w:rsidRPr="00663B20" w:rsidRDefault="00663B20" w:rsidP="0006737A">
      <w:pPr>
        <w:numPr>
          <w:ilvl w:val="0"/>
          <w:numId w:val="3"/>
        </w:numPr>
        <w:spacing w:line="360" w:lineRule="auto"/>
        <w:ind w:left="426" w:hanging="426"/>
        <w:contextualSpacing/>
        <w:jc w:val="both"/>
        <w:rPr>
          <w:rFonts w:eastAsia="Calibri"/>
          <w:lang w:val="es-ES" w:eastAsia="en-US"/>
        </w:rPr>
      </w:pPr>
      <w:r w:rsidRPr="00663B20">
        <w:rPr>
          <w:rFonts w:eastAsia="Calibri"/>
          <w:lang w:val="es-ES" w:eastAsia="en-US"/>
        </w:rPr>
        <w:t>Abortos anteriores: presencia o ausencia.</w:t>
      </w:r>
    </w:p>
    <w:p w14:paraId="4EAA90D7" w14:textId="77777777" w:rsidR="00663B20" w:rsidRPr="00663B20" w:rsidRDefault="00663B20" w:rsidP="0006737A">
      <w:pPr>
        <w:numPr>
          <w:ilvl w:val="0"/>
          <w:numId w:val="3"/>
        </w:numPr>
        <w:spacing w:line="360" w:lineRule="auto"/>
        <w:ind w:left="426" w:hanging="426"/>
        <w:contextualSpacing/>
        <w:jc w:val="both"/>
        <w:rPr>
          <w:rFonts w:eastAsia="Calibri"/>
          <w:lang w:val="es-ES" w:eastAsia="en-US"/>
        </w:rPr>
      </w:pPr>
      <w:r w:rsidRPr="00663B20">
        <w:rPr>
          <w:rFonts w:eastAsia="Calibri"/>
          <w:lang w:val="es-ES" w:eastAsia="en-US"/>
        </w:rPr>
        <w:t>Antecedentes patológicos personales (APP): presencia o ausencia.</w:t>
      </w:r>
    </w:p>
    <w:p w14:paraId="008357FC" w14:textId="77777777" w:rsidR="00663B20" w:rsidRPr="00663B20" w:rsidRDefault="00663B20" w:rsidP="0006737A">
      <w:pPr>
        <w:numPr>
          <w:ilvl w:val="0"/>
          <w:numId w:val="3"/>
        </w:numPr>
        <w:spacing w:line="360" w:lineRule="auto"/>
        <w:ind w:left="426" w:hanging="426"/>
        <w:contextualSpacing/>
        <w:jc w:val="both"/>
        <w:rPr>
          <w:rFonts w:eastAsia="Calibri"/>
          <w:lang w:val="es-ES" w:eastAsia="en-US"/>
        </w:rPr>
      </w:pPr>
      <w:r w:rsidRPr="00663B20">
        <w:rPr>
          <w:rFonts w:eastAsia="Calibri"/>
          <w:lang w:val="es-ES" w:eastAsia="en-US"/>
        </w:rPr>
        <w:t>Tipos de antecedentes patológicos personales: asma bronquial, diabetes gestacional, hipertensión arterial, cardiopatía isquémica y anemia depranocítica.</w:t>
      </w:r>
    </w:p>
    <w:p w14:paraId="49D303C9" w14:textId="77777777" w:rsidR="00663B20" w:rsidRPr="00663B20" w:rsidRDefault="00663B20" w:rsidP="0006737A">
      <w:pPr>
        <w:numPr>
          <w:ilvl w:val="0"/>
          <w:numId w:val="3"/>
        </w:numPr>
        <w:spacing w:line="360" w:lineRule="auto"/>
        <w:ind w:left="426" w:hanging="426"/>
        <w:contextualSpacing/>
        <w:jc w:val="both"/>
        <w:rPr>
          <w:rFonts w:eastAsia="Calibri"/>
          <w:lang w:val="es-ES" w:eastAsia="en-US"/>
        </w:rPr>
      </w:pPr>
      <w:r w:rsidRPr="00663B20">
        <w:rPr>
          <w:rFonts w:eastAsia="Calibri"/>
          <w:lang w:val="es-ES" w:eastAsia="en-US"/>
        </w:rPr>
        <w:t>Tipo de embarazo: simple o múltiple.</w:t>
      </w:r>
    </w:p>
    <w:p w14:paraId="3F451A6D" w14:textId="77777777" w:rsidR="00663B20" w:rsidRPr="00663B20" w:rsidRDefault="00663B20" w:rsidP="0006737A">
      <w:pPr>
        <w:numPr>
          <w:ilvl w:val="0"/>
          <w:numId w:val="3"/>
        </w:numPr>
        <w:spacing w:line="360" w:lineRule="auto"/>
        <w:ind w:left="426" w:hanging="426"/>
        <w:contextualSpacing/>
        <w:jc w:val="both"/>
        <w:rPr>
          <w:rFonts w:eastAsia="Calibri"/>
          <w:lang w:val="es-ES" w:eastAsia="en-US"/>
        </w:rPr>
      </w:pPr>
      <w:r w:rsidRPr="00663B20">
        <w:rPr>
          <w:rFonts w:eastAsia="Calibri"/>
          <w:lang w:val="es-ES" w:eastAsia="en-US"/>
        </w:rPr>
        <w:t>Causas de la hemorragia obstétrica: atonía uterina, rotura uterina, embarazo ectópico, placenta previa, vasa previa, inversión uterina, perforación uterina, aborto, retención de restos ovulares y traumatismos del canal de parto.</w:t>
      </w:r>
    </w:p>
    <w:p w14:paraId="591395D2" w14:textId="77777777" w:rsidR="00663B20" w:rsidRPr="00663B20" w:rsidRDefault="00663B20" w:rsidP="0006737A">
      <w:pPr>
        <w:numPr>
          <w:ilvl w:val="0"/>
          <w:numId w:val="3"/>
        </w:numPr>
        <w:spacing w:line="360" w:lineRule="auto"/>
        <w:ind w:left="426" w:hanging="426"/>
        <w:contextualSpacing/>
        <w:jc w:val="both"/>
        <w:rPr>
          <w:rFonts w:eastAsia="Calibri"/>
          <w:lang w:val="es-ES" w:eastAsia="en-US"/>
        </w:rPr>
      </w:pPr>
      <w:r w:rsidRPr="00663B20">
        <w:rPr>
          <w:rFonts w:eastAsia="Calibri"/>
          <w:lang w:val="es-ES" w:eastAsia="en-US"/>
        </w:rPr>
        <w:t xml:space="preserve">Edad: ≥ 30 años; </w:t>
      </w:r>
      <w:r w:rsidRPr="00663B20">
        <w:rPr>
          <w:rFonts w:ascii="MS Reference Sans Serif" w:eastAsia="Calibri" w:hAnsi="MS Reference Sans Serif"/>
          <w:lang w:val="es-ES" w:eastAsia="en-US"/>
        </w:rPr>
        <w:t>&lt;</w:t>
      </w:r>
      <w:r w:rsidRPr="00663B20">
        <w:rPr>
          <w:rFonts w:eastAsia="Calibri"/>
          <w:lang w:val="es-ES" w:eastAsia="en-US"/>
        </w:rPr>
        <w:t> 30 años.</w:t>
      </w:r>
    </w:p>
    <w:p w14:paraId="5F678B67" w14:textId="77777777" w:rsidR="00663B20" w:rsidRPr="00663B20" w:rsidRDefault="00663B20" w:rsidP="0006737A">
      <w:pPr>
        <w:numPr>
          <w:ilvl w:val="0"/>
          <w:numId w:val="3"/>
        </w:numPr>
        <w:spacing w:line="360" w:lineRule="auto"/>
        <w:ind w:left="426" w:hanging="426"/>
        <w:contextualSpacing/>
        <w:jc w:val="both"/>
        <w:rPr>
          <w:rFonts w:eastAsia="Calibri"/>
          <w:lang w:val="es-ES" w:eastAsia="en-US"/>
        </w:rPr>
      </w:pPr>
      <w:r w:rsidRPr="00663B20">
        <w:rPr>
          <w:rFonts w:eastAsia="Calibri"/>
          <w:lang w:val="es-ES" w:eastAsia="en-US"/>
        </w:rPr>
        <w:t xml:space="preserve">Estadía en la UCI: ≥ 5 días; </w:t>
      </w:r>
      <w:r w:rsidRPr="00663B20">
        <w:rPr>
          <w:rFonts w:ascii="MS Reference Sans Serif" w:eastAsia="Calibri" w:hAnsi="MS Reference Sans Serif"/>
          <w:lang w:val="es-ES" w:eastAsia="en-US"/>
        </w:rPr>
        <w:t>&lt;</w:t>
      </w:r>
      <w:r w:rsidRPr="00663B20">
        <w:rPr>
          <w:rFonts w:eastAsia="Calibri"/>
          <w:lang w:val="es-ES" w:eastAsia="en-US"/>
        </w:rPr>
        <w:t> 5 días.</w:t>
      </w:r>
    </w:p>
    <w:p w14:paraId="225BE0C3" w14:textId="77777777" w:rsidR="00663B20" w:rsidRPr="00663B20" w:rsidRDefault="00663B20" w:rsidP="0006737A">
      <w:pPr>
        <w:numPr>
          <w:ilvl w:val="0"/>
          <w:numId w:val="3"/>
        </w:numPr>
        <w:spacing w:line="360" w:lineRule="auto"/>
        <w:ind w:left="426" w:hanging="426"/>
        <w:contextualSpacing/>
        <w:jc w:val="both"/>
        <w:rPr>
          <w:rFonts w:eastAsia="Calibri"/>
          <w:lang w:val="es-ES" w:eastAsia="en-US"/>
        </w:rPr>
      </w:pPr>
      <w:r w:rsidRPr="00663B20">
        <w:rPr>
          <w:rFonts w:eastAsia="Calibri"/>
          <w:lang w:val="es-ES" w:eastAsia="en-US"/>
        </w:rPr>
        <w:t xml:space="preserve">Peso del neonato: ≥ 4000 g; </w:t>
      </w:r>
      <w:r w:rsidRPr="00663B20">
        <w:rPr>
          <w:rFonts w:ascii="MS Reference Sans Serif" w:eastAsia="Calibri" w:hAnsi="MS Reference Sans Serif"/>
          <w:lang w:val="es-ES" w:eastAsia="en-US"/>
        </w:rPr>
        <w:t>&lt;</w:t>
      </w:r>
      <w:r w:rsidRPr="00663B20">
        <w:rPr>
          <w:rFonts w:eastAsia="Calibri"/>
          <w:lang w:val="es-ES" w:eastAsia="en-US"/>
        </w:rPr>
        <w:t> 4000 g.</w:t>
      </w:r>
    </w:p>
    <w:p w14:paraId="39CA535C" w14:textId="77777777" w:rsidR="00663B20" w:rsidRPr="00663B20" w:rsidRDefault="00663B20" w:rsidP="0006737A">
      <w:pPr>
        <w:numPr>
          <w:ilvl w:val="0"/>
          <w:numId w:val="3"/>
        </w:numPr>
        <w:spacing w:line="360" w:lineRule="auto"/>
        <w:ind w:left="426" w:hanging="426"/>
        <w:contextualSpacing/>
        <w:jc w:val="both"/>
        <w:rPr>
          <w:rFonts w:eastAsia="Calibri"/>
          <w:lang w:val="es-ES" w:eastAsia="en-US"/>
        </w:rPr>
      </w:pPr>
      <w:r w:rsidRPr="00663B20">
        <w:rPr>
          <w:rFonts w:eastAsia="Calibri"/>
          <w:lang w:val="es-ES" w:eastAsia="en-US"/>
        </w:rPr>
        <w:t xml:space="preserve">Hemoglobina: </w:t>
      </w:r>
      <w:r w:rsidRPr="00663B20">
        <w:rPr>
          <w:rFonts w:ascii="MS Reference Sans Serif" w:eastAsia="Calibri" w:hAnsi="MS Reference Sans Serif"/>
          <w:lang w:val="es-ES" w:eastAsia="en-US"/>
        </w:rPr>
        <w:t>&lt;</w:t>
      </w:r>
      <w:r w:rsidRPr="00663B20">
        <w:rPr>
          <w:rFonts w:eastAsia="Calibri"/>
          <w:lang w:val="es-ES" w:eastAsia="en-US"/>
        </w:rPr>
        <w:t> 70 g/L; ≥ 70 g/L.</w:t>
      </w:r>
    </w:p>
    <w:p w14:paraId="21ECC4F1" w14:textId="77777777" w:rsidR="00663B20" w:rsidRPr="00663B20" w:rsidRDefault="00663B20" w:rsidP="0006737A">
      <w:pPr>
        <w:numPr>
          <w:ilvl w:val="0"/>
          <w:numId w:val="3"/>
        </w:numPr>
        <w:spacing w:line="360" w:lineRule="auto"/>
        <w:ind w:left="426" w:hanging="426"/>
        <w:contextualSpacing/>
        <w:jc w:val="both"/>
        <w:rPr>
          <w:rFonts w:eastAsia="Calibri"/>
          <w:lang w:val="es-ES" w:eastAsia="en-US"/>
        </w:rPr>
      </w:pPr>
      <w:r w:rsidRPr="00663B20">
        <w:rPr>
          <w:rFonts w:eastAsia="Calibri"/>
          <w:lang w:val="es-ES" w:eastAsia="en-US"/>
        </w:rPr>
        <w:t xml:space="preserve">Hematocrito: </w:t>
      </w:r>
      <w:r w:rsidRPr="00663B20">
        <w:rPr>
          <w:rFonts w:ascii="MS Reference Sans Serif" w:eastAsia="Calibri" w:hAnsi="MS Reference Sans Serif"/>
          <w:lang w:val="es-ES" w:eastAsia="en-US"/>
        </w:rPr>
        <w:t>&lt;</w:t>
      </w:r>
      <w:r w:rsidRPr="00663B20">
        <w:rPr>
          <w:rFonts w:eastAsia="Calibri"/>
          <w:lang w:val="es-ES" w:eastAsia="en-US"/>
        </w:rPr>
        <w:t xml:space="preserve"> 0,23; ≥ 0,23. </w:t>
      </w:r>
    </w:p>
    <w:p w14:paraId="134C2732" w14:textId="77777777" w:rsidR="00663B20" w:rsidRPr="00663B20" w:rsidRDefault="00663B20" w:rsidP="0006737A">
      <w:pPr>
        <w:numPr>
          <w:ilvl w:val="0"/>
          <w:numId w:val="3"/>
        </w:numPr>
        <w:spacing w:line="360" w:lineRule="auto"/>
        <w:ind w:left="426" w:hanging="426"/>
        <w:contextualSpacing/>
        <w:jc w:val="both"/>
        <w:rPr>
          <w:rFonts w:eastAsia="Calibri"/>
          <w:lang w:val="en-US" w:eastAsia="en-US"/>
        </w:rPr>
      </w:pPr>
      <w:r w:rsidRPr="00663B20">
        <w:rPr>
          <w:rFonts w:eastAsia="Calibri"/>
          <w:lang w:val="en-US" w:eastAsia="en-US"/>
        </w:rPr>
        <w:t>Creatinina: ≥ 113 µmmol/L;</w:t>
      </w:r>
      <w:r w:rsidRPr="00663B20">
        <w:rPr>
          <w:rFonts w:ascii="MS Reference Sans Serif" w:eastAsia="Calibri" w:hAnsi="MS Reference Sans Serif"/>
          <w:lang w:val="en-US" w:eastAsia="en-US"/>
        </w:rPr>
        <w:t>&lt; </w:t>
      </w:r>
      <w:r w:rsidRPr="00663B20">
        <w:rPr>
          <w:rFonts w:eastAsia="Calibri"/>
          <w:lang w:val="en-US" w:eastAsia="en-US"/>
        </w:rPr>
        <w:t>113 µmmol/L.</w:t>
      </w:r>
    </w:p>
    <w:p w14:paraId="6B88743D" w14:textId="77777777" w:rsidR="00663B20" w:rsidRPr="00663B20" w:rsidRDefault="00663B20" w:rsidP="0006737A">
      <w:pPr>
        <w:numPr>
          <w:ilvl w:val="0"/>
          <w:numId w:val="3"/>
        </w:numPr>
        <w:spacing w:line="360" w:lineRule="auto"/>
        <w:ind w:left="426" w:hanging="426"/>
        <w:contextualSpacing/>
        <w:jc w:val="both"/>
        <w:rPr>
          <w:rFonts w:eastAsia="Calibri"/>
          <w:lang w:val="es-ES" w:eastAsia="en-US"/>
        </w:rPr>
      </w:pPr>
      <w:r w:rsidRPr="00663B20">
        <w:rPr>
          <w:rFonts w:eastAsia="Calibri"/>
          <w:lang w:val="es-ES" w:eastAsia="en-US"/>
        </w:rPr>
        <w:t xml:space="preserve">Plaquetas: </w:t>
      </w:r>
      <w:r w:rsidRPr="00663B20">
        <w:rPr>
          <w:rFonts w:ascii="MS Reference Sans Serif" w:eastAsia="Calibri" w:hAnsi="MS Reference Sans Serif"/>
          <w:lang w:val="es-ES" w:eastAsia="en-US"/>
        </w:rPr>
        <w:t>&lt;</w:t>
      </w:r>
      <w:r w:rsidRPr="00663B20">
        <w:rPr>
          <w:rFonts w:eastAsia="Calibri"/>
          <w:lang w:val="es-ES" w:eastAsia="en-US"/>
        </w:rPr>
        <w:t> 100 000/mm</w:t>
      </w:r>
      <w:r w:rsidRPr="00663B20">
        <w:rPr>
          <w:rFonts w:eastAsia="Calibri"/>
          <w:vertAlign w:val="superscript"/>
          <w:lang w:val="es-ES" w:eastAsia="en-US"/>
        </w:rPr>
        <w:t>3</w:t>
      </w:r>
      <w:r w:rsidRPr="00663B20">
        <w:rPr>
          <w:rFonts w:eastAsia="Calibri"/>
          <w:lang w:val="es-ES" w:eastAsia="en-US"/>
        </w:rPr>
        <w:t>; ≥ 100 000/mm</w:t>
      </w:r>
      <w:r w:rsidRPr="00663B20">
        <w:rPr>
          <w:rFonts w:eastAsia="Calibri"/>
          <w:vertAlign w:val="superscript"/>
          <w:lang w:val="es-ES" w:eastAsia="en-US"/>
        </w:rPr>
        <w:t>3</w:t>
      </w:r>
      <w:r w:rsidRPr="00663B20">
        <w:rPr>
          <w:rFonts w:eastAsia="Calibri"/>
          <w:lang w:val="es-ES" w:eastAsia="en-US"/>
        </w:rPr>
        <w:t>.</w:t>
      </w:r>
    </w:p>
    <w:p w14:paraId="6CE04883" w14:textId="77777777" w:rsidR="00663B20" w:rsidRPr="00663B20" w:rsidRDefault="00663B20" w:rsidP="0006737A">
      <w:pPr>
        <w:numPr>
          <w:ilvl w:val="0"/>
          <w:numId w:val="3"/>
        </w:numPr>
        <w:spacing w:line="360" w:lineRule="auto"/>
        <w:ind w:left="426" w:hanging="426"/>
        <w:contextualSpacing/>
        <w:jc w:val="both"/>
        <w:rPr>
          <w:rFonts w:eastAsia="Calibri"/>
          <w:lang w:val="es-ES" w:eastAsia="en-US"/>
        </w:rPr>
      </w:pPr>
      <w:r w:rsidRPr="00663B20">
        <w:rPr>
          <w:rFonts w:eastAsia="Calibri"/>
          <w:lang w:val="es-ES" w:eastAsia="en-US"/>
        </w:rPr>
        <w:t xml:space="preserve">Tiempo de protrombina (TP): ≥ 21 s; </w:t>
      </w:r>
      <w:r w:rsidRPr="00663B20">
        <w:rPr>
          <w:rFonts w:ascii="MS Reference Sans Serif" w:eastAsia="Calibri" w:hAnsi="MS Reference Sans Serif"/>
          <w:lang w:val="es-ES" w:eastAsia="en-US"/>
        </w:rPr>
        <w:t>&lt;</w:t>
      </w:r>
      <w:r w:rsidRPr="00663B20">
        <w:rPr>
          <w:rFonts w:eastAsia="Calibri"/>
          <w:lang w:val="es-ES" w:eastAsia="en-US"/>
        </w:rPr>
        <w:t> 21 s.</w:t>
      </w:r>
    </w:p>
    <w:p w14:paraId="734AA945" w14:textId="77777777" w:rsidR="00663B20" w:rsidRPr="00663B20" w:rsidRDefault="00663B20" w:rsidP="0006737A">
      <w:pPr>
        <w:numPr>
          <w:ilvl w:val="0"/>
          <w:numId w:val="3"/>
        </w:numPr>
        <w:spacing w:line="360" w:lineRule="auto"/>
        <w:ind w:left="426" w:hanging="426"/>
        <w:contextualSpacing/>
        <w:jc w:val="both"/>
        <w:rPr>
          <w:rFonts w:eastAsia="Calibri"/>
          <w:lang w:val="es-ES" w:eastAsia="en-US"/>
        </w:rPr>
      </w:pPr>
      <w:r w:rsidRPr="00663B20">
        <w:rPr>
          <w:rFonts w:eastAsia="Calibri"/>
          <w:lang w:val="es-ES" w:eastAsia="en-US"/>
        </w:rPr>
        <w:t xml:space="preserve">Índice internacional normalizado (INR): ≥ 2; </w:t>
      </w:r>
      <w:r w:rsidRPr="00663B20">
        <w:rPr>
          <w:rFonts w:ascii="MS Reference Sans Serif" w:eastAsia="Calibri" w:hAnsi="MS Reference Sans Serif"/>
          <w:lang w:val="es-ES" w:eastAsia="en-US"/>
        </w:rPr>
        <w:t>&lt;</w:t>
      </w:r>
      <w:r w:rsidRPr="00663B20">
        <w:rPr>
          <w:rFonts w:eastAsia="Calibri"/>
          <w:lang w:val="es-ES" w:eastAsia="en-US"/>
        </w:rPr>
        <w:t> 2.</w:t>
      </w:r>
    </w:p>
    <w:p w14:paraId="124CBAA0" w14:textId="77777777" w:rsidR="00663B20" w:rsidRPr="00663B20" w:rsidRDefault="00663B20" w:rsidP="0006737A">
      <w:pPr>
        <w:numPr>
          <w:ilvl w:val="0"/>
          <w:numId w:val="3"/>
        </w:numPr>
        <w:spacing w:line="360" w:lineRule="auto"/>
        <w:ind w:left="426" w:hanging="426"/>
        <w:contextualSpacing/>
        <w:jc w:val="both"/>
        <w:rPr>
          <w:rFonts w:eastAsia="Calibri"/>
          <w:lang w:val="es-ES" w:eastAsia="en-US"/>
        </w:rPr>
      </w:pPr>
      <w:r w:rsidRPr="00663B20">
        <w:rPr>
          <w:rFonts w:eastAsia="Calibri"/>
          <w:lang w:val="es-ES" w:eastAsia="en-US"/>
        </w:rPr>
        <w:lastRenderedPageBreak/>
        <w:t xml:space="preserve">Tiempo de tromboplastina parcialmente activada (TTPa): ≥ 35 s; </w:t>
      </w:r>
      <w:r w:rsidRPr="00663B20">
        <w:rPr>
          <w:rFonts w:ascii="MS Reference Sans Serif" w:eastAsia="Calibri" w:hAnsi="MS Reference Sans Serif"/>
          <w:lang w:val="es-ES" w:eastAsia="en-US"/>
        </w:rPr>
        <w:t>&lt;</w:t>
      </w:r>
      <w:r w:rsidRPr="00663B20">
        <w:rPr>
          <w:rFonts w:eastAsia="Calibri"/>
          <w:lang w:val="es-ES" w:eastAsia="en-US"/>
        </w:rPr>
        <w:t> 35 s.</w:t>
      </w:r>
    </w:p>
    <w:p w14:paraId="24A037A9" w14:textId="77777777" w:rsidR="00663B20" w:rsidRPr="00663B20" w:rsidRDefault="00663B20" w:rsidP="0006737A">
      <w:pPr>
        <w:numPr>
          <w:ilvl w:val="0"/>
          <w:numId w:val="3"/>
        </w:numPr>
        <w:spacing w:line="360" w:lineRule="auto"/>
        <w:ind w:left="426" w:hanging="426"/>
        <w:contextualSpacing/>
        <w:jc w:val="both"/>
        <w:rPr>
          <w:rFonts w:eastAsia="Calibri"/>
          <w:lang w:val="es-ES" w:eastAsia="en-US"/>
        </w:rPr>
      </w:pPr>
      <w:r w:rsidRPr="00663B20">
        <w:rPr>
          <w:rFonts w:eastAsia="Calibri"/>
          <w:lang w:val="es-ES" w:eastAsia="en-US"/>
        </w:rPr>
        <w:t xml:space="preserve">Edad gestacional: ≥ 37 semanas; </w:t>
      </w:r>
      <w:r w:rsidRPr="00663B20">
        <w:rPr>
          <w:rFonts w:ascii="MS Reference Sans Serif" w:eastAsia="Calibri" w:hAnsi="MS Reference Sans Serif"/>
          <w:lang w:val="es-ES" w:eastAsia="en-US"/>
        </w:rPr>
        <w:t>&lt;</w:t>
      </w:r>
      <w:r w:rsidRPr="00663B20">
        <w:rPr>
          <w:rFonts w:eastAsia="Calibri"/>
          <w:lang w:val="es-ES" w:eastAsia="en-US"/>
        </w:rPr>
        <w:t> 37 semanas.</w:t>
      </w:r>
    </w:p>
    <w:p w14:paraId="31841654" w14:textId="77777777" w:rsidR="00663B20" w:rsidRPr="00663B20" w:rsidRDefault="00663B20" w:rsidP="0006737A">
      <w:pPr>
        <w:numPr>
          <w:ilvl w:val="0"/>
          <w:numId w:val="3"/>
        </w:numPr>
        <w:spacing w:line="360" w:lineRule="auto"/>
        <w:ind w:left="426" w:hanging="426"/>
        <w:contextualSpacing/>
        <w:jc w:val="both"/>
        <w:rPr>
          <w:rFonts w:eastAsia="Calibri"/>
          <w:lang w:val="es-ES" w:eastAsia="en-US"/>
        </w:rPr>
      </w:pPr>
      <w:r w:rsidRPr="00663B20">
        <w:rPr>
          <w:rFonts w:eastAsia="Calibri"/>
          <w:lang w:val="es-ES" w:eastAsia="en-US"/>
        </w:rPr>
        <w:t xml:space="preserve">Número de partos: ≥ 2 partos; </w:t>
      </w:r>
      <w:r w:rsidRPr="00663B20">
        <w:rPr>
          <w:rFonts w:ascii="MS Reference Sans Serif" w:eastAsia="Calibri" w:hAnsi="MS Reference Sans Serif"/>
          <w:lang w:val="es-ES" w:eastAsia="en-US"/>
        </w:rPr>
        <w:t>&lt;</w:t>
      </w:r>
      <w:r w:rsidRPr="00663B20">
        <w:rPr>
          <w:rFonts w:eastAsia="Calibri"/>
          <w:lang w:val="es-ES" w:eastAsia="en-US"/>
        </w:rPr>
        <w:t> 2 partos.</w:t>
      </w:r>
    </w:p>
    <w:p w14:paraId="33595661" w14:textId="77777777" w:rsidR="00663B20" w:rsidRPr="00663B20" w:rsidRDefault="00663B20" w:rsidP="00663B20">
      <w:pPr>
        <w:spacing w:line="360" w:lineRule="auto"/>
        <w:jc w:val="both"/>
        <w:rPr>
          <w:rFonts w:eastAsia="Calibri"/>
          <w:lang w:val="es-ES" w:eastAsia="en-US"/>
        </w:rPr>
      </w:pPr>
    </w:p>
    <w:p w14:paraId="0553941E" w14:textId="77777777" w:rsidR="00663B20" w:rsidRPr="00663B20" w:rsidRDefault="00663B20" w:rsidP="00663B20">
      <w:pPr>
        <w:spacing w:line="360" w:lineRule="auto"/>
        <w:jc w:val="center"/>
        <w:rPr>
          <w:rFonts w:eastAsia="Calibri"/>
          <w:b/>
          <w:sz w:val="28"/>
          <w:szCs w:val="28"/>
          <w:lang w:val="es-ES" w:eastAsia="en-US"/>
        </w:rPr>
      </w:pPr>
      <w:r w:rsidRPr="00663B20">
        <w:rPr>
          <w:rFonts w:eastAsia="Calibri"/>
          <w:b/>
          <w:sz w:val="28"/>
          <w:szCs w:val="28"/>
          <w:lang w:val="es-ES" w:eastAsia="en-US"/>
        </w:rPr>
        <w:t>Procedimientos</w:t>
      </w:r>
    </w:p>
    <w:p w14:paraId="7266044F"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Los datos primarios se obtuvieron del examen físico y de la historia clínica. La obtención y medición de las variables evaluadas, se realizó por 2 investigadores separados. Los resultados se vaciaron en una planilla se llevaron a una base de datos en el sistema IMB SPSS v. 26.0 para Windows.</w:t>
      </w:r>
    </w:p>
    <w:p w14:paraId="4EC03A7E" w14:textId="77777777" w:rsidR="00663B20" w:rsidRPr="00663B20" w:rsidRDefault="00663B20" w:rsidP="00663B20">
      <w:pPr>
        <w:spacing w:line="360" w:lineRule="auto"/>
        <w:jc w:val="center"/>
        <w:rPr>
          <w:rFonts w:eastAsia="Calibri"/>
          <w:b/>
          <w:sz w:val="28"/>
          <w:szCs w:val="28"/>
          <w:lang w:val="es-ES" w:eastAsia="en-US"/>
        </w:rPr>
      </w:pPr>
      <w:r w:rsidRPr="00663B20">
        <w:rPr>
          <w:rFonts w:eastAsia="Calibri"/>
          <w:b/>
          <w:sz w:val="28"/>
          <w:szCs w:val="28"/>
          <w:lang w:val="es-ES" w:eastAsia="en-US"/>
        </w:rPr>
        <w:t xml:space="preserve">Procesamiento </w:t>
      </w:r>
    </w:p>
    <w:p w14:paraId="3F90CDEA"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 xml:space="preserve">Para las variables cualitativas (sala de procedencia, vía del parto, tipo de complicación, abortos anteriores, antecedentes patológicos personales, tipos de antecedentes patológicos personales, tipo de embarazo y causas de la hemorragia obstétrica), se determinaron las frecuencias absolutas y el porcentaje. </w:t>
      </w:r>
    </w:p>
    <w:p w14:paraId="31385131"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 xml:space="preserve">Para las variables cuantitativas se obtuvieron las medias, desviaciones estándar (DE) y el rango intercuartílico (RIQ) según corresponda. Se le aplicó la prueba de </w:t>
      </w:r>
      <w:r w:rsidRPr="00663B20">
        <w:rPr>
          <w:rFonts w:eastAsia="Calibri"/>
          <w:iCs/>
          <w:lang w:val="es-ES" w:eastAsia="en-US"/>
        </w:rPr>
        <w:t>Kolmogorov-Smirnov</w:t>
      </w:r>
      <w:r w:rsidRPr="00663B20">
        <w:rPr>
          <w:rFonts w:eastAsia="Calibri"/>
          <w:lang w:val="es-ES" w:eastAsia="en-US"/>
        </w:rPr>
        <w:t xml:space="preserve"> (KS) para determinar la normalidad; cuando la distribución fue normal se aplicó la prueba de t de </w:t>
      </w:r>
      <w:r w:rsidRPr="00663B20">
        <w:rPr>
          <w:rFonts w:eastAsia="Calibri"/>
          <w:iCs/>
          <w:lang w:val="es-ES" w:eastAsia="en-US"/>
        </w:rPr>
        <w:t>Student</w:t>
      </w:r>
      <w:r w:rsidRPr="00663B20">
        <w:rPr>
          <w:rFonts w:eastAsia="Calibri"/>
          <w:lang w:val="es-ES" w:eastAsia="en-US"/>
        </w:rPr>
        <w:t xml:space="preserve"> (edad, peso del neonato, hemoglobina, hematocrito, plaquetas y tiempo de tromboplastina activada) y no cumplieron el supuesto de normalidad: estadía, creatinina, tiempo de protombina, índice internacional normalizado, edad gestacional y total de partos, por tanto, se aplicó la prueba de U de </w:t>
      </w:r>
      <w:r w:rsidRPr="00663B20">
        <w:rPr>
          <w:rFonts w:eastAsia="Calibri"/>
          <w:iCs/>
          <w:lang w:val="es-ES" w:eastAsia="en-US"/>
        </w:rPr>
        <w:t>Mann Whitney</w:t>
      </w:r>
      <w:r w:rsidRPr="00663B20">
        <w:rPr>
          <w:rFonts w:eastAsia="Calibri"/>
          <w:lang w:val="es-ES" w:eastAsia="en-US"/>
        </w:rPr>
        <w:t xml:space="preserve">. Se trabajó con un nivel de confianza del 95 % y significación del 0,05. </w:t>
      </w:r>
    </w:p>
    <w:p w14:paraId="588F8DB4"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 xml:space="preserve">Para identificar los factores de riesgo se calculó el </w:t>
      </w:r>
      <w:r w:rsidRPr="00663B20">
        <w:rPr>
          <w:rFonts w:eastAsia="Calibri"/>
          <w:i/>
          <w:lang w:val="es-ES" w:eastAsia="en-US"/>
        </w:rPr>
        <w:t>odds ratio</w:t>
      </w:r>
      <w:r w:rsidRPr="00663B20">
        <w:rPr>
          <w:rFonts w:eastAsia="Calibri"/>
          <w:lang w:val="es-ES" w:eastAsia="en-US"/>
        </w:rPr>
        <w:t xml:space="preserve"> (OR), esperado &gt; 2 con un intervalo de confianza (IC) del 95 % por el método de </w:t>
      </w:r>
      <w:r w:rsidRPr="00663B20">
        <w:rPr>
          <w:rFonts w:eastAsia="Calibri"/>
          <w:iCs/>
          <w:lang w:val="es-ES" w:eastAsia="en-US"/>
        </w:rPr>
        <w:t>Woolf</w:t>
      </w:r>
      <w:r w:rsidRPr="00663B20">
        <w:rPr>
          <w:rFonts w:eastAsia="Calibri"/>
          <w:lang w:val="es-ES" w:eastAsia="en-US"/>
        </w:rPr>
        <w:t xml:space="preserve">. </w:t>
      </w:r>
    </w:p>
    <w:p w14:paraId="163C287B"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Se tomó como variable de salida la presencia de complicaciones; como explicativas: edad, estadía, peso del neonato, hemoglobina, hematocrito, creatinina, plaquetas, tiempo de protrombina, índice internacional normalizado, tiempo de tromboplastina parcialmente activada, edad gestacional, total de partos, vía del parto, abortos anteriores, antecedentes patológicos personales y tipo de embarazo.</w:t>
      </w:r>
    </w:p>
    <w:p w14:paraId="1CE9B45A" w14:textId="77777777" w:rsidR="00663B20" w:rsidRPr="00663B20" w:rsidRDefault="00663B20" w:rsidP="00663B20">
      <w:pPr>
        <w:spacing w:line="360" w:lineRule="auto"/>
        <w:jc w:val="both"/>
        <w:rPr>
          <w:rFonts w:ascii="Calibri" w:eastAsia="Calibri" w:hAnsi="Calibri"/>
          <w:sz w:val="22"/>
          <w:szCs w:val="22"/>
          <w:lang w:val="es-ES" w:eastAsia="en-US"/>
        </w:rPr>
      </w:pPr>
      <w:r w:rsidRPr="00663B20">
        <w:rPr>
          <w:rFonts w:eastAsia="Calibri"/>
          <w:lang w:val="es-ES" w:eastAsia="en-US"/>
        </w:rPr>
        <w:t xml:space="preserve">Control de sesgos: se controló el sesgo de selección: los casos y controles son de la misma población, con similares posibilidades de exposición; con criterios de selección bien definidos. El sesgo de </w:t>
      </w:r>
      <w:r w:rsidRPr="00663B20">
        <w:rPr>
          <w:rFonts w:eastAsia="Calibri"/>
          <w:lang w:val="es-ES" w:eastAsia="en-US"/>
        </w:rPr>
        <w:lastRenderedPageBreak/>
        <w:t xml:space="preserve">información se controló mediante el uso de datos preciso, con una planilla de recolección de datos, explícita y tomada de forma repetida por 2 investigadores. </w:t>
      </w:r>
    </w:p>
    <w:p w14:paraId="4CB8A6FA" w14:textId="77777777" w:rsidR="00663B20" w:rsidRPr="00663B20" w:rsidRDefault="00663B20" w:rsidP="00663B20">
      <w:pPr>
        <w:spacing w:line="360" w:lineRule="auto"/>
        <w:jc w:val="center"/>
        <w:rPr>
          <w:rFonts w:eastAsia="Calibri"/>
          <w:b/>
          <w:sz w:val="28"/>
          <w:szCs w:val="28"/>
          <w:lang w:val="es-ES" w:eastAsia="en-US"/>
        </w:rPr>
      </w:pPr>
      <w:r w:rsidRPr="00663B20">
        <w:rPr>
          <w:rFonts w:eastAsia="Calibri"/>
          <w:b/>
          <w:sz w:val="28"/>
          <w:szCs w:val="28"/>
          <w:lang w:val="es-ES" w:eastAsia="en-US"/>
        </w:rPr>
        <w:t>Aspectos bioéticos</w:t>
      </w:r>
    </w:p>
    <w:p w14:paraId="62EAAD32"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Esta investigación fue aprobada por el Comité de Ética del Hospital General Docente “Orlando Pantoja Tamayo”; se ajustó a la Declaración de Helsinki de la Asociación Médica Mundial y cumplió con los principios del Código Internacional de Ética Médica. Se garantizó la confidencialidad de la información obtenida.</w:t>
      </w:r>
    </w:p>
    <w:p w14:paraId="600331FA" w14:textId="77777777" w:rsidR="00663B20" w:rsidRPr="00663B20" w:rsidRDefault="00663B20" w:rsidP="00663B20">
      <w:pPr>
        <w:spacing w:line="360" w:lineRule="auto"/>
        <w:jc w:val="both"/>
        <w:rPr>
          <w:rFonts w:eastAsia="Calibri"/>
          <w:lang w:val="es-ES" w:eastAsia="en-US"/>
        </w:rPr>
      </w:pPr>
    </w:p>
    <w:p w14:paraId="75A1235A" w14:textId="77777777" w:rsidR="00663B20" w:rsidRPr="00663B20" w:rsidRDefault="00663B20" w:rsidP="00663B20">
      <w:pPr>
        <w:spacing w:line="360" w:lineRule="auto"/>
        <w:jc w:val="both"/>
        <w:rPr>
          <w:rFonts w:eastAsia="Calibri"/>
          <w:lang w:val="es-ES" w:eastAsia="en-US"/>
        </w:rPr>
      </w:pPr>
    </w:p>
    <w:p w14:paraId="1AE0F666" w14:textId="77777777" w:rsidR="006256CF" w:rsidRDefault="006256CF">
      <w:pPr>
        <w:rPr>
          <w:rFonts w:eastAsia="Calibri"/>
          <w:b/>
          <w:sz w:val="32"/>
          <w:szCs w:val="32"/>
          <w:lang w:val="es-ES" w:eastAsia="en-US"/>
        </w:rPr>
      </w:pPr>
      <w:r>
        <w:rPr>
          <w:rFonts w:eastAsia="Calibri"/>
          <w:b/>
          <w:sz w:val="32"/>
          <w:szCs w:val="32"/>
          <w:lang w:val="es-ES" w:eastAsia="en-US"/>
        </w:rPr>
        <w:br w:type="page"/>
      </w:r>
    </w:p>
    <w:p w14:paraId="41D6243D" w14:textId="7D21F5D5" w:rsidR="00663B20" w:rsidRPr="00663B20" w:rsidRDefault="00663B20" w:rsidP="00663B20">
      <w:pPr>
        <w:spacing w:line="360" w:lineRule="auto"/>
        <w:jc w:val="center"/>
        <w:rPr>
          <w:rFonts w:eastAsia="Calibri"/>
          <w:b/>
          <w:sz w:val="32"/>
          <w:szCs w:val="32"/>
          <w:lang w:val="es-ES" w:eastAsia="en-US"/>
        </w:rPr>
      </w:pPr>
      <w:r w:rsidRPr="00663B20">
        <w:rPr>
          <w:rFonts w:eastAsia="Calibri"/>
          <w:b/>
          <w:sz w:val="32"/>
          <w:szCs w:val="32"/>
          <w:lang w:val="es-ES" w:eastAsia="en-US"/>
        </w:rPr>
        <w:lastRenderedPageBreak/>
        <w:t>RESULTADOS</w:t>
      </w:r>
    </w:p>
    <w:p w14:paraId="4F390B68"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 xml:space="preserve">En la tabla 1 se observa que 32 (88,8 %) pacientes procedieron del salón del parto, 22 (61,1 %) parieron por vía transvaginal, 8 (22,2 %) tenían antecedentes de abortos anteriores y 34 (94,4 %) tuvieron un embarazo simple. </w:t>
      </w:r>
    </w:p>
    <w:p w14:paraId="5A77670D"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 xml:space="preserve">La combinación del choque hipovolémico más la insuficiencia renal aguda fue la complicación más frecuente, para un 13,8 %. </w:t>
      </w:r>
    </w:p>
    <w:p w14:paraId="3627B255" w14:textId="77777777" w:rsidR="006256CF" w:rsidRDefault="006256CF" w:rsidP="00663B20">
      <w:pPr>
        <w:spacing w:line="360" w:lineRule="auto"/>
        <w:jc w:val="center"/>
        <w:rPr>
          <w:rFonts w:eastAsia="Calibri"/>
          <w:b/>
          <w:sz w:val="22"/>
          <w:szCs w:val="22"/>
          <w:lang w:val="es-ES" w:eastAsia="en-US"/>
        </w:rPr>
      </w:pPr>
    </w:p>
    <w:p w14:paraId="2C1F03C2" w14:textId="35EBE7C8" w:rsidR="00663B20" w:rsidRPr="00663B20" w:rsidRDefault="00663B20" w:rsidP="00663B20">
      <w:pPr>
        <w:spacing w:line="360" w:lineRule="auto"/>
        <w:jc w:val="center"/>
        <w:rPr>
          <w:rFonts w:eastAsia="Calibri"/>
          <w:sz w:val="22"/>
          <w:szCs w:val="22"/>
          <w:lang w:val="es-ES" w:eastAsia="en-US"/>
        </w:rPr>
      </w:pPr>
      <w:r w:rsidRPr="00663B20">
        <w:rPr>
          <w:rFonts w:eastAsia="Calibri"/>
          <w:b/>
          <w:sz w:val="22"/>
          <w:szCs w:val="22"/>
          <w:lang w:val="es-ES" w:eastAsia="en-US"/>
        </w:rPr>
        <w:t xml:space="preserve">Tabla 1 </w:t>
      </w:r>
      <w:r w:rsidRPr="00663B20">
        <w:rPr>
          <w:rFonts w:eastAsia="Calibri"/>
          <w:sz w:val="22"/>
          <w:szCs w:val="22"/>
          <w:lang w:val="es-ES" w:eastAsia="en-US"/>
        </w:rPr>
        <w:t>- Caracterización de las pacientes según variables cualitativas</w:t>
      </w:r>
    </w:p>
    <w:p w14:paraId="7779BB49" w14:textId="0E734074" w:rsidR="00663B20" w:rsidRDefault="00E65065" w:rsidP="00E65065">
      <w:pPr>
        <w:spacing w:line="360" w:lineRule="auto"/>
        <w:jc w:val="center"/>
        <w:rPr>
          <w:rFonts w:eastAsia="Calibri"/>
          <w:b/>
          <w:lang w:val="es-ES" w:eastAsia="en-US"/>
        </w:rPr>
      </w:pPr>
      <w:r w:rsidRPr="00D80183">
        <w:rPr>
          <w:noProof/>
          <w:lang w:eastAsia="es-ES"/>
        </w:rPr>
        <w:drawing>
          <wp:inline distT="0" distB="0" distL="0" distR="0" wp14:anchorId="767C4CD9" wp14:editId="199D1AB5">
            <wp:extent cx="5819775" cy="5133975"/>
            <wp:effectExtent l="0" t="0" r="9525" b="9525"/>
            <wp:docPr id="1" name="Imagen 1" descr="G:\28.9.23\3015\t01_301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8.9.23\3015\t01_3015.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9775" cy="5133975"/>
                    </a:xfrm>
                    <a:prstGeom prst="rect">
                      <a:avLst/>
                    </a:prstGeom>
                    <a:noFill/>
                    <a:ln>
                      <a:noFill/>
                    </a:ln>
                  </pic:spPr>
                </pic:pic>
              </a:graphicData>
            </a:graphic>
          </wp:inline>
        </w:drawing>
      </w:r>
    </w:p>
    <w:p w14:paraId="31D76E51" w14:textId="77777777" w:rsidR="00E65065" w:rsidRPr="00663B20" w:rsidRDefault="00E65065" w:rsidP="00E65065">
      <w:pPr>
        <w:spacing w:line="360" w:lineRule="auto"/>
        <w:jc w:val="center"/>
        <w:rPr>
          <w:rFonts w:eastAsia="Calibri"/>
          <w:b/>
          <w:lang w:val="es-ES" w:eastAsia="en-US"/>
        </w:rPr>
      </w:pPr>
    </w:p>
    <w:p w14:paraId="58D77ABA"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 xml:space="preserve">En la tabla 2 se pueden observar los valores descriptivos de las variables cuantitativas, se destaca que las variables hemoglobina, hematocrito, plaquetas, creatinina y número de partos, tienen diferencias estadísticas significativas entre casos y controles. </w:t>
      </w:r>
    </w:p>
    <w:p w14:paraId="5D8C0497" w14:textId="77777777" w:rsidR="00663B20" w:rsidRPr="00663B20" w:rsidRDefault="00663B20" w:rsidP="00663B20">
      <w:pPr>
        <w:spacing w:line="360" w:lineRule="auto"/>
        <w:jc w:val="both"/>
        <w:rPr>
          <w:rFonts w:eastAsia="Calibri"/>
          <w:lang w:val="es-ES" w:eastAsia="en-US"/>
        </w:rPr>
      </w:pPr>
    </w:p>
    <w:p w14:paraId="5F98F895" w14:textId="77777777" w:rsidR="00663B20" w:rsidRPr="00663B20" w:rsidRDefault="00663B20" w:rsidP="00663B20">
      <w:pPr>
        <w:spacing w:line="360" w:lineRule="auto"/>
        <w:jc w:val="center"/>
        <w:rPr>
          <w:rFonts w:eastAsia="Calibri"/>
          <w:sz w:val="22"/>
          <w:szCs w:val="22"/>
          <w:lang w:val="es-ES" w:eastAsia="en-US"/>
        </w:rPr>
      </w:pPr>
      <w:r w:rsidRPr="00663B20">
        <w:rPr>
          <w:rFonts w:eastAsia="Calibri"/>
          <w:b/>
          <w:sz w:val="22"/>
          <w:szCs w:val="22"/>
          <w:lang w:val="es-ES" w:eastAsia="en-US"/>
        </w:rPr>
        <w:t xml:space="preserve">Tabla 2 </w:t>
      </w:r>
      <w:r w:rsidRPr="00663B20">
        <w:rPr>
          <w:rFonts w:eastAsia="Calibri"/>
          <w:sz w:val="22"/>
          <w:szCs w:val="22"/>
          <w:lang w:val="es-ES" w:eastAsia="en-US"/>
        </w:rPr>
        <w:t>– Caracterización de las pacientes según variables cuantitativas</w:t>
      </w:r>
    </w:p>
    <w:p w14:paraId="0F6249DD" w14:textId="1A88242E" w:rsidR="0078095F" w:rsidRDefault="0078095F" w:rsidP="00663B20">
      <w:pPr>
        <w:spacing w:line="360" w:lineRule="auto"/>
        <w:jc w:val="center"/>
        <w:rPr>
          <w:rFonts w:eastAsia="Calibri"/>
          <w:bCs/>
          <w:sz w:val="16"/>
          <w:szCs w:val="16"/>
          <w:lang w:val="es-ES" w:eastAsia="en-US"/>
        </w:rPr>
      </w:pPr>
      <w:r w:rsidRPr="00D80183">
        <w:rPr>
          <w:noProof/>
          <w:lang w:eastAsia="es-ES"/>
        </w:rPr>
        <w:drawing>
          <wp:inline distT="0" distB="0" distL="0" distR="0" wp14:anchorId="73E0CB6E" wp14:editId="11E9292F">
            <wp:extent cx="5105400" cy="3295650"/>
            <wp:effectExtent l="0" t="0" r="0" b="0"/>
            <wp:docPr id="2" name="Imagen 2" descr="G:\28.9.23\3015\t02_301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8.9.23\3015\t02_3015.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5400" cy="3295650"/>
                    </a:xfrm>
                    <a:prstGeom prst="rect">
                      <a:avLst/>
                    </a:prstGeom>
                    <a:noFill/>
                    <a:ln>
                      <a:noFill/>
                    </a:ln>
                  </pic:spPr>
                </pic:pic>
              </a:graphicData>
            </a:graphic>
          </wp:inline>
        </w:drawing>
      </w:r>
    </w:p>
    <w:p w14:paraId="35C2CBAF" w14:textId="22180AC7" w:rsidR="00663B20" w:rsidRPr="00663B20" w:rsidRDefault="00663B20" w:rsidP="00663B20">
      <w:pPr>
        <w:spacing w:line="360" w:lineRule="auto"/>
        <w:jc w:val="center"/>
        <w:rPr>
          <w:rFonts w:eastAsia="Calibri"/>
          <w:bCs/>
          <w:sz w:val="16"/>
          <w:szCs w:val="16"/>
          <w:lang w:val="es-ES" w:eastAsia="en-US"/>
        </w:rPr>
      </w:pPr>
      <w:r w:rsidRPr="00663B20">
        <w:rPr>
          <w:rFonts w:eastAsia="Calibri"/>
          <w:bCs/>
          <w:sz w:val="16"/>
          <w:szCs w:val="16"/>
          <w:lang w:val="es-ES" w:eastAsia="en-US"/>
        </w:rPr>
        <w:t>DE: desviación estándar; KS: Kolmogorov-Smirnov; RIQ: rango intercuartílico; TTPa: tiempo de protrombina parcialmente activada; INR: índice internacional normalizado.</w:t>
      </w:r>
    </w:p>
    <w:p w14:paraId="0D0CDB7C" w14:textId="77777777" w:rsidR="00663B20" w:rsidRPr="00663B20" w:rsidRDefault="00663B20" w:rsidP="00663B20">
      <w:pPr>
        <w:spacing w:line="360" w:lineRule="auto"/>
        <w:rPr>
          <w:rFonts w:eastAsia="Calibri"/>
          <w:lang w:val="es-ES" w:eastAsia="en-US"/>
        </w:rPr>
      </w:pPr>
    </w:p>
    <w:p w14:paraId="239D4364" w14:textId="77777777" w:rsidR="00A070B3" w:rsidRDefault="00A070B3">
      <w:pPr>
        <w:rPr>
          <w:rFonts w:eastAsia="Calibri"/>
          <w:lang w:val="es-ES" w:eastAsia="en-US"/>
        </w:rPr>
      </w:pPr>
      <w:r>
        <w:rPr>
          <w:rFonts w:eastAsia="Calibri"/>
          <w:lang w:val="es-ES" w:eastAsia="en-US"/>
        </w:rPr>
        <w:br w:type="page"/>
      </w:r>
    </w:p>
    <w:p w14:paraId="032238D2" w14:textId="4B840AC0" w:rsidR="00663B20" w:rsidRPr="00663B20" w:rsidRDefault="00663B20" w:rsidP="00663B20">
      <w:pPr>
        <w:spacing w:line="360" w:lineRule="auto"/>
        <w:rPr>
          <w:rFonts w:eastAsia="Calibri"/>
          <w:lang w:val="es-ES" w:eastAsia="en-US"/>
        </w:rPr>
      </w:pPr>
      <w:r w:rsidRPr="00663B20">
        <w:rPr>
          <w:rFonts w:eastAsia="Calibri"/>
          <w:lang w:val="es-ES" w:eastAsia="en-US"/>
        </w:rPr>
        <w:lastRenderedPageBreak/>
        <w:t>En la tabla 3 se observan las causas de sangramiento. Predominó la atonía uterina, para un 50,0 % (18); continuó en frecuencia el aborto, la rotura uterina y el traumatismo del canal del parto, con 3 pacientes (8,3 %) pacientes en cada caso.</w:t>
      </w:r>
    </w:p>
    <w:p w14:paraId="5399E6D3" w14:textId="632F0C6C" w:rsidR="00592464" w:rsidRDefault="00592464">
      <w:pPr>
        <w:rPr>
          <w:rFonts w:eastAsia="Calibri"/>
          <w:b/>
          <w:sz w:val="22"/>
          <w:szCs w:val="22"/>
          <w:lang w:val="es-ES" w:eastAsia="en-US"/>
        </w:rPr>
      </w:pPr>
    </w:p>
    <w:p w14:paraId="0A54E1CD" w14:textId="05EC4183" w:rsidR="00663B20" w:rsidRPr="00663B20" w:rsidRDefault="00663B20" w:rsidP="00663B20">
      <w:pPr>
        <w:spacing w:line="360" w:lineRule="auto"/>
        <w:jc w:val="center"/>
        <w:rPr>
          <w:rFonts w:eastAsia="Calibri"/>
          <w:sz w:val="22"/>
          <w:szCs w:val="22"/>
          <w:lang w:val="es-ES" w:eastAsia="en-US"/>
        </w:rPr>
      </w:pPr>
      <w:r w:rsidRPr="00663B20">
        <w:rPr>
          <w:rFonts w:eastAsia="Calibri"/>
          <w:b/>
          <w:sz w:val="22"/>
          <w:szCs w:val="22"/>
          <w:lang w:val="es-ES" w:eastAsia="en-US"/>
        </w:rPr>
        <w:t xml:space="preserve">Tabla 3 </w:t>
      </w:r>
      <w:r w:rsidRPr="00663B20">
        <w:rPr>
          <w:rFonts w:eastAsia="Calibri"/>
          <w:sz w:val="22"/>
          <w:szCs w:val="22"/>
          <w:lang w:val="es-ES" w:eastAsia="en-US"/>
        </w:rPr>
        <w:t>- Distribución de las pacientes según causas del sangrado obstétrico</w:t>
      </w:r>
    </w:p>
    <w:p w14:paraId="03E1755A" w14:textId="78048826" w:rsidR="00663B20" w:rsidRPr="00663B20" w:rsidRDefault="0078095F" w:rsidP="00663B20">
      <w:pPr>
        <w:spacing w:line="360" w:lineRule="auto"/>
        <w:jc w:val="center"/>
        <w:rPr>
          <w:rFonts w:eastAsia="Calibri"/>
          <w:b/>
          <w:lang w:val="es-ES" w:eastAsia="en-US"/>
        </w:rPr>
      </w:pPr>
      <w:r w:rsidRPr="00D80183">
        <w:rPr>
          <w:noProof/>
          <w:lang w:eastAsia="es-ES"/>
        </w:rPr>
        <w:drawing>
          <wp:inline distT="0" distB="0" distL="0" distR="0" wp14:anchorId="60E809D2" wp14:editId="40CDAC68">
            <wp:extent cx="4133850" cy="2524125"/>
            <wp:effectExtent l="0" t="0" r="0" b="9525"/>
            <wp:docPr id="3" name="Imagen 3" descr="G:\28.9.23\3015\t03_301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28.9.23\3015\t03_3015.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3850" cy="2524125"/>
                    </a:xfrm>
                    <a:prstGeom prst="rect">
                      <a:avLst/>
                    </a:prstGeom>
                    <a:noFill/>
                    <a:ln>
                      <a:noFill/>
                    </a:ln>
                  </pic:spPr>
                </pic:pic>
              </a:graphicData>
            </a:graphic>
          </wp:inline>
        </w:drawing>
      </w:r>
    </w:p>
    <w:p w14:paraId="561A006A" w14:textId="77777777" w:rsidR="00A070B3" w:rsidRDefault="00A070B3">
      <w:pPr>
        <w:rPr>
          <w:rFonts w:eastAsia="Calibri"/>
          <w:lang w:val="es-ES" w:eastAsia="en-US"/>
        </w:rPr>
      </w:pPr>
      <w:r>
        <w:rPr>
          <w:rFonts w:eastAsia="Calibri"/>
          <w:lang w:val="es-ES" w:eastAsia="en-US"/>
        </w:rPr>
        <w:br w:type="page"/>
      </w:r>
    </w:p>
    <w:p w14:paraId="415DCC2B" w14:textId="1EFC74D0" w:rsidR="00663B20" w:rsidRPr="00663B20" w:rsidRDefault="00663B20" w:rsidP="00663B20">
      <w:pPr>
        <w:spacing w:line="360" w:lineRule="auto"/>
        <w:jc w:val="both"/>
        <w:rPr>
          <w:rFonts w:eastAsia="Calibri"/>
          <w:lang w:val="es-ES" w:eastAsia="en-US"/>
        </w:rPr>
      </w:pPr>
      <w:r w:rsidRPr="00663B20">
        <w:rPr>
          <w:rFonts w:eastAsia="Calibri"/>
          <w:lang w:val="es-ES" w:eastAsia="en-US"/>
        </w:rPr>
        <w:lastRenderedPageBreak/>
        <w:t>En la tabla 4 se observa el valor del OR. Se destaca el valor de creatinina ≥ 113 µmol/L (OR= 19,08; IC: 2,75-138,36), índice internacional normalizado ≥ 2 (OR= 4,66; IC: 1,46-14,90), hematocrito &lt; 0,23 (OR= 4,00; IC: 1,76-9,08) y la hemoglobina &lt; 70 g/L (OR: 2,22; IC: 1,25-3,95).</w:t>
      </w:r>
    </w:p>
    <w:p w14:paraId="645BE335" w14:textId="77777777" w:rsidR="00B33E0E" w:rsidRDefault="00B33E0E" w:rsidP="00663B20">
      <w:pPr>
        <w:spacing w:after="160" w:line="259" w:lineRule="auto"/>
        <w:jc w:val="center"/>
        <w:rPr>
          <w:rFonts w:eastAsia="Calibri"/>
          <w:b/>
          <w:sz w:val="22"/>
          <w:szCs w:val="22"/>
          <w:lang w:val="es-ES" w:eastAsia="en-US"/>
        </w:rPr>
      </w:pPr>
    </w:p>
    <w:p w14:paraId="466E7732" w14:textId="489DAF53" w:rsidR="00663B20" w:rsidRPr="00663B20" w:rsidRDefault="00663B20" w:rsidP="00663B20">
      <w:pPr>
        <w:spacing w:after="160" w:line="259" w:lineRule="auto"/>
        <w:jc w:val="center"/>
        <w:rPr>
          <w:rFonts w:eastAsia="Calibri"/>
          <w:lang w:val="es-ES" w:eastAsia="en-US"/>
        </w:rPr>
      </w:pPr>
      <w:r w:rsidRPr="00663B20">
        <w:rPr>
          <w:rFonts w:eastAsia="Calibri"/>
          <w:b/>
          <w:sz w:val="22"/>
          <w:szCs w:val="22"/>
          <w:lang w:val="es-ES" w:eastAsia="en-US"/>
        </w:rPr>
        <w:t xml:space="preserve">Tabla 4 </w:t>
      </w:r>
      <w:r w:rsidRPr="00663B20">
        <w:rPr>
          <w:rFonts w:eastAsia="Calibri"/>
          <w:sz w:val="22"/>
          <w:szCs w:val="22"/>
          <w:lang w:val="es-ES" w:eastAsia="en-US"/>
        </w:rPr>
        <w:t>– Factores de riesgo para complicaciones</w:t>
      </w:r>
    </w:p>
    <w:p w14:paraId="43611F43" w14:textId="5E625E6C" w:rsidR="00663B20" w:rsidRPr="00663B20" w:rsidRDefault="00127603" w:rsidP="00127603">
      <w:pPr>
        <w:spacing w:line="360" w:lineRule="auto"/>
        <w:jc w:val="center"/>
        <w:rPr>
          <w:rFonts w:eastAsia="Calibri"/>
          <w:lang w:val="es-ES" w:eastAsia="en-US"/>
        </w:rPr>
      </w:pPr>
      <w:r w:rsidRPr="00D80183">
        <w:rPr>
          <w:b/>
          <w:noProof/>
          <w:lang w:eastAsia="es-ES"/>
        </w:rPr>
        <w:drawing>
          <wp:inline distT="0" distB="0" distL="0" distR="0" wp14:anchorId="7ECD32F7" wp14:editId="212936DA">
            <wp:extent cx="4505325" cy="3714750"/>
            <wp:effectExtent l="0" t="0" r="9525" b="0"/>
            <wp:docPr id="4" name="Imagen 4" descr="G:\28.9.23\3015\t04_301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28.9.23\3015\t04_3015.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5325" cy="3714750"/>
                    </a:xfrm>
                    <a:prstGeom prst="rect">
                      <a:avLst/>
                    </a:prstGeom>
                    <a:noFill/>
                    <a:ln>
                      <a:noFill/>
                    </a:ln>
                  </pic:spPr>
                </pic:pic>
              </a:graphicData>
            </a:graphic>
          </wp:inline>
        </w:drawing>
      </w:r>
    </w:p>
    <w:p w14:paraId="7FF91FD5" w14:textId="4C97D878" w:rsidR="00663B20" w:rsidRPr="00663B20" w:rsidRDefault="00663B20" w:rsidP="00663B20">
      <w:pPr>
        <w:spacing w:line="360" w:lineRule="auto"/>
        <w:jc w:val="center"/>
        <w:rPr>
          <w:rFonts w:eastAsia="Calibri"/>
          <w:b/>
          <w:lang w:val="es-ES" w:eastAsia="en-US"/>
        </w:rPr>
      </w:pPr>
    </w:p>
    <w:p w14:paraId="3351A4A0" w14:textId="77777777" w:rsidR="00127603" w:rsidRDefault="00127603" w:rsidP="00663B20">
      <w:pPr>
        <w:spacing w:line="360" w:lineRule="auto"/>
        <w:jc w:val="center"/>
        <w:rPr>
          <w:rFonts w:eastAsia="Calibri"/>
          <w:b/>
          <w:sz w:val="32"/>
          <w:szCs w:val="32"/>
          <w:lang w:val="es-ES" w:eastAsia="en-US"/>
        </w:rPr>
      </w:pPr>
    </w:p>
    <w:p w14:paraId="13472E0F" w14:textId="5E09A6D2" w:rsidR="00663B20" w:rsidRPr="00663B20" w:rsidRDefault="00663B20" w:rsidP="00663B20">
      <w:pPr>
        <w:spacing w:line="360" w:lineRule="auto"/>
        <w:jc w:val="center"/>
        <w:rPr>
          <w:rFonts w:eastAsia="Calibri"/>
          <w:b/>
          <w:sz w:val="32"/>
          <w:szCs w:val="32"/>
          <w:lang w:val="es-ES" w:eastAsia="en-US"/>
        </w:rPr>
      </w:pPr>
      <w:r w:rsidRPr="00663B20">
        <w:rPr>
          <w:rFonts w:eastAsia="Calibri"/>
          <w:b/>
          <w:sz w:val="32"/>
          <w:szCs w:val="32"/>
          <w:lang w:val="es-ES" w:eastAsia="en-US"/>
        </w:rPr>
        <w:t>DISCUSIÓN</w:t>
      </w:r>
    </w:p>
    <w:p w14:paraId="2CBEBCB5" w14:textId="77777777" w:rsidR="00663B20" w:rsidRPr="00663B20" w:rsidRDefault="00663B20" w:rsidP="00663B20">
      <w:pPr>
        <w:spacing w:line="360" w:lineRule="auto"/>
        <w:jc w:val="both"/>
        <w:rPr>
          <w:rFonts w:eastAsia="Calibri"/>
          <w:bCs/>
          <w:color w:val="000000"/>
          <w:vertAlign w:val="superscript"/>
          <w:lang w:val="es-ES" w:eastAsia="en-US"/>
        </w:rPr>
      </w:pPr>
      <w:r w:rsidRPr="00663B20">
        <w:rPr>
          <w:rFonts w:eastAsia="Calibri"/>
          <w:bCs/>
          <w:lang w:val="es-ES" w:eastAsia="en-US"/>
        </w:rPr>
        <w:t xml:space="preserve">Al analizar las variables epidemiológicas, se destaca que la mayor parte de las pacientes con el diagnóstico de hemorragia obstétrica grave procedieron del salón del partos; similar a los resultados del estudio de </w:t>
      </w:r>
      <w:r w:rsidRPr="00663B20">
        <w:rPr>
          <w:rFonts w:eastAsia="Calibri"/>
          <w:bCs/>
          <w:i/>
          <w:lang w:val="es-ES" w:eastAsia="en-US"/>
        </w:rPr>
        <w:t>Fong</w:t>
      </w:r>
      <w:r w:rsidRPr="00663B20">
        <w:rPr>
          <w:rFonts w:eastAsia="Calibri"/>
          <w:bCs/>
          <w:lang w:val="es-ES" w:eastAsia="en-US"/>
        </w:rPr>
        <w:t>,</w:t>
      </w:r>
      <w:r w:rsidRPr="00663B20">
        <w:rPr>
          <w:rFonts w:eastAsia="Calibri"/>
          <w:bCs/>
          <w:vertAlign w:val="superscript"/>
          <w:lang w:val="es-ES" w:eastAsia="en-US"/>
        </w:rPr>
        <w:t xml:space="preserve">(2) </w:t>
      </w:r>
      <w:r w:rsidRPr="00663B20">
        <w:rPr>
          <w:rFonts w:eastAsia="Calibri"/>
          <w:bCs/>
          <w:lang w:val="es-ES" w:eastAsia="en-US"/>
        </w:rPr>
        <w:t>lo que demuestra un actuar diagnóstico-terapéutico rápido ante este grupo especial de pacientes.</w:t>
      </w:r>
      <w:r w:rsidRPr="00663B20">
        <w:rPr>
          <w:rFonts w:eastAsia="Calibri"/>
          <w:bCs/>
          <w:vertAlign w:val="superscript"/>
          <w:lang w:val="es-ES" w:eastAsia="en-US"/>
        </w:rPr>
        <w:t xml:space="preserve"> </w:t>
      </w:r>
      <w:r w:rsidRPr="00663B20">
        <w:rPr>
          <w:rFonts w:eastAsia="Calibri"/>
          <w:bCs/>
          <w:color w:val="000000"/>
          <w:lang w:val="es-ES" w:eastAsia="en-US"/>
        </w:rPr>
        <w:t xml:space="preserve">En el año 2021, </w:t>
      </w:r>
      <w:r w:rsidRPr="00663B20">
        <w:rPr>
          <w:rFonts w:eastAsia="Calibri"/>
          <w:bCs/>
          <w:i/>
          <w:color w:val="000000"/>
          <w:lang w:val="es-ES" w:eastAsia="en-US"/>
        </w:rPr>
        <w:t xml:space="preserve">Elias </w:t>
      </w:r>
      <w:r w:rsidRPr="00663B20">
        <w:rPr>
          <w:rFonts w:eastAsia="Calibri"/>
          <w:bCs/>
          <w:color w:val="000000"/>
          <w:lang w:val="es-ES" w:eastAsia="en-US"/>
        </w:rPr>
        <w:t>y otros</w:t>
      </w:r>
      <w:r w:rsidRPr="00663B20">
        <w:rPr>
          <w:rFonts w:eastAsia="Calibri"/>
          <w:bCs/>
          <w:color w:val="000000"/>
          <w:vertAlign w:val="superscript"/>
          <w:lang w:val="es-ES" w:eastAsia="en-US"/>
        </w:rPr>
        <w:t>(13)</w:t>
      </w:r>
      <w:r w:rsidRPr="00663B20">
        <w:rPr>
          <w:rFonts w:eastAsia="Calibri"/>
          <w:bCs/>
          <w:color w:val="000000"/>
          <w:lang w:val="es-ES" w:eastAsia="en-US"/>
        </w:rPr>
        <w:t xml:space="preserve"> publicaron una investigación en la cual predomina el parto por cesárea y el 28,2 % de las pacientes con hemorragia obstétrica, hallazgo que no coincide con la presente </w:t>
      </w:r>
      <w:r w:rsidRPr="00663B20">
        <w:rPr>
          <w:rFonts w:eastAsia="Calibri"/>
          <w:bCs/>
          <w:color w:val="000000"/>
          <w:lang w:val="es-ES" w:eastAsia="en-US"/>
        </w:rPr>
        <w:lastRenderedPageBreak/>
        <w:t xml:space="preserve">investigación. Los antecedentes de abortos y la presencia de embarazo simple o múltiple mantuvieron un comportamiento similar al descrito por </w:t>
      </w:r>
      <w:r w:rsidRPr="00663B20">
        <w:rPr>
          <w:rFonts w:eastAsia="Calibri"/>
          <w:bCs/>
          <w:i/>
          <w:color w:val="000000"/>
          <w:lang w:val="es-ES" w:eastAsia="en-US"/>
        </w:rPr>
        <w:t>García</w:t>
      </w:r>
      <w:r w:rsidRPr="00663B20">
        <w:rPr>
          <w:rFonts w:eastAsia="Calibri"/>
          <w:bCs/>
          <w:color w:val="000000"/>
          <w:lang w:val="es-ES" w:eastAsia="en-US"/>
        </w:rPr>
        <w:t xml:space="preserve"> y otros,</w:t>
      </w:r>
      <w:r w:rsidRPr="00663B20">
        <w:rPr>
          <w:rFonts w:eastAsia="Calibri"/>
          <w:bCs/>
          <w:color w:val="000000"/>
          <w:vertAlign w:val="superscript"/>
          <w:lang w:val="es-ES" w:eastAsia="en-US"/>
        </w:rPr>
        <w:t xml:space="preserve">(14) </w:t>
      </w:r>
      <w:r w:rsidRPr="00663B20">
        <w:rPr>
          <w:rFonts w:eastAsia="Calibri"/>
          <w:bCs/>
          <w:color w:val="000000"/>
          <w:lang w:val="es-ES" w:eastAsia="en-US"/>
        </w:rPr>
        <w:t>quienes reportan el 21 % de las pacientes con aborto;</w:t>
      </w:r>
      <w:r w:rsidRPr="00663B20">
        <w:rPr>
          <w:rFonts w:eastAsia="Calibri"/>
          <w:bCs/>
          <w:color w:val="000000"/>
          <w:vertAlign w:val="superscript"/>
          <w:lang w:val="es-ES" w:eastAsia="en-US"/>
        </w:rPr>
        <w:t xml:space="preserve"> </w:t>
      </w:r>
      <w:r w:rsidRPr="00663B20">
        <w:rPr>
          <w:rFonts w:eastAsia="Calibri"/>
          <w:bCs/>
          <w:i/>
          <w:color w:val="000000"/>
          <w:lang w:val="es-ES" w:eastAsia="en-US"/>
        </w:rPr>
        <w:t>Bazirete</w:t>
      </w:r>
      <w:r w:rsidRPr="00663B20">
        <w:rPr>
          <w:rFonts w:eastAsia="Calibri"/>
          <w:bCs/>
          <w:color w:val="000000"/>
          <w:lang w:val="es-ES" w:eastAsia="en-US"/>
        </w:rPr>
        <w:t xml:space="preserve"> y otros</w:t>
      </w:r>
      <w:r w:rsidRPr="00663B20">
        <w:rPr>
          <w:rFonts w:eastAsia="Calibri"/>
          <w:bCs/>
          <w:color w:val="000000"/>
          <w:vertAlign w:val="superscript"/>
          <w:lang w:val="es-ES" w:eastAsia="en-US"/>
        </w:rPr>
        <w:t xml:space="preserve">(8) </w:t>
      </w:r>
      <w:r w:rsidRPr="00663B20">
        <w:rPr>
          <w:rFonts w:eastAsia="Calibri"/>
          <w:bCs/>
          <w:color w:val="000000"/>
          <w:lang w:val="es-ES" w:eastAsia="en-US"/>
        </w:rPr>
        <w:t>describen que la hemorragia obstétrica fue más frecuente en pacientes con embarazos simples.</w:t>
      </w:r>
    </w:p>
    <w:p w14:paraId="2C5A3BA1"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 xml:space="preserve">Las complicaciones relacionadas con la hemorragia obstétrica guardan relación con lo descrito por otros autores, </w:t>
      </w:r>
      <w:r w:rsidRPr="00663B20">
        <w:rPr>
          <w:rFonts w:eastAsia="Calibri"/>
          <w:i/>
          <w:lang w:val="es-ES" w:eastAsia="en-US"/>
        </w:rPr>
        <w:t>Fernández</w:t>
      </w:r>
      <w:r w:rsidRPr="00663B20">
        <w:rPr>
          <w:rFonts w:eastAsia="Calibri"/>
          <w:lang w:val="es-ES" w:eastAsia="en-US"/>
        </w:rPr>
        <w:t xml:space="preserve"> y otros</w:t>
      </w:r>
      <w:r w:rsidRPr="00663B20">
        <w:rPr>
          <w:rFonts w:eastAsia="Calibri"/>
          <w:vertAlign w:val="superscript"/>
          <w:lang w:val="es-ES" w:eastAsia="en-US"/>
        </w:rPr>
        <w:t xml:space="preserve">(15) </w:t>
      </w:r>
      <w:r w:rsidRPr="00663B20">
        <w:rPr>
          <w:rFonts w:eastAsia="Calibri"/>
          <w:lang w:val="es-ES" w:eastAsia="en-US"/>
        </w:rPr>
        <w:t>destacan la aparición de choque hipovolémico e insuficiencia renal aguda.</w:t>
      </w:r>
      <w:r w:rsidRPr="00663B20">
        <w:rPr>
          <w:rFonts w:eastAsia="Calibri"/>
          <w:vertAlign w:val="superscript"/>
          <w:lang w:val="es-ES" w:eastAsia="en-US"/>
        </w:rPr>
        <w:t xml:space="preserve"> </w:t>
      </w:r>
      <w:r w:rsidRPr="00663B20">
        <w:rPr>
          <w:rFonts w:eastAsia="Calibri"/>
          <w:i/>
          <w:lang w:val="es-ES" w:eastAsia="en-US"/>
        </w:rPr>
        <w:t>Fong</w:t>
      </w:r>
      <w:r w:rsidRPr="00663B20">
        <w:rPr>
          <w:rFonts w:eastAsia="Calibri"/>
          <w:vertAlign w:val="superscript"/>
          <w:lang w:val="es-ES" w:eastAsia="en-US"/>
        </w:rPr>
        <w:t>(2)</w:t>
      </w:r>
      <w:r w:rsidRPr="00663B20">
        <w:rPr>
          <w:rFonts w:eastAsia="Calibri"/>
          <w:lang w:val="es-ES" w:eastAsia="en-US"/>
        </w:rPr>
        <w:t xml:space="preserve"> describe el fallo múltiple de órganos como la complicación más frecuente de las pacientes con hemorragia obstétrica,</w:t>
      </w:r>
      <w:r w:rsidRPr="00663B20">
        <w:rPr>
          <w:rFonts w:eastAsia="Calibri"/>
          <w:vertAlign w:val="superscript"/>
          <w:lang w:val="es-ES" w:eastAsia="en-US"/>
        </w:rPr>
        <w:t xml:space="preserve"> </w:t>
      </w:r>
      <w:r w:rsidRPr="00663B20">
        <w:rPr>
          <w:rFonts w:eastAsia="Calibri"/>
          <w:lang w:val="es-ES" w:eastAsia="en-US"/>
        </w:rPr>
        <w:t>lo cual no se evidencia en el presente estudio.</w:t>
      </w:r>
    </w:p>
    <w:p w14:paraId="1CAE5B18"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 xml:space="preserve">Sobre el peso del neonato, hubo similitud con los resultados descritos por </w:t>
      </w:r>
      <w:r w:rsidRPr="00663B20">
        <w:rPr>
          <w:rFonts w:eastAsia="Calibri"/>
          <w:i/>
          <w:lang w:val="es-ES" w:eastAsia="en-US"/>
        </w:rPr>
        <w:t xml:space="preserve">Puello </w:t>
      </w:r>
      <w:r w:rsidRPr="00663B20">
        <w:rPr>
          <w:rFonts w:eastAsia="Calibri"/>
          <w:lang w:val="es-ES" w:eastAsia="en-US"/>
        </w:rPr>
        <w:t>y otros,</w:t>
      </w:r>
      <w:r w:rsidRPr="00663B20">
        <w:rPr>
          <w:rFonts w:eastAsia="Calibri"/>
          <w:vertAlign w:val="superscript"/>
          <w:lang w:val="es-ES" w:eastAsia="en-US"/>
        </w:rPr>
        <w:t>(16)</w:t>
      </w:r>
      <w:r w:rsidRPr="00663B20">
        <w:rPr>
          <w:rFonts w:eastAsia="Calibri"/>
          <w:lang w:val="es-ES" w:eastAsia="en-US"/>
        </w:rPr>
        <w:t xml:space="preserve"> quienes destacan un predominio del peso entre los 2500 y 4000 g; el valor de creatina y de la hemoglobina tuvieron resultados similares al descrito por </w:t>
      </w:r>
      <w:r w:rsidRPr="00663B20">
        <w:rPr>
          <w:rFonts w:eastAsia="Calibri"/>
          <w:i/>
          <w:lang w:val="es-ES" w:eastAsia="en-US"/>
        </w:rPr>
        <w:t>Fernández</w:t>
      </w:r>
      <w:r w:rsidRPr="00663B20">
        <w:rPr>
          <w:rFonts w:eastAsia="Calibri"/>
          <w:lang w:val="es-ES" w:eastAsia="en-US"/>
        </w:rPr>
        <w:t xml:space="preserve"> y otros</w:t>
      </w:r>
      <w:r w:rsidRPr="00663B20">
        <w:rPr>
          <w:rFonts w:eastAsia="Calibri"/>
          <w:vertAlign w:val="superscript"/>
          <w:lang w:val="es-ES" w:eastAsia="en-US"/>
        </w:rPr>
        <w:t>(15)</w:t>
      </w:r>
      <w:r w:rsidRPr="00663B20">
        <w:rPr>
          <w:rFonts w:eastAsia="Calibri"/>
          <w:lang w:val="es-ES" w:eastAsia="en-US"/>
        </w:rPr>
        <w:t xml:space="preserve"> en la clase II y clase III de la clasificación de hemorragia.</w:t>
      </w:r>
      <w:r w:rsidRPr="00663B20">
        <w:rPr>
          <w:rFonts w:eastAsia="Calibri"/>
          <w:vertAlign w:val="superscript"/>
          <w:lang w:val="es-ES" w:eastAsia="en-US"/>
        </w:rPr>
        <w:t xml:space="preserve"> </w:t>
      </w:r>
      <w:r w:rsidRPr="00663B20">
        <w:rPr>
          <w:rFonts w:eastAsia="Calibri"/>
          <w:i/>
          <w:lang w:val="es-ES" w:eastAsia="en-US"/>
        </w:rPr>
        <w:t>Torres</w:t>
      </w:r>
      <w:r w:rsidRPr="00663B20">
        <w:rPr>
          <w:rFonts w:eastAsia="Calibri"/>
          <w:lang w:val="es-ES" w:eastAsia="en-US"/>
        </w:rPr>
        <w:t xml:space="preserve"> y otros</w:t>
      </w:r>
      <w:r w:rsidRPr="00663B20">
        <w:rPr>
          <w:rFonts w:eastAsia="Calibri"/>
          <w:vertAlign w:val="superscript"/>
          <w:lang w:val="es-ES" w:eastAsia="en-US"/>
        </w:rPr>
        <w:t>(17)</w:t>
      </w:r>
      <w:r w:rsidRPr="00663B20">
        <w:rPr>
          <w:rFonts w:eastAsia="Calibri"/>
          <w:lang w:val="es-ES" w:eastAsia="en-US"/>
        </w:rPr>
        <w:t xml:space="preserve"> plantean que el riesgo de perpetuación de la hemorragia es proporcional a la intensidad de la anticoagulación y el índice internacional normalizado es el factor independiente que se correlaciona con un riesgo mayor de sangrado.</w:t>
      </w:r>
      <w:r w:rsidRPr="00663B20">
        <w:rPr>
          <w:rFonts w:eastAsia="Calibri"/>
          <w:vertAlign w:val="superscript"/>
          <w:lang w:val="es-ES" w:eastAsia="en-US"/>
        </w:rPr>
        <w:t xml:space="preserve"> </w:t>
      </w:r>
      <w:r w:rsidRPr="00663B20">
        <w:rPr>
          <w:rFonts w:eastAsia="Calibri"/>
          <w:lang w:val="es-ES" w:eastAsia="en-US"/>
        </w:rPr>
        <w:t xml:space="preserve">A su vez, el alargamiento del índice internacional normalizado es una consecuencia del sangrado y la no adecuada reposición de líquidos/hemoderivados. No se obtuvieron iguales resultados que el estudio de </w:t>
      </w:r>
      <w:r w:rsidRPr="00663B20">
        <w:rPr>
          <w:rFonts w:eastAsia="Calibri"/>
          <w:i/>
          <w:lang w:val="es-ES" w:eastAsia="en-US"/>
        </w:rPr>
        <w:t>Bazirete</w:t>
      </w:r>
      <w:r w:rsidRPr="00663B20">
        <w:rPr>
          <w:rFonts w:eastAsia="Calibri"/>
          <w:lang w:val="es-ES" w:eastAsia="en-US"/>
        </w:rPr>
        <w:t xml:space="preserve"> y otros,</w:t>
      </w:r>
      <w:r w:rsidRPr="00663B20">
        <w:rPr>
          <w:rFonts w:eastAsia="Calibri"/>
          <w:vertAlign w:val="superscript"/>
          <w:lang w:val="es-ES" w:eastAsia="en-US"/>
        </w:rPr>
        <w:t>(7)</w:t>
      </w:r>
      <w:r w:rsidRPr="00663B20">
        <w:rPr>
          <w:rFonts w:eastAsia="Calibri"/>
          <w:lang w:val="es-ES" w:eastAsia="en-US"/>
        </w:rPr>
        <w:t xml:space="preserve"> en el cual predominaron las pacientes multíparas, mientras que </w:t>
      </w:r>
      <w:r w:rsidRPr="00663B20">
        <w:rPr>
          <w:rFonts w:eastAsia="Calibri"/>
          <w:i/>
          <w:lang w:val="es-ES" w:eastAsia="en-US"/>
        </w:rPr>
        <w:t>Borovac</w:t>
      </w:r>
      <w:r w:rsidRPr="00663B20">
        <w:rPr>
          <w:rFonts w:eastAsia="Calibri"/>
          <w:lang w:val="es-ES" w:eastAsia="en-US"/>
        </w:rPr>
        <w:t xml:space="preserve"> y otros</w:t>
      </w:r>
      <w:r w:rsidRPr="00663B20">
        <w:rPr>
          <w:rFonts w:eastAsia="Calibri"/>
          <w:vertAlign w:val="superscript"/>
          <w:lang w:val="es-ES" w:eastAsia="en-US"/>
        </w:rPr>
        <w:t xml:space="preserve">(8) </w:t>
      </w:r>
      <w:r w:rsidRPr="00663B20">
        <w:rPr>
          <w:rFonts w:eastAsia="Calibri"/>
          <w:lang w:val="es-ES" w:eastAsia="en-US"/>
        </w:rPr>
        <w:t xml:space="preserve">plantean que hay un predominio de pacientes sin antecedentes de partos previos. </w:t>
      </w:r>
    </w:p>
    <w:p w14:paraId="67E965C2"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 xml:space="preserve">La estadía se mantuvo similar a lo descrito por </w:t>
      </w:r>
      <w:r w:rsidRPr="00663B20">
        <w:rPr>
          <w:rFonts w:eastAsia="Calibri"/>
          <w:i/>
          <w:lang w:val="es-ES" w:eastAsia="en-US"/>
        </w:rPr>
        <w:t>Fong</w:t>
      </w:r>
      <w:r w:rsidRPr="00663B20">
        <w:rPr>
          <w:rFonts w:eastAsia="Calibri"/>
          <w:lang w:val="es-ES" w:eastAsia="en-US"/>
        </w:rPr>
        <w:t>.</w:t>
      </w:r>
      <w:r w:rsidRPr="00663B20">
        <w:rPr>
          <w:rFonts w:eastAsia="Calibri"/>
          <w:vertAlign w:val="superscript"/>
          <w:lang w:val="es-ES" w:eastAsia="en-US"/>
        </w:rPr>
        <w:t>(2)</w:t>
      </w:r>
      <w:r w:rsidRPr="00663B20">
        <w:rPr>
          <w:rFonts w:eastAsia="Calibri"/>
          <w:lang w:val="es-ES" w:eastAsia="en-US"/>
        </w:rPr>
        <w:t xml:space="preserve"> </w:t>
      </w:r>
    </w:p>
    <w:p w14:paraId="7FF1AC99"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 xml:space="preserve">Los estudios realizados por </w:t>
      </w:r>
      <w:r w:rsidRPr="00663B20">
        <w:rPr>
          <w:rFonts w:eastAsia="Calibri"/>
          <w:i/>
          <w:iCs/>
          <w:lang w:val="es-ES" w:eastAsia="en-US"/>
        </w:rPr>
        <w:t>Bazirete</w:t>
      </w:r>
      <w:r w:rsidRPr="00663B20">
        <w:rPr>
          <w:rFonts w:eastAsia="Calibri"/>
          <w:lang w:val="es-ES" w:eastAsia="en-US"/>
        </w:rPr>
        <w:t xml:space="preserve"> y otros,</w:t>
      </w:r>
      <w:r w:rsidRPr="00663B20">
        <w:rPr>
          <w:rFonts w:eastAsia="Calibri"/>
          <w:vertAlign w:val="superscript"/>
          <w:lang w:val="es-ES" w:eastAsia="en-US"/>
        </w:rPr>
        <w:t>(8)</w:t>
      </w:r>
      <w:r w:rsidRPr="00663B20">
        <w:rPr>
          <w:rFonts w:eastAsia="Calibri"/>
          <w:lang w:val="es-ES" w:eastAsia="en-US"/>
        </w:rPr>
        <w:t xml:space="preserve"> </w:t>
      </w:r>
      <w:r w:rsidRPr="00663B20">
        <w:rPr>
          <w:rFonts w:eastAsia="Calibri"/>
          <w:i/>
          <w:lang w:val="es-ES" w:eastAsia="en-US"/>
        </w:rPr>
        <w:t>Elias</w:t>
      </w:r>
      <w:r w:rsidRPr="00663B20">
        <w:rPr>
          <w:rFonts w:eastAsia="Calibri"/>
          <w:lang w:val="es-ES" w:eastAsia="en-US"/>
        </w:rPr>
        <w:t xml:space="preserve"> y otros</w:t>
      </w:r>
      <w:r w:rsidRPr="00663B20">
        <w:rPr>
          <w:rFonts w:eastAsia="Calibri"/>
          <w:vertAlign w:val="superscript"/>
          <w:lang w:val="es-ES" w:eastAsia="en-US"/>
        </w:rPr>
        <w:t>(13)</w:t>
      </w:r>
      <w:r w:rsidRPr="00663B20">
        <w:rPr>
          <w:rFonts w:eastAsia="Calibri"/>
          <w:lang w:val="es-ES" w:eastAsia="en-US"/>
        </w:rPr>
        <w:t xml:space="preserve"> y </w:t>
      </w:r>
      <w:r w:rsidRPr="00663B20">
        <w:rPr>
          <w:rFonts w:eastAsia="Calibri"/>
          <w:i/>
          <w:lang w:val="es-ES" w:eastAsia="en-US"/>
        </w:rPr>
        <w:t>Fernández</w:t>
      </w:r>
      <w:r w:rsidRPr="00663B20">
        <w:rPr>
          <w:rFonts w:eastAsia="Calibri"/>
          <w:lang w:val="es-ES" w:eastAsia="en-US"/>
        </w:rPr>
        <w:t xml:space="preserve"> y otros</w:t>
      </w:r>
      <w:r w:rsidRPr="00663B20">
        <w:rPr>
          <w:rFonts w:eastAsia="Calibri"/>
          <w:vertAlign w:val="superscript"/>
          <w:lang w:val="es-ES" w:eastAsia="en-US"/>
        </w:rPr>
        <w:t>(15)</w:t>
      </w:r>
      <w:r w:rsidRPr="00663B20">
        <w:rPr>
          <w:rFonts w:eastAsia="Calibri"/>
          <w:lang w:val="es-ES" w:eastAsia="en-US"/>
        </w:rPr>
        <w:t xml:space="preserve"> describen a la atonía uterina como la principal causa de hemorragia obstétrica, lo que guarda similitud con la presente investigación. La segunda y tercera causa de hemorragia obstétrica, por frecuencia de aparición son: embarazo ectópico y el acretismo placentario (</w:t>
      </w:r>
      <w:r w:rsidRPr="00663B20">
        <w:rPr>
          <w:rFonts w:eastAsia="Calibri"/>
          <w:i/>
          <w:lang w:val="es-ES" w:eastAsia="en-US"/>
        </w:rPr>
        <w:t>Elias</w:t>
      </w:r>
      <w:r w:rsidRPr="00663B20">
        <w:rPr>
          <w:rFonts w:eastAsia="Calibri"/>
          <w:lang w:val="es-ES" w:eastAsia="en-US"/>
        </w:rPr>
        <w:t xml:space="preserve"> y otros);</w:t>
      </w:r>
      <w:r w:rsidRPr="00663B20">
        <w:rPr>
          <w:rFonts w:eastAsia="Calibri"/>
          <w:vertAlign w:val="superscript"/>
          <w:lang w:val="es-ES" w:eastAsia="en-US"/>
        </w:rPr>
        <w:t>(13)</w:t>
      </w:r>
      <w:r w:rsidRPr="00663B20">
        <w:rPr>
          <w:rFonts w:eastAsia="Calibri"/>
          <w:lang w:val="es-ES" w:eastAsia="en-US"/>
        </w:rPr>
        <w:t xml:space="preserve"> acretismo placentario y el embarazo ectópico (</w:t>
      </w:r>
      <w:r w:rsidRPr="00663B20">
        <w:rPr>
          <w:rFonts w:eastAsia="Calibri"/>
          <w:i/>
          <w:lang w:val="es-ES" w:eastAsia="en-US"/>
        </w:rPr>
        <w:t xml:space="preserve">Fernández </w:t>
      </w:r>
      <w:r w:rsidRPr="00663B20">
        <w:rPr>
          <w:rFonts w:eastAsia="Calibri"/>
          <w:lang w:val="es-ES" w:eastAsia="en-US"/>
        </w:rPr>
        <w:t>y otros);</w:t>
      </w:r>
      <w:r w:rsidRPr="00663B20">
        <w:rPr>
          <w:rFonts w:eastAsia="Calibri"/>
          <w:vertAlign w:val="superscript"/>
          <w:lang w:val="es-ES" w:eastAsia="en-US"/>
        </w:rPr>
        <w:t>(15)</w:t>
      </w:r>
      <w:r w:rsidRPr="00663B20">
        <w:rPr>
          <w:rFonts w:eastAsia="Calibri"/>
          <w:lang w:val="es-ES" w:eastAsia="en-US"/>
        </w:rPr>
        <w:t xml:space="preserve"> el traumatismo del canal del parto y la retención de restos ovulares (</w:t>
      </w:r>
      <w:r w:rsidRPr="00663B20">
        <w:rPr>
          <w:rFonts w:eastAsia="Calibri"/>
          <w:i/>
          <w:lang w:val="es-ES" w:eastAsia="en-US"/>
        </w:rPr>
        <w:t>Bazirete</w:t>
      </w:r>
      <w:r w:rsidRPr="00663B20">
        <w:rPr>
          <w:rFonts w:eastAsia="Calibri"/>
          <w:lang w:val="es-ES" w:eastAsia="en-US"/>
        </w:rPr>
        <w:t xml:space="preserve"> y otros);</w:t>
      </w:r>
      <w:r w:rsidRPr="00663B20">
        <w:rPr>
          <w:rFonts w:eastAsia="Calibri"/>
          <w:vertAlign w:val="superscript"/>
          <w:lang w:val="es-ES" w:eastAsia="en-US"/>
        </w:rPr>
        <w:t xml:space="preserve">(8) </w:t>
      </w:r>
      <w:r w:rsidRPr="00663B20">
        <w:rPr>
          <w:rFonts w:eastAsia="Calibri"/>
          <w:lang w:val="es-ES" w:eastAsia="en-US"/>
        </w:rPr>
        <w:t>lo cual no se evidenció de igual manera en el presente estudio.</w:t>
      </w:r>
    </w:p>
    <w:p w14:paraId="757763B6" w14:textId="77777777" w:rsidR="00663B20" w:rsidRPr="00663B20" w:rsidRDefault="00663B20" w:rsidP="00663B20">
      <w:pPr>
        <w:spacing w:line="360" w:lineRule="auto"/>
        <w:jc w:val="both"/>
        <w:rPr>
          <w:rFonts w:eastAsia="Calibri"/>
          <w:bCs/>
          <w:lang w:val="es-ES" w:eastAsia="en-US"/>
        </w:rPr>
      </w:pPr>
      <w:r w:rsidRPr="00663B20">
        <w:rPr>
          <w:rFonts w:eastAsia="Calibri"/>
          <w:bCs/>
          <w:lang w:val="es-ES" w:eastAsia="en-US"/>
        </w:rPr>
        <w:t xml:space="preserve">Al analizar los factores de riesgo presentes para el desarrollo de complicaciones secundarias a la hemorragia obstétrica, tanto en Cuba como en el resto del mundo, las investigaciones están dirigidas a </w:t>
      </w:r>
      <w:r w:rsidRPr="00663B20">
        <w:rPr>
          <w:rFonts w:eastAsia="Calibri"/>
          <w:bCs/>
          <w:lang w:val="es-ES" w:eastAsia="en-US"/>
        </w:rPr>
        <w:lastRenderedPageBreak/>
        <w:t>determinar y describir los factores de riesgo de hemorragia obstétrica y no de sus complicaciones,</w:t>
      </w:r>
      <w:r w:rsidRPr="00663B20">
        <w:rPr>
          <w:rFonts w:eastAsia="Calibri"/>
          <w:bCs/>
          <w:vertAlign w:val="superscript"/>
          <w:lang w:val="es-ES" w:eastAsia="en-US"/>
        </w:rPr>
        <w:t xml:space="preserve">(7,8,15,16) </w:t>
      </w:r>
      <w:r w:rsidRPr="00663B20">
        <w:rPr>
          <w:rFonts w:eastAsia="Calibri"/>
          <w:bCs/>
          <w:lang w:val="es-ES" w:eastAsia="en-US"/>
        </w:rPr>
        <w:t>por tanto, no existe suficiente evidencia para comparar las variables de mayor valor predictivo.</w:t>
      </w:r>
    </w:p>
    <w:p w14:paraId="00394052" w14:textId="77777777" w:rsidR="00663B20" w:rsidRPr="00663B20" w:rsidRDefault="00663B20" w:rsidP="00663B20">
      <w:pPr>
        <w:spacing w:line="360" w:lineRule="auto"/>
        <w:jc w:val="both"/>
        <w:rPr>
          <w:rFonts w:eastAsia="Calibri"/>
          <w:bCs/>
          <w:lang w:val="es-ES" w:eastAsia="en-US"/>
        </w:rPr>
      </w:pPr>
      <w:r w:rsidRPr="00663B20">
        <w:rPr>
          <w:rFonts w:eastAsia="Calibri"/>
          <w:bCs/>
          <w:lang w:val="es-ES" w:eastAsia="en-US"/>
        </w:rPr>
        <w:t xml:space="preserve">El presente estudio permitió identificar, por primera vez, en el hospital, los factores de riesgo para complicaciones durante la hemorragia obstétrica. Tiene como limitaciones que fue centralizado a un hospital municipal, con una muestra pequeña. </w:t>
      </w:r>
    </w:p>
    <w:p w14:paraId="2F653F5D" w14:textId="77777777" w:rsidR="00663B20" w:rsidRPr="00663B20" w:rsidRDefault="00663B20" w:rsidP="00663B20">
      <w:pPr>
        <w:spacing w:line="360" w:lineRule="auto"/>
        <w:jc w:val="both"/>
        <w:rPr>
          <w:rFonts w:eastAsia="Calibri"/>
          <w:lang w:val="es-ES" w:eastAsia="en-US"/>
        </w:rPr>
      </w:pPr>
      <w:r w:rsidRPr="00663B20">
        <w:rPr>
          <w:rFonts w:eastAsia="Calibri"/>
          <w:bCs/>
          <w:lang w:val="es-ES" w:eastAsia="en-US"/>
        </w:rPr>
        <w:t>Se concluye que la</w:t>
      </w:r>
      <w:r w:rsidRPr="00663B20">
        <w:rPr>
          <w:rFonts w:eastAsia="Calibri"/>
          <w:b/>
          <w:lang w:val="es-ES" w:eastAsia="en-US"/>
        </w:rPr>
        <w:t xml:space="preserve"> </w:t>
      </w:r>
      <w:r w:rsidRPr="00663B20">
        <w:rPr>
          <w:rFonts w:eastAsia="Calibri"/>
          <w:bCs/>
          <w:lang w:val="es-ES" w:eastAsia="en-US"/>
        </w:rPr>
        <w:t xml:space="preserve">creatinina </w:t>
      </w:r>
      <w:r w:rsidRPr="00663B20">
        <w:rPr>
          <w:rFonts w:eastAsia="Calibri"/>
          <w:lang w:val="es-ES" w:eastAsia="en-US"/>
        </w:rPr>
        <w:t>≥ 113 µmol/L</w:t>
      </w:r>
      <w:r w:rsidRPr="00663B20">
        <w:rPr>
          <w:rFonts w:eastAsia="Calibri"/>
          <w:bCs/>
          <w:lang w:val="es-ES" w:eastAsia="en-US"/>
        </w:rPr>
        <w:t xml:space="preserve">, </w:t>
      </w:r>
      <w:r w:rsidRPr="00663B20">
        <w:rPr>
          <w:rFonts w:eastAsia="Calibri"/>
          <w:lang w:val="es-ES" w:eastAsia="en-US"/>
        </w:rPr>
        <w:t>el índice internacional normalizado ≥ 2, el hematocrito &lt; 0,23 y la hemoglobina &lt; 70 g/L son los principales factores de riesgo identificados para el desarrollo de complicaciones durante la hemorragia obstétrica.</w:t>
      </w:r>
    </w:p>
    <w:p w14:paraId="5A3CA7C1" w14:textId="77777777" w:rsidR="00663B20" w:rsidRPr="00663B20" w:rsidRDefault="00663B20" w:rsidP="00663B20">
      <w:pPr>
        <w:spacing w:line="360" w:lineRule="auto"/>
        <w:jc w:val="both"/>
        <w:rPr>
          <w:rFonts w:eastAsia="Calibri"/>
          <w:lang w:val="es-ES" w:eastAsia="en-US"/>
        </w:rPr>
      </w:pPr>
    </w:p>
    <w:p w14:paraId="63FC7E96" w14:textId="77777777" w:rsidR="00663B20" w:rsidRPr="00663B20" w:rsidRDefault="00663B20" w:rsidP="00663B20">
      <w:pPr>
        <w:spacing w:line="360" w:lineRule="auto"/>
        <w:jc w:val="both"/>
        <w:rPr>
          <w:rFonts w:eastAsia="Calibri"/>
          <w:lang w:val="es-ES" w:eastAsia="en-US"/>
        </w:rPr>
      </w:pPr>
    </w:p>
    <w:p w14:paraId="68913AC6" w14:textId="77777777" w:rsidR="00663B20" w:rsidRPr="00663B20" w:rsidRDefault="00663B20" w:rsidP="00663B20">
      <w:pPr>
        <w:spacing w:line="360" w:lineRule="auto"/>
        <w:jc w:val="center"/>
        <w:rPr>
          <w:rFonts w:eastAsia="Calibri"/>
          <w:b/>
          <w:sz w:val="32"/>
          <w:szCs w:val="32"/>
          <w:lang w:val="en-US" w:eastAsia="en-US"/>
        </w:rPr>
      </w:pPr>
      <w:r w:rsidRPr="00663B20">
        <w:rPr>
          <w:rFonts w:eastAsia="Calibri"/>
          <w:b/>
          <w:sz w:val="32"/>
          <w:szCs w:val="32"/>
          <w:lang w:val="en-US" w:eastAsia="en-US"/>
        </w:rPr>
        <w:t>REFERENCIAS BIBLIOGRÁFICAS</w:t>
      </w:r>
    </w:p>
    <w:p w14:paraId="2688A88E" w14:textId="77777777" w:rsidR="00663B20" w:rsidRPr="00663B20" w:rsidRDefault="00663B20" w:rsidP="00663B20">
      <w:pPr>
        <w:spacing w:line="360" w:lineRule="auto"/>
        <w:rPr>
          <w:lang w:val="en-US" w:eastAsia="en-US"/>
        </w:rPr>
      </w:pPr>
      <w:r w:rsidRPr="00663B20">
        <w:rPr>
          <w:lang w:val="en-US" w:eastAsia="en-US"/>
        </w:rPr>
        <w:t xml:space="preserve">1. Walraven G, Telfer M, Rowley J, Ronsmans C. Maternal mortality in rural Gambia: levels, causes and contributing factors. World Health Organization. 2000 [acceso: 25/11/2022]; 78(5):603-13. Disponible en: </w:t>
      </w:r>
      <w:hyperlink r:id="rId14" w:history="1">
        <w:r w:rsidRPr="00663B20">
          <w:rPr>
            <w:color w:val="0563C1"/>
            <w:lang w:val="en-US" w:eastAsia="en-US"/>
          </w:rPr>
          <w:t>https://www.scielosp.org/pdf/bwho/v78n5/v78n5a05.pdf</w:t>
        </w:r>
      </w:hyperlink>
      <w:r w:rsidRPr="00663B20">
        <w:rPr>
          <w:lang w:val="en-US" w:eastAsia="en-US"/>
        </w:rPr>
        <w:t xml:space="preserve"> </w:t>
      </w:r>
    </w:p>
    <w:p w14:paraId="63B71544" w14:textId="77777777" w:rsidR="00663B20" w:rsidRPr="00663B20" w:rsidRDefault="00663B20" w:rsidP="00663B20">
      <w:pPr>
        <w:spacing w:line="360" w:lineRule="auto"/>
        <w:rPr>
          <w:lang w:val="es-ES" w:eastAsia="en-US"/>
        </w:rPr>
      </w:pPr>
      <w:r w:rsidRPr="00663B20">
        <w:rPr>
          <w:lang w:val="es-ES" w:eastAsia="en-US"/>
        </w:rPr>
        <w:t xml:space="preserve">2. Fong Pantoja L. Morbilidad materna en Unidad de Cuidados Intensivos del Hospital General Docente “Orlando Pantoja Tamayo”, Contramaestre 2014-2019. Rev Inf Cient . 2020 [acceso: 25/11/2022]; 99(1): 20-9. Disponible en: </w:t>
      </w:r>
      <w:hyperlink r:id="rId15" w:history="1">
        <w:r w:rsidRPr="00663B20">
          <w:rPr>
            <w:color w:val="0563C1"/>
            <w:lang w:val="es-ES" w:eastAsia="en-US"/>
          </w:rPr>
          <w:t>http://www.revinfcientifica.sld.cu/index.php/ric/article/view/2737</w:t>
        </w:r>
      </w:hyperlink>
      <w:r w:rsidRPr="00663B20">
        <w:rPr>
          <w:lang w:val="es-ES" w:eastAsia="en-US"/>
        </w:rPr>
        <w:t xml:space="preserve">  </w:t>
      </w:r>
    </w:p>
    <w:p w14:paraId="01B7CF10" w14:textId="77777777" w:rsidR="00663B20" w:rsidRPr="00663B20" w:rsidRDefault="00663B20" w:rsidP="00663B20">
      <w:pPr>
        <w:spacing w:line="360" w:lineRule="auto"/>
        <w:rPr>
          <w:lang w:val="en-US" w:eastAsia="en-US"/>
        </w:rPr>
      </w:pPr>
      <w:r w:rsidRPr="00663B20">
        <w:rPr>
          <w:lang w:val="en-US" w:eastAsia="en-US"/>
        </w:rPr>
        <w:t xml:space="preserve">3. Graham W, Wagaarachchi P, Penney G, McCaw Binns A, Yeboah Antwi K, Hall M. Criteria for clinical audit of the quality of hospital based obstetric care in developing countries. World Health Organization. 2000 [acceso:25/11/2022]; 78(5): 614-20. Disponible en: </w:t>
      </w:r>
      <w:hyperlink r:id="rId16" w:history="1">
        <w:r w:rsidRPr="00663B20">
          <w:rPr>
            <w:color w:val="0563C1"/>
            <w:lang w:val="en-US" w:eastAsia="en-US"/>
          </w:rPr>
          <w:t>https://www.scielosp.org/pdf/bwho/v78n5/v78n5a06.pdf</w:t>
        </w:r>
      </w:hyperlink>
      <w:r w:rsidRPr="00663B20">
        <w:rPr>
          <w:lang w:val="en-US" w:eastAsia="en-US"/>
        </w:rPr>
        <w:t xml:space="preserve"> </w:t>
      </w:r>
    </w:p>
    <w:p w14:paraId="038F47DF" w14:textId="77777777" w:rsidR="00663B20" w:rsidRPr="00663B20" w:rsidRDefault="00663B20" w:rsidP="00663B20">
      <w:pPr>
        <w:spacing w:line="360" w:lineRule="auto"/>
        <w:rPr>
          <w:lang w:val="en-US" w:eastAsia="en-US"/>
        </w:rPr>
      </w:pPr>
      <w:r w:rsidRPr="00663B20">
        <w:rPr>
          <w:lang w:val="en-US" w:eastAsia="en-US"/>
        </w:rPr>
        <w:t xml:space="preserve">4. Balachandran DM, Karuppusamy D, Maurya DK, Kar SS, Keepanasseril A. Indicators for maternal near miss: an observational study, India. World Health Organ. 2022 [acceso: 25/11/2022]; 100: 436-46. Disponible en:  </w:t>
      </w:r>
      <w:hyperlink r:id="rId17" w:history="1">
        <w:r w:rsidRPr="00663B20">
          <w:rPr>
            <w:color w:val="0563C1"/>
            <w:lang w:val="en-US" w:eastAsia="en-US"/>
          </w:rPr>
          <w:t>https://www.ncbi.nlm.nih.gov/pmc/articles/PMC9243687/pdf/BLT.21.287737.pdf</w:t>
        </w:r>
      </w:hyperlink>
      <w:r w:rsidRPr="00663B20">
        <w:rPr>
          <w:lang w:val="en-US" w:eastAsia="en-US"/>
        </w:rPr>
        <w:t xml:space="preserve"> </w:t>
      </w:r>
    </w:p>
    <w:p w14:paraId="2AC4EC30" w14:textId="77777777" w:rsidR="00663B20" w:rsidRPr="00663B20" w:rsidRDefault="00663B20" w:rsidP="00663B20">
      <w:pPr>
        <w:spacing w:line="360" w:lineRule="auto"/>
        <w:rPr>
          <w:lang w:val="es-ES" w:eastAsia="en-US"/>
        </w:rPr>
      </w:pPr>
      <w:r w:rsidRPr="00663B20">
        <w:rPr>
          <w:lang w:val="es-ES" w:eastAsia="en-US"/>
        </w:rPr>
        <w:t xml:space="preserve">5. Castañeda Abascal IE, Hernández Chiguil de Vaides JM. Mortalidad materna en Alta Verapaz, Guatemala, 2010 – 2018. Revista Cubana de Salud Pública. 2022 [acceso: 26/11/2022]; 48(1): 1-19. Disponible en: </w:t>
      </w:r>
      <w:hyperlink r:id="rId18" w:history="1">
        <w:r w:rsidRPr="00663B20">
          <w:rPr>
            <w:color w:val="0563C1"/>
            <w:lang w:val="es-ES" w:eastAsia="en-US"/>
          </w:rPr>
          <w:t>https://revsaludpublica.sld.cu/index.php/spu/article/view/3257</w:t>
        </w:r>
      </w:hyperlink>
      <w:r w:rsidRPr="00663B20">
        <w:rPr>
          <w:lang w:val="es-ES" w:eastAsia="en-US"/>
        </w:rPr>
        <w:t xml:space="preserve"> </w:t>
      </w:r>
    </w:p>
    <w:p w14:paraId="5FA5C46B" w14:textId="77777777" w:rsidR="00663B20" w:rsidRPr="00663B20" w:rsidRDefault="00663B20" w:rsidP="00663B20">
      <w:pPr>
        <w:spacing w:line="360" w:lineRule="auto"/>
        <w:rPr>
          <w:lang w:val="en-US" w:eastAsia="en-US"/>
        </w:rPr>
      </w:pPr>
      <w:r w:rsidRPr="00663B20">
        <w:rPr>
          <w:lang w:val="es-ES" w:eastAsia="en-US"/>
        </w:rPr>
        <w:lastRenderedPageBreak/>
        <w:t xml:space="preserve">6. Mitsuyama Y, Katayama Y, Oi K, Shimazaki J, Mimura K, Endo M, et al. </w:t>
      </w:r>
      <w:r w:rsidRPr="00663B20">
        <w:rPr>
          <w:lang w:val="en-US" w:eastAsia="en-US"/>
        </w:rPr>
        <w:t xml:space="preserve">The accuracy of contrast-enhanced computed tomography scans to detect postpartum haemorrhage: an observational study. BMC Pregnancy Childbirth. 2022; 22(67):1-8. DOI: </w:t>
      </w:r>
      <w:r w:rsidRPr="00663B20">
        <w:rPr>
          <w:rFonts w:eastAsia="Calibri"/>
          <w:lang w:val="en-US" w:eastAsia="en-US"/>
        </w:rPr>
        <w:t>10.1186/s12884-021-04306-2</w:t>
      </w:r>
      <w:r w:rsidRPr="00663B20">
        <w:rPr>
          <w:lang w:val="en-US" w:eastAsia="en-US"/>
        </w:rPr>
        <w:t xml:space="preserve"> </w:t>
      </w:r>
      <w:r w:rsidRPr="00663B20">
        <w:rPr>
          <w:rFonts w:eastAsia="Calibri"/>
          <w:color w:val="333333"/>
          <w:shd w:val="clear" w:color="auto" w:fill="FFFFFF"/>
          <w:lang w:val="en-US" w:eastAsia="en-US"/>
        </w:rPr>
        <w:t xml:space="preserve"> </w:t>
      </w:r>
    </w:p>
    <w:p w14:paraId="756D2967" w14:textId="77777777" w:rsidR="00663B20" w:rsidRPr="00663B20" w:rsidRDefault="00663B20" w:rsidP="00663B20">
      <w:pPr>
        <w:spacing w:line="360" w:lineRule="auto"/>
        <w:rPr>
          <w:lang w:val="es-ES" w:eastAsia="en-US"/>
        </w:rPr>
      </w:pPr>
      <w:r w:rsidRPr="00663B20">
        <w:rPr>
          <w:lang w:val="en-US" w:eastAsia="en-US"/>
        </w:rPr>
        <w:t xml:space="preserve">7. Borovac Pinheiro A, Ribeiro FM, Pacagnella RC. Risk Factors for Postpartum Hemorrhage and its Severe Forms with Blood Loss Evaluated Objectively – A Prospective Cohort Study. </w:t>
      </w:r>
      <w:r w:rsidRPr="00663B20">
        <w:rPr>
          <w:lang w:val="es-ES" w:eastAsia="en-US"/>
        </w:rPr>
        <w:t xml:space="preserve">Rev Bras Ginecol Obstet. 2021 [acceso: 26/11/2022]; 43(2):113-8. Disponible en: </w:t>
      </w:r>
      <w:hyperlink r:id="rId19" w:history="1">
        <w:r w:rsidRPr="00663B20">
          <w:rPr>
            <w:color w:val="0563C1"/>
            <w:lang w:val="es-ES" w:eastAsia="en-US"/>
          </w:rPr>
          <w:t>https://www.scielo.br/j/rbgo/a/67nZDKS4fBmkhxK7dT6J7GN/?format=pdf&amp;lang=en</w:t>
        </w:r>
      </w:hyperlink>
      <w:r w:rsidRPr="00663B20">
        <w:rPr>
          <w:lang w:val="es-ES" w:eastAsia="en-US"/>
        </w:rPr>
        <w:t xml:space="preserve"> </w:t>
      </w:r>
    </w:p>
    <w:p w14:paraId="77DA458E" w14:textId="77777777" w:rsidR="00663B20" w:rsidRPr="00663B20" w:rsidRDefault="00663B20" w:rsidP="00663B20">
      <w:pPr>
        <w:spacing w:line="360" w:lineRule="auto"/>
        <w:rPr>
          <w:lang w:val="en-US" w:eastAsia="en-US"/>
        </w:rPr>
      </w:pPr>
      <w:r w:rsidRPr="00663B20">
        <w:rPr>
          <w:lang w:val="en-US" w:eastAsia="en-US"/>
        </w:rPr>
        <w:t xml:space="preserve">8. Bazirete O, Nzayirambaho M, Umubyeyt A, Karangwa I, Evans M. Risk factors for postpartum haemorrhage in the Northern Province of Rwanda: A case control study. PLoSONE. 2022; 17(2):1-20. DOI: </w:t>
      </w:r>
      <w:r w:rsidRPr="00663B20">
        <w:rPr>
          <w:rFonts w:eastAsia="Calibri"/>
          <w:lang w:val="en-US" w:eastAsia="en-US"/>
        </w:rPr>
        <w:t>10.1371/journal.pone.0263731</w:t>
      </w:r>
      <w:r w:rsidRPr="00663B20">
        <w:rPr>
          <w:lang w:val="en-US" w:eastAsia="en-US"/>
        </w:rPr>
        <w:t xml:space="preserve"> </w:t>
      </w:r>
    </w:p>
    <w:p w14:paraId="0BAB6395" w14:textId="77777777" w:rsidR="00663B20" w:rsidRPr="00663B20" w:rsidRDefault="00663B20" w:rsidP="00663B20">
      <w:pPr>
        <w:spacing w:line="360" w:lineRule="auto"/>
        <w:rPr>
          <w:lang w:val="es-ES" w:eastAsia="en-US"/>
        </w:rPr>
      </w:pPr>
      <w:r w:rsidRPr="00663B20">
        <w:rPr>
          <w:lang w:val="en-US" w:eastAsia="en-US"/>
        </w:rPr>
        <w:t xml:space="preserve">9. Ramírez Hernández YY, Reyes Ortega PG, Ramírez Hernández JC. </w:t>
      </w:r>
      <w:r w:rsidRPr="00663B20">
        <w:rPr>
          <w:lang w:val="es-ES" w:eastAsia="en-US"/>
        </w:rPr>
        <w:t xml:space="preserve">Hemorragia obstétrica. Impacto en la salud pública. Milinaria Ciencia y arte. 2022 [acceso: 28/11/2022]; 19:13-5. Disponible en:  </w:t>
      </w:r>
      <w:hyperlink r:id="rId20" w:history="1">
        <w:r w:rsidRPr="00663B20">
          <w:rPr>
            <w:color w:val="0563C1"/>
            <w:lang w:val="es-ES" w:eastAsia="en-US"/>
          </w:rPr>
          <w:t>http://www.milenaria.umich.mx/ojs/index.php/milenaria/article/view/233/130</w:t>
        </w:r>
      </w:hyperlink>
      <w:r w:rsidRPr="00663B20">
        <w:rPr>
          <w:lang w:val="es-ES" w:eastAsia="en-US"/>
        </w:rPr>
        <w:t xml:space="preserve"> </w:t>
      </w:r>
    </w:p>
    <w:p w14:paraId="4917FC82" w14:textId="77777777" w:rsidR="00663B20" w:rsidRPr="00663B20" w:rsidRDefault="00663B20" w:rsidP="00663B20">
      <w:pPr>
        <w:spacing w:line="360" w:lineRule="auto"/>
        <w:rPr>
          <w:lang w:val="es-ES" w:eastAsia="en-US"/>
        </w:rPr>
      </w:pPr>
      <w:r w:rsidRPr="00663B20">
        <w:rPr>
          <w:lang w:val="es-ES" w:eastAsia="en-US"/>
        </w:rPr>
        <w:t xml:space="preserve">10. Sornoza Zavala R, Ordóñez Betancourth MA, Velásquez Pazmiño NJ, Espinoza Intriago MR. Hemorragias obstétricas. RECIAMUC. 2022 [acceso: 28/11/2022]; 6(2):287-95. Disponible en: </w:t>
      </w:r>
      <w:hyperlink r:id="rId21" w:history="1">
        <w:r w:rsidRPr="00663B20">
          <w:rPr>
            <w:color w:val="0563C1"/>
            <w:lang w:val="es-ES" w:eastAsia="en-US"/>
          </w:rPr>
          <w:t>https://www.reciamuc.com/index.php/RECIAMUC/article/view/857/1262</w:t>
        </w:r>
      </w:hyperlink>
      <w:r w:rsidRPr="00663B20">
        <w:rPr>
          <w:lang w:val="es-ES" w:eastAsia="en-US"/>
        </w:rPr>
        <w:t xml:space="preserve"> </w:t>
      </w:r>
    </w:p>
    <w:p w14:paraId="383ED59A" w14:textId="77777777" w:rsidR="00663B20" w:rsidRPr="00663B20" w:rsidRDefault="00663B20" w:rsidP="00663B20">
      <w:pPr>
        <w:spacing w:line="360" w:lineRule="auto"/>
        <w:rPr>
          <w:lang w:val="es-ES" w:eastAsia="en-US"/>
        </w:rPr>
      </w:pPr>
      <w:r w:rsidRPr="00663B20">
        <w:rPr>
          <w:lang w:val="es-ES" w:eastAsia="en-US"/>
        </w:rPr>
        <w:t xml:space="preserve">11. Ministerio de Salud Pública. Anuario Estadístico de Cuba, 2021. La Habana: Dirección Nacional de Registros Médicos y Estadísticas de Salud; 2022. [acceso: 28/11/2022]. Disponible en: </w:t>
      </w:r>
      <w:hyperlink r:id="rId22" w:history="1">
        <w:r w:rsidRPr="00663B20">
          <w:rPr>
            <w:color w:val="0563C1"/>
            <w:lang w:val="es-ES" w:eastAsia="en-US"/>
          </w:rPr>
          <w:t>https://files.sld.cu/dne/files/2022/10/Anuario-Estad%C3%ADstico-de-Salud-2021.-Ed-2022.pdf</w:t>
        </w:r>
      </w:hyperlink>
      <w:r w:rsidRPr="00663B20">
        <w:rPr>
          <w:lang w:val="es-ES" w:eastAsia="en-US"/>
        </w:rPr>
        <w:t xml:space="preserve"> </w:t>
      </w:r>
    </w:p>
    <w:p w14:paraId="5D954EA2" w14:textId="77777777" w:rsidR="00663B20" w:rsidRPr="00663B20" w:rsidRDefault="00663B20" w:rsidP="00663B20">
      <w:pPr>
        <w:spacing w:line="360" w:lineRule="auto"/>
        <w:rPr>
          <w:lang w:val="es-ES" w:eastAsia="en-US"/>
        </w:rPr>
      </w:pPr>
      <w:r w:rsidRPr="00663B20">
        <w:rPr>
          <w:lang w:val="es-ES" w:eastAsia="en-US"/>
        </w:rPr>
        <w:t xml:space="preserve">12. Fernández González L, Peñalvo JL, Martínez Morales MÁ, Seuc Jo AH, Gálvez Medina D, Morejón Giraldoni AF. Estudio de la carga de mortalidad materna por causas indirectas. Revista Finlay. 2022 [acceso: 30/11/2022];12(1):1-8. Disponible en: </w:t>
      </w:r>
      <w:hyperlink r:id="rId23" w:history="1">
        <w:r w:rsidRPr="00663B20">
          <w:rPr>
            <w:color w:val="0563C1"/>
            <w:lang w:val="es-ES" w:eastAsia="en-US"/>
          </w:rPr>
          <w:t>http://scielo.sld.cu/pdf/rf/v12n1/2221-2434-rf-12-01-57.pdf</w:t>
        </w:r>
      </w:hyperlink>
      <w:r w:rsidRPr="00663B20">
        <w:rPr>
          <w:lang w:val="es-ES" w:eastAsia="en-US"/>
        </w:rPr>
        <w:t xml:space="preserve"> </w:t>
      </w:r>
    </w:p>
    <w:p w14:paraId="43F686F3" w14:textId="77777777" w:rsidR="00663B20" w:rsidRPr="00663B20" w:rsidRDefault="00663B20" w:rsidP="00663B20">
      <w:pPr>
        <w:spacing w:line="360" w:lineRule="auto"/>
        <w:rPr>
          <w:lang w:val="es-ES" w:eastAsia="en-US"/>
        </w:rPr>
      </w:pPr>
      <w:r w:rsidRPr="00663B20">
        <w:rPr>
          <w:lang w:val="es-ES" w:eastAsia="en-US"/>
        </w:rPr>
        <w:t xml:space="preserve">13. Elias Armas KS, Pérez Galbán V, Bravo Hernández N, Frómeta-Tamayo RR. Morbilidad materna en pacientes adscritas al Policlínico Universitario “Omar Ranedo Pubillones”, Guantánamo. Rev Inf Cient. 2021 [acceso: 30/11/2022]; 100(2):1-13. Disponible en: </w:t>
      </w:r>
      <w:hyperlink r:id="rId24" w:history="1">
        <w:r w:rsidRPr="00663B20">
          <w:rPr>
            <w:color w:val="0563C1"/>
            <w:lang w:val="es-ES" w:eastAsia="en-US"/>
          </w:rPr>
          <w:t>http://www.revinfcientifica.sld.cu/index.php/ric/article/view/3386</w:t>
        </w:r>
      </w:hyperlink>
      <w:r w:rsidRPr="00663B20">
        <w:rPr>
          <w:lang w:val="es-ES" w:eastAsia="en-US"/>
        </w:rPr>
        <w:t xml:space="preserve"> </w:t>
      </w:r>
    </w:p>
    <w:p w14:paraId="63A3F9E8" w14:textId="77777777" w:rsidR="00663B20" w:rsidRPr="00663B20" w:rsidRDefault="00663B20" w:rsidP="00663B20">
      <w:pPr>
        <w:spacing w:line="360" w:lineRule="auto"/>
        <w:rPr>
          <w:lang w:val="es-ES" w:eastAsia="en-US"/>
        </w:rPr>
      </w:pPr>
      <w:r w:rsidRPr="00663B20">
        <w:rPr>
          <w:lang w:val="es-ES" w:eastAsia="en-US"/>
        </w:rPr>
        <w:lastRenderedPageBreak/>
        <w:t xml:space="preserve">14. García Lavandeira S, Álvarez Silvares E, Rubio Cid P, Borrajo Hernández E. Hemorragia posparto secundaria o tardía. Ginecol Obstet Mex. 2017 [acceso: 01/12/2022]; 85(4):254-68. Disponible en: </w:t>
      </w:r>
      <w:hyperlink r:id="rId25" w:history="1">
        <w:r w:rsidRPr="00663B20">
          <w:rPr>
            <w:color w:val="0563C1"/>
            <w:lang w:val="es-ES" w:eastAsia="en-US"/>
          </w:rPr>
          <w:t>https://www.scielo.org.mx/pdf/gom/v85n4/0300-9041-gom-85-04-00007.pdf</w:t>
        </w:r>
      </w:hyperlink>
      <w:r w:rsidRPr="00663B20">
        <w:rPr>
          <w:lang w:val="es-ES" w:eastAsia="en-US"/>
        </w:rPr>
        <w:t xml:space="preserve"> </w:t>
      </w:r>
    </w:p>
    <w:p w14:paraId="24B72D1F" w14:textId="77777777" w:rsidR="00663B20" w:rsidRPr="00663B20" w:rsidRDefault="00663B20" w:rsidP="00663B20">
      <w:pPr>
        <w:spacing w:line="360" w:lineRule="auto"/>
        <w:rPr>
          <w:lang w:val="es-ES" w:eastAsia="en-US"/>
        </w:rPr>
      </w:pPr>
      <w:r w:rsidRPr="00663B20">
        <w:rPr>
          <w:lang w:val="es-ES" w:eastAsia="en-US"/>
        </w:rPr>
        <w:t xml:space="preserve">15. Fernández Lombar JO, Elías Sierra R, Bayard Joseff I, Elias Armas KS. La hemorragia obstétrica en el servicio de Anestesiología del Hospital ʺDr. Agostinho Netoˮ. Revista Cubana de Obstetricia y Ginecología. 2019 [acceso: 01/12/2022]; 45(1):25-37. Disponible en: </w:t>
      </w:r>
      <w:hyperlink r:id="rId26" w:history="1">
        <w:r w:rsidRPr="00663B20">
          <w:rPr>
            <w:color w:val="0563C1"/>
            <w:lang w:val="es-ES" w:eastAsia="en-US"/>
          </w:rPr>
          <w:t>http://scielo.sld.cu/pdf/gin/v45n1/1561-3062-gin-45-01-25.pdf</w:t>
        </w:r>
      </w:hyperlink>
      <w:r w:rsidRPr="00663B20">
        <w:rPr>
          <w:lang w:val="es-ES" w:eastAsia="en-US"/>
        </w:rPr>
        <w:t xml:space="preserve"> </w:t>
      </w:r>
    </w:p>
    <w:p w14:paraId="224AD10F" w14:textId="77777777" w:rsidR="00663B20" w:rsidRPr="00663B20" w:rsidRDefault="00663B20" w:rsidP="00663B20">
      <w:pPr>
        <w:spacing w:line="360" w:lineRule="auto"/>
        <w:rPr>
          <w:lang w:val="es-ES" w:eastAsia="en-US"/>
        </w:rPr>
      </w:pPr>
      <w:r w:rsidRPr="00663B20">
        <w:rPr>
          <w:lang w:val="es-ES" w:eastAsia="en-US"/>
        </w:rPr>
        <w:t xml:space="preserve">16. Puello Ávila AC, Rodríguez Ortiz JA, Giraldo Méndez N, Castro Herrera LM. </w:t>
      </w:r>
      <w:r w:rsidRPr="00663B20">
        <w:rPr>
          <w:lang w:val="en-US" w:eastAsia="en-US"/>
        </w:rPr>
        <w:t xml:space="preserve">The risk of Newborn Exposed to Maternal Near Miss Events in a High-Risk Pregnancy Center (Colombia). Univ Med. 2021; 62(4):1-9. </w:t>
      </w:r>
      <w:r w:rsidRPr="00663B20">
        <w:rPr>
          <w:lang w:val="es-ES" w:eastAsia="en-US"/>
        </w:rPr>
        <w:t xml:space="preserve">DOI: </w:t>
      </w:r>
      <w:r w:rsidRPr="00663B20">
        <w:rPr>
          <w:rFonts w:eastAsia="Calibri"/>
          <w:lang w:val="es-ES" w:eastAsia="en-US"/>
        </w:rPr>
        <w:t>10.11144/Javeriana.umed62-4.mmia</w:t>
      </w:r>
      <w:r w:rsidRPr="00663B20">
        <w:rPr>
          <w:lang w:val="es-ES" w:eastAsia="en-US"/>
        </w:rPr>
        <w:t xml:space="preserve"> </w:t>
      </w:r>
    </w:p>
    <w:p w14:paraId="2B42FB46" w14:textId="77777777" w:rsidR="00663B20" w:rsidRPr="00663B20" w:rsidRDefault="00663B20" w:rsidP="00663B20">
      <w:pPr>
        <w:spacing w:line="360" w:lineRule="auto"/>
        <w:rPr>
          <w:lang w:val="es-ES" w:eastAsia="en-US"/>
        </w:rPr>
      </w:pPr>
      <w:r w:rsidRPr="00663B20">
        <w:rPr>
          <w:lang w:val="es-ES" w:eastAsia="en-US"/>
        </w:rPr>
        <w:t xml:space="preserve">17. Torre León T, Nava López JA, Carrillo Esper R, Hernández Reguero JL, Torre León MA, Miranda Contreras A, et al. Refrigerador de la hemorragia obstétrica. Revista Mexicana de Anestesiología. 2018 [acceso: 03/12/2022]; 41(1): 38-44. Disponible en: </w:t>
      </w:r>
      <w:hyperlink r:id="rId27" w:history="1">
        <w:r w:rsidRPr="00663B20">
          <w:rPr>
            <w:color w:val="0563C1"/>
            <w:lang w:val="es-ES" w:eastAsia="en-US"/>
          </w:rPr>
          <w:t>https://www.researchgate.net/profile/Jorge-Nava-Lopez/publication/323797386_Refrigerador_de_la_hemorragia_obstetrica/links/5bf5c8fc299bf1124fe4cce2/Refrigerador-de-la-hemorragia-obstetrica.pdf</w:t>
        </w:r>
      </w:hyperlink>
      <w:r w:rsidRPr="00663B20">
        <w:rPr>
          <w:lang w:val="es-ES" w:eastAsia="en-US"/>
        </w:rPr>
        <w:t xml:space="preserve"> </w:t>
      </w:r>
    </w:p>
    <w:p w14:paraId="43AE8991" w14:textId="77777777" w:rsidR="00663B20" w:rsidRPr="00663B20" w:rsidRDefault="00663B20" w:rsidP="00663B20">
      <w:pPr>
        <w:spacing w:line="360" w:lineRule="auto"/>
        <w:jc w:val="both"/>
        <w:rPr>
          <w:rFonts w:eastAsia="Calibri"/>
          <w:b/>
          <w:bCs/>
          <w:lang w:val="es-ES" w:eastAsia="en-US"/>
        </w:rPr>
      </w:pPr>
    </w:p>
    <w:p w14:paraId="19E0510D" w14:textId="77777777" w:rsidR="00663B20" w:rsidRPr="00663B20" w:rsidRDefault="00663B20" w:rsidP="00663B20">
      <w:pPr>
        <w:spacing w:line="360" w:lineRule="auto"/>
        <w:jc w:val="center"/>
        <w:rPr>
          <w:rFonts w:eastAsia="Calibri"/>
          <w:b/>
          <w:bCs/>
          <w:lang w:val="es-ES" w:eastAsia="en-US"/>
        </w:rPr>
      </w:pPr>
    </w:p>
    <w:p w14:paraId="4D921D3D" w14:textId="77777777" w:rsidR="00663B20" w:rsidRPr="00663B20" w:rsidRDefault="00663B20" w:rsidP="00663B20">
      <w:pPr>
        <w:spacing w:line="360" w:lineRule="auto"/>
        <w:jc w:val="center"/>
        <w:rPr>
          <w:rFonts w:eastAsia="Calibri"/>
          <w:b/>
          <w:bCs/>
          <w:lang w:val="es-ES" w:eastAsia="en-US"/>
        </w:rPr>
      </w:pPr>
      <w:r w:rsidRPr="00663B20">
        <w:rPr>
          <w:rFonts w:eastAsia="Calibri"/>
          <w:b/>
          <w:bCs/>
          <w:lang w:val="es-ES" w:eastAsia="en-US"/>
        </w:rPr>
        <w:t>Conflictos de interés</w:t>
      </w:r>
    </w:p>
    <w:p w14:paraId="79788BDE"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Los autores no reportan conflictos de interés.</w:t>
      </w:r>
    </w:p>
    <w:p w14:paraId="209AB445" w14:textId="77777777" w:rsidR="00663B20" w:rsidRPr="00663B20" w:rsidRDefault="00663B20" w:rsidP="00663B20">
      <w:pPr>
        <w:spacing w:line="360" w:lineRule="auto"/>
        <w:jc w:val="both"/>
        <w:rPr>
          <w:rFonts w:eastAsia="Calibri"/>
          <w:b/>
          <w:bCs/>
          <w:lang w:val="es-ES" w:eastAsia="en-US"/>
        </w:rPr>
      </w:pPr>
    </w:p>
    <w:p w14:paraId="6A026ED7" w14:textId="77777777" w:rsidR="00663B20" w:rsidRPr="00663B20" w:rsidRDefault="00663B20" w:rsidP="00663B20">
      <w:pPr>
        <w:spacing w:line="360" w:lineRule="auto"/>
        <w:jc w:val="center"/>
        <w:rPr>
          <w:rFonts w:eastAsia="Calibri"/>
          <w:b/>
          <w:bCs/>
          <w:lang w:val="es-ES" w:eastAsia="en-US"/>
        </w:rPr>
      </w:pPr>
      <w:r w:rsidRPr="00663B20">
        <w:rPr>
          <w:rFonts w:eastAsia="Calibri"/>
          <w:b/>
          <w:bCs/>
          <w:lang w:val="es-ES" w:eastAsia="en-US"/>
        </w:rPr>
        <w:t>Contribuciones de los autores</w:t>
      </w:r>
    </w:p>
    <w:p w14:paraId="7A631BA6"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 xml:space="preserve">Conceptualización: </w:t>
      </w:r>
      <w:r w:rsidRPr="00663B20">
        <w:rPr>
          <w:rFonts w:eastAsia="Calibri"/>
          <w:i/>
          <w:iCs/>
          <w:lang w:val="es-ES" w:eastAsia="en-US"/>
        </w:rPr>
        <w:t>Luis Fong Pantoja, Milagros Garcés Suarez.</w:t>
      </w:r>
    </w:p>
    <w:p w14:paraId="47289E93"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 xml:space="preserve">Curación de datos: </w:t>
      </w:r>
      <w:r w:rsidRPr="00663B20">
        <w:rPr>
          <w:rFonts w:eastAsia="Calibri"/>
          <w:i/>
          <w:iCs/>
          <w:lang w:val="es-ES" w:eastAsia="en-US"/>
        </w:rPr>
        <w:t>Luis Fong Pantoja, Milagros Garcés Suarez.</w:t>
      </w:r>
    </w:p>
    <w:p w14:paraId="7C583D33" w14:textId="77777777" w:rsidR="00663B20" w:rsidRPr="00663B20" w:rsidRDefault="00663B20" w:rsidP="00663B20">
      <w:pPr>
        <w:spacing w:line="360" w:lineRule="auto"/>
        <w:jc w:val="both"/>
        <w:rPr>
          <w:rFonts w:eastAsia="Calibri"/>
          <w:i/>
          <w:iCs/>
          <w:lang w:val="es-ES" w:eastAsia="en-US"/>
        </w:rPr>
      </w:pPr>
      <w:r w:rsidRPr="00663B20">
        <w:rPr>
          <w:rFonts w:eastAsia="Calibri"/>
          <w:lang w:val="es-ES" w:eastAsia="en-US"/>
        </w:rPr>
        <w:t xml:space="preserve">Análisis formal: </w:t>
      </w:r>
      <w:r w:rsidRPr="00663B20">
        <w:rPr>
          <w:rFonts w:eastAsia="Calibri"/>
          <w:i/>
          <w:iCs/>
          <w:lang w:val="es-ES" w:eastAsia="en-US"/>
        </w:rPr>
        <w:t>Luis Fong Pantoja.</w:t>
      </w:r>
    </w:p>
    <w:p w14:paraId="6030B886"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 xml:space="preserve">Investigación: </w:t>
      </w:r>
      <w:r w:rsidRPr="00663B20">
        <w:rPr>
          <w:rFonts w:eastAsia="Calibri"/>
          <w:i/>
          <w:iCs/>
          <w:lang w:val="es-ES" w:eastAsia="en-US"/>
        </w:rPr>
        <w:t>Luis Fong Pantoja, Milagros Garcés Suarez.</w:t>
      </w:r>
    </w:p>
    <w:p w14:paraId="4823D534"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 xml:space="preserve">Metodología: </w:t>
      </w:r>
      <w:r w:rsidRPr="00663B20">
        <w:rPr>
          <w:rFonts w:eastAsia="Calibri"/>
          <w:i/>
          <w:iCs/>
          <w:lang w:val="es-ES" w:eastAsia="en-US"/>
        </w:rPr>
        <w:t>Luis Fong Pantoja.</w:t>
      </w:r>
    </w:p>
    <w:p w14:paraId="21B714A4"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 xml:space="preserve">Administración del proyecto: </w:t>
      </w:r>
      <w:r w:rsidRPr="00663B20">
        <w:rPr>
          <w:rFonts w:eastAsia="Calibri"/>
          <w:i/>
          <w:iCs/>
          <w:lang w:val="es-ES" w:eastAsia="en-US"/>
        </w:rPr>
        <w:t>Luis Fong Pantoja, Milagros Garcés Suarez.</w:t>
      </w:r>
    </w:p>
    <w:p w14:paraId="079FAEE0" w14:textId="77777777" w:rsidR="00663B20" w:rsidRPr="00663B20" w:rsidRDefault="00663B20" w:rsidP="00663B20">
      <w:pPr>
        <w:spacing w:line="360" w:lineRule="auto"/>
        <w:jc w:val="both"/>
        <w:rPr>
          <w:rFonts w:eastAsia="Calibri"/>
          <w:i/>
          <w:iCs/>
          <w:lang w:val="es-ES" w:eastAsia="en-US"/>
        </w:rPr>
      </w:pPr>
      <w:r w:rsidRPr="00663B20">
        <w:rPr>
          <w:rFonts w:eastAsia="Calibri"/>
          <w:lang w:val="es-ES" w:eastAsia="en-US"/>
        </w:rPr>
        <w:t xml:space="preserve">Supervisión: </w:t>
      </w:r>
      <w:r w:rsidRPr="00663B20">
        <w:rPr>
          <w:rFonts w:eastAsia="Calibri"/>
          <w:i/>
          <w:iCs/>
          <w:lang w:val="es-ES" w:eastAsia="en-US"/>
        </w:rPr>
        <w:t>Luis Fong Pantoja.</w:t>
      </w:r>
    </w:p>
    <w:p w14:paraId="14046BF1"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lastRenderedPageBreak/>
        <w:t xml:space="preserve">Validación: </w:t>
      </w:r>
      <w:r w:rsidRPr="00663B20">
        <w:rPr>
          <w:rFonts w:eastAsia="Calibri"/>
          <w:i/>
          <w:iCs/>
          <w:lang w:val="es-ES" w:eastAsia="en-US"/>
        </w:rPr>
        <w:t>Luis Fong Pantoja.</w:t>
      </w:r>
    </w:p>
    <w:p w14:paraId="08ADC89B"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 xml:space="preserve">Visualización: </w:t>
      </w:r>
      <w:r w:rsidRPr="00663B20">
        <w:rPr>
          <w:rFonts w:eastAsia="Calibri"/>
          <w:i/>
          <w:iCs/>
          <w:lang w:val="es-ES" w:eastAsia="en-US"/>
        </w:rPr>
        <w:t>Luis Fong Pantoja, Milagros Garcés Suarez.</w:t>
      </w:r>
    </w:p>
    <w:p w14:paraId="0DF5A3CD"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 xml:space="preserve">Redacción - borrador original: </w:t>
      </w:r>
      <w:r w:rsidRPr="00663B20">
        <w:rPr>
          <w:rFonts w:eastAsia="Calibri"/>
          <w:i/>
          <w:iCs/>
          <w:lang w:val="es-ES" w:eastAsia="en-US"/>
        </w:rPr>
        <w:t>Luis Fong Pantoja, Milagros Garcés Suarez.</w:t>
      </w:r>
    </w:p>
    <w:p w14:paraId="23999982" w14:textId="77777777" w:rsidR="00663B20" w:rsidRPr="00663B20" w:rsidRDefault="00663B20" w:rsidP="00663B20">
      <w:pPr>
        <w:spacing w:line="360" w:lineRule="auto"/>
        <w:jc w:val="both"/>
        <w:rPr>
          <w:rFonts w:eastAsia="Calibri"/>
          <w:lang w:val="es-ES" w:eastAsia="en-US"/>
        </w:rPr>
      </w:pPr>
      <w:r w:rsidRPr="00663B20">
        <w:rPr>
          <w:rFonts w:eastAsia="Calibri"/>
          <w:lang w:val="es-ES" w:eastAsia="en-US"/>
        </w:rPr>
        <w:t xml:space="preserve">Redacción- revisión y edición: </w:t>
      </w:r>
      <w:r w:rsidRPr="00663B20">
        <w:rPr>
          <w:rFonts w:eastAsia="Calibri"/>
          <w:i/>
          <w:iCs/>
          <w:lang w:val="es-ES" w:eastAsia="en-US"/>
        </w:rPr>
        <w:t>Luis Fong Pantoja, Milagros Garcés Suarez.</w:t>
      </w:r>
    </w:p>
    <w:p w14:paraId="55D395F2" w14:textId="77777777" w:rsidR="00675476" w:rsidRPr="00663B20" w:rsidRDefault="00675476" w:rsidP="00EA1FEF">
      <w:pPr>
        <w:pStyle w:val="PDFRevista"/>
        <w:rPr>
          <w:lang w:val="es-ES"/>
        </w:rPr>
      </w:pPr>
    </w:p>
    <w:sectPr w:rsidR="00675476" w:rsidRPr="00663B20" w:rsidSect="00FD3DF8">
      <w:headerReference w:type="default" r:id="rId28"/>
      <w:footerReference w:type="even" r:id="rId29"/>
      <w:footerReference w:type="default" r:id="rId3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1ABD2" w14:textId="77777777" w:rsidR="00597BF0" w:rsidRDefault="00597BF0">
      <w:r>
        <w:separator/>
      </w:r>
    </w:p>
  </w:endnote>
  <w:endnote w:type="continuationSeparator" w:id="0">
    <w:p w14:paraId="1DA0D3C4" w14:textId="77777777" w:rsidR="00597BF0" w:rsidRDefault="0059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6BE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45BAC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193B" w14:textId="64008917" w:rsidR="000F3690" w:rsidRPr="00AE044C" w:rsidRDefault="00663B20"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C68ED5A" wp14:editId="0B735E97">
              <wp:simplePos x="0" y="0"/>
              <wp:positionH relativeFrom="column">
                <wp:posOffset>3810</wp:posOffset>
              </wp:positionH>
              <wp:positionV relativeFrom="paragraph">
                <wp:posOffset>50165</wp:posOffset>
              </wp:positionV>
              <wp:extent cx="6286500" cy="19050"/>
              <wp:effectExtent l="19050" t="19050" r="0" b="0"/>
              <wp:wrapNone/>
              <wp:docPr id="94432054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4F6818"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542BBC15"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CDB4EB1"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7466A6B4" w14:textId="4F635706"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663B20" w:rsidRPr="00663B20">
      <w:rPr>
        <w:rFonts w:ascii="Verdana" w:hAnsi="Verdana"/>
        <w:noProof/>
        <w:sz w:val="18"/>
        <w:szCs w:val="18"/>
        <w:lang w:val="en-US" w:eastAsia="en-US"/>
      </w:rPr>
      <w:drawing>
        <wp:inline distT="0" distB="0" distL="0" distR="0" wp14:anchorId="20665CBB" wp14:editId="4D018BF7">
          <wp:extent cx="641350" cy="149860"/>
          <wp:effectExtent l="0" t="0" r="0" b="0"/>
          <wp:docPr id="825393736"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98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42CF8" w14:textId="77777777" w:rsidR="00597BF0" w:rsidRDefault="00597BF0">
      <w:r>
        <w:separator/>
      </w:r>
    </w:p>
  </w:footnote>
  <w:footnote w:type="continuationSeparator" w:id="0">
    <w:p w14:paraId="23601BE3" w14:textId="77777777" w:rsidR="00597BF0" w:rsidRDefault="00597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2C62B" w14:textId="60046510" w:rsidR="00CC376A" w:rsidRPr="00AE044C" w:rsidRDefault="00663B20"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r>
      <w:rPr>
        <w:sz w:val="22"/>
        <w:szCs w:val="22"/>
      </w:rPr>
      <w:t>:e02303015</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02BE608A" wp14:editId="19EE24BF">
          <wp:simplePos x="0" y="0"/>
          <wp:positionH relativeFrom="column">
            <wp:posOffset>2540</wp:posOffset>
          </wp:positionH>
          <wp:positionV relativeFrom="paragraph">
            <wp:posOffset>-598805</wp:posOffset>
          </wp:positionV>
          <wp:extent cx="6333490" cy="593725"/>
          <wp:effectExtent l="0" t="0" r="0" b="0"/>
          <wp:wrapNone/>
          <wp:docPr id="50319784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B9478B" w14:textId="3D1DFE23" w:rsidR="00A477DE" w:rsidRDefault="00663B20">
    <w:r>
      <w:rPr>
        <w:noProof/>
      </w:rPr>
      <mc:AlternateContent>
        <mc:Choice Requires="wps">
          <w:drawing>
            <wp:anchor distT="0" distB="0" distL="114300" distR="114300" simplePos="0" relativeHeight="251654144" behindDoc="0" locked="0" layoutInCell="1" allowOverlap="1" wp14:anchorId="5C8A3039" wp14:editId="7CD61CDB">
              <wp:simplePos x="0" y="0"/>
              <wp:positionH relativeFrom="column">
                <wp:posOffset>635</wp:posOffset>
              </wp:positionH>
              <wp:positionV relativeFrom="paragraph">
                <wp:posOffset>42545</wp:posOffset>
              </wp:positionV>
              <wp:extent cx="6307455" cy="28575"/>
              <wp:effectExtent l="19050" t="19050" r="17145" b="9525"/>
              <wp:wrapNone/>
              <wp:docPr id="1508246761"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B0B3C4"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25B00"/>
    <w:multiLevelType w:val="hybridMultilevel"/>
    <w:tmpl w:val="B3FA1FFC"/>
    <w:lvl w:ilvl="0" w:tplc="5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6A132560"/>
    <w:multiLevelType w:val="hybridMultilevel"/>
    <w:tmpl w:val="0D78FAB0"/>
    <w:lvl w:ilvl="0" w:tplc="5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291865">
    <w:abstractNumId w:val="1"/>
  </w:num>
  <w:num w:numId="2" w16cid:durableId="1311326648">
    <w:abstractNumId w:val="2"/>
  </w:num>
  <w:num w:numId="3" w16cid:durableId="1636640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20"/>
    <w:rsid w:val="00057F45"/>
    <w:rsid w:val="0006737A"/>
    <w:rsid w:val="000D3958"/>
    <w:rsid w:val="000F3690"/>
    <w:rsid w:val="00104C5F"/>
    <w:rsid w:val="001221D1"/>
    <w:rsid w:val="00127603"/>
    <w:rsid w:val="00165CB5"/>
    <w:rsid w:val="00180CE9"/>
    <w:rsid w:val="00230DD5"/>
    <w:rsid w:val="00250AE9"/>
    <w:rsid w:val="00380D64"/>
    <w:rsid w:val="00391509"/>
    <w:rsid w:val="003C5EF8"/>
    <w:rsid w:val="003E03D5"/>
    <w:rsid w:val="00486BFA"/>
    <w:rsid w:val="00493701"/>
    <w:rsid w:val="004E2065"/>
    <w:rsid w:val="005508A2"/>
    <w:rsid w:val="0055115D"/>
    <w:rsid w:val="00566F71"/>
    <w:rsid w:val="005918BD"/>
    <w:rsid w:val="00592464"/>
    <w:rsid w:val="00597BF0"/>
    <w:rsid w:val="006173A6"/>
    <w:rsid w:val="006256CF"/>
    <w:rsid w:val="00663B20"/>
    <w:rsid w:val="00675476"/>
    <w:rsid w:val="0078095F"/>
    <w:rsid w:val="007C430F"/>
    <w:rsid w:val="007D2D0C"/>
    <w:rsid w:val="007D614D"/>
    <w:rsid w:val="0089769B"/>
    <w:rsid w:val="00915D3C"/>
    <w:rsid w:val="00960D6A"/>
    <w:rsid w:val="009A0560"/>
    <w:rsid w:val="009B0917"/>
    <w:rsid w:val="009F0F96"/>
    <w:rsid w:val="00A070B3"/>
    <w:rsid w:val="00A23C0C"/>
    <w:rsid w:val="00A477DE"/>
    <w:rsid w:val="00A66186"/>
    <w:rsid w:val="00A71E65"/>
    <w:rsid w:val="00AE044C"/>
    <w:rsid w:val="00B31971"/>
    <w:rsid w:val="00B33952"/>
    <w:rsid w:val="00B33E0E"/>
    <w:rsid w:val="00B4380A"/>
    <w:rsid w:val="00B66ECB"/>
    <w:rsid w:val="00C7523A"/>
    <w:rsid w:val="00CC1B6E"/>
    <w:rsid w:val="00CC376A"/>
    <w:rsid w:val="00CC48A1"/>
    <w:rsid w:val="00CF50E0"/>
    <w:rsid w:val="00D646BC"/>
    <w:rsid w:val="00D85951"/>
    <w:rsid w:val="00E62606"/>
    <w:rsid w:val="00E65065"/>
    <w:rsid w:val="00EA1FEF"/>
    <w:rsid w:val="00EA7A7B"/>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771E3"/>
  <w15:docId w15:val="{07A7A975-EDF0-4371-9322-D143FA12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numbering" w:customStyle="1" w:styleId="Sinlista1">
    <w:name w:val="Sin lista1"/>
    <w:next w:val="Sinlista"/>
    <w:uiPriority w:val="99"/>
    <w:semiHidden/>
    <w:unhideWhenUsed/>
    <w:rsid w:val="00663B20"/>
  </w:style>
  <w:style w:type="table" w:customStyle="1" w:styleId="Tablaconcuadrcula1">
    <w:name w:val="Tabla con cuadrícula1"/>
    <w:basedOn w:val="Tablanormal"/>
    <w:next w:val="Tablaconcuadrcula"/>
    <w:uiPriority w:val="39"/>
    <w:rsid w:val="00663B20"/>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3B20"/>
    <w:pPr>
      <w:autoSpaceDE w:val="0"/>
      <w:autoSpaceDN w:val="0"/>
      <w:adjustRightInd w:val="0"/>
    </w:pPr>
    <w:rPr>
      <w:rFonts w:eastAsia="Calibri"/>
      <w:color w:val="000000"/>
      <w:sz w:val="24"/>
      <w:szCs w:val="24"/>
      <w:lang w:val="es-ES"/>
    </w:rPr>
  </w:style>
  <w:style w:type="character" w:styleId="Refdecomentario">
    <w:name w:val="annotation reference"/>
    <w:uiPriority w:val="99"/>
    <w:semiHidden/>
    <w:unhideWhenUsed/>
    <w:rsid w:val="00663B20"/>
    <w:rPr>
      <w:sz w:val="16"/>
      <w:szCs w:val="16"/>
    </w:rPr>
  </w:style>
  <w:style w:type="paragraph" w:customStyle="1" w:styleId="Textocomentario1">
    <w:name w:val="Texto comentario1"/>
    <w:basedOn w:val="Normal"/>
    <w:next w:val="Textocomentario"/>
    <w:link w:val="TextocomentarioCar"/>
    <w:uiPriority w:val="99"/>
    <w:unhideWhenUsed/>
    <w:qFormat/>
    <w:rsid w:val="00663B20"/>
    <w:pPr>
      <w:spacing w:after="200"/>
    </w:pPr>
    <w:rPr>
      <w:sz w:val="20"/>
      <w:szCs w:val="20"/>
      <w:lang w:val="en-US" w:eastAsia="en-US"/>
    </w:rPr>
  </w:style>
  <w:style w:type="character" w:customStyle="1" w:styleId="TextocomentarioCar">
    <w:name w:val="Texto comentario Car"/>
    <w:link w:val="Textocomentario1"/>
    <w:uiPriority w:val="99"/>
    <w:qFormat/>
    <w:rsid w:val="00663B20"/>
    <w:rPr>
      <w:sz w:val="20"/>
      <w:szCs w:val="20"/>
    </w:rPr>
  </w:style>
  <w:style w:type="character" w:styleId="nfasis">
    <w:name w:val="Emphasis"/>
    <w:uiPriority w:val="20"/>
    <w:qFormat/>
    <w:rsid w:val="00663B20"/>
    <w:rPr>
      <w:i/>
      <w:iCs/>
    </w:rPr>
  </w:style>
  <w:style w:type="paragraph" w:styleId="Textoindependiente">
    <w:name w:val="Body Text"/>
    <w:basedOn w:val="Normal"/>
    <w:link w:val="TextoindependienteCar"/>
    <w:uiPriority w:val="99"/>
    <w:unhideWhenUsed/>
    <w:rsid w:val="00663B20"/>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663B20"/>
    <w:rPr>
      <w:rFonts w:ascii="Arial" w:hAnsi="Arial" w:cs="Arial"/>
      <w:sz w:val="12"/>
      <w:szCs w:val="12"/>
      <w:lang w:val="es-ES" w:eastAsia="es-ES"/>
    </w:rPr>
  </w:style>
  <w:style w:type="paragraph" w:customStyle="1" w:styleId="Asuntodelcomentario1">
    <w:name w:val="Asunto del comentario1"/>
    <w:basedOn w:val="Textocomentario"/>
    <w:next w:val="Textocomentario"/>
    <w:uiPriority w:val="99"/>
    <w:semiHidden/>
    <w:unhideWhenUsed/>
    <w:rsid w:val="00663B20"/>
    <w:pPr>
      <w:spacing w:after="160"/>
    </w:pPr>
    <w:rPr>
      <w:rFonts w:ascii="Calibri" w:eastAsia="Calibri" w:hAnsi="Calibri"/>
      <w:b/>
      <w:bCs/>
      <w:lang w:val="es-ES" w:eastAsia="en-US"/>
    </w:rPr>
  </w:style>
  <w:style w:type="character" w:customStyle="1" w:styleId="AsuntodelcomentarioCar">
    <w:name w:val="Asunto del comentario Car"/>
    <w:link w:val="Asuntodelcomentario"/>
    <w:uiPriority w:val="99"/>
    <w:semiHidden/>
    <w:rsid w:val="00663B20"/>
    <w:rPr>
      <w:b/>
      <w:bCs/>
      <w:sz w:val="20"/>
      <w:szCs w:val="20"/>
    </w:rPr>
  </w:style>
  <w:style w:type="character" w:customStyle="1" w:styleId="Mencinsinresolver1">
    <w:name w:val="Mención sin resolver1"/>
    <w:uiPriority w:val="99"/>
    <w:semiHidden/>
    <w:unhideWhenUsed/>
    <w:rsid w:val="00663B20"/>
    <w:rPr>
      <w:color w:val="605E5C"/>
      <w:shd w:val="clear" w:color="auto" w:fill="E1DFDD"/>
    </w:rPr>
  </w:style>
  <w:style w:type="character" w:customStyle="1" w:styleId="Hipervnculovisitado1">
    <w:name w:val="Hipervínculo visitado1"/>
    <w:uiPriority w:val="99"/>
    <w:semiHidden/>
    <w:unhideWhenUsed/>
    <w:rsid w:val="00663B20"/>
    <w:rPr>
      <w:color w:val="954F72"/>
      <w:u w:val="single"/>
    </w:rPr>
  </w:style>
  <w:style w:type="paragraph" w:customStyle="1" w:styleId="Revisin1">
    <w:name w:val="Revisión1"/>
    <w:next w:val="Revisin"/>
    <w:hidden/>
    <w:uiPriority w:val="99"/>
    <w:semiHidden/>
    <w:rsid w:val="00663B20"/>
    <w:rPr>
      <w:rFonts w:ascii="Calibri" w:eastAsia="Calibri" w:hAnsi="Calibri"/>
      <w:sz w:val="22"/>
      <w:szCs w:val="22"/>
      <w:lang w:val="es-ES"/>
    </w:rPr>
  </w:style>
  <w:style w:type="paragraph" w:customStyle="1" w:styleId="Prrafodelista1">
    <w:name w:val="Párrafo de lista1"/>
    <w:basedOn w:val="Normal"/>
    <w:next w:val="Prrafodelista"/>
    <w:uiPriority w:val="34"/>
    <w:qFormat/>
    <w:rsid w:val="00663B20"/>
    <w:pPr>
      <w:spacing w:after="160" w:line="259" w:lineRule="auto"/>
      <w:ind w:left="720"/>
      <w:contextualSpacing/>
    </w:pPr>
    <w:rPr>
      <w:rFonts w:ascii="Calibri" w:eastAsia="Calibri" w:hAnsi="Calibri"/>
      <w:sz w:val="22"/>
      <w:szCs w:val="22"/>
      <w:lang w:val="es-ES" w:eastAsia="en-US"/>
    </w:rPr>
  </w:style>
  <w:style w:type="paragraph" w:styleId="Textocomentario">
    <w:name w:val="annotation text"/>
    <w:basedOn w:val="Normal"/>
    <w:link w:val="TextocomentarioCar1"/>
    <w:semiHidden/>
    <w:unhideWhenUsed/>
    <w:rsid w:val="00663B20"/>
    <w:rPr>
      <w:sz w:val="20"/>
      <w:szCs w:val="20"/>
    </w:rPr>
  </w:style>
  <w:style w:type="character" w:customStyle="1" w:styleId="TextocomentarioCar1">
    <w:name w:val="Texto comentario Car1"/>
    <w:basedOn w:val="Fuentedeprrafopredeter"/>
    <w:link w:val="Textocomentario"/>
    <w:semiHidden/>
    <w:rsid w:val="00663B20"/>
    <w:rPr>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663B20"/>
    <w:rPr>
      <w:b/>
      <w:bCs/>
      <w:lang w:val="en-US" w:eastAsia="en-US"/>
    </w:rPr>
  </w:style>
  <w:style w:type="character" w:customStyle="1" w:styleId="AsuntodelcomentarioCar1">
    <w:name w:val="Asunto del comentario Car1"/>
    <w:basedOn w:val="TextocomentarioCar1"/>
    <w:link w:val="Asuntodelcomentario"/>
    <w:semiHidden/>
    <w:rsid w:val="00663B20"/>
    <w:rPr>
      <w:b/>
      <w:bCs/>
      <w:lang w:val="es-ES_tradnl" w:eastAsia="es-ES_tradnl"/>
    </w:rPr>
  </w:style>
  <w:style w:type="character" w:styleId="Hipervnculovisitado">
    <w:name w:val="FollowedHyperlink"/>
    <w:basedOn w:val="Fuentedeprrafopredeter"/>
    <w:semiHidden/>
    <w:unhideWhenUsed/>
    <w:rsid w:val="00663B20"/>
    <w:rPr>
      <w:color w:val="800080" w:themeColor="followedHyperlink"/>
      <w:u w:val="single"/>
    </w:rPr>
  </w:style>
  <w:style w:type="paragraph" w:styleId="Revisin">
    <w:name w:val="Revision"/>
    <w:hidden/>
    <w:uiPriority w:val="99"/>
    <w:semiHidden/>
    <w:rsid w:val="00663B20"/>
    <w:rPr>
      <w:sz w:val="24"/>
      <w:szCs w:val="24"/>
      <w:lang w:val="es-ES_tradnl" w:eastAsia="es-ES_tradnl"/>
    </w:rPr>
  </w:style>
  <w:style w:type="paragraph" w:styleId="Prrafodelista">
    <w:name w:val="List Paragraph"/>
    <w:basedOn w:val="Normal"/>
    <w:uiPriority w:val="34"/>
    <w:qFormat/>
    <w:rsid w:val="00663B2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823-8635" TargetMode="External"/><Relationship Id="rId13" Type="http://schemas.openxmlformats.org/officeDocument/2006/relationships/image" Target="media/image4.png"/><Relationship Id="rId18" Type="http://schemas.openxmlformats.org/officeDocument/2006/relationships/hyperlink" Target="https://revsaludpublica.sld.cu/index.php/spu/article/view/3257" TargetMode="External"/><Relationship Id="rId26" Type="http://schemas.openxmlformats.org/officeDocument/2006/relationships/hyperlink" Target="http://scielo.sld.cu/pdf/gin/v45n1/1561-3062-gin-45-01-25.pdf" TargetMode="External"/><Relationship Id="rId3" Type="http://schemas.openxmlformats.org/officeDocument/2006/relationships/settings" Target="settings.xml"/><Relationship Id="rId21" Type="http://schemas.openxmlformats.org/officeDocument/2006/relationships/hyperlink" Target="https://www.reciamuc.com/index.php/RECIAMUC/article/view/857/1262" TargetMode="External"/><Relationship Id="rId7" Type="http://schemas.openxmlformats.org/officeDocument/2006/relationships/hyperlink" Target="https://orcid.org/0000-0002-7184-621X" TargetMode="External"/><Relationship Id="rId12" Type="http://schemas.openxmlformats.org/officeDocument/2006/relationships/image" Target="media/image3.png"/><Relationship Id="rId17" Type="http://schemas.openxmlformats.org/officeDocument/2006/relationships/hyperlink" Target="https://www.ncbi.nlm.nih.gov/pmc/articles/PMC9243687/pdf/BLT.21.287737.pdf" TargetMode="External"/><Relationship Id="rId25" Type="http://schemas.openxmlformats.org/officeDocument/2006/relationships/hyperlink" Target="https://www.scielo.org.mx/pdf/gom/v85n4/0300-9041-gom-85-04-00007.pdf" TargetMode="External"/><Relationship Id="rId2" Type="http://schemas.openxmlformats.org/officeDocument/2006/relationships/styles" Target="styles.xml"/><Relationship Id="rId16" Type="http://schemas.openxmlformats.org/officeDocument/2006/relationships/hyperlink" Target="https://www.scielosp.org/pdf/bwho/v78n5/v78n5a06.pdf" TargetMode="External"/><Relationship Id="rId20" Type="http://schemas.openxmlformats.org/officeDocument/2006/relationships/hyperlink" Target="http://www.milenaria.umich.mx/ojs/index.php/milenaria/article/view/233/13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www.revinfcientifica.sld.cu/index.php/ric/article/view/338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evinfcientifica.sld.cu/index.php/ric/article/view/2737" TargetMode="External"/><Relationship Id="rId23" Type="http://schemas.openxmlformats.org/officeDocument/2006/relationships/hyperlink" Target="http://scielo.sld.cu/pdf/rf/v12n1/2221-2434-rf-12-01-57.pdf"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scielo.br/j/rbgo/a/67nZDKS4fBmkhxK7dT6J7GN/?format=pdf&amp;lang=e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uisfong87@nauta.cu" TargetMode="External"/><Relationship Id="rId14" Type="http://schemas.openxmlformats.org/officeDocument/2006/relationships/hyperlink" Target="https://www.scielosp.org/pdf/bwho/v78n5/v78n5a05.pdf" TargetMode="External"/><Relationship Id="rId22" Type="http://schemas.openxmlformats.org/officeDocument/2006/relationships/hyperlink" Target="https://files.sld.cu/dne/files/2022/10/Anuario-Estad%C3%ADstico-de-Salud-2021.-Ed-2022.pdf" TargetMode="External"/><Relationship Id="rId27" Type="http://schemas.openxmlformats.org/officeDocument/2006/relationships/hyperlink" Target="https://www.researchgate.net/profile/Jorge-Nava-Lopez/publication/323797386_Refrigerador_de_la_hemorragia_obstetrica/links/5bf5c8fc299bf1124fe4cce2/Refrigerador-de-la-hemorragia-obstetrica.pdf"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11</TotalTime>
  <Pages>16</Pages>
  <Words>3634</Words>
  <Characters>20720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24306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17</cp:revision>
  <cp:lastPrinted>2023-10-18T22:48:00Z</cp:lastPrinted>
  <dcterms:created xsi:type="dcterms:W3CDTF">2023-10-18T22:42:00Z</dcterms:created>
  <dcterms:modified xsi:type="dcterms:W3CDTF">2023-10-18T22:53:00Z</dcterms:modified>
</cp:coreProperties>
</file>