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FC19" w14:textId="77777777" w:rsidR="004A5ABC" w:rsidRPr="004A5ABC" w:rsidRDefault="004A5ABC" w:rsidP="004A5ABC">
      <w:pPr>
        <w:spacing w:line="360" w:lineRule="auto"/>
        <w:jc w:val="right"/>
        <w:rPr>
          <w:rFonts w:eastAsiaTheme="minorHAnsi"/>
          <w:sz w:val="20"/>
          <w:szCs w:val="20"/>
          <w:lang w:val="es-ES" w:eastAsia="en-US"/>
        </w:rPr>
      </w:pPr>
      <w:r w:rsidRPr="004A5ABC">
        <w:rPr>
          <w:rFonts w:eastAsiaTheme="minorHAnsi"/>
          <w:sz w:val="20"/>
          <w:szCs w:val="20"/>
          <w:lang w:val="es-ES" w:eastAsia="en-US"/>
        </w:rPr>
        <w:t xml:space="preserve">Artículo de investigación </w:t>
      </w:r>
    </w:p>
    <w:p w14:paraId="6C6C328E" w14:textId="77777777" w:rsidR="004A5ABC" w:rsidRPr="004A5ABC" w:rsidRDefault="004A5ABC" w:rsidP="004A5ABC">
      <w:pPr>
        <w:spacing w:line="360" w:lineRule="auto"/>
        <w:jc w:val="right"/>
        <w:rPr>
          <w:rFonts w:eastAsiaTheme="minorHAnsi"/>
          <w:sz w:val="20"/>
          <w:szCs w:val="20"/>
          <w:lang w:val="es-ES" w:eastAsia="en-US"/>
        </w:rPr>
      </w:pPr>
    </w:p>
    <w:p w14:paraId="0DDC6BF2" w14:textId="77777777" w:rsidR="004A5ABC" w:rsidRPr="004A5ABC" w:rsidRDefault="004A5ABC" w:rsidP="004A5ABC">
      <w:pPr>
        <w:spacing w:line="360" w:lineRule="auto"/>
        <w:jc w:val="center"/>
        <w:rPr>
          <w:rFonts w:eastAsiaTheme="minorHAnsi"/>
          <w:b/>
          <w:sz w:val="28"/>
          <w:szCs w:val="28"/>
          <w:lang w:val="es-ES" w:eastAsia="en-US"/>
        </w:rPr>
      </w:pPr>
      <w:r w:rsidRPr="004A5ABC">
        <w:rPr>
          <w:rFonts w:eastAsiaTheme="minorHAnsi"/>
          <w:b/>
          <w:sz w:val="28"/>
          <w:szCs w:val="28"/>
          <w:lang w:val="es-ES" w:eastAsia="en-US"/>
        </w:rPr>
        <w:t>Nuevos factores de riesgo cardiovascular en el adulto mayor</w:t>
      </w:r>
    </w:p>
    <w:p w14:paraId="5C25EE37" w14:textId="25DA4950" w:rsidR="004A5ABC" w:rsidRPr="004A5ABC" w:rsidRDefault="004A5ABC" w:rsidP="004A5ABC">
      <w:pPr>
        <w:spacing w:line="360" w:lineRule="auto"/>
        <w:jc w:val="center"/>
        <w:rPr>
          <w:rFonts w:eastAsiaTheme="minorHAnsi"/>
          <w:sz w:val="28"/>
          <w:szCs w:val="28"/>
          <w:lang w:val="en-US" w:eastAsia="en-US"/>
        </w:rPr>
      </w:pPr>
      <w:r w:rsidRPr="004A5ABC">
        <w:rPr>
          <w:rFonts w:eastAsiaTheme="minorHAnsi"/>
          <w:sz w:val="28"/>
          <w:szCs w:val="28"/>
          <w:lang w:val="en-US" w:eastAsia="en-US"/>
        </w:rPr>
        <w:t>New cardiovascular risk factors in the elderly</w:t>
      </w:r>
    </w:p>
    <w:p w14:paraId="3630A2E0" w14:textId="77777777" w:rsidR="004A5ABC" w:rsidRPr="004A5ABC" w:rsidRDefault="004A5ABC" w:rsidP="004A5ABC">
      <w:pPr>
        <w:spacing w:line="360" w:lineRule="auto"/>
        <w:jc w:val="center"/>
        <w:rPr>
          <w:rFonts w:eastAsiaTheme="minorHAnsi"/>
          <w:b/>
          <w:sz w:val="28"/>
          <w:szCs w:val="28"/>
          <w:lang w:val="en-US" w:eastAsia="en-US"/>
        </w:rPr>
      </w:pPr>
    </w:p>
    <w:p w14:paraId="02E53EA0" w14:textId="77777777" w:rsidR="004A5ABC" w:rsidRPr="004A5ABC" w:rsidRDefault="004A5ABC" w:rsidP="004A5ABC">
      <w:pPr>
        <w:spacing w:line="360" w:lineRule="auto"/>
        <w:rPr>
          <w:rFonts w:eastAsiaTheme="minorHAnsi"/>
          <w:lang w:val="es-ES" w:eastAsia="en-US"/>
        </w:rPr>
      </w:pPr>
      <w:r w:rsidRPr="004A5ABC">
        <w:rPr>
          <w:rFonts w:eastAsiaTheme="minorHAnsi"/>
          <w:lang w:val="es-ES" w:eastAsia="en-US"/>
        </w:rPr>
        <w:t>Naifi Hierrezuelo Rojas Rojas</w:t>
      </w:r>
      <w:r w:rsidRPr="004A5ABC">
        <w:rPr>
          <w:rFonts w:eastAsiaTheme="minorHAnsi"/>
          <w:vertAlign w:val="superscript"/>
          <w:lang w:val="es-ES" w:eastAsia="en-US"/>
        </w:rPr>
        <w:t>1</w:t>
      </w:r>
      <w:r w:rsidRPr="004A5ABC">
        <w:rPr>
          <w:rFonts w:eastAsiaTheme="minorHAnsi"/>
          <w:lang w:val="es-ES" w:eastAsia="en-US"/>
        </w:rPr>
        <w:t xml:space="preserve"> </w:t>
      </w:r>
      <w:hyperlink r:id="rId7" w:history="1">
        <w:r w:rsidRPr="004A5ABC">
          <w:rPr>
            <w:rFonts w:eastAsiaTheme="minorHAnsi"/>
            <w:color w:val="0000FF" w:themeColor="hyperlink"/>
            <w:lang w:val="es-ES" w:eastAsia="en-US"/>
          </w:rPr>
          <w:t>https://orcid.org/0000-0001-5782-4033</w:t>
        </w:r>
      </w:hyperlink>
      <w:r w:rsidRPr="004A5ABC">
        <w:rPr>
          <w:rFonts w:eastAsiaTheme="minorHAnsi"/>
          <w:lang w:val="es-ES" w:eastAsia="en-US"/>
        </w:rPr>
        <w:t xml:space="preserve"> </w:t>
      </w:r>
    </w:p>
    <w:p w14:paraId="2FA02C09" w14:textId="77777777" w:rsidR="004A5ABC" w:rsidRPr="004A5ABC" w:rsidRDefault="004A5ABC" w:rsidP="004A5ABC">
      <w:pPr>
        <w:spacing w:line="360" w:lineRule="auto"/>
        <w:rPr>
          <w:rFonts w:eastAsiaTheme="minorHAnsi"/>
          <w:lang w:val="es-ES" w:eastAsia="en-US"/>
        </w:rPr>
      </w:pPr>
      <w:r w:rsidRPr="004A5ABC">
        <w:rPr>
          <w:rFonts w:eastAsiaTheme="minorHAnsi"/>
          <w:lang w:val="es-ES" w:eastAsia="en-US"/>
        </w:rPr>
        <w:t>German Del Rio Caballero</w:t>
      </w:r>
      <w:r w:rsidRPr="004A5ABC">
        <w:rPr>
          <w:rFonts w:eastAsiaTheme="minorHAnsi"/>
          <w:vertAlign w:val="superscript"/>
          <w:lang w:val="es-ES" w:eastAsia="en-US"/>
        </w:rPr>
        <w:t>2</w:t>
      </w:r>
      <w:r w:rsidRPr="004A5ABC">
        <w:rPr>
          <w:rFonts w:eastAsiaTheme="minorHAnsi"/>
          <w:lang w:val="es-ES" w:eastAsia="en-US"/>
        </w:rPr>
        <w:t xml:space="preserve">* </w:t>
      </w:r>
      <w:hyperlink r:id="rId8" w:history="1">
        <w:r w:rsidRPr="004A5ABC">
          <w:rPr>
            <w:rFonts w:eastAsiaTheme="minorHAnsi"/>
            <w:color w:val="0000FF" w:themeColor="hyperlink"/>
            <w:lang w:val="es-ES" w:eastAsia="en-US"/>
          </w:rPr>
          <w:t>https://orcid.org/0000-0002-9857-9596</w:t>
        </w:r>
      </w:hyperlink>
      <w:r w:rsidRPr="004A5ABC">
        <w:rPr>
          <w:rFonts w:eastAsiaTheme="minorHAnsi"/>
          <w:lang w:val="es-ES" w:eastAsia="en-US"/>
        </w:rPr>
        <w:t xml:space="preserve"> </w:t>
      </w:r>
    </w:p>
    <w:p w14:paraId="2EC619AF" w14:textId="77777777" w:rsidR="004A5ABC" w:rsidRPr="004A5ABC" w:rsidRDefault="004A5ABC" w:rsidP="004A5ABC">
      <w:pPr>
        <w:spacing w:line="360" w:lineRule="auto"/>
        <w:rPr>
          <w:rFonts w:eastAsiaTheme="minorHAnsi"/>
          <w:lang w:val="es-ES" w:eastAsia="en-US"/>
        </w:rPr>
      </w:pPr>
      <w:r w:rsidRPr="004A5ABC">
        <w:rPr>
          <w:rFonts w:eastAsiaTheme="minorHAnsi"/>
          <w:lang w:val="es-ES" w:eastAsia="en-US"/>
        </w:rPr>
        <w:t>Alfredo Hernández Magdariaga</w:t>
      </w:r>
      <w:r w:rsidRPr="004A5ABC">
        <w:rPr>
          <w:rFonts w:eastAsiaTheme="minorHAnsi"/>
          <w:vertAlign w:val="superscript"/>
          <w:lang w:val="es-ES" w:eastAsia="en-US"/>
        </w:rPr>
        <w:t>3</w:t>
      </w:r>
      <w:r w:rsidRPr="004A5ABC">
        <w:rPr>
          <w:rFonts w:eastAsiaTheme="minorHAnsi"/>
          <w:lang w:val="es-ES" w:eastAsia="en-US"/>
        </w:rPr>
        <w:t xml:space="preserve"> </w:t>
      </w:r>
      <w:hyperlink r:id="rId9" w:history="1">
        <w:r w:rsidRPr="004A5ABC">
          <w:rPr>
            <w:rFonts w:eastAsiaTheme="minorHAnsi"/>
            <w:color w:val="0000FF" w:themeColor="hyperlink"/>
            <w:lang w:val="es-ES" w:eastAsia="en-US"/>
          </w:rPr>
          <w:t>https://orcid.org/0000-0001-8975-3188</w:t>
        </w:r>
      </w:hyperlink>
      <w:r w:rsidRPr="004A5ABC">
        <w:rPr>
          <w:rFonts w:eastAsiaTheme="minorHAnsi"/>
          <w:lang w:val="es-ES" w:eastAsia="en-US"/>
        </w:rPr>
        <w:t xml:space="preserve"> </w:t>
      </w:r>
    </w:p>
    <w:p w14:paraId="00D412D7" w14:textId="77777777" w:rsidR="004A5ABC" w:rsidRPr="004A5ABC" w:rsidRDefault="004A5ABC" w:rsidP="004A5ABC">
      <w:pPr>
        <w:spacing w:line="360" w:lineRule="auto"/>
        <w:rPr>
          <w:rFonts w:eastAsiaTheme="minorHAnsi"/>
          <w:lang w:val="es-ES" w:eastAsia="en-US"/>
        </w:rPr>
      </w:pPr>
      <w:r w:rsidRPr="004A5ABC">
        <w:rPr>
          <w:rFonts w:eastAsiaTheme="minorHAnsi"/>
          <w:lang w:val="es-ES" w:eastAsia="en-US"/>
        </w:rPr>
        <w:t>Rolando Bonal Ruiz</w:t>
      </w:r>
      <w:r w:rsidRPr="004A5ABC">
        <w:rPr>
          <w:rFonts w:eastAsiaTheme="minorHAnsi"/>
          <w:vertAlign w:val="superscript"/>
          <w:lang w:val="es-ES" w:eastAsia="en-US"/>
        </w:rPr>
        <w:t>1</w:t>
      </w:r>
      <w:r w:rsidRPr="004A5ABC">
        <w:rPr>
          <w:rFonts w:eastAsiaTheme="minorHAnsi"/>
          <w:lang w:val="es-ES" w:eastAsia="en-US"/>
        </w:rPr>
        <w:t xml:space="preserve"> </w:t>
      </w:r>
      <w:hyperlink r:id="rId10" w:history="1">
        <w:r w:rsidRPr="004A5ABC">
          <w:rPr>
            <w:rFonts w:eastAsiaTheme="minorHAnsi"/>
            <w:color w:val="0000FF" w:themeColor="hyperlink"/>
            <w:lang w:val="es-ES" w:eastAsia="en-US"/>
          </w:rPr>
          <w:t>https://orcid.org/0000-0001-6528-1083</w:t>
        </w:r>
      </w:hyperlink>
      <w:r w:rsidRPr="004A5ABC">
        <w:rPr>
          <w:rFonts w:eastAsiaTheme="minorHAnsi"/>
          <w:lang w:val="es-ES" w:eastAsia="en-US"/>
        </w:rPr>
        <w:t xml:space="preserve"> </w:t>
      </w:r>
    </w:p>
    <w:p w14:paraId="62E3616C" w14:textId="77777777" w:rsidR="004A5ABC" w:rsidRPr="004A5ABC" w:rsidRDefault="004A5ABC" w:rsidP="004A5ABC">
      <w:pPr>
        <w:spacing w:line="360" w:lineRule="auto"/>
        <w:rPr>
          <w:rFonts w:eastAsiaTheme="minorHAnsi"/>
          <w:lang w:val="es-ES" w:eastAsia="en-US"/>
        </w:rPr>
      </w:pPr>
    </w:p>
    <w:p w14:paraId="481D6997" w14:textId="77777777" w:rsidR="004A5ABC" w:rsidRPr="004A5ABC" w:rsidRDefault="004A5ABC" w:rsidP="004A5ABC">
      <w:pPr>
        <w:spacing w:line="360" w:lineRule="auto"/>
        <w:rPr>
          <w:rFonts w:eastAsiaTheme="minorHAnsi"/>
          <w:lang w:val="es-ES" w:eastAsia="en-US"/>
        </w:rPr>
      </w:pPr>
      <w:r w:rsidRPr="004A5ABC">
        <w:rPr>
          <w:rFonts w:eastAsiaTheme="minorHAnsi"/>
          <w:vertAlign w:val="superscript"/>
          <w:lang w:val="es-ES" w:eastAsia="en-US"/>
        </w:rPr>
        <w:t>1</w:t>
      </w:r>
      <w:r w:rsidRPr="004A5ABC">
        <w:rPr>
          <w:rFonts w:eastAsiaTheme="minorHAnsi"/>
          <w:lang w:val="es-ES" w:eastAsia="en-US"/>
        </w:rPr>
        <w:t>Policlínico “Ramón López Peña”. Santiago de Cuba, Cuba.</w:t>
      </w:r>
    </w:p>
    <w:p w14:paraId="2B68A6BD" w14:textId="77777777" w:rsidR="004A5ABC" w:rsidRPr="004A5ABC" w:rsidRDefault="004A5ABC" w:rsidP="004A5ABC">
      <w:pPr>
        <w:spacing w:line="360" w:lineRule="auto"/>
        <w:rPr>
          <w:rFonts w:eastAsiaTheme="minorHAnsi"/>
          <w:lang w:val="es-ES" w:eastAsia="en-US"/>
        </w:rPr>
      </w:pPr>
      <w:r w:rsidRPr="004A5ABC">
        <w:rPr>
          <w:rFonts w:eastAsiaTheme="minorHAnsi"/>
          <w:vertAlign w:val="superscript"/>
          <w:lang w:val="es-ES" w:eastAsia="en-US"/>
        </w:rPr>
        <w:t>2</w:t>
      </w:r>
      <w:r w:rsidRPr="004A5ABC">
        <w:rPr>
          <w:rFonts w:eastAsiaTheme="minorHAnsi"/>
          <w:lang w:val="es-ES" w:eastAsia="en-US"/>
        </w:rPr>
        <w:t xml:space="preserve">Hospital Militar “Dr. Joaquín Castillo Duany”. Servicio de Cardiología. Santiago de Cuba, Cuba. </w:t>
      </w:r>
    </w:p>
    <w:p w14:paraId="68D1752D" w14:textId="77777777" w:rsidR="004A5ABC" w:rsidRPr="004A5ABC" w:rsidRDefault="004A5ABC" w:rsidP="004A5ABC">
      <w:pPr>
        <w:spacing w:line="360" w:lineRule="auto"/>
        <w:rPr>
          <w:rFonts w:eastAsiaTheme="minorHAnsi"/>
          <w:lang w:val="es-ES" w:eastAsia="en-US"/>
        </w:rPr>
      </w:pPr>
      <w:r w:rsidRPr="004A5ABC">
        <w:rPr>
          <w:rFonts w:eastAsiaTheme="minorHAnsi"/>
          <w:vertAlign w:val="superscript"/>
          <w:lang w:val="es-ES" w:eastAsia="en-US"/>
        </w:rPr>
        <w:t>3</w:t>
      </w:r>
      <w:r w:rsidRPr="004A5ABC">
        <w:rPr>
          <w:rFonts w:eastAsiaTheme="minorHAnsi"/>
          <w:lang w:val="es-ES" w:eastAsia="en-US"/>
        </w:rPr>
        <w:t>Policlínico “Camilo Torres Restrepo”. Santiago de Cuba, Cuba.</w:t>
      </w:r>
    </w:p>
    <w:p w14:paraId="46893B5B" w14:textId="77777777" w:rsidR="004A5ABC" w:rsidRPr="004A5ABC" w:rsidRDefault="004A5ABC" w:rsidP="004A5ABC">
      <w:pPr>
        <w:spacing w:line="360" w:lineRule="auto"/>
        <w:rPr>
          <w:rFonts w:eastAsiaTheme="minorHAnsi"/>
          <w:lang w:val="es-ES" w:eastAsia="en-US"/>
        </w:rPr>
      </w:pPr>
    </w:p>
    <w:p w14:paraId="19B6DD24" w14:textId="77777777" w:rsidR="004A5ABC" w:rsidRPr="004A5ABC" w:rsidRDefault="004A5ABC" w:rsidP="004A5ABC">
      <w:pPr>
        <w:spacing w:line="360" w:lineRule="auto"/>
        <w:rPr>
          <w:rFonts w:eastAsiaTheme="minorHAnsi"/>
          <w:lang w:val="es-ES" w:eastAsia="en-US"/>
        </w:rPr>
      </w:pPr>
      <w:r w:rsidRPr="004A5ABC">
        <w:rPr>
          <w:rFonts w:eastAsiaTheme="minorHAnsi"/>
          <w:lang w:val="es-ES" w:eastAsia="en-US"/>
        </w:rPr>
        <w:t>*Autor para la correspondencia. Correo electrónico:</w:t>
      </w:r>
      <w:r w:rsidRPr="004A5ABC">
        <w:rPr>
          <w:rFonts w:eastAsiaTheme="minorHAnsi"/>
          <w:sz w:val="22"/>
          <w:szCs w:val="22"/>
          <w:lang w:val="es-ES" w:eastAsia="en-US"/>
        </w:rPr>
        <w:t xml:space="preserve"> </w:t>
      </w:r>
      <w:hyperlink r:id="rId11" w:history="1">
        <w:r w:rsidRPr="004A5ABC">
          <w:rPr>
            <w:rFonts w:eastAsiaTheme="minorHAnsi"/>
            <w:color w:val="0000FF" w:themeColor="hyperlink"/>
            <w:lang w:val="es-ES" w:eastAsia="en-US"/>
          </w:rPr>
          <w:t>german.rio@infomed.sld.cu</w:t>
        </w:r>
      </w:hyperlink>
    </w:p>
    <w:p w14:paraId="174E61B5" w14:textId="77777777" w:rsidR="004A5ABC" w:rsidRPr="004A5ABC" w:rsidRDefault="004A5ABC" w:rsidP="004A5ABC">
      <w:pPr>
        <w:spacing w:line="360" w:lineRule="auto"/>
        <w:rPr>
          <w:rFonts w:eastAsiaTheme="minorHAnsi"/>
          <w:lang w:val="es-ES" w:eastAsia="en-US"/>
        </w:rPr>
      </w:pPr>
    </w:p>
    <w:p w14:paraId="35071600" w14:textId="77777777" w:rsidR="004A5ABC" w:rsidRPr="004A5ABC" w:rsidRDefault="004A5ABC" w:rsidP="004A5ABC">
      <w:pPr>
        <w:spacing w:line="360" w:lineRule="auto"/>
        <w:jc w:val="both"/>
        <w:rPr>
          <w:rFonts w:eastAsiaTheme="minorHAnsi"/>
          <w:b/>
          <w:lang w:val="es-ES" w:eastAsia="en-US"/>
        </w:rPr>
      </w:pPr>
      <w:r w:rsidRPr="004A5ABC">
        <w:rPr>
          <w:rFonts w:eastAsiaTheme="minorHAnsi"/>
          <w:b/>
          <w:lang w:val="es-ES" w:eastAsia="en-US"/>
        </w:rPr>
        <w:t xml:space="preserve">RESUMEN </w:t>
      </w:r>
    </w:p>
    <w:p w14:paraId="6BE3CF25"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
          <w:lang w:val="es-ES" w:eastAsia="en-US"/>
        </w:rPr>
        <w:t>Introducción:</w:t>
      </w:r>
      <w:r w:rsidRPr="004A5ABC">
        <w:rPr>
          <w:rFonts w:eastAsiaTheme="minorHAnsi"/>
          <w:lang w:val="es-ES" w:eastAsia="en-US"/>
        </w:rPr>
        <w:t xml:space="preserve"> </w:t>
      </w:r>
      <w:r w:rsidRPr="004A5ABC">
        <w:rPr>
          <w:rFonts w:eastAsiaTheme="minorHAnsi"/>
          <w:bCs/>
          <w:lang w:val="es-ES" w:eastAsia="en-US"/>
        </w:rPr>
        <w:t xml:space="preserve">Se han explorado los posibles predictores no tradicionales de enfermedades cardiovasculares en personas mayores. </w:t>
      </w:r>
    </w:p>
    <w:p w14:paraId="1D8EB3C8" w14:textId="77777777" w:rsidR="004A5ABC" w:rsidRPr="004A5ABC" w:rsidRDefault="004A5ABC" w:rsidP="004A5ABC">
      <w:pPr>
        <w:spacing w:line="360" w:lineRule="auto"/>
        <w:jc w:val="both"/>
        <w:rPr>
          <w:rFonts w:eastAsiaTheme="minorHAnsi"/>
          <w:lang w:val="es-ES" w:eastAsia="en-US"/>
        </w:rPr>
      </w:pPr>
      <w:r w:rsidRPr="004A5ABC">
        <w:rPr>
          <w:rFonts w:eastAsiaTheme="minorHAnsi"/>
          <w:b/>
          <w:lang w:val="es-ES" w:eastAsia="en-US"/>
        </w:rPr>
        <w:t>Objetivo:</w:t>
      </w:r>
      <w:r w:rsidRPr="004A5ABC">
        <w:rPr>
          <w:rFonts w:eastAsiaTheme="minorHAnsi"/>
          <w:lang w:val="es-ES" w:eastAsia="en-US"/>
        </w:rPr>
        <w:t xml:space="preserve"> Identificar los factores de riesgo no tradicionales de mortalidad por enfermedades cardiovasculares en adultos mayores. </w:t>
      </w:r>
    </w:p>
    <w:p w14:paraId="0693C485" w14:textId="77777777" w:rsidR="004A5ABC" w:rsidRPr="004A5ABC" w:rsidRDefault="004A5ABC" w:rsidP="004A5ABC">
      <w:pPr>
        <w:spacing w:line="360" w:lineRule="auto"/>
        <w:jc w:val="both"/>
        <w:rPr>
          <w:rFonts w:eastAsiaTheme="minorHAnsi"/>
          <w:lang w:val="es-ES" w:eastAsia="en-US"/>
        </w:rPr>
      </w:pPr>
      <w:r w:rsidRPr="004A5ABC">
        <w:rPr>
          <w:rFonts w:eastAsiaTheme="minorHAnsi"/>
          <w:b/>
          <w:lang w:val="es-ES" w:eastAsia="en-US"/>
        </w:rPr>
        <w:t>Métodos</w:t>
      </w:r>
      <w:r w:rsidRPr="004A5ABC">
        <w:rPr>
          <w:rFonts w:eastAsiaTheme="minorHAnsi"/>
          <w:b/>
          <w:bCs/>
          <w:lang w:val="es-ES" w:eastAsia="en-US"/>
        </w:rPr>
        <w:t>:</w:t>
      </w:r>
      <w:r w:rsidRPr="004A5ABC">
        <w:rPr>
          <w:rFonts w:eastAsiaTheme="minorHAnsi"/>
          <w:lang w:val="es-ES" w:eastAsia="en-US"/>
        </w:rPr>
        <w:t xml:space="preserve"> </w:t>
      </w:r>
      <w:r w:rsidRPr="004A5ABC">
        <w:rPr>
          <w:rFonts w:eastAsiaTheme="minorHAnsi"/>
          <w:bCs/>
          <w:lang w:val="es-ES" w:eastAsia="en-US"/>
        </w:rPr>
        <w:t xml:space="preserve">Se realizó un estudio analítico de tipo casos y controles en pacientes adultos mayores pertenecientes a 3 áreas de salud del municipio Santiago de Cuba, durante el año 2021. Los casos fueron pacientes fallecidos por enfermedad cardiovascular de tipo ateroesclerótica y los controles, pacientes adultos mayores vivos, sin la enfermedad. </w:t>
      </w:r>
      <w:r w:rsidRPr="004A5ABC">
        <w:rPr>
          <w:rFonts w:eastAsiaTheme="minorHAnsi"/>
          <w:lang w:val="es-ES" w:eastAsia="en-US"/>
        </w:rPr>
        <w:t xml:space="preserve">Se determinó la razón de productos cruzados (OR), el intervalo de confianza (IC) y la prueba </w:t>
      </w:r>
      <w:r w:rsidRPr="004A5ABC">
        <w:rPr>
          <w:rFonts w:eastAsiaTheme="minorHAnsi"/>
          <w:i/>
          <w:iCs/>
          <w:lang w:val="es-ES" w:eastAsia="en-US"/>
        </w:rPr>
        <w:t>ji</w:t>
      </w:r>
      <w:r w:rsidRPr="004A5ABC">
        <w:rPr>
          <w:rFonts w:eastAsiaTheme="minorHAnsi"/>
          <w:lang w:val="es-ES" w:eastAsia="en-US"/>
        </w:rPr>
        <w:t xml:space="preserve"> cuadrado para identificar los factores de riesgo que se asociaron a la mortalidad.</w:t>
      </w:r>
    </w:p>
    <w:p w14:paraId="6DE6D304" w14:textId="77777777" w:rsidR="004A5ABC" w:rsidRPr="004A5ABC" w:rsidRDefault="004A5ABC" w:rsidP="004A5ABC">
      <w:pPr>
        <w:spacing w:line="360" w:lineRule="auto"/>
        <w:jc w:val="both"/>
        <w:rPr>
          <w:rFonts w:eastAsiaTheme="minorHAnsi"/>
          <w:lang w:val="es-ES" w:eastAsia="en-US"/>
        </w:rPr>
      </w:pPr>
      <w:r w:rsidRPr="004A5ABC">
        <w:rPr>
          <w:rFonts w:eastAsiaTheme="minorHAnsi"/>
          <w:b/>
          <w:lang w:val="es-ES" w:eastAsia="en-US"/>
        </w:rPr>
        <w:lastRenderedPageBreak/>
        <w:t>Resultados:</w:t>
      </w:r>
      <w:r w:rsidRPr="004A5ABC">
        <w:rPr>
          <w:rFonts w:eastAsiaTheme="minorHAnsi"/>
          <w:lang w:val="es-ES" w:eastAsia="en-US"/>
        </w:rPr>
        <w:t xml:space="preserve"> La fragilidad (OR= 3,380; IC: 2,476-4,615; p= 0,000) y el deterioro cognitivo (OR= 2,731; IC: 2,006-3,717; p= 0,000] mostraron asociación estadística muy significativa con la mortalidad; </w:t>
      </w:r>
      <w:r w:rsidRPr="004A5ABC">
        <w:rPr>
          <w:rFonts w:eastAsiaTheme="minorHAnsi"/>
          <w:bCs/>
          <w:lang w:val="es-ES" w:eastAsia="en-US"/>
        </w:rPr>
        <w:t>los pacientes con 3 o más factores de riesgo presentaron un mayor riesgo de mortalidad (OR= 4,683).</w:t>
      </w:r>
    </w:p>
    <w:p w14:paraId="4B3A433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
          <w:lang w:val="es-ES" w:eastAsia="en-US"/>
        </w:rPr>
        <w:t>Conclusiones</w:t>
      </w:r>
      <w:r w:rsidRPr="004A5ABC">
        <w:rPr>
          <w:rFonts w:eastAsiaTheme="minorHAnsi"/>
          <w:b/>
          <w:bCs/>
          <w:lang w:val="es-ES" w:eastAsia="en-US"/>
        </w:rPr>
        <w:t>:</w:t>
      </w:r>
      <w:r w:rsidRPr="004A5ABC">
        <w:rPr>
          <w:rFonts w:eastAsiaTheme="minorHAnsi"/>
          <w:lang w:val="es-ES" w:eastAsia="en-US"/>
        </w:rPr>
        <w:t xml:space="preserve"> </w:t>
      </w:r>
      <w:r w:rsidRPr="004A5ABC">
        <w:rPr>
          <w:rFonts w:eastAsiaTheme="minorHAnsi"/>
          <w:bCs/>
          <w:lang w:val="es-ES" w:eastAsia="en-US"/>
        </w:rPr>
        <w:t>La fragilidad y la multimorbilidad son nuevos predictores de mortalidad por enfermedades cardiovasculares en adultos mayores, que cuando se asocian, implican mayor riesgo.</w:t>
      </w:r>
    </w:p>
    <w:p w14:paraId="1530FA62" w14:textId="77777777" w:rsidR="004A5ABC" w:rsidRPr="004A5ABC" w:rsidRDefault="004A5ABC" w:rsidP="004A5ABC">
      <w:pPr>
        <w:spacing w:line="360" w:lineRule="auto"/>
        <w:jc w:val="both"/>
        <w:rPr>
          <w:rFonts w:eastAsiaTheme="minorHAnsi"/>
          <w:lang w:val="es-ES" w:eastAsia="en-US"/>
        </w:rPr>
      </w:pPr>
      <w:r w:rsidRPr="004A5ABC">
        <w:rPr>
          <w:rFonts w:eastAsiaTheme="minorHAnsi"/>
          <w:b/>
          <w:lang w:val="es-ES" w:eastAsia="en-US"/>
        </w:rPr>
        <w:t>Palabras clave</w:t>
      </w:r>
      <w:r w:rsidRPr="004A5ABC">
        <w:rPr>
          <w:rFonts w:eastAsiaTheme="minorHAnsi"/>
          <w:b/>
          <w:bCs/>
          <w:lang w:val="es-ES" w:eastAsia="en-US"/>
        </w:rPr>
        <w:t>:</w:t>
      </w:r>
      <w:r w:rsidRPr="004A5ABC">
        <w:rPr>
          <w:rFonts w:eastAsiaTheme="minorHAnsi"/>
          <w:lang w:val="es-ES" w:eastAsia="en-US"/>
        </w:rPr>
        <w:t xml:space="preserve"> adulto mayor; enfermedades cardiovasculares; factores de riesgo; mortalidad.</w:t>
      </w:r>
    </w:p>
    <w:p w14:paraId="130248F0" w14:textId="77777777" w:rsidR="004A5ABC" w:rsidRPr="004A5ABC" w:rsidRDefault="004A5ABC" w:rsidP="004A5ABC">
      <w:pPr>
        <w:spacing w:line="360" w:lineRule="auto"/>
        <w:jc w:val="both"/>
        <w:rPr>
          <w:rFonts w:eastAsiaTheme="minorHAnsi"/>
          <w:b/>
          <w:lang w:val="es-ES" w:eastAsia="en-US"/>
        </w:rPr>
      </w:pPr>
    </w:p>
    <w:p w14:paraId="59B4CFAA" w14:textId="77777777" w:rsidR="004A5ABC" w:rsidRPr="004A5ABC" w:rsidRDefault="004A5ABC" w:rsidP="004A5ABC">
      <w:pPr>
        <w:spacing w:line="360" w:lineRule="auto"/>
        <w:jc w:val="both"/>
        <w:rPr>
          <w:rFonts w:eastAsiaTheme="minorHAnsi"/>
          <w:b/>
          <w:lang w:val="en-US" w:eastAsia="en-US"/>
        </w:rPr>
      </w:pPr>
      <w:r w:rsidRPr="004A5ABC">
        <w:rPr>
          <w:rFonts w:eastAsiaTheme="minorHAnsi"/>
          <w:b/>
          <w:lang w:val="en-US" w:eastAsia="en-US"/>
        </w:rPr>
        <w:t>ABSTRACT</w:t>
      </w:r>
    </w:p>
    <w:p w14:paraId="088F9A9B"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Introduction:</w:t>
      </w:r>
      <w:r w:rsidRPr="004A5ABC">
        <w:rPr>
          <w:rFonts w:eastAsiaTheme="minorHAnsi"/>
          <w:lang w:val="en-US" w:eastAsia="en-US"/>
        </w:rPr>
        <w:t xml:space="preserve"> Possible non-traditional predictors of cardiovascular diseases in older people have been explored.</w:t>
      </w:r>
    </w:p>
    <w:p w14:paraId="082AEABA"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Objective:</w:t>
      </w:r>
      <w:r w:rsidRPr="004A5ABC">
        <w:rPr>
          <w:rFonts w:eastAsiaTheme="minorHAnsi"/>
          <w:lang w:val="en-US" w:eastAsia="en-US"/>
        </w:rPr>
        <w:t xml:space="preserve"> Identify non-traditional risk factors predictive of mortality from cardiovascular diseases in older adults.</w:t>
      </w:r>
    </w:p>
    <w:p w14:paraId="717BA0CF"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Method:</w:t>
      </w:r>
      <w:r w:rsidRPr="004A5ABC">
        <w:rPr>
          <w:rFonts w:eastAsiaTheme="minorHAnsi"/>
          <w:lang w:val="en-US" w:eastAsia="en-US"/>
        </w:rPr>
        <w:t xml:space="preserve"> An analytical case-control study was carried out on older adult patients belonging to 3 health areas of the Santiago de Cuba municipality, during the year 2021. Cases: patients who died due to atherosclerotic cardiovascular disease, and controls, older adult patients alive, without the disease. The cross-product ratio (OR), the confidence interval (CI) and the chi-square test were determined to identify the factors that were associated with the onset of the disease.</w:t>
      </w:r>
    </w:p>
    <w:p w14:paraId="2ED50ABA"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 xml:space="preserve">Results: </w:t>
      </w:r>
      <w:r w:rsidRPr="004A5ABC">
        <w:rPr>
          <w:rFonts w:eastAsiaTheme="minorHAnsi"/>
          <w:lang w:val="en-US" w:eastAsia="en-US"/>
        </w:rPr>
        <w:t>Frailty (OR= 3.380; CI: 2.476-4.615; p= 0.000) and cognitive impairment (OR= 2.731; CI: 2.006-3.717; p= 0.000) showed a very significant statistical association with mortality; patients with 3 or more risk factors presented a higher risk of mortality (OR= 4.683).</w:t>
      </w:r>
    </w:p>
    <w:p w14:paraId="3E096035"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Conclusions:</w:t>
      </w:r>
      <w:r w:rsidRPr="004A5ABC">
        <w:rPr>
          <w:rFonts w:eastAsiaTheme="minorHAnsi"/>
          <w:lang w:val="en-US" w:eastAsia="en-US"/>
        </w:rPr>
        <w:t xml:space="preserve"> Frailty and multimorbidity are new predictors of mortality from cardiovascular diseases in older adults, which when associated imply greater risk.</w:t>
      </w:r>
    </w:p>
    <w:p w14:paraId="08BC948B" w14:textId="77777777" w:rsidR="004A5ABC" w:rsidRPr="004A5ABC" w:rsidRDefault="004A5ABC" w:rsidP="004A5ABC">
      <w:pPr>
        <w:spacing w:line="360" w:lineRule="auto"/>
        <w:jc w:val="both"/>
        <w:rPr>
          <w:rFonts w:eastAsiaTheme="minorHAnsi"/>
          <w:lang w:val="en-US" w:eastAsia="en-US"/>
        </w:rPr>
      </w:pPr>
      <w:r w:rsidRPr="004A5ABC">
        <w:rPr>
          <w:rFonts w:eastAsiaTheme="minorHAnsi"/>
          <w:b/>
          <w:bCs/>
          <w:lang w:val="en-US" w:eastAsia="en-US"/>
        </w:rPr>
        <w:t>Keywords:</w:t>
      </w:r>
      <w:r w:rsidRPr="004A5ABC">
        <w:rPr>
          <w:rFonts w:eastAsiaTheme="minorHAnsi"/>
          <w:lang w:val="en-US" w:eastAsia="en-US"/>
        </w:rPr>
        <w:t xml:space="preserve"> older adult; cardiovascular diseases; risk factor's; mortality.</w:t>
      </w:r>
    </w:p>
    <w:p w14:paraId="459B5051" w14:textId="77777777" w:rsidR="004A5ABC" w:rsidRPr="004A5ABC" w:rsidRDefault="004A5ABC" w:rsidP="004A5ABC">
      <w:pPr>
        <w:spacing w:line="360" w:lineRule="auto"/>
        <w:jc w:val="both"/>
        <w:rPr>
          <w:rFonts w:eastAsiaTheme="minorHAnsi"/>
          <w:lang w:val="en-US" w:eastAsia="en-US"/>
        </w:rPr>
      </w:pPr>
    </w:p>
    <w:p w14:paraId="726519A0" w14:textId="77777777" w:rsidR="004A5ABC" w:rsidRPr="004A5ABC" w:rsidRDefault="004A5ABC" w:rsidP="004A5ABC">
      <w:pPr>
        <w:spacing w:line="360" w:lineRule="auto"/>
        <w:jc w:val="both"/>
        <w:rPr>
          <w:rFonts w:eastAsiaTheme="minorHAnsi"/>
          <w:lang w:val="en-US" w:eastAsia="en-US"/>
        </w:rPr>
      </w:pPr>
    </w:p>
    <w:p w14:paraId="2B95060A" w14:textId="77777777" w:rsidR="004A5ABC" w:rsidRPr="004A5ABC" w:rsidRDefault="004A5ABC" w:rsidP="004A5ABC">
      <w:pPr>
        <w:spacing w:line="360" w:lineRule="auto"/>
        <w:jc w:val="both"/>
        <w:rPr>
          <w:rFonts w:eastAsiaTheme="minorHAnsi"/>
          <w:lang w:val="es-ES" w:eastAsia="en-US"/>
        </w:rPr>
      </w:pPr>
      <w:r w:rsidRPr="004A5ABC">
        <w:rPr>
          <w:rFonts w:eastAsiaTheme="minorHAnsi"/>
          <w:lang w:val="es-ES" w:eastAsia="en-US"/>
        </w:rPr>
        <w:t>Recibido: 28/04/02023</w:t>
      </w:r>
    </w:p>
    <w:p w14:paraId="0F156B4D" w14:textId="77777777" w:rsidR="004A5ABC" w:rsidRPr="004A5ABC" w:rsidRDefault="004A5ABC" w:rsidP="004A5ABC">
      <w:pPr>
        <w:spacing w:line="360" w:lineRule="auto"/>
        <w:jc w:val="both"/>
        <w:rPr>
          <w:rFonts w:eastAsiaTheme="minorHAnsi"/>
          <w:lang w:val="es-ES" w:eastAsia="en-US"/>
        </w:rPr>
      </w:pPr>
      <w:r w:rsidRPr="004A5ABC">
        <w:rPr>
          <w:rFonts w:eastAsiaTheme="minorHAnsi"/>
          <w:lang w:val="es-ES" w:eastAsia="en-US"/>
        </w:rPr>
        <w:t>Aprobado: 20/11/2023</w:t>
      </w:r>
    </w:p>
    <w:p w14:paraId="43C22F41" w14:textId="77777777" w:rsidR="004A5ABC" w:rsidRPr="004A5ABC" w:rsidRDefault="004A5ABC" w:rsidP="004A5ABC">
      <w:pPr>
        <w:spacing w:line="360" w:lineRule="auto"/>
        <w:jc w:val="both"/>
        <w:rPr>
          <w:rFonts w:eastAsiaTheme="minorHAnsi"/>
          <w:lang w:val="es-ES" w:eastAsia="en-US"/>
        </w:rPr>
      </w:pPr>
    </w:p>
    <w:p w14:paraId="0B9BB8FE" w14:textId="77777777" w:rsidR="004A5ABC" w:rsidRPr="004A5ABC" w:rsidRDefault="004A5ABC" w:rsidP="004A5ABC">
      <w:pPr>
        <w:spacing w:line="360" w:lineRule="auto"/>
        <w:jc w:val="center"/>
        <w:rPr>
          <w:rFonts w:eastAsiaTheme="minorHAnsi"/>
          <w:b/>
          <w:sz w:val="32"/>
          <w:szCs w:val="32"/>
          <w:lang w:val="es-ES" w:eastAsia="en-US"/>
        </w:rPr>
      </w:pPr>
    </w:p>
    <w:p w14:paraId="70149CB8" w14:textId="77777777" w:rsidR="004A5ABC" w:rsidRPr="004A5ABC" w:rsidRDefault="004A5ABC" w:rsidP="004A5ABC">
      <w:pPr>
        <w:spacing w:line="360" w:lineRule="auto"/>
        <w:jc w:val="center"/>
        <w:rPr>
          <w:rFonts w:eastAsiaTheme="minorHAnsi"/>
          <w:b/>
          <w:sz w:val="32"/>
          <w:szCs w:val="32"/>
          <w:lang w:val="es-ES" w:eastAsia="en-US"/>
        </w:rPr>
      </w:pPr>
      <w:r w:rsidRPr="004A5ABC">
        <w:rPr>
          <w:rFonts w:eastAsiaTheme="minorHAnsi"/>
          <w:b/>
          <w:sz w:val="32"/>
          <w:szCs w:val="32"/>
          <w:lang w:val="es-ES" w:eastAsia="en-US"/>
        </w:rPr>
        <w:t>INTRODUCCIÓN</w:t>
      </w:r>
    </w:p>
    <w:p w14:paraId="61CD44BD"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En la sociedad actual, el envejecimiento de la población incrementa el número de adultos mayores. Según la Organización Mundial de la Salud (OMS)</w:t>
      </w:r>
      <w:r w:rsidRPr="004A5ABC">
        <w:rPr>
          <w:rFonts w:eastAsiaTheme="minorHAnsi"/>
          <w:bCs/>
          <w:vertAlign w:val="superscript"/>
          <w:lang w:val="es-ES" w:eastAsia="en-US"/>
        </w:rPr>
        <w:t xml:space="preserve"> (1) </w:t>
      </w:r>
      <w:r w:rsidRPr="004A5ABC">
        <w:rPr>
          <w:rFonts w:eastAsiaTheme="minorHAnsi"/>
          <w:bCs/>
          <w:lang w:val="es-ES" w:eastAsia="en-US"/>
        </w:rPr>
        <w:t>un adulto mayor es cualquier persona, sea hombre o mujer, que sobrepase los 60 años de edad. En los adultos mayores, la enfermedad cardiovascular (ECV) es la principal causa de muerte.</w:t>
      </w:r>
    </w:p>
    <w:p w14:paraId="1AD2F748"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Cuba es un ejemplo de país en desarrollo, con un envejecimiento importante de su población y se prevé que para el 2025 el 25 % de la población general sobrepase los 60 años.</w:t>
      </w:r>
      <w:r w:rsidRPr="004A5ABC">
        <w:rPr>
          <w:rFonts w:eastAsiaTheme="minorHAnsi"/>
          <w:bCs/>
          <w:vertAlign w:val="superscript"/>
          <w:lang w:val="es-ES" w:eastAsia="en-US"/>
        </w:rPr>
        <w:t>(2)</w:t>
      </w:r>
    </w:p>
    <w:p w14:paraId="2A6538DC"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En los adultos mayores es frecuente encontrar lesiones en órganos diana y dada su alta prevalencia se deben tener presentes otros factores: déficit cognitivo de diversas causas (demencias vasculares, enfermedad de </w:t>
      </w:r>
      <w:r w:rsidRPr="004A5ABC">
        <w:rPr>
          <w:rFonts w:eastAsiaTheme="minorHAnsi"/>
          <w:bCs/>
          <w:iCs/>
          <w:lang w:val="es-ES" w:eastAsia="en-US"/>
        </w:rPr>
        <w:t>Alzheimer</w:t>
      </w:r>
      <w:r w:rsidRPr="004A5ABC">
        <w:rPr>
          <w:rFonts w:eastAsiaTheme="minorHAnsi"/>
          <w:bCs/>
          <w:lang w:val="es-ES" w:eastAsia="en-US"/>
        </w:rPr>
        <w:t>, entre otros), situaciones psicosociales (anciano viviendo solo, bajo ingresos económicos, limitaciones físicas, ingestión de múltiples medicamentos, sexualidad, ancianos frágiles), coexistencia de otras enfermedades crónicas.</w:t>
      </w:r>
      <w:r w:rsidRPr="004A5ABC">
        <w:rPr>
          <w:rFonts w:eastAsiaTheme="minorHAnsi"/>
          <w:bCs/>
          <w:vertAlign w:val="superscript"/>
          <w:lang w:val="es-ES" w:eastAsia="en-US"/>
        </w:rPr>
        <w:t>(3)</w:t>
      </w:r>
    </w:p>
    <w:p w14:paraId="0843102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Hallazgos más recientes</w:t>
      </w:r>
      <w:r w:rsidRPr="004A5ABC">
        <w:rPr>
          <w:rFonts w:eastAsiaTheme="minorHAnsi"/>
          <w:bCs/>
          <w:vertAlign w:val="superscript"/>
          <w:lang w:val="es-ES" w:eastAsia="en-US"/>
        </w:rPr>
        <w:t>(4)</w:t>
      </w:r>
      <w:r w:rsidRPr="004A5ABC">
        <w:rPr>
          <w:rFonts w:eastAsiaTheme="minorHAnsi"/>
          <w:bCs/>
          <w:lang w:val="es-ES" w:eastAsia="en-US"/>
        </w:rPr>
        <w:t xml:space="preserve"> también sugieren que los factores de riesgo tradicionales de ECV podrían ser predictores más débiles de riesgo futuro en los ancianos; mientras que la fuerza de otros factores, como la enfermedad renal crónica, aumenta con el envejecimiento.</w:t>
      </w:r>
    </w:p>
    <w:p w14:paraId="0FCEDBBF"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Reducir la carga de ECV en personas mayores implica una cuidadosa anticipación de los factores de riesgo, para mejor comprensión de los determinantes del desarrollo de estas enfermedades, al aplicar un enfoque multidimensional en el cuidado de pacientes más frágiles.</w:t>
      </w:r>
      <w:r w:rsidRPr="004A5ABC">
        <w:rPr>
          <w:rFonts w:eastAsiaTheme="minorHAnsi"/>
          <w:bCs/>
          <w:vertAlign w:val="superscript"/>
          <w:lang w:val="es-ES" w:eastAsia="en-US"/>
        </w:rPr>
        <w:t>(5)</w:t>
      </w:r>
    </w:p>
    <w:p w14:paraId="0DD0D760"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Los adultos mayores constituyen un subgrupo especial en el que se ha demostrado que otros factores, como la polifarmacia, la depresión y la condición física, son determinantes importantes del riesgo cardiovascular. Cuando se refiere a personas mayores se debe considerar a los "muy ancianos" también conocidos como octogenarios. Estos grupos de edad se caracterizan, además, por mayor variabilidad e inestabilidad de su estado cognitivo y funcional, de fragilidad, e incluso dependencia total.</w:t>
      </w:r>
      <w:r w:rsidRPr="004A5ABC">
        <w:rPr>
          <w:rFonts w:eastAsiaTheme="minorHAnsi"/>
          <w:bCs/>
          <w:vertAlign w:val="superscript"/>
          <w:lang w:val="es-ES" w:eastAsia="en-US"/>
        </w:rPr>
        <w:t>(6)</w:t>
      </w:r>
    </w:p>
    <w:p w14:paraId="1FE33F11"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En los individuos muy ancianos,</w:t>
      </w:r>
      <w:r w:rsidRPr="004A5ABC">
        <w:rPr>
          <w:rFonts w:eastAsiaTheme="minorHAnsi"/>
          <w:bCs/>
          <w:vertAlign w:val="superscript"/>
          <w:lang w:val="es-ES" w:eastAsia="en-US"/>
        </w:rPr>
        <w:t xml:space="preserve"> </w:t>
      </w:r>
      <w:r w:rsidRPr="004A5ABC">
        <w:rPr>
          <w:rFonts w:eastAsiaTheme="minorHAnsi"/>
          <w:bCs/>
          <w:lang w:val="es-ES" w:eastAsia="en-US"/>
        </w:rPr>
        <w:t>los factores de riesgo clásico, como el aumento de los valores de presión arterial (PA) o el índice de masa corporal (IMC), no solo podrían perder su importancia, sino incluso, tener una causalidad inversa.</w:t>
      </w:r>
      <w:r w:rsidRPr="004A5ABC">
        <w:rPr>
          <w:rFonts w:eastAsiaTheme="minorHAnsi"/>
          <w:bCs/>
          <w:vertAlign w:val="superscript"/>
          <w:lang w:val="es-ES" w:eastAsia="en-US"/>
        </w:rPr>
        <w:t>(7)</w:t>
      </w:r>
    </w:p>
    <w:p w14:paraId="6BF723B3"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lastRenderedPageBreak/>
        <w:t>Pocos estudios exploran los factores de riesgos no convencionales de ECV en la población adulta mayor, lo cual, a juicio de los autores de la presente investigación, obedece a que esta población está muy subrepresentada en la mayoría de los estudios epidemiológicos, que sólo muestran algunos de los FRCV evaluados anteriormente.</w:t>
      </w:r>
    </w:p>
    <w:p w14:paraId="03217089"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El envejecimiento, la presencia de enfermedades crónicas, deterioro de la función cognitiva, alteración en el rendimiento funcional, y la fragilidad se han asociado con mayor riesgo de mortalidad.</w:t>
      </w:r>
      <w:r w:rsidRPr="004A5ABC">
        <w:rPr>
          <w:rFonts w:eastAsiaTheme="minorHAnsi"/>
          <w:bCs/>
          <w:vertAlign w:val="superscript"/>
          <w:lang w:val="es-ES" w:eastAsia="en-US"/>
        </w:rPr>
        <w:t>(8)</w:t>
      </w:r>
    </w:p>
    <w:p w14:paraId="34E6D777"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En la actualidad hay escasez de evidencia, con solo unos pocos estudios, que traten la predicción del riesgo de ECV en personas mayores, con la utilización de predictores de riesgos no tradicionales.</w:t>
      </w:r>
    </w:p>
    <w:p w14:paraId="16E4C3B5"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Para el sistema nacional de salud tiene importancia vital la atención de este grupo etario. El envejecimiento poblacional constituye uno de los temas que acapara la atención de la sociedad cubana y se ha convertido en el principal desafío demográfico en Cuba. </w:t>
      </w:r>
    </w:p>
    <w:p w14:paraId="6134A83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En el presente trabajo se parte de la hipótesis de que los factores de riesgos no tradicionales como la polifarmacia, el deterioro cognitivo, la multimorbilidad y la fragilidad, pudieran asociarse a la mortalidad por ECV en los adultos mayores.</w:t>
      </w:r>
    </w:p>
    <w:p w14:paraId="3C25CE99"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El objetivo de la investigación es identificar los factores de riesgos no tradicionales predictivos de mortalidad por ECV en adultos mayores.</w:t>
      </w:r>
    </w:p>
    <w:p w14:paraId="11739927" w14:textId="77777777" w:rsidR="004A5ABC" w:rsidRPr="004A5ABC" w:rsidRDefault="004A5ABC" w:rsidP="004A5ABC">
      <w:pPr>
        <w:spacing w:line="360" w:lineRule="auto"/>
        <w:jc w:val="center"/>
        <w:rPr>
          <w:rFonts w:eastAsiaTheme="minorHAnsi"/>
          <w:b/>
          <w:bCs/>
          <w:lang w:val="es-ES" w:eastAsia="en-US"/>
        </w:rPr>
      </w:pPr>
    </w:p>
    <w:p w14:paraId="1AC73148" w14:textId="77777777" w:rsidR="004A5ABC" w:rsidRPr="004A5ABC" w:rsidRDefault="004A5ABC" w:rsidP="004A5ABC">
      <w:pPr>
        <w:spacing w:line="360" w:lineRule="auto"/>
        <w:jc w:val="center"/>
        <w:rPr>
          <w:rFonts w:eastAsiaTheme="minorHAnsi"/>
          <w:b/>
          <w:bCs/>
          <w:lang w:val="es-ES" w:eastAsia="en-US"/>
        </w:rPr>
      </w:pPr>
    </w:p>
    <w:p w14:paraId="66BA4EE7" w14:textId="77777777" w:rsidR="004A5ABC" w:rsidRPr="004A5ABC" w:rsidRDefault="004A5ABC" w:rsidP="004A5ABC">
      <w:pPr>
        <w:spacing w:line="360" w:lineRule="auto"/>
        <w:jc w:val="center"/>
        <w:rPr>
          <w:rFonts w:eastAsiaTheme="minorHAnsi"/>
          <w:b/>
          <w:bCs/>
          <w:sz w:val="32"/>
          <w:szCs w:val="32"/>
          <w:lang w:val="es-ES" w:eastAsia="en-US"/>
        </w:rPr>
      </w:pPr>
      <w:r w:rsidRPr="004A5ABC">
        <w:rPr>
          <w:rFonts w:eastAsiaTheme="minorHAnsi"/>
          <w:b/>
          <w:bCs/>
          <w:sz w:val="32"/>
          <w:szCs w:val="32"/>
          <w:lang w:val="es-ES" w:eastAsia="en-US"/>
        </w:rPr>
        <w:t>MÉTODOS</w:t>
      </w:r>
    </w:p>
    <w:p w14:paraId="1471D328" w14:textId="77777777"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t>Diseño</w:t>
      </w:r>
    </w:p>
    <w:p w14:paraId="6DBE53D6"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Se realizó un estudio de casos y controles, en adultos mayores pertenecientes a 3 áreas de salud del municipio Santiago de Cuba (policlínicos “Ramón López Peña”, Municipal, y 28 de septiembre), de enero a diciembre del año 2021. </w:t>
      </w:r>
    </w:p>
    <w:p w14:paraId="39A31C53" w14:textId="77777777"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t>Sujetos</w:t>
      </w:r>
    </w:p>
    <w:p w14:paraId="41825F10"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Se definieron como casos a adultos mayores fallecidos, con causa directa de muerte por ECV de tipo ateroesclerótica (infarto agudo de miocardio -IMA-, accidente vascular encefálico de tipo isquémico o hemorrágico), confirmada por anatomía patológica (según el registro del resultado de la autopsia), que </w:t>
      </w:r>
      <w:r w:rsidRPr="004A5ABC">
        <w:rPr>
          <w:rFonts w:eastAsiaTheme="minorHAnsi"/>
          <w:bCs/>
          <w:lang w:val="es-ES" w:eastAsia="en-US"/>
        </w:rPr>
        <w:lastRenderedPageBreak/>
        <w:t>además tuvieran disponibles los registros de las variables del estudio; con residencia permanente en las áreas de salud seleccionadas en los últimos 5 años; y con seguimiento estable por el médico de la familia en el último año.</w:t>
      </w:r>
    </w:p>
    <w:p w14:paraId="4185CA85"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Los controles fueron adultos mayores, vivos, sin ECV, procedentes de las mismas áreas de salud.</w:t>
      </w:r>
    </w:p>
    <w:p w14:paraId="44B724C3"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De 237 fallecidos, 182 cumplían los criterios de casos. Para una seguridad del 95 % y poder estadístico del 80 %, con un </w:t>
      </w:r>
      <w:r w:rsidRPr="004A5ABC">
        <w:rPr>
          <w:rFonts w:eastAsiaTheme="minorHAnsi"/>
          <w:bCs/>
          <w:i/>
          <w:iCs/>
          <w:lang w:val="es-ES" w:eastAsia="en-US"/>
        </w:rPr>
        <w:t xml:space="preserve">odds ratio </w:t>
      </w:r>
      <w:r w:rsidRPr="004A5ABC">
        <w:rPr>
          <w:rFonts w:eastAsiaTheme="minorHAnsi"/>
          <w:bCs/>
          <w:lang w:val="es-ES" w:eastAsia="en-US"/>
        </w:rPr>
        <w:t xml:space="preserve">(OR) estimado de deterioro cognitivo (2,06), fragilidad (3,18), polifarmacia (1,12) y multimorbilidad (2,56) se necesitaba una muestra de 171 sujetos, por tanto, se trabajó con los 182 sujetos que cumplían los criterios de casos. Se decidió utilizar una proporción de casos-controles de 1:3 (546 sujetos). </w:t>
      </w:r>
    </w:p>
    <w:p w14:paraId="410A1B8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La selección de los controles se realizó de forma aleatoria simple, de entre 13 679 adultos mayores que cumplieron los criterios de controles.</w:t>
      </w:r>
    </w:p>
    <w:p w14:paraId="3BCE6627" w14:textId="77777777"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t>Variables</w:t>
      </w:r>
    </w:p>
    <w:p w14:paraId="7831BFC7"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Variable dependiente: estado del paciente (vivo -0-, fallecido -1-). </w:t>
      </w:r>
    </w:p>
    <w:p w14:paraId="27973ECA"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Variables independientes: deterioro cognitivo,</w:t>
      </w:r>
      <w:r w:rsidRPr="004A5ABC">
        <w:rPr>
          <w:rFonts w:eastAsiaTheme="minorHAnsi"/>
          <w:bCs/>
          <w:vertAlign w:val="superscript"/>
          <w:lang w:val="es-ES" w:eastAsia="en-US"/>
        </w:rPr>
        <w:t>(9)</w:t>
      </w:r>
      <w:r w:rsidRPr="004A5ABC">
        <w:rPr>
          <w:rFonts w:eastAsiaTheme="minorHAnsi"/>
          <w:bCs/>
          <w:lang w:val="es-ES" w:eastAsia="en-US"/>
        </w:rPr>
        <w:t xml:space="preserve"> fragilidad,</w:t>
      </w:r>
      <w:r w:rsidRPr="004A5ABC">
        <w:rPr>
          <w:rFonts w:eastAsiaTheme="minorHAnsi"/>
          <w:bCs/>
          <w:vertAlign w:val="superscript"/>
          <w:lang w:val="es-ES" w:eastAsia="en-US"/>
        </w:rPr>
        <w:t>(10)</w:t>
      </w:r>
      <w:r w:rsidRPr="004A5ABC">
        <w:rPr>
          <w:rFonts w:eastAsiaTheme="minorHAnsi"/>
          <w:bCs/>
          <w:lang w:val="es-ES" w:eastAsia="en-US"/>
        </w:rPr>
        <w:t xml:space="preserve"> polifarmacia,</w:t>
      </w:r>
      <w:r w:rsidRPr="004A5ABC">
        <w:rPr>
          <w:rFonts w:eastAsiaTheme="minorHAnsi"/>
          <w:bCs/>
          <w:vertAlign w:val="superscript"/>
          <w:lang w:val="es-ES" w:eastAsia="en-US"/>
        </w:rPr>
        <w:t>(11)</w:t>
      </w:r>
      <w:r w:rsidRPr="004A5ABC">
        <w:rPr>
          <w:rFonts w:eastAsiaTheme="minorHAnsi"/>
          <w:bCs/>
          <w:lang w:val="es-ES" w:eastAsia="en-US"/>
        </w:rPr>
        <w:t xml:space="preserve"> y multimorbilidad.</w:t>
      </w:r>
      <w:r w:rsidRPr="004A5ABC">
        <w:rPr>
          <w:rFonts w:eastAsiaTheme="minorHAnsi"/>
          <w:bCs/>
          <w:vertAlign w:val="superscript"/>
          <w:lang w:val="es-ES" w:eastAsia="en-US"/>
        </w:rPr>
        <w:t>(12)</w:t>
      </w:r>
      <w:r w:rsidRPr="004A5ABC">
        <w:rPr>
          <w:rFonts w:eastAsiaTheme="minorHAnsi"/>
          <w:bCs/>
          <w:lang w:val="es-ES" w:eastAsia="en-US"/>
        </w:rPr>
        <w:t xml:space="preserve"> Se operacionalizaron según la presencia o ausencia de la característica (0= ausencia; 1= presencia). </w:t>
      </w:r>
    </w:p>
    <w:p w14:paraId="70508AD8"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Todos los datos de las variables fueron obtenidos de las historias clínicas.</w:t>
      </w:r>
    </w:p>
    <w:p w14:paraId="5CEB7AE6" w14:textId="77777777"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t>Procedimientos</w:t>
      </w:r>
    </w:p>
    <w:p w14:paraId="50D6C243"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Se recolectó el dato primario en los consultorios del médico de la familia de las áreas de salud seleccionadas, a través de revisión de las historias clínicas individuales. Fue realizada por los propios investigadores. </w:t>
      </w:r>
    </w:p>
    <w:p w14:paraId="59E7761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Se creó una base de datos en el programa IBM-SPSS versión 17.5. </w:t>
      </w:r>
    </w:p>
    <w:p w14:paraId="1FA9D321" w14:textId="77777777"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t>Análisis estadístico</w:t>
      </w:r>
    </w:p>
    <w:p w14:paraId="5115681D"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Se realizó un análisis de frecuencias para las variables independientes. Además, se efectuó un análisis bivariado con la variable dependiente, contra las independientes. Se les calculó el OR y sus intervalos de confianza (IC) del 95 %.</w:t>
      </w:r>
    </w:p>
    <w:p w14:paraId="428E17E4" w14:textId="77777777" w:rsidR="00C60AA7" w:rsidRDefault="00C60AA7">
      <w:pPr>
        <w:rPr>
          <w:rFonts w:eastAsiaTheme="minorHAnsi"/>
          <w:b/>
          <w:bCs/>
          <w:sz w:val="28"/>
          <w:szCs w:val="28"/>
          <w:lang w:val="es-ES" w:eastAsia="en-US"/>
        </w:rPr>
      </w:pPr>
      <w:r>
        <w:rPr>
          <w:rFonts w:eastAsiaTheme="minorHAnsi"/>
          <w:b/>
          <w:bCs/>
          <w:sz w:val="28"/>
          <w:szCs w:val="28"/>
          <w:lang w:val="es-ES" w:eastAsia="en-US"/>
        </w:rPr>
        <w:br w:type="page"/>
      </w:r>
    </w:p>
    <w:p w14:paraId="3D47F32E" w14:textId="1D28D55D" w:rsidR="004A5ABC" w:rsidRPr="004A5ABC" w:rsidRDefault="004A5ABC" w:rsidP="004A5ABC">
      <w:pPr>
        <w:spacing w:line="360" w:lineRule="auto"/>
        <w:jc w:val="center"/>
        <w:rPr>
          <w:rFonts w:eastAsiaTheme="minorHAnsi"/>
          <w:b/>
          <w:bCs/>
          <w:sz w:val="28"/>
          <w:szCs w:val="28"/>
          <w:lang w:val="es-ES" w:eastAsia="en-US"/>
        </w:rPr>
      </w:pPr>
      <w:r w:rsidRPr="004A5ABC">
        <w:rPr>
          <w:rFonts w:eastAsiaTheme="minorHAnsi"/>
          <w:b/>
          <w:bCs/>
          <w:sz w:val="28"/>
          <w:szCs w:val="28"/>
          <w:lang w:val="es-ES" w:eastAsia="en-US"/>
        </w:rPr>
        <w:lastRenderedPageBreak/>
        <w:t>Regulaciones éticas</w:t>
      </w:r>
    </w:p>
    <w:p w14:paraId="0C4912F7" w14:textId="77777777" w:rsidR="004A5ABC" w:rsidRPr="004A5ABC" w:rsidRDefault="004A5ABC" w:rsidP="004A5ABC">
      <w:pPr>
        <w:spacing w:line="360" w:lineRule="auto"/>
        <w:rPr>
          <w:rFonts w:eastAsiaTheme="minorHAnsi"/>
          <w:bCs/>
          <w:lang w:val="es-ES" w:eastAsia="en-US"/>
        </w:rPr>
      </w:pPr>
      <w:r w:rsidRPr="004A5ABC">
        <w:rPr>
          <w:rFonts w:eastAsiaTheme="minorHAnsi"/>
          <w:bCs/>
          <w:lang w:val="es-ES" w:eastAsia="en-US"/>
        </w:rPr>
        <w:t>El estudio fue aprobado por el comité de ética de la investigación de las áreas de salud, sede del estudio. La confidencialidad de los datos se mantuvo mediante la recogida anónima de los datos.</w:t>
      </w:r>
    </w:p>
    <w:p w14:paraId="6A694CBE" w14:textId="77777777" w:rsidR="004A5ABC" w:rsidRPr="004A5ABC" w:rsidRDefault="004A5ABC" w:rsidP="004A5ABC">
      <w:pPr>
        <w:spacing w:line="360" w:lineRule="auto"/>
        <w:jc w:val="both"/>
        <w:rPr>
          <w:rFonts w:eastAsiaTheme="minorHAnsi"/>
          <w:bCs/>
          <w:lang w:val="es-ES" w:eastAsia="en-US"/>
        </w:rPr>
      </w:pPr>
    </w:p>
    <w:p w14:paraId="64B20C02" w14:textId="77777777" w:rsidR="004A5ABC" w:rsidRPr="004A5ABC" w:rsidRDefault="004A5ABC" w:rsidP="004A5ABC">
      <w:pPr>
        <w:spacing w:line="360" w:lineRule="auto"/>
        <w:jc w:val="both"/>
        <w:rPr>
          <w:rFonts w:eastAsiaTheme="minorHAnsi"/>
          <w:bCs/>
          <w:lang w:val="es-ES" w:eastAsia="en-US"/>
        </w:rPr>
      </w:pPr>
    </w:p>
    <w:p w14:paraId="1D8393A7" w14:textId="77777777" w:rsidR="004A5ABC" w:rsidRPr="004A5ABC" w:rsidRDefault="004A5ABC" w:rsidP="004A5ABC">
      <w:pPr>
        <w:spacing w:line="360" w:lineRule="auto"/>
        <w:jc w:val="center"/>
        <w:rPr>
          <w:rFonts w:eastAsiaTheme="minorHAnsi"/>
          <w:b/>
          <w:bCs/>
          <w:sz w:val="32"/>
          <w:szCs w:val="32"/>
          <w:lang w:val="es-ES" w:eastAsia="en-US"/>
        </w:rPr>
      </w:pPr>
      <w:r w:rsidRPr="004A5ABC">
        <w:rPr>
          <w:rFonts w:eastAsiaTheme="minorHAnsi"/>
          <w:b/>
          <w:bCs/>
          <w:sz w:val="32"/>
          <w:szCs w:val="32"/>
          <w:lang w:val="es-ES" w:eastAsia="en-US"/>
        </w:rPr>
        <w:t>RESULTADOS</w:t>
      </w:r>
    </w:p>
    <w:p w14:paraId="5BC428DC"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La tabla 1 muestra que la proporción de polifarmacia y deterioro cognitivo fue similar en casos y controles, sin diferencias significativas p&gt; 0,05. Los casos presentaron más fragilidad (p= 0,000) y multimorbilidad (p= 0,000), según la prueba </w:t>
      </w:r>
      <w:r w:rsidRPr="004A5ABC">
        <w:rPr>
          <w:rFonts w:eastAsiaTheme="minorHAnsi"/>
          <w:bCs/>
          <w:i/>
          <w:iCs/>
          <w:lang w:val="es-ES" w:eastAsia="en-US"/>
        </w:rPr>
        <w:t>ji</w:t>
      </w:r>
      <w:r w:rsidRPr="004A5ABC">
        <w:rPr>
          <w:rFonts w:eastAsiaTheme="minorHAnsi"/>
          <w:bCs/>
          <w:lang w:val="es-ES" w:eastAsia="en-US"/>
        </w:rPr>
        <w:t xml:space="preserve"> cuadrado.</w:t>
      </w:r>
    </w:p>
    <w:p w14:paraId="0F606CCC" w14:textId="77777777" w:rsidR="004A5ABC" w:rsidRPr="004A5ABC" w:rsidRDefault="004A5ABC" w:rsidP="004A5ABC">
      <w:pPr>
        <w:spacing w:line="360" w:lineRule="auto"/>
        <w:jc w:val="both"/>
        <w:rPr>
          <w:rFonts w:eastAsiaTheme="minorHAnsi"/>
          <w:bCs/>
          <w:lang w:val="es-ES" w:eastAsia="en-US"/>
        </w:rPr>
      </w:pPr>
    </w:p>
    <w:p w14:paraId="013A7EAB" w14:textId="77777777" w:rsidR="004A5ABC" w:rsidRPr="004A5ABC" w:rsidRDefault="004A5ABC" w:rsidP="004A5ABC">
      <w:pPr>
        <w:spacing w:line="360" w:lineRule="auto"/>
        <w:jc w:val="center"/>
        <w:rPr>
          <w:rFonts w:eastAsiaTheme="minorHAnsi"/>
          <w:bCs/>
          <w:sz w:val="22"/>
          <w:szCs w:val="22"/>
          <w:lang w:val="es-ES" w:eastAsia="en-US"/>
        </w:rPr>
      </w:pPr>
      <w:r w:rsidRPr="004A5ABC">
        <w:rPr>
          <w:rFonts w:eastAsiaTheme="minorHAnsi"/>
          <w:b/>
          <w:bCs/>
          <w:sz w:val="22"/>
          <w:szCs w:val="22"/>
          <w:lang w:val="es-ES" w:eastAsia="en-US"/>
        </w:rPr>
        <w:t>Tabla 1 -</w:t>
      </w:r>
      <w:r w:rsidRPr="004A5ABC">
        <w:rPr>
          <w:rFonts w:eastAsiaTheme="minorHAnsi"/>
          <w:bCs/>
          <w:sz w:val="22"/>
          <w:szCs w:val="22"/>
          <w:lang w:val="es-ES" w:eastAsia="en-US"/>
        </w:rPr>
        <w:t xml:space="preserve"> Análisis bivariado de las variables independientes con la dependiente, </w:t>
      </w:r>
      <w:r w:rsidRPr="004A5ABC">
        <w:rPr>
          <w:rFonts w:eastAsiaTheme="minorHAnsi"/>
          <w:bCs/>
          <w:sz w:val="22"/>
          <w:szCs w:val="22"/>
          <w:lang w:val="es-ES" w:eastAsia="en-US"/>
        </w:rPr>
        <w:br/>
        <w:t>en casos y controles</w:t>
      </w:r>
    </w:p>
    <w:tbl>
      <w:tblPr>
        <w:tblStyle w:val="Tablaconcuadrcula1"/>
        <w:tblW w:w="0" w:type="auto"/>
        <w:jc w:val="center"/>
        <w:tblLook w:val="04A0" w:firstRow="1" w:lastRow="0" w:firstColumn="1" w:lastColumn="0" w:noHBand="0" w:noVBand="1"/>
      </w:tblPr>
      <w:tblGrid>
        <w:gridCol w:w="2506"/>
        <w:gridCol w:w="1317"/>
        <w:gridCol w:w="1134"/>
        <w:gridCol w:w="709"/>
      </w:tblGrid>
      <w:tr w:rsidR="004A5ABC" w:rsidRPr="004A5ABC" w14:paraId="5977782B" w14:textId="77777777" w:rsidTr="00B5388B">
        <w:trPr>
          <w:jc w:val="center"/>
        </w:trPr>
        <w:tc>
          <w:tcPr>
            <w:tcW w:w="0" w:type="auto"/>
            <w:vAlign w:val="center"/>
          </w:tcPr>
          <w:p w14:paraId="3C1A0E35"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Nuevos factores de riesgo (%)</w:t>
            </w:r>
          </w:p>
        </w:tc>
        <w:tc>
          <w:tcPr>
            <w:tcW w:w="1317" w:type="dxa"/>
            <w:vAlign w:val="center"/>
          </w:tcPr>
          <w:p w14:paraId="4E9FE7E9" w14:textId="77777777" w:rsidR="004A5ABC" w:rsidRPr="004A5ABC" w:rsidRDefault="004A5ABC" w:rsidP="004A5ABC">
            <w:pPr>
              <w:spacing w:line="360" w:lineRule="auto"/>
              <w:jc w:val="center"/>
              <w:rPr>
                <w:rFonts w:ascii="Times New Roman" w:hAnsi="Times New Roman" w:cs="Times New Roman"/>
                <w:b/>
                <w:sz w:val="18"/>
                <w:szCs w:val="18"/>
                <w:lang w:val="es-ES" w:eastAsia="en-US"/>
              </w:rPr>
            </w:pPr>
            <w:r w:rsidRPr="004A5ABC">
              <w:rPr>
                <w:rFonts w:ascii="Times New Roman" w:hAnsi="Times New Roman" w:cs="Times New Roman"/>
                <w:b/>
                <w:sz w:val="18"/>
                <w:szCs w:val="18"/>
                <w:lang w:val="es-ES" w:eastAsia="en-US"/>
              </w:rPr>
              <w:t xml:space="preserve">Casos </w:t>
            </w:r>
          </w:p>
          <w:p w14:paraId="6790C715" w14:textId="77777777" w:rsidR="004A5ABC" w:rsidRPr="004A5ABC" w:rsidRDefault="004A5ABC" w:rsidP="004A5ABC">
            <w:pPr>
              <w:spacing w:line="360" w:lineRule="auto"/>
              <w:jc w:val="center"/>
              <w:rPr>
                <w:rFonts w:ascii="Times New Roman" w:hAnsi="Times New Roman" w:cs="Times New Roman"/>
                <w:b/>
                <w:sz w:val="18"/>
                <w:szCs w:val="18"/>
                <w:lang w:val="es-ES" w:eastAsia="en-US"/>
              </w:rPr>
            </w:pPr>
            <w:r w:rsidRPr="004A5ABC">
              <w:rPr>
                <w:rFonts w:ascii="Times New Roman" w:hAnsi="Times New Roman" w:cs="Times New Roman"/>
                <w:b/>
                <w:sz w:val="18"/>
                <w:szCs w:val="18"/>
                <w:lang w:val="es-ES" w:eastAsia="en-US"/>
              </w:rPr>
              <w:t>(n= 182)</w:t>
            </w:r>
          </w:p>
        </w:tc>
        <w:tc>
          <w:tcPr>
            <w:tcW w:w="1134" w:type="dxa"/>
            <w:vAlign w:val="center"/>
          </w:tcPr>
          <w:p w14:paraId="383270FB" w14:textId="77777777" w:rsidR="004A5ABC" w:rsidRPr="004A5ABC" w:rsidRDefault="004A5ABC" w:rsidP="004A5ABC">
            <w:pPr>
              <w:spacing w:line="360" w:lineRule="auto"/>
              <w:jc w:val="center"/>
              <w:rPr>
                <w:rFonts w:ascii="Times New Roman" w:hAnsi="Times New Roman" w:cs="Times New Roman"/>
                <w:b/>
                <w:sz w:val="18"/>
                <w:szCs w:val="18"/>
                <w:lang w:val="es-ES" w:eastAsia="en-US"/>
              </w:rPr>
            </w:pPr>
            <w:r w:rsidRPr="004A5ABC">
              <w:rPr>
                <w:rFonts w:ascii="Times New Roman" w:hAnsi="Times New Roman" w:cs="Times New Roman"/>
                <w:b/>
                <w:sz w:val="18"/>
                <w:szCs w:val="18"/>
                <w:lang w:val="es-ES" w:eastAsia="en-US"/>
              </w:rPr>
              <w:t xml:space="preserve">Controles </w:t>
            </w:r>
          </w:p>
          <w:p w14:paraId="02252CCC" w14:textId="77777777" w:rsidR="004A5ABC" w:rsidRPr="004A5ABC" w:rsidRDefault="004A5ABC" w:rsidP="004A5ABC">
            <w:pPr>
              <w:spacing w:line="360" w:lineRule="auto"/>
              <w:jc w:val="center"/>
              <w:rPr>
                <w:rFonts w:ascii="Times New Roman" w:hAnsi="Times New Roman" w:cs="Times New Roman"/>
                <w:b/>
                <w:sz w:val="18"/>
                <w:szCs w:val="18"/>
                <w:lang w:val="es-ES" w:eastAsia="en-US"/>
              </w:rPr>
            </w:pPr>
            <w:r w:rsidRPr="004A5ABC">
              <w:rPr>
                <w:rFonts w:ascii="Times New Roman" w:hAnsi="Times New Roman" w:cs="Times New Roman"/>
                <w:b/>
                <w:sz w:val="18"/>
                <w:szCs w:val="18"/>
                <w:lang w:val="es-ES" w:eastAsia="en-US"/>
              </w:rPr>
              <w:t>(n= 546)</w:t>
            </w:r>
          </w:p>
        </w:tc>
        <w:tc>
          <w:tcPr>
            <w:tcW w:w="709" w:type="dxa"/>
            <w:vAlign w:val="center"/>
          </w:tcPr>
          <w:p w14:paraId="673438E4" w14:textId="77777777" w:rsidR="004A5ABC" w:rsidRPr="004A5ABC" w:rsidRDefault="004A5ABC" w:rsidP="004A5ABC">
            <w:pPr>
              <w:spacing w:line="360" w:lineRule="auto"/>
              <w:jc w:val="center"/>
              <w:rPr>
                <w:rFonts w:ascii="Times New Roman" w:hAnsi="Times New Roman" w:cs="Times New Roman"/>
                <w:b/>
                <w:sz w:val="18"/>
                <w:szCs w:val="18"/>
                <w:lang w:val="es-ES" w:eastAsia="en-US"/>
              </w:rPr>
            </w:pPr>
            <w:r w:rsidRPr="004A5ABC">
              <w:rPr>
                <w:rFonts w:ascii="Times New Roman" w:hAnsi="Times New Roman" w:cs="Times New Roman"/>
                <w:b/>
                <w:sz w:val="18"/>
                <w:szCs w:val="18"/>
                <w:lang w:val="es-ES" w:eastAsia="en-US"/>
              </w:rPr>
              <w:t>p*</w:t>
            </w:r>
          </w:p>
        </w:tc>
      </w:tr>
      <w:tr w:rsidR="004A5ABC" w:rsidRPr="004A5ABC" w14:paraId="7DA08441" w14:textId="77777777" w:rsidTr="00B5388B">
        <w:trPr>
          <w:jc w:val="center"/>
        </w:trPr>
        <w:tc>
          <w:tcPr>
            <w:tcW w:w="0" w:type="auto"/>
            <w:vAlign w:val="center"/>
          </w:tcPr>
          <w:p w14:paraId="5749E555" w14:textId="77777777" w:rsidR="004A5ABC" w:rsidRPr="004A5ABC" w:rsidRDefault="004A5ABC" w:rsidP="004A5ABC">
            <w:pPr>
              <w:spacing w:line="360" w:lineRule="auto"/>
              <w:rPr>
                <w:rFonts w:ascii="Times New Roman" w:hAnsi="Times New Roman" w:cs="Times New Roman"/>
                <w:bCs/>
                <w:iCs/>
                <w:sz w:val="18"/>
                <w:szCs w:val="18"/>
                <w:lang w:val="es-ES" w:eastAsia="en-US"/>
              </w:rPr>
            </w:pPr>
            <w:r w:rsidRPr="004A5ABC">
              <w:rPr>
                <w:rFonts w:ascii="Times New Roman" w:hAnsi="Times New Roman" w:cs="Times New Roman"/>
                <w:bCs/>
                <w:iCs/>
                <w:sz w:val="18"/>
                <w:szCs w:val="18"/>
                <w:lang w:val="es-ES" w:eastAsia="en-US"/>
              </w:rPr>
              <w:t>Multimorbilidad</w:t>
            </w:r>
          </w:p>
        </w:tc>
        <w:tc>
          <w:tcPr>
            <w:tcW w:w="1317" w:type="dxa"/>
            <w:vAlign w:val="center"/>
          </w:tcPr>
          <w:p w14:paraId="48EFD44E"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46,0</w:t>
            </w:r>
          </w:p>
        </w:tc>
        <w:tc>
          <w:tcPr>
            <w:tcW w:w="1134" w:type="dxa"/>
            <w:vAlign w:val="center"/>
          </w:tcPr>
          <w:p w14:paraId="33B099CA"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23,8</w:t>
            </w:r>
          </w:p>
        </w:tc>
        <w:tc>
          <w:tcPr>
            <w:tcW w:w="709" w:type="dxa"/>
            <w:vAlign w:val="center"/>
          </w:tcPr>
          <w:p w14:paraId="1908B1FA"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0,000</w:t>
            </w:r>
          </w:p>
        </w:tc>
      </w:tr>
      <w:tr w:rsidR="004A5ABC" w:rsidRPr="004A5ABC" w14:paraId="549B7D1F" w14:textId="77777777" w:rsidTr="00B5388B">
        <w:trPr>
          <w:jc w:val="center"/>
        </w:trPr>
        <w:tc>
          <w:tcPr>
            <w:tcW w:w="0" w:type="auto"/>
            <w:vAlign w:val="center"/>
          </w:tcPr>
          <w:p w14:paraId="11FEB9E9" w14:textId="77777777" w:rsidR="004A5ABC" w:rsidRPr="004A5ABC" w:rsidRDefault="004A5ABC" w:rsidP="004A5ABC">
            <w:pPr>
              <w:spacing w:line="360" w:lineRule="auto"/>
              <w:rPr>
                <w:rFonts w:ascii="Times New Roman" w:hAnsi="Times New Roman" w:cs="Times New Roman"/>
                <w:bCs/>
                <w:iCs/>
                <w:sz w:val="18"/>
                <w:szCs w:val="18"/>
                <w:lang w:val="es-ES" w:eastAsia="en-US"/>
              </w:rPr>
            </w:pPr>
            <w:r w:rsidRPr="004A5ABC">
              <w:rPr>
                <w:rFonts w:ascii="Times New Roman" w:hAnsi="Times New Roman" w:cs="Times New Roman"/>
                <w:bCs/>
                <w:iCs/>
                <w:sz w:val="18"/>
                <w:szCs w:val="18"/>
                <w:lang w:val="es-ES" w:eastAsia="en-US"/>
              </w:rPr>
              <w:t>Polifarmacia</w:t>
            </w:r>
          </w:p>
        </w:tc>
        <w:tc>
          <w:tcPr>
            <w:tcW w:w="1317" w:type="dxa"/>
            <w:vAlign w:val="center"/>
          </w:tcPr>
          <w:p w14:paraId="742EE2B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45,3</w:t>
            </w:r>
          </w:p>
        </w:tc>
        <w:tc>
          <w:tcPr>
            <w:tcW w:w="1134" w:type="dxa"/>
            <w:vAlign w:val="center"/>
          </w:tcPr>
          <w:p w14:paraId="45BC0309"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47,4</w:t>
            </w:r>
          </w:p>
        </w:tc>
        <w:tc>
          <w:tcPr>
            <w:tcW w:w="709" w:type="dxa"/>
            <w:vAlign w:val="center"/>
          </w:tcPr>
          <w:p w14:paraId="58CD3C9F"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0,252</w:t>
            </w:r>
          </w:p>
        </w:tc>
      </w:tr>
      <w:tr w:rsidR="004A5ABC" w:rsidRPr="004A5ABC" w14:paraId="6A0AE92D" w14:textId="77777777" w:rsidTr="00B5388B">
        <w:trPr>
          <w:jc w:val="center"/>
        </w:trPr>
        <w:tc>
          <w:tcPr>
            <w:tcW w:w="0" w:type="auto"/>
            <w:vAlign w:val="center"/>
          </w:tcPr>
          <w:p w14:paraId="6C1BF489" w14:textId="77777777" w:rsidR="004A5ABC" w:rsidRPr="004A5ABC" w:rsidRDefault="004A5ABC" w:rsidP="004A5ABC">
            <w:pPr>
              <w:spacing w:line="360" w:lineRule="auto"/>
              <w:rPr>
                <w:rFonts w:ascii="Times New Roman" w:hAnsi="Times New Roman" w:cs="Times New Roman"/>
                <w:bCs/>
                <w:sz w:val="18"/>
                <w:szCs w:val="18"/>
                <w:lang w:val="es-ES" w:eastAsia="en-US"/>
              </w:rPr>
            </w:pPr>
            <w:r w:rsidRPr="004A5ABC">
              <w:rPr>
                <w:rFonts w:ascii="Times New Roman" w:hAnsi="Times New Roman" w:cs="Times New Roman"/>
                <w:bCs/>
                <w:iCs/>
                <w:sz w:val="18"/>
                <w:szCs w:val="18"/>
                <w:lang w:val="es-ES" w:eastAsia="en-US"/>
              </w:rPr>
              <w:t>Fragilidad</w:t>
            </w:r>
          </w:p>
        </w:tc>
        <w:tc>
          <w:tcPr>
            <w:tcW w:w="1317" w:type="dxa"/>
            <w:vAlign w:val="center"/>
          </w:tcPr>
          <w:p w14:paraId="078129A7"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38,8</w:t>
            </w:r>
          </w:p>
        </w:tc>
        <w:tc>
          <w:tcPr>
            <w:tcW w:w="1134" w:type="dxa"/>
            <w:vAlign w:val="center"/>
          </w:tcPr>
          <w:p w14:paraId="0127A52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21,5</w:t>
            </w:r>
          </w:p>
        </w:tc>
        <w:tc>
          <w:tcPr>
            <w:tcW w:w="709" w:type="dxa"/>
            <w:vAlign w:val="center"/>
          </w:tcPr>
          <w:p w14:paraId="68F715C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0,000</w:t>
            </w:r>
          </w:p>
        </w:tc>
      </w:tr>
      <w:tr w:rsidR="004A5ABC" w:rsidRPr="004A5ABC" w14:paraId="16D367C0" w14:textId="77777777" w:rsidTr="00B5388B">
        <w:trPr>
          <w:jc w:val="center"/>
        </w:trPr>
        <w:tc>
          <w:tcPr>
            <w:tcW w:w="0" w:type="auto"/>
            <w:vAlign w:val="center"/>
          </w:tcPr>
          <w:p w14:paraId="3FA05B02" w14:textId="77777777" w:rsidR="004A5ABC" w:rsidRPr="004A5ABC" w:rsidRDefault="004A5ABC" w:rsidP="004A5ABC">
            <w:pPr>
              <w:spacing w:line="360" w:lineRule="auto"/>
              <w:rPr>
                <w:rFonts w:ascii="Times New Roman" w:hAnsi="Times New Roman" w:cs="Times New Roman"/>
                <w:bCs/>
                <w:iCs/>
                <w:sz w:val="18"/>
                <w:szCs w:val="18"/>
                <w:lang w:val="es-ES" w:eastAsia="en-US"/>
              </w:rPr>
            </w:pPr>
            <w:r w:rsidRPr="004A5ABC">
              <w:rPr>
                <w:rFonts w:ascii="Times New Roman" w:hAnsi="Times New Roman" w:cs="Times New Roman"/>
                <w:bCs/>
                <w:iCs/>
                <w:sz w:val="18"/>
                <w:szCs w:val="18"/>
                <w:lang w:val="es-ES" w:eastAsia="en-US"/>
              </w:rPr>
              <w:t>Deterioro cognitivo</w:t>
            </w:r>
          </w:p>
        </w:tc>
        <w:tc>
          <w:tcPr>
            <w:tcW w:w="1317" w:type="dxa"/>
            <w:vAlign w:val="center"/>
          </w:tcPr>
          <w:p w14:paraId="05D038A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28,6</w:t>
            </w:r>
          </w:p>
        </w:tc>
        <w:tc>
          <w:tcPr>
            <w:tcW w:w="1134" w:type="dxa"/>
            <w:vAlign w:val="center"/>
          </w:tcPr>
          <w:p w14:paraId="2019A80C"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27,4</w:t>
            </w:r>
          </w:p>
        </w:tc>
        <w:tc>
          <w:tcPr>
            <w:tcW w:w="709" w:type="dxa"/>
            <w:vAlign w:val="center"/>
          </w:tcPr>
          <w:p w14:paraId="13509E3E"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0,133</w:t>
            </w:r>
          </w:p>
        </w:tc>
      </w:tr>
    </w:tbl>
    <w:p w14:paraId="473FDF35" w14:textId="77777777" w:rsidR="004A5ABC" w:rsidRPr="004A5ABC" w:rsidRDefault="004A5ABC" w:rsidP="004A5ABC">
      <w:pPr>
        <w:spacing w:line="360" w:lineRule="auto"/>
        <w:jc w:val="center"/>
        <w:rPr>
          <w:rFonts w:eastAsiaTheme="minorHAnsi"/>
          <w:bCs/>
          <w:sz w:val="16"/>
          <w:szCs w:val="16"/>
          <w:lang w:val="es-ES" w:eastAsia="en-US"/>
        </w:rPr>
      </w:pPr>
      <w:r w:rsidRPr="004A5ABC">
        <w:rPr>
          <w:rFonts w:eastAsiaTheme="minorHAnsi"/>
          <w:bCs/>
          <w:sz w:val="16"/>
          <w:szCs w:val="16"/>
          <w:lang w:val="es-ES" w:eastAsia="en-US"/>
        </w:rPr>
        <w:t xml:space="preserve">* </w:t>
      </w:r>
      <w:r w:rsidRPr="004A5ABC">
        <w:rPr>
          <w:rFonts w:eastAsiaTheme="minorHAnsi"/>
          <w:bCs/>
          <w:i/>
          <w:iCs/>
          <w:sz w:val="16"/>
          <w:szCs w:val="16"/>
          <w:lang w:val="es-ES" w:eastAsia="en-US"/>
        </w:rPr>
        <w:t>ji</w:t>
      </w:r>
      <w:r w:rsidRPr="004A5ABC">
        <w:rPr>
          <w:rFonts w:eastAsiaTheme="minorHAnsi"/>
          <w:bCs/>
          <w:sz w:val="16"/>
          <w:szCs w:val="16"/>
          <w:lang w:val="es-ES" w:eastAsia="en-US"/>
        </w:rPr>
        <w:t xml:space="preserve"> cuadrado de Pearson.</w:t>
      </w:r>
    </w:p>
    <w:p w14:paraId="7862BF67" w14:textId="77777777" w:rsidR="004A5ABC" w:rsidRPr="004A5ABC" w:rsidRDefault="004A5ABC" w:rsidP="004A5ABC">
      <w:pPr>
        <w:spacing w:line="360" w:lineRule="auto"/>
        <w:jc w:val="both"/>
        <w:rPr>
          <w:rFonts w:eastAsiaTheme="minorHAnsi"/>
          <w:bCs/>
          <w:lang w:val="es-ES" w:eastAsia="en-US"/>
        </w:rPr>
      </w:pPr>
    </w:p>
    <w:p w14:paraId="7F55D9BC"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En la tabla 2 se observa el análisis de riesgo. Las variables que presentaron asociación con el el estado de paciente fueron: fragilidad (OR= 2,380; IC95 %: 1,476-4,615; p= 0,000) y la multimorbilidad (OR= 1,731; IC95 %:</w:t>
      </w:r>
      <w:r w:rsidRPr="004A5ABC" w:rsidDel="002906E5">
        <w:rPr>
          <w:rFonts w:eastAsiaTheme="minorHAnsi"/>
          <w:bCs/>
          <w:lang w:val="es-ES" w:eastAsia="en-US"/>
        </w:rPr>
        <w:t xml:space="preserve"> </w:t>
      </w:r>
      <w:r w:rsidRPr="004A5ABC">
        <w:rPr>
          <w:rFonts w:eastAsiaTheme="minorHAnsi"/>
          <w:bCs/>
          <w:lang w:val="es-ES" w:eastAsia="en-US"/>
        </w:rPr>
        <w:t xml:space="preserve">1,443-3,157; p= 0,000). </w:t>
      </w:r>
    </w:p>
    <w:p w14:paraId="1B8F034D" w14:textId="77777777" w:rsidR="004A5ABC" w:rsidRPr="004A5ABC" w:rsidRDefault="004A5ABC" w:rsidP="004A5ABC">
      <w:pPr>
        <w:spacing w:line="360" w:lineRule="auto"/>
        <w:jc w:val="both"/>
        <w:rPr>
          <w:rFonts w:eastAsiaTheme="minorHAnsi"/>
          <w:bCs/>
          <w:lang w:val="es-ES" w:eastAsia="en-US"/>
        </w:rPr>
      </w:pPr>
    </w:p>
    <w:p w14:paraId="4ED4E7AB" w14:textId="77777777" w:rsidR="00C60AA7" w:rsidRDefault="00C60AA7">
      <w:pPr>
        <w:rPr>
          <w:rFonts w:eastAsiaTheme="minorHAnsi"/>
          <w:b/>
          <w:bCs/>
          <w:sz w:val="22"/>
          <w:szCs w:val="22"/>
          <w:lang w:val="es-ES" w:eastAsia="en-US"/>
        </w:rPr>
      </w:pPr>
      <w:r>
        <w:rPr>
          <w:rFonts w:eastAsiaTheme="minorHAnsi"/>
          <w:b/>
          <w:bCs/>
          <w:sz w:val="22"/>
          <w:szCs w:val="22"/>
          <w:lang w:val="es-ES" w:eastAsia="en-US"/>
        </w:rPr>
        <w:br w:type="page"/>
      </w:r>
    </w:p>
    <w:p w14:paraId="587E5A24" w14:textId="34D0F1B1" w:rsidR="004A5ABC" w:rsidRPr="004A5ABC" w:rsidRDefault="004A5ABC" w:rsidP="004A5ABC">
      <w:pPr>
        <w:spacing w:line="360" w:lineRule="auto"/>
        <w:jc w:val="center"/>
        <w:rPr>
          <w:rFonts w:eastAsiaTheme="minorHAnsi"/>
          <w:bCs/>
          <w:sz w:val="22"/>
          <w:szCs w:val="22"/>
          <w:lang w:val="es-ES" w:eastAsia="en-US"/>
        </w:rPr>
      </w:pPr>
      <w:r w:rsidRPr="004A5ABC">
        <w:rPr>
          <w:rFonts w:eastAsiaTheme="minorHAnsi"/>
          <w:b/>
          <w:bCs/>
          <w:sz w:val="22"/>
          <w:szCs w:val="22"/>
          <w:lang w:val="es-ES" w:eastAsia="en-US"/>
        </w:rPr>
        <w:lastRenderedPageBreak/>
        <w:t>Tabla 2 -</w:t>
      </w:r>
      <w:r w:rsidRPr="004A5ABC">
        <w:rPr>
          <w:rFonts w:eastAsiaTheme="minorHAnsi"/>
          <w:bCs/>
          <w:sz w:val="22"/>
          <w:szCs w:val="22"/>
          <w:lang w:val="es-ES" w:eastAsia="en-US"/>
        </w:rPr>
        <w:t xml:space="preserve"> Resultados del análisis de riesgo de las variables independientes con la dependiente</w:t>
      </w:r>
    </w:p>
    <w:tbl>
      <w:tblPr>
        <w:tblStyle w:val="Tablaconcuadrcula1"/>
        <w:tblW w:w="0" w:type="auto"/>
        <w:jc w:val="center"/>
        <w:tblLook w:val="04A0" w:firstRow="1" w:lastRow="0" w:firstColumn="1" w:lastColumn="0" w:noHBand="0" w:noVBand="1"/>
      </w:tblPr>
      <w:tblGrid>
        <w:gridCol w:w="1838"/>
        <w:gridCol w:w="992"/>
        <w:gridCol w:w="966"/>
        <w:gridCol w:w="851"/>
        <w:gridCol w:w="1417"/>
        <w:gridCol w:w="851"/>
      </w:tblGrid>
      <w:tr w:rsidR="004A5ABC" w:rsidRPr="004A5ABC" w14:paraId="7005C962" w14:textId="77777777" w:rsidTr="00B5388B">
        <w:trPr>
          <w:jc w:val="center"/>
        </w:trPr>
        <w:tc>
          <w:tcPr>
            <w:tcW w:w="1838" w:type="dxa"/>
            <w:vAlign w:val="center"/>
          </w:tcPr>
          <w:p w14:paraId="025507A0"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Variable</w:t>
            </w:r>
          </w:p>
        </w:tc>
        <w:tc>
          <w:tcPr>
            <w:tcW w:w="992" w:type="dxa"/>
            <w:vAlign w:val="center"/>
          </w:tcPr>
          <w:p w14:paraId="131231DC"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 xml:space="preserve">Casos </w:t>
            </w:r>
          </w:p>
          <w:p w14:paraId="3C0F8942"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(n= 182)</w:t>
            </w:r>
          </w:p>
        </w:tc>
        <w:tc>
          <w:tcPr>
            <w:tcW w:w="966" w:type="dxa"/>
            <w:vAlign w:val="center"/>
          </w:tcPr>
          <w:p w14:paraId="3B118CA2"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Controles</w:t>
            </w:r>
          </w:p>
          <w:p w14:paraId="2B4CECA8"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(n= 546)</w:t>
            </w:r>
          </w:p>
        </w:tc>
        <w:tc>
          <w:tcPr>
            <w:tcW w:w="851" w:type="dxa"/>
            <w:vAlign w:val="center"/>
          </w:tcPr>
          <w:p w14:paraId="411FBFA6"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OR</w:t>
            </w:r>
          </w:p>
        </w:tc>
        <w:tc>
          <w:tcPr>
            <w:tcW w:w="1417" w:type="dxa"/>
            <w:vAlign w:val="center"/>
          </w:tcPr>
          <w:p w14:paraId="7A081C3E"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IC 95 %</w:t>
            </w:r>
          </w:p>
        </w:tc>
        <w:tc>
          <w:tcPr>
            <w:tcW w:w="851" w:type="dxa"/>
            <w:vAlign w:val="center"/>
          </w:tcPr>
          <w:p w14:paraId="243067AB"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p</w:t>
            </w:r>
          </w:p>
        </w:tc>
      </w:tr>
      <w:tr w:rsidR="004A5ABC" w:rsidRPr="004A5ABC" w14:paraId="6757D1C5" w14:textId="77777777" w:rsidTr="00B5388B">
        <w:trPr>
          <w:jc w:val="center"/>
        </w:trPr>
        <w:tc>
          <w:tcPr>
            <w:tcW w:w="1838" w:type="dxa"/>
            <w:vAlign w:val="center"/>
          </w:tcPr>
          <w:p w14:paraId="290BB2A2" w14:textId="77777777" w:rsidR="004A5ABC" w:rsidRPr="004A5ABC" w:rsidRDefault="004A5ABC" w:rsidP="004A5ABC">
            <w:pPr>
              <w:spacing w:line="360" w:lineRule="auto"/>
              <w:jc w:val="both"/>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Fragilidad</w:t>
            </w:r>
          </w:p>
        </w:tc>
        <w:tc>
          <w:tcPr>
            <w:tcW w:w="992" w:type="dxa"/>
            <w:vAlign w:val="center"/>
          </w:tcPr>
          <w:p w14:paraId="40D0B869"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38,8</w:t>
            </w:r>
          </w:p>
        </w:tc>
        <w:tc>
          <w:tcPr>
            <w:tcW w:w="966" w:type="dxa"/>
            <w:vAlign w:val="center"/>
          </w:tcPr>
          <w:p w14:paraId="223F5988"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21,5</w:t>
            </w:r>
          </w:p>
        </w:tc>
        <w:tc>
          <w:tcPr>
            <w:tcW w:w="851" w:type="dxa"/>
            <w:vAlign w:val="center"/>
          </w:tcPr>
          <w:p w14:paraId="735A7186"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2,380</w:t>
            </w:r>
          </w:p>
        </w:tc>
        <w:tc>
          <w:tcPr>
            <w:tcW w:w="1417" w:type="dxa"/>
            <w:vAlign w:val="center"/>
          </w:tcPr>
          <w:p w14:paraId="6FC2079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1,476-4,615</w:t>
            </w:r>
          </w:p>
        </w:tc>
        <w:tc>
          <w:tcPr>
            <w:tcW w:w="851" w:type="dxa"/>
            <w:vAlign w:val="center"/>
          </w:tcPr>
          <w:p w14:paraId="01A9BA2C"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0,000</w:t>
            </w:r>
          </w:p>
        </w:tc>
      </w:tr>
      <w:tr w:rsidR="004A5ABC" w:rsidRPr="004A5ABC" w14:paraId="1A0D5EC5" w14:textId="77777777" w:rsidTr="00B5388B">
        <w:trPr>
          <w:jc w:val="center"/>
        </w:trPr>
        <w:tc>
          <w:tcPr>
            <w:tcW w:w="1838" w:type="dxa"/>
            <w:vAlign w:val="center"/>
          </w:tcPr>
          <w:p w14:paraId="2F175DB7" w14:textId="77777777" w:rsidR="004A5ABC" w:rsidRPr="004A5ABC" w:rsidRDefault="004A5ABC" w:rsidP="004A5ABC">
            <w:pPr>
              <w:spacing w:line="360" w:lineRule="auto"/>
              <w:jc w:val="both"/>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Multimorbilidad</w:t>
            </w:r>
          </w:p>
        </w:tc>
        <w:tc>
          <w:tcPr>
            <w:tcW w:w="992" w:type="dxa"/>
            <w:vAlign w:val="center"/>
          </w:tcPr>
          <w:p w14:paraId="2E73110B"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46,0</w:t>
            </w:r>
          </w:p>
        </w:tc>
        <w:tc>
          <w:tcPr>
            <w:tcW w:w="966" w:type="dxa"/>
            <w:vAlign w:val="center"/>
          </w:tcPr>
          <w:p w14:paraId="0F61AB7D"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23,8</w:t>
            </w:r>
          </w:p>
        </w:tc>
        <w:tc>
          <w:tcPr>
            <w:tcW w:w="851" w:type="dxa"/>
            <w:vAlign w:val="center"/>
          </w:tcPr>
          <w:p w14:paraId="30FCA1BE"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1,731</w:t>
            </w:r>
          </w:p>
        </w:tc>
        <w:tc>
          <w:tcPr>
            <w:tcW w:w="1417" w:type="dxa"/>
            <w:vAlign w:val="center"/>
          </w:tcPr>
          <w:p w14:paraId="66D5CCDD"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1,443-3,157</w:t>
            </w:r>
          </w:p>
        </w:tc>
        <w:tc>
          <w:tcPr>
            <w:tcW w:w="851" w:type="dxa"/>
            <w:vAlign w:val="center"/>
          </w:tcPr>
          <w:p w14:paraId="33212822"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0,000</w:t>
            </w:r>
          </w:p>
        </w:tc>
      </w:tr>
      <w:tr w:rsidR="004A5ABC" w:rsidRPr="004A5ABC" w14:paraId="46D71892" w14:textId="77777777" w:rsidTr="00B5388B">
        <w:trPr>
          <w:jc w:val="center"/>
        </w:trPr>
        <w:tc>
          <w:tcPr>
            <w:tcW w:w="1838" w:type="dxa"/>
            <w:vAlign w:val="center"/>
          </w:tcPr>
          <w:p w14:paraId="0DF96ACF" w14:textId="77777777" w:rsidR="004A5ABC" w:rsidRPr="004A5ABC" w:rsidRDefault="004A5ABC" w:rsidP="004A5ABC">
            <w:pPr>
              <w:spacing w:line="360" w:lineRule="auto"/>
              <w:jc w:val="both"/>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Deterioro cognitivo</w:t>
            </w:r>
          </w:p>
        </w:tc>
        <w:tc>
          <w:tcPr>
            <w:tcW w:w="992" w:type="dxa"/>
            <w:vAlign w:val="center"/>
          </w:tcPr>
          <w:p w14:paraId="3483465D"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28,6</w:t>
            </w:r>
          </w:p>
        </w:tc>
        <w:tc>
          <w:tcPr>
            <w:tcW w:w="966" w:type="dxa"/>
            <w:vAlign w:val="center"/>
          </w:tcPr>
          <w:p w14:paraId="2B2F3C59"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27,4</w:t>
            </w:r>
          </w:p>
        </w:tc>
        <w:tc>
          <w:tcPr>
            <w:tcW w:w="851" w:type="dxa"/>
            <w:vAlign w:val="center"/>
          </w:tcPr>
          <w:p w14:paraId="4E2ADEA6"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1,292</w:t>
            </w:r>
          </w:p>
        </w:tc>
        <w:tc>
          <w:tcPr>
            <w:tcW w:w="1417" w:type="dxa"/>
            <w:vAlign w:val="center"/>
          </w:tcPr>
          <w:p w14:paraId="5DAC689C"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0,788-2,798</w:t>
            </w:r>
          </w:p>
        </w:tc>
        <w:tc>
          <w:tcPr>
            <w:tcW w:w="851" w:type="dxa"/>
            <w:vAlign w:val="center"/>
          </w:tcPr>
          <w:p w14:paraId="3A360E80"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0,066</w:t>
            </w:r>
          </w:p>
        </w:tc>
      </w:tr>
      <w:tr w:rsidR="004A5ABC" w:rsidRPr="004A5ABC" w14:paraId="1607D0AB" w14:textId="77777777" w:rsidTr="00B5388B">
        <w:trPr>
          <w:jc w:val="center"/>
        </w:trPr>
        <w:tc>
          <w:tcPr>
            <w:tcW w:w="1838" w:type="dxa"/>
            <w:vAlign w:val="center"/>
          </w:tcPr>
          <w:p w14:paraId="44D66B3C" w14:textId="77777777" w:rsidR="004A5ABC" w:rsidRPr="004A5ABC" w:rsidRDefault="004A5ABC" w:rsidP="004A5ABC">
            <w:pPr>
              <w:spacing w:line="360" w:lineRule="auto"/>
              <w:jc w:val="both"/>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Polifarmacia</w:t>
            </w:r>
          </w:p>
        </w:tc>
        <w:tc>
          <w:tcPr>
            <w:tcW w:w="992" w:type="dxa"/>
            <w:vAlign w:val="center"/>
          </w:tcPr>
          <w:p w14:paraId="70DCC099"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45,3</w:t>
            </w:r>
          </w:p>
        </w:tc>
        <w:tc>
          <w:tcPr>
            <w:tcW w:w="966" w:type="dxa"/>
            <w:vAlign w:val="center"/>
          </w:tcPr>
          <w:p w14:paraId="5FD5ABAF"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47,4</w:t>
            </w:r>
          </w:p>
        </w:tc>
        <w:tc>
          <w:tcPr>
            <w:tcW w:w="851" w:type="dxa"/>
            <w:vAlign w:val="center"/>
          </w:tcPr>
          <w:p w14:paraId="23284D64"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0,894</w:t>
            </w:r>
          </w:p>
        </w:tc>
        <w:tc>
          <w:tcPr>
            <w:tcW w:w="1417" w:type="dxa"/>
            <w:vAlign w:val="center"/>
          </w:tcPr>
          <w:p w14:paraId="5C2DAF9F"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0,765-2,230</w:t>
            </w:r>
          </w:p>
        </w:tc>
        <w:tc>
          <w:tcPr>
            <w:tcW w:w="851" w:type="dxa"/>
            <w:vAlign w:val="center"/>
          </w:tcPr>
          <w:p w14:paraId="5FB74CBD"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0,326</w:t>
            </w:r>
          </w:p>
        </w:tc>
      </w:tr>
    </w:tbl>
    <w:p w14:paraId="44DCFA13" w14:textId="77777777" w:rsidR="004A5ABC" w:rsidRPr="004A5ABC" w:rsidRDefault="004A5ABC" w:rsidP="004A5ABC">
      <w:pPr>
        <w:spacing w:line="360" w:lineRule="auto"/>
        <w:jc w:val="both"/>
        <w:rPr>
          <w:rFonts w:eastAsiaTheme="minorHAnsi"/>
          <w:bCs/>
          <w:lang w:val="es-ES" w:eastAsia="en-US"/>
        </w:rPr>
      </w:pPr>
    </w:p>
    <w:p w14:paraId="6C728F74"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La tabla 3 muestra que la fragilidad + deterioro cognitivo fue la combinación de mayor riesgo (OR= 2,567; IC95 %: 2,125-4,233; p= 0,000).</w:t>
      </w:r>
    </w:p>
    <w:p w14:paraId="01F64C35" w14:textId="77777777" w:rsidR="004A5ABC" w:rsidRPr="004A5ABC" w:rsidRDefault="004A5ABC" w:rsidP="004A5ABC">
      <w:pPr>
        <w:spacing w:line="360" w:lineRule="auto"/>
        <w:jc w:val="both"/>
        <w:rPr>
          <w:rFonts w:eastAsiaTheme="minorHAnsi"/>
          <w:bCs/>
          <w:lang w:val="es-ES" w:eastAsia="en-US"/>
        </w:rPr>
      </w:pPr>
    </w:p>
    <w:p w14:paraId="145BF02F" w14:textId="77777777" w:rsidR="004A5ABC" w:rsidRPr="004A5ABC" w:rsidRDefault="004A5ABC" w:rsidP="004A5ABC">
      <w:pPr>
        <w:spacing w:line="360" w:lineRule="auto"/>
        <w:jc w:val="center"/>
        <w:rPr>
          <w:rFonts w:eastAsiaTheme="minorHAnsi"/>
          <w:bCs/>
          <w:sz w:val="22"/>
          <w:szCs w:val="22"/>
          <w:lang w:val="es-ES" w:eastAsia="en-US"/>
        </w:rPr>
      </w:pPr>
      <w:r w:rsidRPr="004A5ABC">
        <w:rPr>
          <w:rFonts w:eastAsiaTheme="minorHAnsi"/>
          <w:b/>
          <w:bCs/>
          <w:sz w:val="22"/>
          <w:szCs w:val="22"/>
          <w:lang w:val="es-ES" w:eastAsia="en-US"/>
        </w:rPr>
        <w:t>Tabla 3 -</w:t>
      </w:r>
      <w:r w:rsidRPr="004A5ABC">
        <w:rPr>
          <w:rFonts w:eastAsiaTheme="minorHAnsi"/>
          <w:bCs/>
          <w:sz w:val="22"/>
          <w:szCs w:val="22"/>
          <w:lang w:val="es-ES" w:eastAsia="en-US"/>
        </w:rPr>
        <w:t xml:space="preserve"> Riesgo de mortalidad según diferentes combinaciones de las variables independientes</w:t>
      </w:r>
    </w:p>
    <w:tbl>
      <w:tblPr>
        <w:tblStyle w:val="Tablaconcuadrcula1"/>
        <w:tblW w:w="0" w:type="auto"/>
        <w:jc w:val="center"/>
        <w:tblLook w:val="04A0" w:firstRow="1" w:lastRow="0" w:firstColumn="1" w:lastColumn="0" w:noHBand="0" w:noVBand="1"/>
      </w:tblPr>
      <w:tblGrid>
        <w:gridCol w:w="3250"/>
        <w:gridCol w:w="1281"/>
        <w:gridCol w:w="1560"/>
        <w:gridCol w:w="992"/>
      </w:tblGrid>
      <w:tr w:rsidR="004A5ABC" w:rsidRPr="004A5ABC" w14:paraId="73F9F370" w14:textId="77777777" w:rsidTr="00B5388B">
        <w:trPr>
          <w:jc w:val="center"/>
        </w:trPr>
        <w:tc>
          <w:tcPr>
            <w:tcW w:w="3250" w:type="dxa"/>
            <w:vAlign w:val="center"/>
          </w:tcPr>
          <w:p w14:paraId="2619EE7A"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Variable</w:t>
            </w:r>
          </w:p>
        </w:tc>
        <w:tc>
          <w:tcPr>
            <w:tcW w:w="1281" w:type="dxa"/>
            <w:vAlign w:val="center"/>
          </w:tcPr>
          <w:p w14:paraId="4BDE8906"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OR</w:t>
            </w:r>
          </w:p>
        </w:tc>
        <w:tc>
          <w:tcPr>
            <w:tcW w:w="1560" w:type="dxa"/>
            <w:vAlign w:val="center"/>
          </w:tcPr>
          <w:p w14:paraId="333B88B1"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IC 95 %</w:t>
            </w:r>
          </w:p>
        </w:tc>
        <w:tc>
          <w:tcPr>
            <w:tcW w:w="992" w:type="dxa"/>
            <w:vAlign w:val="center"/>
          </w:tcPr>
          <w:p w14:paraId="0DF7BC28" w14:textId="77777777" w:rsidR="004A5ABC" w:rsidRPr="004A5ABC" w:rsidRDefault="004A5ABC" w:rsidP="004A5ABC">
            <w:pPr>
              <w:spacing w:line="360" w:lineRule="auto"/>
              <w:jc w:val="center"/>
              <w:rPr>
                <w:rFonts w:ascii="Times New Roman" w:hAnsi="Times New Roman" w:cs="Times New Roman"/>
                <w:b/>
                <w:bCs/>
                <w:sz w:val="18"/>
                <w:szCs w:val="18"/>
                <w:lang w:val="es-ES" w:eastAsia="en-US"/>
              </w:rPr>
            </w:pPr>
            <w:r w:rsidRPr="004A5ABC">
              <w:rPr>
                <w:rFonts w:ascii="Times New Roman" w:hAnsi="Times New Roman" w:cs="Times New Roman"/>
                <w:b/>
                <w:bCs/>
                <w:sz w:val="18"/>
                <w:szCs w:val="18"/>
                <w:lang w:val="es-ES" w:eastAsia="en-US"/>
              </w:rPr>
              <w:t>p</w:t>
            </w:r>
          </w:p>
        </w:tc>
      </w:tr>
      <w:tr w:rsidR="004A5ABC" w:rsidRPr="004A5ABC" w14:paraId="1CAB0B41" w14:textId="77777777" w:rsidTr="00B5388B">
        <w:trPr>
          <w:jc w:val="center"/>
        </w:trPr>
        <w:tc>
          <w:tcPr>
            <w:tcW w:w="3250" w:type="dxa"/>
            <w:vAlign w:val="center"/>
          </w:tcPr>
          <w:p w14:paraId="56FD16A2" w14:textId="77777777" w:rsidR="004A5ABC" w:rsidRPr="004A5ABC" w:rsidRDefault="004A5ABC" w:rsidP="004A5ABC">
            <w:pPr>
              <w:spacing w:line="360" w:lineRule="auto"/>
              <w:rPr>
                <w:rFonts w:ascii="Times New Roman" w:hAnsi="Times New Roman" w:cs="Times New Roman"/>
                <w:bCs/>
                <w:sz w:val="18"/>
                <w:szCs w:val="18"/>
                <w:lang w:val="es-ES" w:eastAsia="en-US"/>
              </w:rPr>
            </w:pPr>
            <w:r w:rsidRPr="004A5ABC">
              <w:rPr>
                <w:rFonts w:ascii="Times New Roman" w:hAnsi="Times New Roman" w:cs="Times New Roman"/>
                <w:bCs/>
                <w:iCs/>
                <w:sz w:val="18"/>
                <w:szCs w:val="18"/>
                <w:lang w:val="es-ES" w:eastAsia="en-US"/>
              </w:rPr>
              <w:t xml:space="preserve">Fragilidad + multimorbilidad </w:t>
            </w:r>
          </w:p>
        </w:tc>
        <w:tc>
          <w:tcPr>
            <w:tcW w:w="1281" w:type="dxa"/>
            <w:vAlign w:val="center"/>
          </w:tcPr>
          <w:p w14:paraId="465A23EF"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2,567</w:t>
            </w:r>
          </w:p>
        </w:tc>
        <w:tc>
          <w:tcPr>
            <w:tcW w:w="1560" w:type="dxa"/>
            <w:vAlign w:val="center"/>
          </w:tcPr>
          <w:p w14:paraId="0B2174EC"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2,125-4,233</w:t>
            </w:r>
          </w:p>
        </w:tc>
        <w:tc>
          <w:tcPr>
            <w:tcW w:w="992" w:type="dxa"/>
            <w:vAlign w:val="center"/>
          </w:tcPr>
          <w:p w14:paraId="1D8F4732"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0,000</w:t>
            </w:r>
          </w:p>
        </w:tc>
      </w:tr>
      <w:tr w:rsidR="004A5ABC" w:rsidRPr="004A5ABC" w14:paraId="7A8D3F96" w14:textId="77777777" w:rsidTr="00B5388B">
        <w:trPr>
          <w:jc w:val="center"/>
        </w:trPr>
        <w:tc>
          <w:tcPr>
            <w:tcW w:w="3250" w:type="dxa"/>
            <w:vAlign w:val="center"/>
          </w:tcPr>
          <w:p w14:paraId="68DB7807" w14:textId="77777777" w:rsidR="004A5ABC" w:rsidRPr="004A5ABC" w:rsidRDefault="004A5ABC" w:rsidP="004A5ABC">
            <w:pPr>
              <w:spacing w:line="360" w:lineRule="auto"/>
              <w:rPr>
                <w:rFonts w:ascii="Times New Roman" w:hAnsi="Times New Roman" w:cs="Times New Roman"/>
                <w:bCs/>
                <w:sz w:val="18"/>
                <w:szCs w:val="18"/>
                <w:lang w:val="es-ES" w:eastAsia="en-US"/>
              </w:rPr>
            </w:pPr>
            <w:r w:rsidRPr="004A5ABC">
              <w:rPr>
                <w:rFonts w:ascii="Times New Roman" w:hAnsi="Times New Roman" w:cs="Times New Roman"/>
                <w:bCs/>
                <w:iCs/>
                <w:sz w:val="18"/>
                <w:szCs w:val="18"/>
                <w:lang w:val="es-ES" w:eastAsia="en-US"/>
              </w:rPr>
              <w:t>Fragilidad + deterioro cognitivo</w:t>
            </w:r>
          </w:p>
        </w:tc>
        <w:tc>
          <w:tcPr>
            <w:tcW w:w="1281" w:type="dxa"/>
            <w:vAlign w:val="center"/>
          </w:tcPr>
          <w:p w14:paraId="4698A652"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1,731</w:t>
            </w:r>
          </w:p>
        </w:tc>
        <w:tc>
          <w:tcPr>
            <w:tcW w:w="1560" w:type="dxa"/>
            <w:vAlign w:val="center"/>
          </w:tcPr>
          <w:p w14:paraId="69316257"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1,756-2,887</w:t>
            </w:r>
          </w:p>
        </w:tc>
        <w:tc>
          <w:tcPr>
            <w:tcW w:w="992" w:type="dxa"/>
            <w:vAlign w:val="center"/>
          </w:tcPr>
          <w:p w14:paraId="2696998B"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0,004</w:t>
            </w:r>
          </w:p>
        </w:tc>
      </w:tr>
      <w:tr w:rsidR="004A5ABC" w:rsidRPr="004A5ABC" w14:paraId="06116261" w14:textId="77777777" w:rsidTr="00B5388B">
        <w:trPr>
          <w:jc w:val="center"/>
        </w:trPr>
        <w:tc>
          <w:tcPr>
            <w:tcW w:w="3250" w:type="dxa"/>
            <w:vAlign w:val="center"/>
          </w:tcPr>
          <w:p w14:paraId="17CD5262" w14:textId="77777777" w:rsidR="004A5ABC" w:rsidRPr="004A5ABC" w:rsidRDefault="004A5ABC" w:rsidP="004A5ABC">
            <w:pPr>
              <w:spacing w:line="360" w:lineRule="auto"/>
              <w:rPr>
                <w:rFonts w:ascii="Times New Roman" w:hAnsi="Times New Roman" w:cs="Times New Roman"/>
                <w:bCs/>
                <w:sz w:val="18"/>
                <w:szCs w:val="18"/>
                <w:lang w:val="es-ES" w:eastAsia="en-US"/>
              </w:rPr>
            </w:pPr>
            <w:r w:rsidRPr="004A5ABC">
              <w:rPr>
                <w:rFonts w:ascii="Times New Roman" w:hAnsi="Times New Roman" w:cs="Times New Roman"/>
                <w:bCs/>
                <w:iCs/>
                <w:sz w:val="18"/>
                <w:szCs w:val="18"/>
                <w:lang w:val="es-ES" w:eastAsia="en-US"/>
              </w:rPr>
              <w:t>Multimorbilidad + polifarmacia</w:t>
            </w:r>
          </w:p>
        </w:tc>
        <w:tc>
          <w:tcPr>
            <w:tcW w:w="1281" w:type="dxa"/>
            <w:vAlign w:val="center"/>
          </w:tcPr>
          <w:p w14:paraId="3ADE3ADD"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1,146</w:t>
            </w:r>
          </w:p>
        </w:tc>
        <w:tc>
          <w:tcPr>
            <w:tcW w:w="1560" w:type="dxa"/>
            <w:vAlign w:val="center"/>
          </w:tcPr>
          <w:p w14:paraId="7A851223"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0,734-1,212</w:t>
            </w:r>
          </w:p>
        </w:tc>
        <w:tc>
          <w:tcPr>
            <w:tcW w:w="992" w:type="dxa"/>
            <w:vAlign w:val="center"/>
          </w:tcPr>
          <w:p w14:paraId="5E15D175"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0,075</w:t>
            </w:r>
          </w:p>
        </w:tc>
      </w:tr>
      <w:tr w:rsidR="004A5ABC" w:rsidRPr="004A5ABC" w14:paraId="4CED6BB5" w14:textId="77777777" w:rsidTr="00B5388B">
        <w:trPr>
          <w:jc w:val="center"/>
        </w:trPr>
        <w:tc>
          <w:tcPr>
            <w:tcW w:w="3250" w:type="dxa"/>
            <w:vAlign w:val="center"/>
          </w:tcPr>
          <w:p w14:paraId="63F7D3CA" w14:textId="77777777" w:rsidR="004A5ABC" w:rsidRPr="004A5ABC" w:rsidRDefault="004A5ABC" w:rsidP="004A5ABC">
            <w:pPr>
              <w:spacing w:line="360" w:lineRule="auto"/>
              <w:rPr>
                <w:rFonts w:ascii="Times New Roman" w:hAnsi="Times New Roman" w:cs="Times New Roman"/>
                <w:bCs/>
                <w:sz w:val="18"/>
                <w:szCs w:val="18"/>
                <w:lang w:val="es-ES" w:eastAsia="en-US"/>
              </w:rPr>
            </w:pPr>
            <w:r w:rsidRPr="004A5ABC">
              <w:rPr>
                <w:rFonts w:ascii="Times New Roman" w:hAnsi="Times New Roman" w:cs="Times New Roman"/>
                <w:bCs/>
                <w:iCs/>
                <w:sz w:val="18"/>
                <w:szCs w:val="18"/>
                <w:lang w:val="es-ES" w:eastAsia="en-US"/>
              </w:rPr>
              <w:t>Deterioro cognitivo + multimorbilidad</w:t>
            </w:r>
          </w:p>
        </w:tc>
        <w:tc>
          <w:tcPr>
            <w:tcW w:w="1281" w:type="dxa"/>
            <w:vAlign w:val="center"/>
          </w:tcPr>
          <w:p w14:paraId="3584E132"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1,057</w:t>
            </w:r>
          </w:p>
        </w:tc>
        <w:tc>
          <w:tcPr>
            <w:tcW w:w="1560" w:type="dxa"/>
            <w:vAlign w:val="center"/>
          </w:tcPr>
          <w:p w14:paraId="45C01BD2"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0,564-1,120</w:t>
            </w:r>
          </w:p>
        </w:tc>
        <w:tc>
          <w:tcPr>
            <w:tcW w:w="992" w:type="dxa"/>
            <w:vAlign w:val="center"/>
          </w:tcPr>
          <w:p w14:paraId="75F82D43"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0,122</w:t>
            </w:r>
          </w:p>
        </w:tc>
      </w:tr>
      <w:tr w:rsidR="004A5ABC" w:rsidRPr="004A5ABC" w14:paraId="31428D5D" w14:textId="77777777" w:rsidTr="00B5388B">
        <w:trPr>
          <w:jc w:val="center"/>
        </w:trPr>
        <w:tc>
          <w:tcPr>
            <w:tcW w:w="3250" w:type="dxa"/>
            <w:vAlign w:val="center"/>
          </w:tcPr>
          <w:p w14:paraId="4B49EF12" w14:textId="77777777" w:rsidR="004A5ABC" w:rsidRPr="004A5ABC" w:rsidRDefault="004A5ABC" w:rsidP="004A5ABC">
            <w:pPr>
              <w:spacing w:line="360" w:lineRule="auto"/>
              <w:rPr>
                <w:rFonts w:ascii="Times New Roman" w:hAnsi="Times New Roman" w:cs="Times New Roman"/>
                <w:bCs/>
                <w:iCs/>
                <w:sz w:val="18"/>
                <w:szCs w:val="18"/>
                <w:lang w:val="es-ES" w:eastAsia="en-US"/>
              </w:rPr>
            </w:pPr>
            <w:r w:rsidRPr="004A5ABC">
              <w:rPr>
                <w:rFonts w:ascii="Times New Roman" w:hAnsi="Times New Roman" w:cs="Times New Roman"/>
                <w:bCs/>
                <w:iCs/>
                <w:sz w:val="18"/>
                <w:szCs w:val="18"/>
                <w:lang w:val="es-ES" w:eastAsia="en-US"/>
              </w:rPr>
              <w:t>Fragilidad + polifarmacia</w:t>
            </w:r>
          </w:p>
        </w:tc>
        <w:tc>
          <w:tcPr>
            <w:tcW w:w="1281" w:type="dxa"/>
            <w:vAlign w:val="center"/>
          </w:tcPr>
          <w:p w14:paraId="6E656A17"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1,021</w:t>
            </w:r>
          </w:p>
        </w:tc>
        <w:tc>
          <w:tcPr>
            <w:tcW w:w="1560" w:type="dxa"/>
            <w:vAlign w:val="center"/>
          </w:tcPr>
          <w:p w14:paraId="43A3EB6B"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0,345-1,094</w:t>
            </w:r>
          </w:p>
        </w:tc>
        <w:tc>
          <w:tcPr>
            <w:tcW w:w="992" w:type="dxa"/>
            <w:vAlign w:val="center"/>
          </w:tcPr>
          <w:p w14:paraId="028B337A" w14:textId="77777777" w:rsidR="004A5ABC" w:rsidRPr="004A5ABC" w:rsidRDefault="004A5ABC" w:rsidP="004A5ABC">
            <w:pPr>
              <w:spacing w:line="360" w:lineRule="auto"/>
              <w:jc w:val="center"/>
              <w:rPr>
                <w:rFonts w:ascii="Times New Roman" w:hAnsi="Times New Roman" w:cs="Times New Roman"/>
                <w:bCs/>
                <w:sz w:val="18"/>
                <w:szCs w:val="18"/>
                <w:lang w:val="es-ES" w:eastAsia="en-US"/>
              </w:rPr>
            </w:pPr>
            <w:r w:rsidRPr="004A5ABC">
              <w:rPr>
                <w:rFonts w:ascii="Times New Roman" w:hAnsi="Times New Roman" w:cs="Times New Roman"/>
                <w:bCs/>
                <w:sz w:val="18"/>
                <w:szCs w:val="18"/>
                <w:lang w:val="es-ES" w:eastAsia="en-US"/>
              </w:rPr>
              <w:t>0,267</w:t>
            </w:r>
          </w:p>
        </w:tc>
      </w:tr>
    </w:tbl>
    <w:p w14:paraId="6135EB8C" w14:textId="77777777" w:rsidR="004A5ABC" w:rsidRPr="004A5ABC" w:rsidRDefault="004A5ABC" w:rsidP="004A5ABC">
      <w:pPr>
        <w:spacing w:line="360" w:lineRule="auto"/>
        <w:jc w:val="both"/>
        <w:rPr>
          <w:rFonts w:eastAsiaTheme="minorHAnsi"/>
          <w:bCs/>
          <w:lang w:val="es-ES" w:eastAsia="en-US"/>
        </w:rPr>
      </w:pPr>
    </w:p>
    <w:p w14:paraId="6C9A44A1" w14:textId="77777777" w:rsidR="004A5ABC" w:rsidRPr="004A5ABC" w:rsidRDefault="004A5ABC" w:rsidP="004A5ABC">
      <w:pPr>
        <w:spacing w:line="360" w:lineRule="auto"/>
        <w:jc w:val="center"/>
        <w:rPr>
          <w:rFonts w:eastAsiaTheme="minorHAnsi"/>
          <w:b/>
          <w:bCs/>
          <w:lang w:val="es-ES" w:eastAsia="en-US"/>
        </w:rPr>
      </w:pPr>
    </w:p>
    <w:p w14:paraId="7547CE78" w14:textId="77777777" w:rsidR="004A5ABC" w:rsidRPr="004A5ABC" w:rsidRDefault="004A5ABC" w:rsidP="004A5ABC">
      <w:pPr>
        <w:spacing w:line="360" w:lineRule="auto"/>
        <w:jc w:val="center"/>
        <w:rPr>
          <w:rFonts w:eastAsiaTheme="minorHAnsi"/>
          <w:b/>
          <w:bCs/>
          <w:sz w:val="32"/>
          <w:szCs w:val="32"/>
          <w:lang w:val="es-ES" w:eastAsia="en-US"/>
        </w:rPr>
      </w:pPr>
      <w:r w:rsidRPr="004A5ABC">
        <w:rPr>
          <w:rFonts w:eastAsiaTheme="minorHAnsi"/>
          <w:b/>
          <w:bCs/>
          <w:sz w:val="32"/>
          <w:szCs w:val="32"/>
          <w:lang w:val="es-ES" w:eastAsia="en-US"/>
        </w:rPr>
        <w:t>DISCUSIÓN</w:t>
      </w:r>
      <w:bookmarkStart w:id="0" w:name="bbb0275"/>
    </w:p>
    <w:p w14:paraId="5EC8C6B5" w14:textId="77777777" w:rsidR="004A5ABC" w:rsidRPr="004A5ABC" w:rsidRDefault="004A5ABC" w:rsidP="004A5ABC">
      <w:pPr>
        <w:spacing w:line="360" w:lineRule="auto"/>
        <w:jc w:val="both"/>
        <w:rPr>
          <w:rFonts w:eastAsiaTheme="minorHAnsi"/>
          <w:bCs/>
          <w:iCs/>
          <w:lang w:val="es-ES" w:eastAsia="en-US"/>
        </w:rPr>
      </w:pPr>
      <w:r w:rsidRPr="004A5ABC">
        <w:rPr>
          <w:rFonts w:eastAsiaTheme="minorHAnsi"/>
          <w:bCs/>
          <w:lang w:val="es-ES" w:eastAsia="en-US"/>
        </w:rPr>
        <w:t xml:space="preserve">La fragilidad parece ser un predictor, lo cual coincide con lo planteado por la </w:t>
      </w:r>
      <w:r w:rsidRPr="004A5ABC">
        <w:rPr>
          <w:rFonts w:eastAsiaTheme="minorHAnsi"/>
          <w:bCs/>
          <w:i/>
          <w:lang w:val="es-MX" w:eastAsia="en-US"/>
        </w:rPr>
        <w:t>Schmidt M</w:t>
      </w:r>
      <w:r w:rsidRPr="004A5ABC">
        <w:rPr>
          <w:rFonts w:eastAsiaTheme="minorHAnsi"/>
          <w:bCs/>
          <w:iCs/>
          <w:lang w:val="es-MX" w:eastAsia="en-US"/>
        </w:rPr>
        <w:t xml:space="preserve"> y otros</w:t>
      </w:r>
      <w:r w:rsidRPr="004A5ABC">
        <w:rPr>
          <w:rFonts w:eastAsiaTheme="minorHAnsi"/>
          <w:bCs/>
          <w:lang w:val="es-ES" w:eastAsia="en-US"/>
        </w:rPr>
        <w:t>.</w:t>
      </w:r>
      <w:r w:rsidRPr="004A5ABC">
        <w:rPr>
          <w:rFonts w:eastAsiaTheme="minorHAnsi"/>
          <w:bCs/>
          <w:iCs/>
          <w:vertAlign w:val="superscript"/>
          <w:lang w:val="es-ES" w:eastAsia="en-US"/>
        </w:rPr>
        <w:t xml:space="preserve">(13) </w:t>
      </w:r>
      <w:r w:rsidRPr="004A5ABC">
        <w:rPr>
          <w:rFonts w:eastAsiaTheme="minorHAnsi"/>
          <w:bCs/>
          <w:iCs/>
          <w:lang w:val="es-ES" w:eastAsia="en-US"/>
        </w:rPr>
        <w:t xml:space="preserve">La fragilidad es una condición multidimensional, que es común en adultos mayores; se caracteriza por disminución de la reserva fisiológica, mayor riesgo de caídas, hospitalización, ingreso en hogares de ancianos y muerte. La detección de individuos con fragilidad se asocia con factores de riesgo modificables para la discapacidad y la muerte. </w:t>
      </w:r>
      <w:r w:rsidRPr="004A5ABC">
        <w:rPr>
          <w:rFonts w:eastAsiaTheme="minorHAnsi"/>
          <w:bCs/>
          <w:i/>
          <w:iCs/>
          <w:lang w:val="es-ES" w:eastAsia="en-US"/>
        </w:rPr>
        <w:t xml:space="preserve">Herrera D </w:t>
      </w:r>
      <w:r w:rsidRPr="004A5ABC">
        <w:rPr>
          <w:rFonts w:eastAsiaTheme="minorHAnsi"/>
          <w:bCs/>
          <w:lang w:val="es-ES" w:eastAsia="en-US"/>
        </w:rPr>
        <w:t>y</w:t>
      </w:r>
      <w:r w:rsidRPr="004A5ABC">
        <w:rPr>
          <w:rFonts w:eastAsiaTheme="minorHAnsi"/>
          <w:bCs/>
          <w:i/>
          <w:iCs/>
          <w:lang w:val="es-ES" w:eastAsia="en-US"/>
        </w:rPr>
        <w:t xml:space="preserve"> </w:t>
      </w:r>
      <w:r w:rsidRPr="004A5ABC">
        <w:rPr>
          <w:rFonts w:eastAsiaTheme="minorHAnsi"/>
          <w:bCs/>
          <w:iCs/>
          <w:lang w:val="es-ES" w:eastAsia="en-US"/>
        </w:rPr>
        <w:t>otros</w:t>
      </w:r>
      <w:r w:rsidRPr="004A5ABC">
        <w:rPr>
          <w:rFonts w:eastAsiaTheme="minorHAnsi"/>
          <w:bCs/>
          <w:iCs/>
          <w:vertAlign w:val="superscript"/>
          <w:lang w:val="es-ES" w:eastAsia="en-US"/>
        </w:rPr>
        <w:t>(14)</w:t>
      </w:r>
      <w:r w:rsidRPr="004A5ABC">
        <w:rPr>
          <w:rFonts w:eastAsiaTheme="minorHAnsi"/>
          <w:bCs/>
          <w:iCs/>
          <w:lang w:val="es-ES" w:eastAsia="en-US"/>
        </w:rPr>
        <w:t xml:space="preserve"> informan asociaciones de factores de riesgo de ECV con fragilidad; pero no examinan los efectos de puntuaciones de riesgo que incluyeran esta variable. El deterioro funcional y el estado de fragilidad son considerados factores que predicen el riesgo de dependencia; son utilizados como estimadores del riesgo de mortalidad en personas mayores de 65 años.</w:t>
      </w:r>
      <w:r w:rsidRPr="004A5ABC">
        <w:rPr>
          <w:rFonts w:eastAsiaTheme="minorHAnsi"/>
          <w:bCs/>
          <w:iCs/>
          <w:vertAlign w:val="superscript"/>
          <w:lang w:val="es-ES" w:eastAsia="en-US"/>
        </w:rPr>
        <w:t>(13,15,16)</w:t>
      </w:r>
    </w:p>
    <w:p w14:paraId="577BE3FF" w14:textId="77777777" w:rsidR="004A5ABC" w:rsidRPr="004A5ABC" w:rsidRDefault="004A5ABC" w:rsidP="004A5ABC">
      <w:pPr>
        <w:spacing w:line="360" w:lineRule="auto"/>
        <w:jc w:val="both"/>
        <w:rPr>
          <w:rFonts w:eastAsiaTheme="minorHAnsi"/>
          <w:iCs/>
          <w:lang w:val="es-ES" w:eastAsia="en-US"/>
        </w:rPr>
      </w:pPr>
      <w:r w:rsidRPr="004A5ABC">
        <w:rPr>
          <w:rFonts w:eastAsiaTheme="minorHAnsi"/>
          <w:iCs/>
          <w:lang w:val="es-ES" w:eastAsia="en-US"/>
        </w:rPr>
        <w:lastRenderedPageBreak/>
        <w:t>La prevalencia de fragilidad se estima entre 40 % al 60 % de los adultos mayores y se asocia a peor pronóstico y mayor mortalidad en cualquier enfermedad cardiovascular.</w:t>
      </w:r>
      <w:r w:rsidRPr="004A5ABC">
        <w:rPr>
          <w:rFonts w:eastAsiaTheme="minorHAnsi"/>
          <w:bCs/>
          <w:iCs/>
          <w:vertAlign w:val="superscript"/>
          <w:lang w:val="es-ES" w:eastAsia="en-US"/>
        </w:rPr>
        <w:t>(10)</w:t>
      </w:r>
    </w:p>
    <w:p w14:paraId="46E68A19" w14:textId="77777777" w:rsidR="004A5ABC" w:rsidRPr="004A5ABC" w:rsidRDefault="004A5ABC" w:rsidP="004A5ABC">
      <w:pPr>
        <w:spacing w:line="360" w:lineRule="auto"/>
        <w:jc w:val="both"/>
        <w:rPr>
          <w:rFonts w:eastAsiaTheme="minorHAnsi"/>
          <w:bCs/>
          <w:iCs/>
          <w:lang w:val="es-ES" w:eastAsia="en-US"/>
        </w:rPr>
      </w:pPr>
      <w:r w:rsidRPr="004A5ABC">
        <w:rPr>
          <w:rFonts w:eastAsiaTheme="minorHAnsi"/>
          <w:bCs/>
          <w:iCs/>
          <w:lang w:val="es-ES" w:eastAsia="en-US"/>
        </w:rPr>
        <w:t>El estudio de salud, envejecimiento y composición corporal en adultos mayores fue el primero en mostrar que la fragilidad era un factor de riesgo para el desarrollo de ECV y determinante como predictor en la mortalidad.</w:t>
      </w:r>
      <w:r w:rsidRPr="004A5ABC">
        <w:rPr>
          <w:rFonts w:eastAsiaTheme="minorHAnsi"/>
          <w:bCs/>
          <w:iCs/>
          <w:vertAlign w:val="superscript"/>
          <w:lang w:val="es-ES" w:eastAsia="en-US"/>
        </w:rPr>
        <w:t xml:space="preserve">(17) </w:t>
      </w:r>
      <w:r w:rsidRPr="004A5ABC">
        <w:rPr>
          <w:rFonts w:eastAsiaTheme="minorHAnsi"/>
          <w:bCs/>
          <w:iCs/>
          <w:lang w:val="es-ES" w:eastAsia="en-US"/>
        </w:rPr>
        <w:t xml:space="preserve">Los hallazgos de la investigación de </w:t>
      </w:r>
      <w:r w:rsidRPr="004A5ABC">
        <w:rPr>
          <w:rFonts w:eastAsiaTheme="minorHAnsi"/>
          <w:bCs/>
          <w:i/>
          <w:iCs/>
          <w:lang w:val="es-ES" w:eastAsia="en-US"/>
        </w:rPr>
        <w:t xml:space="preserve">Wang Y </w:t>
      </w:r>
      <w:r w:rsidRPr="004A5ABC">
        <w:rPr>
          <w:rFonts w:eastAsiaTheme="minorHAnsi"/>
          <w:bCs/>
          <w:iCs/>
          <w:lang w:val="es-ES" w:eastAsia="en-US"/>
        </w:rPr>
        <w:t>y otros</w:t>
      </w:r>
      <w:r w:rsidRPr="004A5ABC">
        <w:rPr>
          <w:rFonts w:eastAsiaTheme="minorHAnsi"/>
          <w:bCs/>
          <w:iCs/>
          <w:vertAlign w:val="superscript"/>
          <w:lang w:val="es-ES" w:eastAsia="en-US"/>
        </w:rPr>
        <w:t>(18)</w:t>
      </w:r>
      <w:r w:rsidRPr="004A5ABC">
        <w:rPr>
          <w:rFonts w:eastAsiaTheme="minorHAnsi"/>
          <w:bCs/>
          <w:iCs/>
          <w:lang w:val="es-ES" w:eastAsia="en-US"/>
        </w:rPr>
        <w:t xml:space="preserve"> indican que los factores de riesgo de enfermedad cardiovascular predicen la fragilidad. En la investigación de </w:t>
      </w:r>
      <w:r w:rsidRPr="004A5ABC">
        <w:rPr>
          <w:rFonts w:eastAsiaTheme="minorHAnsi"/>
          <w:bCs/>
          <w:i/>
          <w:iCs/>
          <w:lang w:val="es-ES" w:eastAsia="en-US"/>
        </w:rPr>
        <w:t xml:space="preserve">Plasencia </w:t>
      </w:r>
      <w:r w:rsidRPr="004A5ABC">
        <w:rPr>
          <w:rFonts w:eastAsiaTheme="minorHAnsi"/>
          <w:bCs/>
          <w:iCs/>
          <w:lang w:val="es-ES" w:eastAsia="en-US"/>
        </w:rPr>
        <w:t>y otros,</w:t>
      </w:r>
      <w:r w:rsidRPr="004A5ABC">
        <w:rPr>
          <w:rFonts w:eastAsiaTheme="minorHAnsi"/>
          <w:bCs/>
          <w:iCs/>
          <w:vertAlign w:val="superscript"/>
          <w:lang w:val="es-ES" w:eastAsia="en-US"/>
        </w:rPr>
        <w:t xml:space="preserve">(19) </w:t>
      </w:r>
      <w:r w:rsidRPr="004A5ABC">
        <w:rPr>
          <w:rFonts w:eastAsiaTheme="minorHAnsi"/>
          <w:bCs/>
          <w:iCs/>
          <w:lang w:val="es-ES" w:eastAsia="en-US"/>
        </w:rPr>
        <w:t xml:space="preserve">encuentran que los pacientes con fragilidad (90,10 %; n= 173) tuvieron una mortalidad mayor que los pacientes sin fragilidad (9,90 %; n= 19) (p&lt; 0,0001). </w:t>
      </w:r>
    </w:p>
    <w:p w14:paraId="154CC078" w14:textId="77777777" w:rsidR="004A5ABC" w:rsidRPr="004A5ABC" w:rsidRDefault="004A5ABC" w:rsidP="004A5ABC">
      <w:pPr>
        <w:spacing w:line="360" w:lineRule="auto"/>
        <w:jc w:val="both"/>
        <w:rPr>
          <w:rFonts w:eastAsiaTheme="minorHAnsi"/>
          <w:bCs/>
          <w:lang w:val="es-ES" w:eastAsia="en-US"/>
        </w:rPr>
      </w:pPr>
      <w:bookmarkStart w:id="1" w:name="bbb0245"/>
      <w:bookmarkStart w:id="2" w:name="bbb0270"/>
      <w:bookmarkEnd w:id="0"/>
      <w:r w:rsidRPr="004A5ABC">
        <w:rPr>
          <w:rFonts w:eastAsiaTheme="minorHAnsi"/>
          <w:bCs/>
          <w:iCs/>
          <w:lang w:val="es-ES" w:eastAsia="en-US"/>
        </w:rPr>
        <w:t>El interés en el síndrome de fragilidad no es solo por confirmar un estado que es reconocible en estadios avanzados, sino porque determinadas intervenciones en el estilo de vida, como el ejercicio, revierten o retrasan su progresión. Con las intervenciones se reducen los riesgos, como las caídas, el empeoramiento de la movilidad, la incapacidad para actividades básicas de la vida diaria, hospitalizaciones y aumento de la mortalidad.</w:t>
      </w:r>
      <w:r w:rsidRPr="004A5ABC">
        <w:rPr>
          <w:rFonts w:eastAsiaTheme="minorHAnsi"/>
          <w:bCs/>
          <w:iCs/>
          <w:vertAlign w:val="superscript"/>
          <w:lang w:val="es-ES" w:eastAsia="en-US"/>
        </w:rPr>
        <w:t>(20,21)</w:t>
      </w:r>
    </w:p>
    <w:bookmarkEnd w:id="1"/>
    <w:bookmarkEnd w:id="2"/>
    <w:p w14:paraId="3C8077D6"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iCs/>
          <w:lang w:val="es-ES" w:eastAsia="en-US"/>
        </w:rPr>
        <w:t xml:space="preserve">Se han desarrollado varias metodologías de análisis epidemiológico para detectar los efectos de la multimorbilidad como predictor. </w:t>
      </w:r>
      <w:r w:rsidRPr="004A5ABC">
        <w:rPr>
          <w:rFonts w:eastAsiaTheme="minorHAnsi"/>
          <w:bCs/>
          <w:i/>
          <w:iCs/>
          <w:lang w:val="es-ES" w:eastAsia="en-US"/>
        </w:rPr>
        <w:t>Hall</w:t>
      </w:r>
      <w:r w:rsidRPr="004A5ABC">
        <w:rPr>
          <w:rFonts w:eastAsiaTheme="minorHAnsi"/>
          <w:bCs/>
          <w:iCs/>
          <w:lang w:val="es-ES" w:eastAsia="en-US"/>
        </w:rPr>
        <w:t xml:space="preserve"> y otros</w:t>
      </w:r>
      <w:r w:rsidRPr="004A5ABC">
        <w:rPr>
          <w:rFonts w:eastAsiaTheme="minorHAnsi"/>
          <w:bCs/>
          <w:iCs/>
          <w:vertAlign w:val="superscript"/>
          <w:lang w:val="es-ES" w:eastAsia="en-US"/>
        </w:rPr>
        <w:t>(22)</w:t>
      </w:r>
      <w:r w:rsidRPr="004A5ABC">
        <w:rPr>
          <w:rFonts w:eastAsiaTheme="minorHAnsi"/>
          <w:bCs/>
          <w:iCs/>
          <w:lang w:val="es-ES" w:eastAsia="en-US"/>
        </w:rPr>
        <w:t xml:space="preserve"> demuestran una asociación positiva entre la multimorbilidad y el riesgo de muerte por cardiopatía isquémica</w:t>
      </w:r>
      <w:r w:rsidRPr="004A5ABC">
        <w:rPr>
          <w:rFonts w:eastAsiaTheme="minorHAnsi"/>
          <w:bCs/>
          <w:lang w:val="es-ES" w:eastAsia="en-US"/>
        </w:rPr>
        <w:t>.</w:t>
      </w:r>
      <w:r w:rsidRPr="004A5ABC">
        <w:rPr>
          <w:rFonts w:eastAsiaTheme="minorHAnsi"/>
          <w:bCs/>
          <w:iCs/>
          <w:lang w:val="es-ES" w:eastAsia="en-US"/>
        </w:rPr>
        <w:t xml:space="preserve"> La investigación de </w:t>
      </w:r>
      <w:r w:rsidRPr="004A5ABC">
        <w:rPr>
          <w:rFonts w:eastAsiaTheme="minorHAnsi"/>
          <w:bCs/>
          <w:i/>
          <w:iCs/>
          <w:lang w:val="es-ES" w:eastAsia="en-US"/>
        </w:rPr>
        <w:t>Duarte N</w:t>
      </w:r>
      <w:r w:rsidRPr="004A5ABC">
        <w:rPr>
          <w:rFonts w:eastAsiaTheme="minorHAnsi"/>
          <w:bCs/>
          <w:iCs/>
          <w:vertAlign w:val="superscript"/>
          <w:lang w:val="es-ES" w:eastAsia="en-US"/>
        </w:rPr>
        <w:t xml:space="preserve"> (9) </w:t>
      </w:r>
      <w:r w:rsidRPr="004A5ABC">
        <w:rPr>
          <w:rFonts w:eastAsiaTheme="minorHAnsi"/>
          <w:bCs/>
          <w:iCs/>
          <w:lang w:val="es-ES" w:eastAsia="en-US"/>
        </w:rPr>
        <w:t>destaca mayor riesgo de mortalidad asociado a la multimorbilidad. La multimorbilidad tiene consecuencias en diferentes aspectos. Es una potencial variable confusora (se excluye con frecuencia de los estudios), lo cual no permite extrapolar los resultados a pacientes con perfiles complejos,</w:t>
      </w:r>
      <w:r w:rsidRPr="004A5ABC">
        <w:rPr>
          <w:rFonts w:eastAsiaTheme="minorHAnsi"/>
          <w:bCs/>
          <w:iCs/>
          <w:vertAlign w:val="superscript"/>
          <w:lang w:val="es-ES" w:eastAsia="en-US"/>
        </w:rPr>
        <w:t xml:space="preserve"> </w:t>
      </w:r>
      <w:r w:rsidRPr="004A5ABC">
        <w:rPr>
          <w:rFonts w:eastAsiaTheme="minorHAnsi"/>
          <w:bCs/>
          <w:iCs/>
          <w:lang w:val="es-ES" w:eastAsia="en-US"/>
        </w:rPr>
        <w:t>desde una perspectiva epidemiológica. La multimorbilidad puede operar como como variable predictora de múltiples situaciones de salud, entre ellas las ECV y el deterioro cognitivo.</w:t>
      </w:r>
      <w:r w:rsidRPr="004A5ABC">
        <w:rPr>
          <w:rFonts w:eastAsiaTheme="minorHAnsi"/>
          <w:bCs/>
          <w:iCs/>
          <w:vertAlign w:val="superscript"/>
          <w:lang w:val="es-ES" w:eastAsia="en-US"/>
        </w:rPr>
        <w:t xml:space="preserve">(23,24) </w:t>
      </w:r>
      <w:r w:rsidRPr="004A5ABC">
        <w:rPr>
          <w:rFonts w:eastAsiaTheme="minorHAnsi"/>
          <w:bCs/>
          <w:lang w:val="es-ES" w:eastAsia="en-US"/>
        </w:rPr>
        <w:t xml:space="preserve">En el anciano sin dudas, influye en la polifarmacia, conducta a la que hay que prestar atención pues, un por ciento considerable de los sujetos la presentó. </w:t>
      </w:r>
    </w:p>
    <w:p w14:paraId="27822815"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La polifarmacia se identifica como un nuevo predictor prometedor, de mayor riesgo de ECV.</w:t>
      </w:r>
      <w:r w:rsidRPr="004A5ABC">
        <w:rPr>
          <w:rFonts w:eastAsiaTheme="minorHAnsi"/>
          <w:bCs/>
          <w:vertAlign w:val="superscript"/>
          <w:lang w:val="es-ES" w:eastAsia="en-US"/>
        </w:rPr>
        <w:t xml:space="preserve"> </w:t>
      </w:r>
      <w:r w:rsidRPr="004A5ABC">
        <w:rPr>
          <w:rFonts w:eastAsiaTheme="minorHAnsi"/>
          <w:bCs/>
          <w:lang w:val="es-ES" w:eastAsia="en-US"/>
        </w:rPr>
        <w:t xml:space="preserve">En el estudio de </w:t>
      </w:r>
      <w:r w:rsidRPr="004A5ABC">
        <w:rPr>
          <w:rFonts w:eastAsiaTheme="minorHAnsi"/>
          <w:bCs/>
          <w:i/>
          <w:lang w:val="es-ES" w:eastAsia="en-US"/>
        </w:rPr>
        <w:t>Van EF</w:t>
      </w:r>
      <w:r w:rsidRPr="004A5ABC">
        <w:rPr>
          <w:rFonts w:eastAsiaTheme="minorHAnsi"/>
          <w:bCs/>
          <w:lang w:val="es-ES" w:eastAsia="en-US"/>
        </w:rPr>
        <w:t xml:space="preserve"> y otros</w:t>
      </w:r>
      <w:r w:rsidRPr="004A5ABC">
        <w:rPr>
          <w:rFonts w:eastAsiaTheme="minorHAnsi"/>
          <w:bCs/>
          <w:vertAlign w:val="superscript"/>
          <w:lang w:val="es-ES" w:eastAsia="en-US"/>
        </w:rPr>
        <w:t xml:space="preserve">(25) </w:t>
      </w:r>
      <w:r w:rsidRPr="004A5ABC">
        <w:rPr>
          <w:rFonts w:eastAsiaTheme="minorHAnsi"/>
          <w:bCs/>
          <w:lang w:val="es-ES" w:eastAsia="en-US"/>
        </w:rPr>
        <w:t xml:space="preserve">y </w:t>
      </w:r>
      <w:r w:rsidRPr="004A5ABC">
        <w:rPr>
          <w:rFonts w:eastAsiaTheme="minorHAnsi"/>
          <w:bCs/>
          <w:i/>
          <w:iCs/>
          <w:lang w:val="es-ES" w:eastAsia="en-US"/>
        </w:rPr>
        <w:t xml:space="preserve">Eurelings </w:t>
      </w:r>
      <w:r w:rsidRPr="004A5ABC">
        <w:rPr>
          <w:rFonts w:eastAsiaTheme="minorHAnsi"/>
          <w:bCs/>
          <w:lang w:val="es-ES" w:eastAsia="en-US"/>
        </w:rPr>
        <w:t>y otros,</w:t>
      </w:r>
      <w:r w:rsidRPr="004A5ABC">
        <w:rPr>
          <w:rFonts w:eastAsiaTheme="minorHAnsi"/>
          <w:bCs/>
          <w:vertAlign w:val="superscript"/>
          <w:lang w:val="es-ES" w:eastAsia="en-US"/>
        </w:rPr>
        <w:t xml:space="preserve">(26) </w:t>
      </w:r>
      <w:r w:rsidRPr="004A5ABC">
        <w:rPr>
          <w:rFonts w:eastAsiaTheme="minorHAnsi"/>
          <w:bCs/>
          <w:lang w:val="es-ES" w:eastAsia="en-US"/>
        </w:rPr>
        <w:t xml:space="preserve">la polifarmacia se identificó como nuevo predictor de ECV en este grupo de edad. </w:t>
      </w:r>
    </w:p>
    <w:p w14:paraId="47487137"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En la investigación de </w:t>
      </w:r>
      <w:r w:rsidRPr="004A5ABC">
        <w:rPr>
          <w:rFonts w:eastAsiaTheme="minorHAnsi"/>
          <w:bCs/>
          <w:i/>
          <w:lang w:val="es-ES" w:eastAsia="en-US"/>
        </w:rPr>
        <w:t>Brenes</w:t>
      </w:r>
      <w:r w:rsidRPr="004A5ABC">
        <w:rPr>
          <w:rFonts w:eastAsiaTheme="minorHAnsi"/>
          <w:bCs/>
          <w:lang w:val="es-ES" w:eastAsia="en-US"/>
        </w:rPr>
        <w:t xml:space="preserve"> y otros,</w:t>
      </w:r>
      <w:r w:rsidRPr="004A5ABC">
        <w:rPr>
          <w:rFonts w:eastAsiaTheme="minorHAnsi"/>
          <w:bCs/>
          <w:vertAlign w:val="superscript"/>
          <w:lang w:val="es-ES" w:eastAsia="en-US"/>
        </w:rPr>
        <w:t xml:space="preserve">(24) </w:t>
      </w:r>
      <w:r w:rsidRPr="004A5ABC">
        <w:rPr>
          <w:rFonts w:eastAsiaTheme="minorHAnsi"/>
          <w:bCs/>
          <w:lang w:val="es-ES" w:eastAsia="en-US"/>
        </w:rPr>
        <w:t xml:space="preserve">la enfermedad cerebrovascular presentó una frecuencia más alta entre los pacientes con demencia. Un metaanálisis realizado por </w:t>
      </w:r>
      <w:r w:rsidRPr="004A5ABC">
        <w:rPr>
          <w:rFonts w:eastAsiaTheme="minorHAnsi"/>
          <w:bCs/>
          <w:i/>
          <w:lang w:val="es-ES" w:eastAsia="en-US"/>
        </w:rPr>
        <w:t>Liang X</w:t>
      </w:r>
      <w:r w:rsidRPr="004A5ABC">
        <w:rPr>
          <w:rFonts w:eastAsiaTheme="minorHAnsi"/>
          <w:bCs/>
          <w:lang w:val="es-ES" w:eastAsia="en-US"/>
        </w:rPr>
        <w:t xml:space="preserve"> y otros</w:t>
      </w:r>
      <w:r w:rsidRPr="004A5ABC">
        <w:rPr>
          <w:rFonts w:eastAsiaTheme="minorHAnsi"/>
          <w:bCs/>
          <w:vertAlign w:val="superscript"/>
          <w:lang w:val="es-ES" w:eastAsia="en-US"/>
        </w:rPr>
        <w:t xml:space="preserve">(27) </w:t>
      </w:r>
      <w:r w:rsidRPr="004A5ABC">
        <w:rPr>
          <w:rFonts w:eastAsiaTheme="minorHAnsi"/>
          <w:bCs/>
          <w:lang w:val="es-ES" w:eastAsia="en-US"/>
        </w:rPr>
        <w:t xml:space="preserve">muestra asociación </w:t>
      </w:r>
      <w:r w:rsidRPr="004A5ABC">
        <w:rPr>
          <w:rFonts w:eastAsiaTheme="minorHAnsi"/>
          <w:bCs/>
          <w:lang w:val="es-ES" w:eastAsia="en-US"/>
        </w:rPr>
        <w:lastRenderedPageBreak/>
        <w:t>positiva entre la cardiopatía coronaria y el riesgo de deterioro cognitivo; lo cual no resultó de la misma forma en el presente estudio. Esta diferencia pudiera deberse a la menor frecuencia de deterioro cognitivo en los sujetos del presente estudio. Sin embargo, no existe claridad sobre cómo el deterioro cognitivo puede predecir la mortalidad por ECV, aunque existen evidencias de su asociación con la mortalidad general. Esto pudiera obedecer a la actitud del paciente con deterioro cognitivo sobre su salud: no adherencia al tratamiento, incumplimiento de las orientaciones del médico, falta de control de factores comunes de riesgo cardiovascular, como la hipercolesterolemia y la hipertensión arterial; piezas clave en la potenciación del deterioro.</w:t>
      </w:r>
    </w:p>
    <w:p w14:paraId="412C1EAD"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La investigación de </w:t>
      </w:r>
      <w:r w:rsidRPr="004A5ABC">
        <w:rPr>
          <w:rFonts w:eastAsiaTheme="minorHAnsi"/>
          <w:bCs/>
          <w:i/>
          <w:lang w:val="es-ES" w:eastAsia="en-US"/>
        </w:rPr>
        <w:t>Duarte</w:t>
      </w:r>
      <w:r w:rsidRPr="004A5ABC">
        <w:rPr>
          <w:rFonts w:eastAsiaTheme="minorHAnsi"/>
          <w:bCs/>
          <w:lang w:val="es-ES" w:eastAsia="en-US"/>
        </w:rPr>
        <w:t xml:space="preserve"> y otros</w:t>
      </w:r>
      <w:r w:rsidRPr="004A5ABC">
        <w:rPr>
          <w:rFonts w:eastAsiaTheme="minorHAnsi"/>
          <w:bCs/>
          <w:vertAlign w:val="superscript"/>
          <w:lang w:val="es-ES" w:eastAsia="en-US"/>
        </w:rPr>
        <w:t>(9)</w:t>
      </w:r>
      <w:r w:rsidRPr="004A5ABC">
        <w:rPr>
          <w:rFonts w:eastAsiaTheme="minorHAnsi"/>
          <w:bCs/>
          <w:lang w:val="es-ES" w:eastAsia="en-US"/>
        </w:rPr>
        <w:t xml:space="preserve"> destaca mayor riesgo de mortalidad asociado a la multimorbilidad y presentar polifarmacia, lo que difiere de los actuales resultados. En el estudio de </w:t>
      </w:r>
      <w:r w:rsidRPr="004A5ABC">
        <w:rPr>
          <w:rFonts w:eastAsiaTheme="minorHAnsi"/>
          <w:bCs/>
          <w:i/>
          <w:lang w:val="es-ES" w:eastAsia="en-US"/>
        </w:rPr>
        <w:t>Schmidt</w:t>
      </w:r>
      <w:r w:rsidRPr="004A5ABC">
        <w:rPr>
          <w:rFonts w:eastAsiaTheme="minorHAnsi"/>
          <w:bCs/>
          <w:lang w:val="es-ES" w:eastAsia="en-US"/>
        </w:rPr>
        <w:t xml:space="preserve"> y otros,</w:t>
      </w:r>
      <w:r w:rsidRPr="004A5ABC">
        <w:rPr>
          <w:rFonts w:eastAsiaTheme="minorHAnsi"/>
          <w:bCs/>
          <w:vertAlign w:val="superscript"/>
          <w:lang w:val="es-ES" w:eastAsia="en-US"/>
        </w:rPr>
        <w:t>(13)</w:t>
      </w:r>
      <w:r w:rsidRPr="004A5ABC">
        <w:rPr>
          <w:rFonts w:eastAsiaTheme="minorHAnsi"/>
          <w:bCs/>
          <w:lang w:val="es-ES" w:eastAsia="en-US"/>
        </w:rPr>
        <w:t xml:space="preserve"> el deterioro combinado, en las actividades de la vida diaria y el deterioro cognitivo (OR= 4,52; p= 0,034), fueron predictores de mortalidad, similar a los actuales resultados; aunque no fue el de mayor asociación. En la predicción de los resultados de salud, más que las enfermedades crónicas, son las limitaciones funcionales o la combinación, las condiciones más importantes.</w:t>
      </w:r>
    </w:p>
    <w:p w14:paraId="54A1A891"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Por otra parte, es necesario que los adultos mayores con múltiples comorbilidades, déficits funcionales y cognitivos sean incluidos en los estudios clínicos. Se necesitan herramientas para evaluar estos nuevos predictores, su influencia en la toma de decisiones clínicas, así como replicar los estudios sobre la multimorbilidad, la función cognitiva, la fragilidad y los resultados a largo plazo; el mantenimiento de la independencia, la preservación de la función física, mental y la calidad de vida. </w:t>
      </w:r>
    </w:p>
    <w:p w14:paraId="58CC94B9"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La principal limitación del estudio está en que, para mejorar la predicción de riesgo, debe complementarse el análisis con factores de riesgo tradicionales, junto a los nuevos o no tradicionales.</w:t>
      </w:r>
    </w:p>
    <w:p w14:paraId="3B725313"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La fragilidad y la multimorbilidad son nuevos predictores de mortalidad por enfermedades cardiovasculares en adultos mayores, que cuando se asocian, implican mayor riesgo.</w:t>
      </w:r>
    </w:p>
    <w:p w14:paraId="2BE9DFE3" w14:textId="77777777" w:rsidR="004A5ABC" w:rsidRPr="004A5ABC" w:rsidRDefault="004A5ABC" w:rsidP="004A5ABC">
      <w:pPr>
        <w:spacing w:line="360" w:lineRule="auto"/>
        <w:jc w:val="center"/>
        <w:rPr>
          <w:rFonts w:eastAsiaTheme="minorHAnsi"/>
          <w:b/>
          <w:bCs/>
          <w:lang w:val="es-ES" w:eastAsia="en-US"/>
        </w:rPr>
      </w:pPr>
    </w:p>
    <w:p w14:paraId="463ED517" w14:textId="77777777" w:rsidR="004A5ABC" w:rsidRPr="004A5ABC" w:rsidRDefault="004A5ABC" w:rsidP="004A5ABC">
      <w:pPr>
        <w:spacing w:line="360" w:lineRule="auto"/>
        <w:jc w:val="center"/>
        <w:rPr>
          <w:rFonts w:eastAsiaTheme="minorHAnsi"/>
          <w:b/>
          <w:bCs/>
          <w:lang w:val="es-ES" w:eastAsia="en-US"/>
        </w:rPr>
      </w:pPr>
    </w:p>
    <w:p w14:paraId="24EA422B" w14:textId="77777777" w:rsidR="00327D10" w:rsidRDefault="00327D10">
      <w:pPr>
        <w:rPr>
          <w:rFonts w:eastAsiaTheme="minorHAnsi"/>
          <w:b/>
          <w:bCs/>
          <w:sz w:val="32"/>
          <w:szCs w:val="32"/>
          <w:lang w:val="es-ES" w:eastAsia="en-US"/>
        </w:rPr>
      </w:pPr>
      <w:r>
        <w:rPr>
          <w:rFonts w:eastAsiaTheme="minorHAnsi"/>
          <w:b/>
          <w:bCs/>
          <w:sz w:val="32"/>
          <w:szCs w:val="32"/>
          <w:lang w:val="es-ES" w:eastAsia="en-US"/>
        </w:rPr>
        <w:br w:type="page"/>
      </w:r>
    </w:p>
    <w:p w14:paraId="7381B416" w14:textId="143A8AC4" w:rsidR="004A5ABC" w:rsidRPr="004A5ABC" w:rsidRDefault="004A5ABC" w:rsidP="004A5ABC">
      <w:pPr>
        <w:spacing w:line="360" w:lineRule="auto"/>
        <w:jc w:val="center"/>
        <w:rPr>
          <w:rFonts w:eastAsiaTheme="minorHAnsi"/>
          <w:b/>
          <w:bCs/>
          <w:sz w:val="32"/>
          <w:szCs w:val="32"/>
          <w:lang w:val="es-ES" w:eastAsia="en-US"/>
        </w:rPr>
      </w:pPr>
      <w:r w:rsidRPr="004A5ABC">
        <w:rPr>
          <w:rFonts w:eastAsiaTheme="minorHAnsi"/>
          <w:b/>
          <w:bCs/>
          <w:sz w:val="32"/>
          <w:szCs w:val="32"/>
          <w:lang w:val="es-ES" w:eastAsia="en-US"/>
        </w:rPr>
        <w:lastRenderedPageBreak/>
        <w:t>REFERENCIAS BIBLIOGRÁFICAS</w:t>
      </w:r>
    </w:p>
    <w:p w14:paraId="51E69CF0" w14:textId="77777777" w:rsidR="004A5ABC" w:rsidRPr="004A5ABC" w:rsidRDefault="004A5ABC" w:rsidP="004A5ABC">
      <w:pPr>
        <w:spacing w:line="360" w:lineRule="auto"/>
        <w:rPr>
          <w:rFonts w:eastAsiaTheme="minorHAnsi"/>
          <w:highlight w:val="yellow"/>
          <w:lang w:val="es-ES" w:eastAsia="en-US"/>
        </w:rPr>
      </w:pPr>
      <w:r w:rsidRPr="004A5ABC">
        <w:rPr>
          <w:rFonts w:eastAsiaTheme="minorHAnsi"/>
          <w:bCs/>
          <w:lang w:val="es-ES" w:eastAsia="en-US"/>
        </w:rPr>
        <w:t>1. Paramio A, Aguilera L, Carrazana E, Hernández M. Riesgo cardiovascular global en tres casas de abuelos del municipio Boyeros. Revista Cubana de Medicina General Integral. 2021 [acceso: 23/01/2023]; 37(4):</w:t>
      </w:r>
      <w:r w:rsidRPr="004A5ABC">
        <w:rPr>
          <w:rFonts w:eastAsiaTheme="minorHAnsi"/>
          <w:color w:val="000000"/>
          <w:lang w:val="es-ES" w:eastAsia="en-US"/>
        </w:rPr>
        <w:t xml:space="preserve"> </w:t>
      </w:r>
      <w:r w:rsidRPr="004A5ABC">
        <w:rPr>
          <w:rFonts w:eastAsiaTheme="minorHAnsi"/>
          <w:bCs/>
          <w:lang w:val="es-ES" w:eastAsia="en-US"/>
        </w:rPr>
        <w:t xml:space="preserve">e1417. Disponible en: </w:t>
      </w:r>
      <w:hyperlink r:id="rId12" w:history="1">
        <w:r w:rsidRPr="004A5ABC">
          <w:rPr>
            <w:rFonts w:eastAsiaTheme="minorHAnsi"/>
            <w:color w:val="0000FF" w:themeColor="hyperlink"/>
            <w:lang w:val="es-ES" w:eastAsia="en-US"/>
          </w:rPr>
          <w:t>https://revmgi.sld.cu/index.php/mgi/article/view/1417</w:t>
        </w:r>
      </w:hyperlink>
    </w:p>
    <w:p w14:paraId="171F813A" w14:textId="77777777" w:rsidR="004A5ABC" w:rsidRPr="004A5ABC" w:rsidRDefault="004A5ABC" w:rsidP="004A5ABC">
      <w:pPr>
        <w:spacing w:line="360" w:lineRule="auto"/>
        <w:rPr>
          <w:rFonts w:eastAsiaTheme="minorHAnsi"/>
          <w:lang w:val="es-ES" w:eastAsia="en-US"/>
        </w:rPr>
      </w:pPr>
      <w:r w:rsidRPr="004A5ABC">
        <w:rPr>
          <w:rFonts w:eastAsiaTheme="minorHAnsi"/>
          <w:bCs/>
          <w:lang w:val="es-ES" w:eastAsia="en-US"/>
        </w:rPr>
        <w:t xml:space="preserve">2. Ministerio de Salud Pública. Dirección nacional de registros médicos y estadísticas de salud. Anuario estadístico. 2021 [acceso: 20/01/2023]. Disponible en: </w:t>
      </w:r>
      <w:hyperlink r:id="rId13" w:history="1">
        <w:r w:rsidRPr="004A5ABC">
          <w:rPr>
            <w:rFonts w:eastAsiaTheme="minorHAnsi"/>
            <w:color w:val="0000FF" w:themeColor="hyperlink"/>
            <w:lang w:val="es-ES" w:eastAsia="en-US"/>
          </w:rPr>
          <w:t>https://files.sld.cu/dne/files/2022/10/Anuario-Estadistico-de-Salud-2021.-Ed-2022.pdf</w:t>
        </w:r>
      </w:hyperlink>
    </w:p>
    <w:p w14:paraId="2EAD3FF9" w14:textId="77777777" w:rsidR="004A5ABC" w:rsidRPr="004A5ABC" w:rsidRDefault="004A5ABC" w:rsidP="004A5ABC">
      <w:pPr>
        <w:spacing w:line="360" w:lineRule="auto"/>
        <w:rPr>
          <w:rFonts w:eastAsiaTheme="minorHAnsi"/>
          <w:bCs/>
          <w:lang w:val="es-ES" w:eastAsia="en-US"/>
        </w:rPr>
      </w:pPr>
      <w:r w:rsidRPr="004A5ABC">
        <w:rPr>
          <w:rFonts w:eastAsiaTheme="minorHAnsi"/>
          <w:bCs/>
          <w:lang w:val="es-ES" w:eastAsia="en-US"/>
        </w:rPr>
        <w:t xml:space="preserve">3. Pérez MD, Valdés Y, Pérez L, López C, Jiménez A, Orduñez P. Hipertensión arterial en el adulto. Guía de actuación para la atención primaria de salud. La Habana, Cuba. 2021 [acceso: 23/01/2023]. Disponible en: </w:t>
      </w:r>
      <w:hyperlink r:id="rId14" w:history="1">
        <w:r w:rsidRPr="004A5ABC">
          <w:rPr>
            <w:rFonts w:eastAsiaTheme="minorHAnsi"/>
            <w:bCs/>
            <w:color w:val="0000FF" w:themeColor="hyperlink"/>
            <w:lang w:val="es-ES" w:eastAsia="en-US"/>
          </w:rPr>
          <w:t>https://temas.sld.cu/hipertension/files/2022/02/GU%c3%8dA-DE-ACTUACI%c3%93N-FINAL-6.12.21.pdf</w:t>
        </w:r>
      </w:hyperlink>
    </w:p>
    <w:p w14:paraId="477C0C3F" w14:textId="77777777" w:rsidR="004A5ABC" w:rsidRPr="004A5ABC" w:rsidRDefault="004A5ABC" w:rsidP="004A5ABC">
      <w:pPr>
        <w:spacing w:line="360" w:lineRule="auto"/>
        <w:rPr>
          <w:rFonts w:eastAsiaTheme="minorHAnsi"/>
          <w:bCs/>
          <w:lang w:val="es-ES" w:eastAsia="en-US"/>
        </w:rPr>
      </w:pPr>
      <w:r w:rsidRPr="004A5ABC">
        <w:rPr>
          <w:rFonts w:eastAsiaTheme="minorHAnsi"/>
          <w:bCs/>
          <w:lang w:val="en-US" w:eastAsia="en-US"/>
        </w:rPr>
        <w:t xml:space="preserve">4. Wilkinson MJ, Manoogian ENC, Zadourian A, Lo H, </w:t>
      </w:r>
      <w:hyperlink r:id="rId15" w:history="1">
        <w:r w:rsidRPr="004A5ABC">
          <w:rPr>
            <w:rFonts w:eastAsiaTheme="minorHAnsi"/>
            <w:bCs/>
            <w:color w:val="000000" w:themeColor="text1"/>
            <w:lang w:val="en-US" w:eastAsia="en-US"/>
          </w:rPr>
          <w:t xml:space="preserve"> Fakhouri</w:t>
        </w:r>
      </w:hyperlink>
      <w:r w:rsidRPr="004A5ABC">
        <w:rPr>
          <w:rFonts w:eastAsiaTheme="minorHAnsi"/>
          <w:bCs/>
          <w:color w:val="000000" w:themeColor="text1"/>
          <w:lang w:val="en-US" w:eastAsia="en-US"/>
        </w:rPr>
        <w:t xml:space="preserve"> S, </w:t>
      </w:r>
      <w:hyperlink r:id="rId16" w:history="1">
        <w:r w:rsidRPr="004A5ABC">
          <w:rPr>
            <w:rFonts w:eastAsiaTheme="minorHAnsi"/>
            <w:bCs/>
            <w:color w:val="000000" w:themeColor="text1"/>
            <w:lang w:val="en-US" w:eastAsia="en-US"/>
          </w:rPr>
          <w:t xml:space="preserve"> Shoghi</w:t>
        </w:r>
      </w:hyperlink>
      <w:r w:rsidRPr="004A5ABC">
        <w:rPr>
          <w:rFonts w:eastAsiaTheme="minorHAnsi"/>
          <w:bCs/>
          <w:color w:val="000000" w:themeColor="text1"/>
          <w:lang w:val="en-US" w:eastAsia="en-US"/>
        </w:rPr>
        <w:t xml:space="preserve"> A</w:t>
      </w:r>
      <w:r w:rsidRPr="004A5ABC">
        <w:rPr>
          <w:rFonts w:eastAsiaTheme="minorHAnsi"/>
          <w:bCs/>
          <w:lang w:val="en-US" w:eastAsia="en-US"/>
        </w:rPr>
        <w:t xml:space="preserve">, et al. Ten-Hour time-restricted eating reduces weight, blood pressure, and atherogenic lipids in patients with metabolic syndrome. </w:t>
      </w:r>
      <w:r w:rsidRPr="004A5ABC">
        <w:rPr>
          <w:rFonts w:eastAsiaTheme="minorHAnsi"/>
          <w:bCs/>
          <w:lang w:val="es-ES" w:eastAsia="en-US"/>
        </w:rPr>
        <w:t xml:space="preserve">Cell Metab. 2020 [acceso: 23/01/2023]; 31(1):92–104. Disponible en: </w:t>
      </w:r>
      <w:hyperlink r:id="rId17" w:history="1">
        <w:r w:rsidRPr="004A5ABC">
          <w:rPr>
            <w:rFonts w:eastAsiaTheme="minorHAnsi"/>
            <w:bCs/>
            <w:color w:val="0000FF" w:themeColor="hyperlink"/>
            <w:lang w:val="es-ES" w:eastAsia="en-US"/>
          </w:rPr>
          <w:t>https://www.ncbi.nlm.nih.gov/pmc/articles/PMC6953486/</w:t>
        </w:r>
      </w:hyperlink>
    </w:p>
    <w:p w14:paraId="7CEEB017" w14:textId="77777777" w:rsidR="004A5ABC" w:rsidRPr="004A5ABC" w:rsidRDefault="004A5ABC" w:rsidP="004A5ABC">
      <w:pPr>
        <w:spacing w:line="360" w:lineRule="auto"/>
        <w:rPr>
          <w:rFonts w:eastAsiaTheme="minorHAnsi"/>
          <w:bCs/>
          <w:color w:val="FF0000"/>
          <w:lang w:val="es-ES" w:eastAsia="en-US"/>
        </w:rPr>
      </w:pPr>
      <w:r w:rsidRPr="004A5ABC">
        <w:rPr>
          <w:rFonts w:eastAsiaTheme="minorHAnsi"/>
          <w:bCs/>
          <w:lang w:val="es-ES" w:eastAsia="en-US"/>
        </w:rPr>
        <w:t>5</w:t>
      </w:r>
      <w:r w:rsidRPr="004A5ABC">
        <w:rPr>
          <w:rFonts w:eastAsiaTheme="minorHAnsi"/>
          <w:bCs/>
          <w:color w:val="FF0000"/>
          <w:lang w:val="es-ES" w:eastAsia="en-US"/>
        </w:rPr>
        <w:t xml:space="preserve">. </w:t>
      </w:r>
      <w:r w:rsidRPr="004A5ABC">
        <w:rPr>
          <w:rFonts w:eastAsiaTheme="minorHAnsi"/>
          <w:bCs/>
          <w:lang w:val="es-ES" w:eastAsia="en-US"/>
        </w:rPr>
        <w:t>Hierrezuelo N, Álvarez JT, Cruz J,</w:t>
      </w:r>
      <w:r w:rsidRPr="004A5ABC">
        <w:rPr>
          <w:rFonts w:eastAsiaTheme="minorHAnsi"/>
          <w:caps/>
          <w:color w:val="595959"/>
          <w:sz w:val="17"/>
          <w:szCs w:val="17"/>
          <w:shd w:val="clear" w:color="auto" w:fill="FFFFFF"/>
          <w:lang w:val="es-ES" w:eastAsia="en-US"/>
        </w:rPr>
        <w:t xml:space="preserve"> </w:t>
      </w:r>
      <w:r w:rsidRPr="004A5ABC">
        <w:rPr>
          <w:rFonts w:eastAsiaTheme="minorHAnsi"/>
          <w:bCs/>
          <w:lang w:val="es-ES" w:eastAsia="en-US"/>
        </w:rPr>
        <w:t>Limia AJ. Factores de riesgo asociados a enfermedades cardiovasculares. Rev Cub de Cardiología y Cirugía Cardiovascular. 2021 [acceso: 23/01/2023]; 27(4):1-8. Disponible en: </w:t>
      </w:r>
      <w:hyperlink r:id="rId18" w:history="1">
        <w:r w:rsidRPr="004A5ABC">
          <w:rPr>
            <w:rFonts w:eastAsiaTheme="minorHAnsi"/>
            <w:bCs/>
            <w:color w:val="0000FF" w:themeColor="hyperlink"/>
            <w:lang w:val="es-ES" w:eastAsia="en-US"/>
          </w:rPr>
          <w:t>http://revcardiologia.sld.cu/index.php/revcardiologia/article/view/1193</w:t>
        </w:r>
      </w:hyperlink>
      <w:r w:rsidRPr="004A5ABC">
        <w:rPr>
          <w:rFonts w:eastAsiaTheme="minorHAnsi"/>
          <w:bCs/>
          <w:lang w:val="es-ES" w:eastAsia="en-US"/>
        </w:rPr>
        <w:t xml:space="preserve"> </w:t>
      </w:r>
    </w:p>
    <w:p w14:paraId="6BE64F13" w14:textId="77777777" w:rsidR="004A5ABC" w:rsidRPr="004A5ABC" w:rsidRDefault="004A5ABC" w:rsidP="004A5ABC">
      <w:pPr>
        <w:spacing w:line="360" w:lineRule="auto"/>
        <w:rPr>
          <w:rFonts w:eastAsiaTheme="minorHAnsi"/>
          <w:bCs/>
          <w:lang w:val="es-MX" w:eastAsia="en-US"/>
        </w:rPr>
      </w:pPr>
      <w:r w:rsidRPr="004A5ABC">
        <w:rPr>
          <w:rFonts w:eastAsiaTheme="minorHAnsi"/>
          <w:bCs/>
          <w:lang w:val="en-US" w:eastAsia="en-US"/>
        </w:rPr>
        <w:t xml:space="preserve">6. Benetos A, Petrovic M, Strandberg T. Hypertension management in older and frail older patients. </w:t>
      </w:r>
      <w:r w:rsidRPr="004A5ABC">
        <w:rPr>
          <w:rFonts w:eastAsiaTheme="minorHAnsi"/>
          <w:bCs/>
          <w:lang w:val="es-MX" w:eastAsia="en-US"/>
        </w:rPr>
        <w:t>Circ Res. 2019; 124(7):1045-60. DOI: 10.1161/CIRCRESAHA.118.313236</w:t>
      </w:r>
    </w:p>
    <w:p w14:paraId="7D747B51" w14:textId="77777777" w:rsidR="004A5ABC" w:rsidRPr="004A5ABC" w:rsidRDefault="004A5ABC" w:rsidP="004A5ABC">
      <w:pPr>
        <w:spacing w:line="360" w:lineRule="auto"/>
        <w:rPr>
          <w:rFonts w:eastAsiaTheme="minorHAnsi"/>
          <w:bCs/>
          <w:color w:val="0000FF" w:themeColor="hyperlink"/>
          <w:lang w:val="es-ES" w:eastAsia="en-US"/>
        </w:rPr>
      </w:pPr>
      <w:r w:rsidRPr="004A5ABC">
        <w:rPr>
          <w:rFonts w:eastAsiaTheme="minorHAnsi"/>
          <w:bCs/>
          <w:lang w:val="es-MX" w:eastAsia="en-US"/>
        </w:rPr>
        <w:t>7. Dalton JE, Rothberg MB, Dawson NV,  </w:t>
      </w:r>
      <w:hyperlink r:id="rId19" w:history="1">
        <w:r w:rsidRPr="004A5ABC">
          <w:rPr>
            <w:rFonts w:eastAsiaTheme="minorHAnsi"/>
            <w:bCs/>
            <w:color w:val="000000" w:themeColor="text1"/>
            <w:lang w:val="es-MX" w:eastAsia="en-US"/>
          </w:rPr>
          <w:t xml:space="preserve"> Krieger</w:t>
        </w:r>
      </w:hyperlink>
      <w:r w:rsidRPr="004A5ABC">
        <w:rPr>
          <w:rFonts w:eastAsiaTheme="minorHAnsi"/>
          <w:bCs/>
          <w:color w:val="000000" w:themeColor="text1"/>
          <w:lang w:val="es-MX" w:eastAsia="en-US"/>
        </w:rPr>
        <w:t xml:space="preserve"> NI, </w:t>
      </w:r>
      <w:hyperlink r:id="rId20" w:history="1">
        <w:r w:rsidRPr="004A5ABC">
          <w:rPr>
            <w:rFonts w:eastAsiaTheme="minorHAnsi"/>
            <w:bCs/>
            <w:color w:val="000000" w:themeColor="text1"/>
            <w:lang w:val="es-MX" w:eastAsia="en-US"/>
          </w:rPr>
          <w:t xml:space="preserve"> Zidar</w:t>
        </w:r>
      </w:hyperlink>
      <w:r w:rsidRPr="004A5ABC">
        <w:rPr>
          <w:rFonts w:eastAsiaTheme="minorHAnsi"/>
          <w:bCs/>
          <w:color w:val="000000" w:themeColor="text1"/>
          <w:lang w:val="es-MX" w:eastAsia="en-US"/>
        </w:rPr>
        <w:t xml:space="preserve"> DA, </w:t>
      </w:r>
      <w:hyperlink r:id="rId21" w:history="1">
        <w:r w:rsidRPr="004A5ABC">
          <w:rPr>
            <w:rFonts w:eastAsiaTheme="minorHAnsi"/>
            <w:bCs/>
            <w:color w:val="000000" w:themeColor="text1"/>
            <w:lang w:val="es-MX" w:eastAsia="en-US"/>
          </w:rPr>
          <w:t>Perzynski</w:t>
        </w:r>
      </w:hyperlink>
      <w:r w:rsidRPr="004A5ABC">
        <w:rPr>
          <w:rFonts w:eastAsiaTheme="minorHAnsi"/>
          <w:bCs/>
          <w:lang w:val="es-MX" w:eastAsia="en-US"/>
        </w:rPr>
        <w:t xml:space="preserve"> AT. </w:t>
      </w:r>
      <w:r w:rsidRPr="004A5ABC">
        <w:rPr>
          <w:rFonts w:eastAsiaTheme="minorHAnsi"/>
          <w:bCs/>
          <w:lang w:val="en-US" w:eastAsia="en-US"/>
        </w:rPr>
        <w:t xml:space="preserve">Failure of traditional risk factors to adequately predict cardiovascular events in older populations. </w:t>
      </w:r>
      <w:r w:rsidRPr="004A5ABC">
        <w:rPr>
          <w:rFonts w:eastAsiaTheme="minorHAnsi"/>
          <w:bCs/>
          <w:lang w:val="es-ES" w:eastAsia="en-US"/>
        </w:rPr>
        <w:t xml:space="preserve">J Am Geriatr Soc. 2020 [acceso: 22/01/2023]; 68(4):754–61. Disponible en: </w:t>
      </w:r>
      <w:hyperlink r:id="rId22" w:history="1">
        <w:r w:rsidRPr="004A5ABC">
          <w:rPr>
            <w:rFonts w:eastAsiaTheme="minorHAnsi"/>
            <w:bCs/>
            <w:color w:val="0000FF" w:themeColor="hyperlink"/>
            <w:lang w:val="es-ES" w:eastAsia="en-US"/>
          </w:rPr>
          <w:t>https://www.ncbi.nlm.nih.gov/pmc/articles/pmid/31958154/</w:t>
        </w:r>
      </w:hyperlink>
    </w:p>
    <w:p w14:paraId="78ABD685" w14:textId="77777777" w:rsidR="004A5ABC" w:rsidRPr="004A5ABC" w:rsidRDefault="004A5ABC" w:rsidP="004A5ABC">
      <w:pPr>
        <w:spacing w:line="360" w:lineRule="auto"/>
        <w:rPr>
          <w:rFonts w:eastAsiaTheme="minorHAnsi"/>
          <w:bCs/>
          <w:lang w:val="es-ES" w:eastAsia="en-US"/>
        </w:rPr>
      </w:pPr>
      <w:r w:rsidRPr="004A5ABC">
        <w:rPr>
          <w:rFonts w:eastAsiaTheme="minorHAnsi"/>
          <w:bCs/>
          <w:lang w:val="es-ES" w:eastAsia="en-US"/>
        </w:rPr>
        <w:t>8.</w:t>
      </w:r>
      <w:r w:rsidRPr="004A5ABC">
        <w:rPr>
          <w:rFonts w:eastAsia="Calibri"/>
          <w:bCs/>
          <w:lang w:val="es-ES" w:eastAsia="en-US"/>
        </w:rPr>
        <w:t xml:space="preserve"> </w:t>
      </w:r>
      <w:r w:rsidRPr="004A5ABC">
        <w:rPr>
          <w:rFonts w:eastAsiaTheme="minorHAnsi"/>
          <w:bCs/>
          <w:lang w:val="es-ES" w:eastAsia="en-US"/>
        </w:rPr>
        <w:t xml:space="preserve">Forman DE, Fleg JL, Kass N. Enfermedad cardiovascular en las personas mayores. </w:t>
      </w:r>
      <w:r w:rsidRPr="004A5ABC">
        <w:rPr>
          <w:rFonts w:eastAsiaTheme="minorHAnsi"/>
          <w:bCs/>
          <w:lang w:val="en-US" w:eastAsia="en-US"/>
        </w:rPr>
        <w:t xml:space="preserve">En Mann DL, Zipes DP, Tomaselli GF, Robert PL. Braunwal. </w:t>
      </w:r>
      <w:r w:rsidRPr="004A5ABC">
        <w:rPr>
          <w:rFonts w:eastAsiaTheme="minorHAnsi"/>
          <w:bCs/>
          <w:lang w:val="es-ES" w:eastAsia="en-US"/>
        </w:rPr>
        <w:t xml:space="preserve">Tratado de Cardiología. 11 ed. Elsevier; 2020. p. 1735:66. </w:t>
      </w:r>
    </w:p>
    <w:p w14:paraId="7351B582" w14:textId="77777777" w:rsidR="004A5ABC" w:rsidRPr="004A5ABC" w:rsidRDefault="004A5ABC" w:rsidP="004A5ABC">
      <w:pPr>
        <w:spacing w:line="360" w:lineRule="auto"/>
        <w:rPr>
          <w:rFonts w:eastAsiaTheme="minorHAnsi"/>
          <w:bCs/>
          <w:lang w:val="es-ES" w:eastAsia="en-US"/>
        </w:rPr>
      </w:pPr>
      <w:r w:rsidRPr="004A5ABC">
        <w:rPr>
          <w:rFonts w:eastAsiaTheme="minorHAnsi"/>
          <w:bCs/>
          <w:lang w:val="es-ES" w:eastAsia="en-US"/>
        </w:rPr>
        <w:lastRenderedPageBreak/>
        <w:t>9.</w:t>
      </w:r>
      <w:r w:rsidRPr="004A5ABC">
        <w:rPr>
          <w:rFonts w:eastAsiaTheme="minorHAnsi"/>
          <w:lang w:val="es-ES" w:eastAsia="en-US"/>
        </w:rPr>
        <w:t xml:space="preserve"> </w:t>
      </w:r>
      <w:r w:rsidRPr="004A5ABC">
        <w:rPr>
          <w:rFonts w:eastAsiaTheme="minorHAnsi"/>
          <w:bCs/>
          <w:lang w:val="es-ES" w:eastAsia="en-US"/>
        </w:rPr>
        <w:t>Duarte N. Riesgo de Mortalidad en Personas Mayores de 65 años. Deterioro Cognitivo y Alteración de la Funcionalidad: Revisión Sistemática [Tesis de grado]. Salamanca: Universidad de Salamanca. 2018. [acceso: 25/01/2023]. Disponible en:</w:t>
      </w:r>
      <w:r w:rsidRPr="004A5ABC">
        <w:rPr>
          <w:rFonts w:eastAsiaTheme="minorHAnsi"/>
          <w:lang w:val="es-ES" w:eastAsia="en-US"/>
        </w:rPr>
        <w:t xml:space="preserve"> </w:t>
      </w:r>
      <w:hyperlink r:id="rId23" w:history="1">
        <w:r w:rsidRPr="004A5ABC">
          <w:rPr>
            <w:rFonts w:eastAsiaTheme="minorHAnsi"/>
            <w:bCs/>
            <w:color w:val="0000FF" w:themeColor="hyperlink"/>
            <w:lang w:val="es-ES" w:eastAsia="en-US"/>
          </w:rPr>
          <w:t>https://gredos.usal.es/bitstream/handle/10366/143540/TFM_DuaN_riesgo.pdf?sequence=1&amp;isAllowed=y</w:t>
        </w:r>
      </w:hyperlink>
    </w:p>
    <w:p w14:paraId="20AD2C8C" w14:textId="77777777" w:rsidR="004A5ABC" w:rsidRPr="004A5ABC" w:rsidRDefault="004A5ABC" w:rsidP="004A5ABC">
      <w:pPr>
        <w:spacing w:line="360" w:lineRule="auto"/>
        <w:rPr>
          <w:rFonts w:eastAsiaTheme="minorHAnsi"/>
          <w:bCs/>
          <w:iCs/>
          <w:lang w:val="es-ES" w:eastAsia="en-US"/>
        </w:rPr>
      </w:pPr>
      <w:r w:rsidRPr="004A5ABC">
        <w:rPr>
          <w:rFonts w:eastAsiaTheme="minorHAnsi"/>
          <w:bCs/>
          <w:lang w:val="es-ES" w:eastAsia="en-US"/>
        </w:rPr>
        <w:t xml:space="preserve">10. </w:t>
      </w:r>
      <w:r w:rsidRPr="004A5ABC">
        <w:rPr>
          <w:rFonts w:eastAsiaTheme="minorHAnsi"/>
          <w:bCs/>
          <w:iCs/>
          <w:lang w:val="es-ES" w:eastAsia="en-US"/>
        </w:rPr>
        <w:t>Díez P, Arizá A, Vidán MT</w:t>
      </w:r>
      <w:r w:rsidRPr="004A5ABC">
        <w:rPr>
          <w:rFonts w:eastAsiaTheme="minorHAnsi"/>
          <w:bCs/>
          <w:iCs/>
          <w:color w:val="000000" w:themeColor="text1"/>
          <w:lang w:val="es-ES" w:eastAsia="en-US"/>
        </w:rPr>
        <w:t xml:space="preserve">, </w:t>
      </w:r>
      <w:hyperlink r:id="rId24" w:history="1">
        <w:r w:rsidRPr="004A5ABC">
          <w:rPr>
            <w:rFonts w:eastAsiaTheme="minorHAnsi"/>
            <w:bCs/>
            <w:iCs/>
            <w:color w:val="000000" w:themeColor="text1"/>
            <w:lang w:val="es-ES" w:eastAsia="en-US"/>
          </w:rPr>
          <w:t xml:space="preserve"> Bonanad</w:t>
        </w:r>
      </w:hyperlink>
      <w:r w:rsidRPr="004A5ABC">
        <w:rPr>
          <w:rFonts w:eastAsiaTheme="minorHAnsi"/>
          <w:bCs/>
          <w:iCs/>
          <w:color w:val="000000" w:themeColor="text1"/>
          <w:vertAlign w:val="superscript"/>
          <w:lang w:val="es-ES" w:eastAsia="en-US"/>
        </w:rPr>
        <w:t xml:space="preserve"> </w:t>
      </w:r>
      <w:r w:rsidRPr="004A5ABC">
        <w:rPr>
          <w:rFonts w:eastAsiaTheme="minorHAnsi"/>
          <w:bCs/>
          <w:iCs/>
          <w:color w:val="000000" w:themeColor="text1"/>
          <w:lang w:val="es-ES" w:eastAsia="en-US"/>
        </w:rPr>
        <w:t>C, </w:t>
      </w:r>
      <w:hyperlink r:id="rId25" w:history="1">
        <w:r w:rsidRPr="004A5ABC">
          <w:rPr>
            <w:rFonts w:eastAsiaTheme="minorHAnsi"/>
            <w:bCs/>
            <w:iCs/>
            <w:color w:val="000000" w:themeColor="text1"/>
            <w:lang w:val="es-ES" w:eastAsia="en-US"/>
          </w:rPr>
          <w:t xml:space="preserve"> Formiga</w:t>
        </w:r>
      </w:hyperlink>
      <w:r w:rsidRPr="004A5ABC">
        <w:rPr>
          <w:rFonts w:eastAsiaTheme="minorHAnsi"/>
          <w:bCs/>
          <w:iCs/>
          <w:color w:val="000000" w:themeColor="text1"/>
          <w:vertAlign w:val="superscript"/>
          <w:lang w:val="es-ES" w:eastAsia="en-US"/>
        </w:rPr>
        <w:t xml:space="preserve"> </w:t>
      </w:r>
      <w:r w:rsidRPr="004A5ABC">
        <w:rPr>
          <w:rFonts w:eastAsiaTheme="minorHAnsi"/>
          <w:bCs/>
          <w:iCs/>
          <w:color w:val="000000" w:themeColor="text1"/>
          <w:lang w:val="es-ES" w:eastAsia="en-US"/>
        </w:rPr>
        <w:t>F, </w:t>
      </w:r>
      <w:hyperlink r:id="rId26" w:history="1">
        <w:r w:rsidRPr="004A5ABC">
          <w:rPr>
            <w:rFonts w:eastAsiaTheme="minorHAnsi"/>
            <w:bCs/>
            <w:iCs/>
            <w:color w:val="000000" w:themeColor="text1"/>
            <w:lang w:val="es-ES" w:eastAsia="en-US"/>
          </w:rPr>
          <w:t xml:space="preserve"> Sanchis</w:t>
        </w:r>
      </w:hyperlink>
      <w:r w:rsidRPr="004A5ABC">
        <w:rPr>
          <w:rFonts w:eastAsiaTheme="minorHAnsi"/>
          <w:bCs/>
          <w:iCs/>
          <w:color w:val="000000" w:themeColor="text1"/>
          <w:lang w:val="es-ES" w:eastAsia="en-US"/>
        </w:rPr>
        <w:t xml:space="preserve"> J, et </w:t>
      </w:r>
      <w:r w:rsidRPr="004A5ABC">
        <w:rPr>
          <w:rFonts w:eastAsiaTheme="minorHAnsi"/>
          <w:bCs/>
          <w:iCs/>
          <w:lang w:val="es-ES" w:eastAsia="en-US"/>
        </w:rPr>
        <w:t xml:space="preserve">al. </w:t>
      </w:r>
      <w:r w:rsidRPr="004A5ABC">
        <w:rPr>
          <w:rFonts w:eastAsiaTheme="minorHAnsi"/>
          <w:bCs/>
          <w:iCs/>
          <w:lang w:val="en-US" w:eastAsia="en-US"/>
        </w:rPr>
        <w:t xml:space="preserve">Recommendations of the Geriatric Cardiology Section of the Spanish Society of Cardiology for the Assessment of Frailty in Elderly Patients With Heart Disease. </w:t>
      </w:r>
      <w:r w:rsidRPr="004A5ABC">
        <w:rPr>
          <w:rFonts w:eastAsiaTheme="minorHAnsi"/>
          <w:bCs/>
          <w:iCs/>
          <w:lang w:val="es-ES" w:eastAsia="en-US"/>
        </w:rPr>
        <w:t xml:space="preserve">Rev Esp Cardiol. 2019 [acceso: 25/01/2023]; 72(1):63-71. Disponible en: </w:t>
      </w:r>
      <w:hyperlink r:id="rId27" w:history="1">
        <w:r w:rsidRPr="004A5ABC">
          <w:rPr>
            <w:rFonts w:eastAsiaTheme="minorHAnsi"/>
            <w:bCs/>
            <w:iCs/>
            <w:color w:val="0000FF" w:themeColor="hyperlink"/>
            <w:lang w:val="es-ES" w:eastAsia="en-US"/>
          </w:rPr>
          <w:t>https://pubmed.ncbi.nlm.nih.gov/30269913/</w:t>
        </w:r>
      </w:hyperlink>
    </w:p>
    <w:p w14:paraId="2E92B520"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11. Sánchez JR, Escare C, Castro VE, Robles CR, Vergara MI, Jara CT</w:t>
      </w:r>
      <w:r w:rsidRPr="004A5ABC">
        <w:rPr>
          <w:rFonts w:eastAsiaTheme="minorHAnsi"/>
          <w:lang w:val="es-ES" w:eastAsia="en-US"/>
        </w:rPr>
        <w:t xml:space="preserve">. </w:t>
      </w:r>
      <w:r w:rsidRPr="004A5ABC">
        <w:rPr>
          <w:rFonts w:eastAsiaTheme="minorHAnsi"/>
          <w:bCs/>
          <w:iCs/>
          <w:lang w:val="es-ES" w:eastAsia="en-US"/>
        </w:rPr>
        <w:t xml:space="preserve">Polifarmacia en adulto mayor, impacto en su calidad de vida. Revisión de literatura. Rev. Salud Pública. 2019 [acceso: 26/01/2023]; 21(2):271-7.Disponible en: </w:t>
      </w:r>
      <w:hyperlink r:id="rId28" w:history="1">
        <w:r w:rsidRPr="004A5ABC">
          <w:rPr>
            <w:rFonts w:eastAsiaTheme="minorHAnsi"/>
            <w:bCs/>
            <w:iCs/>
            <w:color w:val="0000FF" w:themeColor="hyperlink"/>
            <w:lang w:val="es-ES" w:eastAsia="en-US"/>
          </w:rPr>
          <w:t>https://www.scielosp.org/pdf/rsap/2019.v21n2/271-277/es</w:t>
        </w:r>
      </w:hyperlink>
    </w:p>
    <w:p w14:paraId="4D3B644A"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 xml:space="preserve">12. Camacho A. Multimorbilidad [Tesis Doctoral]. Colombia: Universidad Nacional de Colombia. 2020 [acceso: 26/01/2023]. Disponible en: </w:t>
      </w:r>
      <w:hyperlink r:id="rId29" w:history="1">
        <w:r w:rsidRPr="004A5ABC">
          <w:rPr>
            <w:rFonts w:eastAsiaTheme="minorHAnsi"/>
            <w:bCs/>
            <w:iCs/>
            <w:color w:val="0000FF" w:themeColor="hyperlink"/>
            <w:lang w:val="es-ES" w:eastAsia="en-US"/>
          </w:rPr>
          <w:t>http://www.acgg.org.co/pdfs_memorias/Multimorbilidad.pdf</w:t>
        </w:r>
      </w:hyperlink>
    </w:p>
    <w:p w14:paraId="7A8358A6" w14:textId="77777777" w:rsidR="004A5ABC" w:rsidRPr="004A5ABC" w:rsidRDefault="004A5ABC" w:rsidP="004A5ABC">
      <w:pPr>
        <w:spacing w:line="360" w:lineRule="auto"/>
        <w:rPr>
          <w:rFonts w:eastAsiaTheme="minorHAnsi"/>
          <w:bCs/>
          <w:iCs/>
          <w:lang w:val="en-US" w:eastAsia="en-US"/>
        </w:rPr>
      </w:pPr>
      <w:r w:rsidRPr="004A5ABC">
        <w:rPr>
          <w:rFonts w:eastAsiaTheme="minorHAnsi"/>
          <w:bCs/>
          <w:iCs/>
          <w:lang w:val="en-US" w:eastAsia="en-US"/>
        </w:rPr>
        <w:t xml:space="preserve">13. Schmidt M, Eckardt R, Altmeppen S, </w:t>
      </w:r>
      <w:hyperlink r:id="rId30" w:history="1">
        <w:r w:rsidRPr="004A5ABC">
          <w:rPr>
            <w:rFonts w:eastAsiaTheme="minorHAnsi"/>
            <w:bCs/>
            <w:iCs/>
            <w:color w:val="000000" w:themeColor="text1"/>
            <w:lang w:val="en-US" w:eastAsia="en-US"/>
          </w:rPr>
          <w:t xml:space="preserve"> Wernecke</w:t>
        </w:r>
      </w:hyperlink>
      <w:r w:rsidRPr="004A5ABC">
        <w:rPr>
          <w:rFonts w:eastAsiaTheme="minorHAnsi"/>
          <w:bCs/>
          <w:iCs/>
          <w:color w:val="000000" w:themeColor="text1"/>
          <w:vertAlign w:val="superscript"/>
          <w:lang w:val="en-US" w:eastAsia="en-US"/>
        </w:rPr>
        <w:t xml:space="preserve"> </w:t>
      </w:r>
      <w:r w:rsidRPr="004A5ABC">
        <w:rPr>
          <w:rFonts w:eastAsiaTheme="minorHAnsi"/>
          <w:bCs/>
          <w:iCs/>
          <w:color w:val="000000" w:themeColor="text1"/>
          <w:lang w:val="en-US" w:eastAsia="en-US"/>
        </w:rPr>
        <w:t>KD, </w:t>
      </w:r>
      <w:hyperlink r:id="rId31" w:history="1">
        <w:r w:rsidRPr="004A5ABC">
          <w:rPr>
            <w:rFonts w:eastAsiaTheme="minorHAnsi"/>
            <w:bCs/>
            <w:iCs/>
            <w:color w:val="000000" w:themeColor="text1"/>
            <w:lang w:val="en-US" w:eastAsia="en-US"/>
          </w:rPr>
          <w:t xml:space="preserve"> Espías</w:t>
        </w:r>
      </w:hyperlink>
      <w:r w:rsidRPr="004A5ABC">
        <w:rPr>
          <w:rFonts w:eastAsiaTheme="minorHAnsi"/>
          <w:bCs/>
          <w:iCs/>
          <w:vertAlign w:val="superscript"/>
          <w:lang w:val="en-US" w:eastAsia="en-US"/>
        </w:rPr>
        <w:t xml:space="preserve">  </w:t>
      </w:r>
      <w:r w:rsidRPr="004A5ABC">
        <w:rPr>
          <w:rFonts w:eastAsiaTheme="minorHAnsi"/>
          <w:bCs/>
          <w:iCs/>
          <w:lang w:val="en-US" w:eastAsia="en-US"/>
        </w:rPr>
        <w:t>C. Functional impairment prior to major non-cardiac surgery is associated with mortality within one year in elderly patients with gastrointestinal, gynaecological and urogenital cancer: A prospective observational cohort study. Journal of Geriatric Oncology. 2018; 9(1);53-59. DOI: 10.1016/j.jgo.2017.07.011</w:t>
      </w:r>
    </w:p>
    <w:p w14:paraId="1BECDC7B" w14:textId="77777777" w:rsidR="004A5ABC" w:rsidRPr="004A5ABC" w:rsidRDefault="004A5ABC" w:rsidP="004A5ABC">
      <w:pPr>
        <w:spacing w:line="360" w:lineRule="auto"/>
        <w:rPr>
          <w:rFonts w:eastAsiaTheme="minorHAnsi"/>
          <w:sz w:val="22"/>
          <w:szCs w:val="22"/>
          <w:lang w:val="es-ES" w:eastAsia="en-US"/>
        </w:rPr>
      </w:pPr>
      <w:r w:rsidRPr="004A5ABC">
        <w:rPr>
          <w:rFonts w:eastAsiaTheme="minorHAnsi"/>
          <w:bCs/>
          <w:iCs/>
          <w:lang w:val="en-US" w:eastAsia="en-US"/>
        </w:rPr>
        <w:t>14.</w:t>
      </w:r>
      <w:r w:rsidRPr="004A5ABC">
        <w:rPr>
          <w:rFonts w:eastAsiaTheme="minorHAnsi"/>
          <w:bCs/>
          <w:lang w:val="en-US" w:eastAsia="en-US"/>
        </w:rPr>
        <w:t xml:space="preserve"> </w:t>
      </w:r>
      <w:r w:rsidRPr="004A5ABC">
        <w:rPr>
          <w:rFonts w:eastAsiaTheme="minorHAnsi"/>
          <w:bCs/>
          <w:iCs/>
          <w:lang w:val="en-US" w:eastAsia="en-US"/>
        </w:rPr>
        <w:t xml:space="preserve">Herrera D, Soriano AN, Rodrigo PK, Toro CJ. </w:t>
      </w:r>
      <w:r w:rsidRPr="004A5ABC">
        <w:rPr>
          <w:rFonts w:eastAsiaTheme="minorHAnsi"/>
          <w:bCs/>
          <w:iCs/>
          <w:lang w:val="es-ES" w:eastAsia="en-US"/>
        </w:rPr>
        <w:t>Prevalencia del síndrome de fragilidad y factores asociados en adultos mayores. Rev Cub Med Gener Integral. 2020 [acceso: 27/01/2023]; 36(2):e1098. Disponible en</w:t>
      </w:r>
      <w:r w:rsidRPr="004A5ABC">
        <w:rPr>
          <w:rFonts w:eastAsiaTheme="minorHAnsi"/>
          <w:lang w:val="es-ES" w:eastAsia="en-US"/>
        </w:rPr>
        <w:t xml:space="preserve"> </w:t>
      </w:r>
      <w:hyperlink r:id="rId32" w:history="1">
        <w:r w:rsidRPr="004A5ABC">
          <w:rPr>
            <w:rFonts w:eastAsiaTheme="minorHAnsi"/>
            <w:color w:val="0000FF" w:themeColor="hyperlink"/>
            <w:lang w:val="es-ES" w:eastAsia="en-US"/>
          </w:rPr>
          <w:t>https://revmgi.sld.cu/index.php/mgi/article/view/1098</w:t>
        </w:r>
      </w:hyperlink>
      <w:r w:rsidRPr="004A5ABC">
        <w:rPr>
          <w:rFonts w:eastAsiaTheme="minorHAnsi"/>
          <w:sz w:val="22"/>
          <w:szCs w:val="22"/>
          <w:lang w:val="es-ES" w:eastAsia="en-US"/>
        </w:rPr>
        <w:t xml:space="preserve"> </w:t>
      </w:r>
    </w:p>
    <w:p w14:paraId="68D31E0B" w14:textId="77777777" w:rsidR="004A5ABC" w:rsidRPr="004A5ABC" w:rsidRDefault="004A5ABC" w:rsidP="004A5ABC">
      <w:pPr>
        <w:spacing w:line="360" w:lineRule="auto"/>
        <w:rPr>
          <w:rFonts w:eastAsiaTheme="minorHAnsi"/>
          <w:bCs/>
          <w:iCs/>
          <w:lang w:val="en-US" w:eastAsia="en-US"/>
        </w:rPr>
      </w:pPr>
      <w:r w:rsidRPr="004A5ABC">
        <w:rPr>
          <w:rFonts w:eastAsiaTheme="minorHAnsi"/>
          <w:bCs/>
          <w:iCs/>
          <w:lang w:val="en-US" w:eastAsia="en-US"/>
        </w:rPr>
        <w:t>15. Veronese N (editor). Frailty and Cardiovascular Diseases: Research into an Elderly Population. Switzerland: Springer; 2020. DOI: 10.1007/978-3-030-33330-0</w:t>
      </w:r>
    </w:p>
    <w:p w14:paraId="06347127" w14:textId="77777777" w:rsidR="004A5ABC" w:rsidRPr="004A5ABC" w:rsidRDefault="004A5ABC" w:rsidP="004A5ABC">
      <w:pPr>
        <w:spacing w:line="360" w:lineRule="auto"/>
        <w:rPr>
          <w:rFonts w:eastAsiaTheme="minorHAnsi"/>
          <w:bCs/>
          <w:iCs/>
          <w:color w:val="0000FF" w:themeColor="hyperlink"/>
          <w:lang w:val="en-US" w:eastAsia="en-US"/>
        </w:rPr>
      </w:pPr>
      <w:r w:rsidRPr="004A5ABC">
        <w:rPr>
          <w:rFonts w:eastAsiaTheme="minorHAnsi"/>
          <w:bCs/>
          <w:iCs/>
          <w:lang w:val="en-US" w:eastAsia="en-US"/>
        </w:rPr>
        <w:t>16.</w:t>
      </w:r>
      <w:r w:rsidRPr="004A5ABC">
        <w:rPr>
          <w:rFonts w:eastAsiaTheme="minorHAnsi"/>
          <w:lang w:val="en-US" w:eastAsia="en-US"/>
        </w:rPr>
        <w:t xml:space="preserve"> </w:t>
      </w:r>
      <w:r w:rsidRPr="004A5ABC">
        <w:rPr>
          <w:rFonts w:eastAsiaTheme="minorHAnsi"/>
          <w:bCs/>
          <w:iCs/>
          <w:lang w:val="en-US" w:eastAsia="en-US"/>
        </w:rPr>
        <w:t>Hoogendijk EO, Romero L, Sánchez PM,  </w:t>
      </w:r>
      <w:hyperlink r:id="rId33" w:history="1">
        <w:r w:rsidRPr="004A5ABC">
          <w:rPr>
            <w:rFonts w:eastAsiaTheme="minorHAnsi"/>
            <w:bCs/>
            <w:iCs/>
            <w:color w:val="000000" w:themeColor="text1"/>
            <w:lang w:val="en-US" w:eastAsia="en-US"/>
          </w:rPr>
          <w:t>Flores T</w:t>
        </w:r>
      </w:hyperlink>
      <w:r w:rsidRPr="004A5ABC">
        <w:rPr>
          <w:rFonts w:eastAsiaTheme="minorHAnsi"/>
          <w:bCs/>
          <w:iCs/>
          <w:color w:val="000000" w:themeColor="text1"/>
          <w:vertAlign w:val="superscript"/>
          <w:lang w:val="en-US" w:eastAsia="en-US"/>
        </w:rPr>
        <w:t> </w:t>
      </w:r>
      <w:r w:rsidRPr="004A5ABC">
        <w:rPr>
          <w:rFonts w:eastAsiaTheme="minorHAnsi"/>
          <w:bCs/>
          <w:iCs/>
          <w:color w:val="000000" w:themeColor="text1"/>
          <w:lang w:val="en-US" w:eastAsia="en-US"/>
        </w:rPr>
        <w:t>, </w:t>
      </w:r>
      <w:hyperlink r:id="rId34" w:history="1">
        <w:r w:rsidRPr="004A5ABC">
          <w:rPr>
            <w:rFonts w:eastAsiaTheme="minorHAnsi"/>
            <w:bCs/>
            <w:iCs/>
            <w:color w:val="000000" w:themeColor="text1"/>
            <w:lang w:val="en-US" w:eastAsia="en-US"/>
          </w:rPr>
          <w:t xml:space="preserve"> Viña</w:t>
        </w:r>
      </w:hyperlink>
      <w:r w:rsidRPr="004A5ABC">
        <w:rPr>
          <w:rFonts w:eastAsiaTheme="minorHAnsi"/>
          <w:bCs/>
          <w:iCs/>
          <w:vertAlign w:val="superscript"/>
          <w:lang w:val="en-US" w:eastAsia="en-US"/>
        </w:rPr>
        <w:t xml:space="preserve"> </w:t>
      </w:r>
      <w:r w:rsidRPr="004A5ABC">
        <w:rPr>
          <w:rFonts w:eastAsiaTheme="minorHAnsi"/>
          <w:bCs/>
          <w:iCs/>
          <w:lang w:val="en-US" w:eastAsia="en-US"/>
        </w:rPr>
        <w:t xml:space="preserve">J,  Rodríguez L, </w:t>
      </w:r>
      <w:r w:rsidRPr="004A5ABC">
        <w:rPr>
          <w:rFonts w:eastAsiaTheme="minorHAnsi"/>
          <w:bCs/>
          <w:iCs/>
          <w:vertAlign w:val="superscript"/>
          <w:lang w:val="en-US" w:eastAsia="en-US"/>
        </w:rPr>
        <w:t> </w:t>
      </w:r>
      <w:r w:rsidRPr="004A5ABC">
        <w:rPr>
          <w:rFonts w:eastAsiaTheme="minorHAnsi"/>
          <w:bCs/>
          <w:iCs/>
          <w:lang w:val="en-US" w:eastAsia="en-US"/>
        </w:rPr>
        <w:t>et al. A New Functional Classification Based on Frailty and Disability Stratifies the Risk for Mortality Among Older Adults: The FRADEA Study. J Am Med Dir Assoc. 2019 [acceso: 27/01/2023; 20(9):1105–10. Disponible en:</w:t>
      </w:r>
      <w:r w:rsidRPr="004A5ABC">
        <w:rPr>
          <w:rFonts w:eastAsiaTheme="minorHAnsi"/>
          <w:lang w:val="en-US" w:eastAsia="en-US"/>
        </w:rPr>
        <w:t xml:space="preserve"> </w:t>
      </w:r>
      <w:hyperlink r:id="rId35" w:history="1">
        <w:r w:rsidRPr="004A5ABC">
          <w:rPr>
            <w:rFonts w:eastAsiaTheme="minorHAnsi"/>
            <w:bCs/>
            <w:iCs/>
            <w:color w:val="0000FF" w:themeColor="hyperlink"/>
            <w:lang w:val="en-US" w:eastAsia="en-US"/>
          </w:rPr>
          <w:t>https://pubmed.ncbi.nlm.nih.gov/30853426</w:t>
        </w:r>
      </w:hyperlink>
    </w:p>
    <w:p w14:paraId="24E5A0E3" w14:textId="77777777" w:rsidR="004A5ABC" w:rsidRPr="004A5ABC" w:rsidRDefault="004A5ABC" w:rsidP="004A5ABC">
      <w:pPr>
        <w:spacing w:line="360" w:lineRule="auto"/>
        <w:rPr>
          <w:rFonts w:eastAsiaTheme="minorHAnsi"/>
          <w:bCs/>
          <w:iCs/>
          <w:lang w:val="en-US" w:eastAsia="en-US"/>
        </w:rPr>
      </w:pPr>
      <w:r w:rsidRPr="004A5ABC">
        <w:rPr>
          <w:rFonts w:eastAsiaTheme="minorHAnsi"/>
          <w:bCs/>
          <w:iCs/>
          <w:lang w:val="en-US" w:eastAsia="en-US"/>
        </w:rPr>
        <w:lastRenderedPageBreak/>
        <w:t>17.</w:t>
      </w:r>
      <w:r w:rsidRPr="004A5ABC">
        <w:rPr>
          <w:rFonts w:eastAsiaTheme="minorHAnsi"/>
          <w:lang w:val="en-US" w:eastAsia="en-US"/>
        </w:rPr>
        <w:t xml:space="preserve"> </w:t>
      </w:r>
      <w:r w:rsidRPr="004A5ABC">
        <w:rPr>
          <w:rFonts w:eastAsiaTheme="minorHAnsi"/>
          <w:bCs/>
          <w:iCs/>
          <w:lang w:val="en-US" w:eastAsia="en-US"/>
        </w:rPr>
        <w:t>Khan H, Kalogeropoulos AP, Georgiopoulou VV, Newman AB, Harris TB, Rodondi N, et al. Frailty and risk for heart failure in older adults: the health, aging, and body composition study. Am Heart J. 2013; 166(5):887-94. DOI: 10.1016/j.ahj.2013.07.032</w:t>
      </w:r>
    </w:p>
    <w:p w14:paraId="1859F564"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n-US" w:eastAsia="en-US"/>
        </w:rPr>
        <w:t>18. Wang Y, Han HR, Yang W</w:t>
      </w:r>
      <w:r w:rsidRPr="004A5ABC">
        <w:rPr>
          <w:rFonts w:eastAsiaTheme="minorHAnsi"/>
          <w:bCs/>
          <w:iCs/>
          <w:color w:val="000000" w:themeColor="text1"/>
          <w:lang w:val="en-US" w:eastAsia="en-US"/>
        </w:rPr>
        <w:t xml:space="preserve">, </w:t>
      </w:r>
      <w:hyperlink r:id="rId36" w:history="1">
        <w:r w:rsidRPr="004A5ABC">
          <w:rPr>
            <w:rFonts w:eastAsiaTheme="minorHAnsi"/>
            <w:bCs/>
            <w:iCs/>
            <w:color w:val="000000" w:themeColor="text1"/>
            <w:lang w:val="en-US" w:eastAsia="en-US"/>
          </w:rPr>
          <w:t xml:space="preserve"> Zhang</w:t>
        </w:r>
      </w:hyperlink>
      <w:r w:rsidRPr="004A5ABC">
        <w:rPr>
          <w:rFonts w:eastAsiaTheme="minorHAnsi"/>
          <w:bCs/>
          <w:iCs/>
          <w:color w:val="000000" w:themeColor="text1"/>
          <w:lang w:val="en-US" w:eastAsia="en-US"/>
        </w:rPr>
        <w:t xml:space="preserve"> H, </w:t>
      </w:r>
      <w:hyperlink r:id="rId37" w:history="1">
        <w:r w:rsidRPr="004A5ABC">
          <w:rPr>
            <w:rFonts w:eastAsiaTheme="minorHAnsi"/>
            <w:bCs/>
            <w:iCs/>
            <w:color w:val="000000" w:themeColor="text1"/>
            <w:lang w:val="en-US" w:eastAsia="en-US"/>
          </w:rPr>
          <w:t xml:space="preserve"> Zhang</w:t>
        </w:r>
      </w:hyperlink>
      <w:r w:rsidRPr="004A5ABC">
        <w:rPr>
          <w:rFonts w:eastAsiaTheme="minorHAnsi"/>
          <w:bCs/>
          <w:iCs/>
          <w:color w:val="000000" w:themeColor="text1"/>
          <w:lang w:val="en-US" w:eastAsia="en-US"/>
        </w:rPr>
        <w:t xml:space="preserve"> J, </w:t>
      </w:r>
      <w:hyperlink r:id="rId38" w:history="1">
        <w:r w:rsidRPr="004A5ABC">
          <w:rPr>
            <w:rFonts w:eastAsiaTheme="minorHAnsi"/>
            <w:bCs/>
            <w:iCs/>
            <w:color w:val="000000" w:themeColor="text1"/>
            <w:lang w:val="en-US" w:eastAsia="en-US"/>
          </w:rPr>
          <w:t xml:space="preserve"> Ruan</w:t>
        </w:r>
      </w:hyperlink>
      <w:r w:rsidRPr="004A5ABC">
        <w:rPr>
          <w:rFonts w:eastAsiaTheme="minorHAnsi"/>
          <w:bCs/>
          <w:iCs/>
          <w:color w:val="000000" w:themeColor="text1"/>
          <w:lang w:val="en-US" w:eastAsia="en-US"/>
        </w:rPr>
        <w:t xml:space="preserve"> H, et al. </w:t>
      </w:r>
      <w:r w:rsidRPr="004A5ABC">
        <w:rPr>
          <w:rFonts w:eastAsiaTheme="minorHAnsi"/>
          <w:bCs/>
          <w:iCs/>
          <w:lang w:val="en-US" w:eastAsia="en-US"/>
        </w:rPr>
        <w:t xml:space="preserve">Associations between risk factors for cardiovascular diseases and frailty among community-dwelling older adults in Lanzhou, China. </w:t>
      </w:r>
      <w:r w:rsidRPr="004A5ABC">
        <w:rPr>
          <w:rFonts w:eastAsiaTheme="minorHAnsi"/>
          <w:bCs/>
          <w:iCs/>
          <w:lang w:val="es-ES" w:eastAsia="en-US"/>
        </w:rPr>
        <w:t xml:space="preserve">Int J Nurs Sci. 2021 [acceso: 27/01/2023]; 8(2):168-74 Disponible en: </w:t>
      </w:r>
      <w:hyperlink r:id="rId39" w:history="1">
        <w:r w:rsidRPr="004A5ABC">
          <w:rPr>
            <w:rFonts w:eastAsiaTheme="minorHAnsi"/>
            <w:bCs/>
            <w:iCs/>
            <w:color w:val="0000FF" w:themeColor="hyperlink"/>
            <w:lang w:val="es-ES" w:eastAsia="en-US"/>
          </w:rPr>
          <w:t>https://www.ncbi.nlm.nih.gov/pmc/articles/PMC8105554/</w:t>
        </w:r>
      </w:hyperlink>
    </w:p>
    <w:p w14:paraId="4E27B766"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19. Plasencia CI, Salvatierra BK, Velásquez JM, Runzer FM, Parodi JF. Polifarmacia y mortalidad en adultos mayores: El rol del sexo y la comorbilidad. Rev haban cienc méd. 2022 [acceso: 27/01/2023]; 21(1): e4147. Disponible en: </w:t>
      </w:r>
      <w:hyperlink r:id="rId40" w:history="1">
        <w:r w:rsidRPr="004A5ABC">
          <w:rPr>
            <w:rFonts w:eastAsiaTheme="minorHAnsi"/>
            <w:bCs/>
            <w:iCs/>
            <w:color w:val="0000FF" w:themeColor="hyperlink"/>
            <w:lang w:val="es-ES" w:eastAsia="en-US"/>
          </w:rPr>
          <w:t>http://www.revhabanera.sld.cu/index.php/rhab/article/view/4147</w:t>
        </w:r>
      </w:hyperlink>
    </w:p>
    <w:p w14:paraId="64B39520" w14:textId="77777777" w:rsidR="004A5ABC" w:rsidRPr="004A5ABC" w:rsidRDefault="004A5ABC" w:rsidP="004A5ABC">
      <w:pPr>
        <w:spacing w:line="360" w:lineRule="auto"/>
        <w:rPr>
          <w:rFonts w:eastAsiaTheme="minorHAnsi"/>
          <w:bCs/>
          <w:iCs/>
          <w:lang w:val="es-MX" w:eastAsia="en-US"/>
        </w:rPr>
      </w:pPr>
      <w:r w:rsidRPr="004A5ABC">
        <w:rPr>
          <w:rFonts w:eastAsiaTheme="minorHAnsi"/>
          <w:bCs/>
          <w:iCs/>
          <w:lang w:val="en-US" w:eastAsia="en-US"/>
        </w:rPr>
        <w:t>20. Soysal P, Arik F, Smith L</w:t>
      </w:r>
      <w:r w:rsidRPr="004A5ABC">
        <w:rPr>
          <w:rFonts w:eastAsiaTheme="minorHAnsi"/>
          <w:bCs/>
          <w:iCs/>
          <w:color w:val="000000" w:themeColor="text1"/>
          <w:lang w:val="en-US" w:eastAsia="en-US"/>
        </w:rPr>
        <w:t xml:space="preserve">, </w:t>
      </w:r>
      <w:hyperlink r:id="rId41" w:history="1">
        <w:r w:rsidRPr="004A5ABC">
          <w:rPr>
            <w:rFonts w:eastAsiaTheme="minorHAnsi"/>
            <w:bCs/>
            <w:iCs/>
            <w:color w:val="000000" w:themeColor="text1"/>
            <w:lang w:val="en-US" w:eastAsia="en-US"/>
          </w:rPr>
          <w:t>Jackson</w:t>
        </w:r>
      </w:hyperlink>
      <w:r w:rsidRPr="004A5ABC">
        <w:rPr>
          <w:rFonts w:eastAsiaTheme="minorHAnsi"/>
          <w:bCs/>
          <w:iCs/>
          <w:color w:val="000000" w:themeColor="text1"/>
          <w:vertAlign w:val="superscript"/>
          <w:lang w:val="en-US" w:eastAsia="en-US"/>
        </w:rPr>
        <w:t> </w:t>
      </w:r>
      <w:hyperlink r:id="rId42" w:anchor="full-view-affiliation-4" w:tooltip="Department of Behavioural Science and Health, UCL, London, WC1E 6BT, UK." w:history="1"/>
      <w:r w:rsidRPr="004A5ABC">
        <w:rPr>
          <w:rFonts w:eastAsiaTheme="minorHAnsi"/>
          <w:bCs/>
          <w:iCs/>
          <w:color w:val="000000" w:themeColor="text1"/>
          <w:lang w:val="en-US" w:eastAsia="en-US"/>
        </w:rPr>
        <w:t xml:space="preserve"> SE, </w:t>
      </w:r>
      <w:hyperlink r:id="rId43" w:history="1">
        <w:r w:rsidRPr="004A5ABC">
          <w:rPr>
            <w:rFonts w:eastAsiaTheme="minorHAnsi"/>
            <w:bCs/>
            <w:iCs/>
            <w:color w:val="000000" w:themeColor="text1"/>
            <w:lang w:val="en-US" w:eastAsia="en-US"/>
          </w:rPr>
          <w:t>Turan A</w:t>
        </w:r>
      </w:hyperlink>
      <w:r w:rsidRPr="004A5ABC">
        <w:rPr>
          <w:rFonts w:eastAsiaTheme="minorHAnsi"/>
          <w:bCs/>
          <w:iCs/>
          <w:vertAlign w:val="superscript"/>
          <w:lang w:val="en-US" w:eastAsia="en-US"/>
        </w:rPr>
        <w:t> </w:t>
      </w:r>
      <w:r w:rsidRPr="004A5ABC">
        <w:rPr>
          <w:rFonts w:eastAsiaTheme="minorHAnsi"/>
          <w:bCs/>
          <w:iCs/>
          <w:lang w:val="en-US" w:eastAsia="en-US"/>
        </w:rPr>
        <w:t xml:space="preserve">. Inflammation, frailty and cardiovascular disease. </w:t>
      </w:r>
      <w:r w:rsidRPr="004A5ABC">
        <w:rPr>
          <w:rFonts w:eastAsiaTheme="minorHAnsi"/>
          <w:bCs/>
          <w:iCs/>
          <w:lang w:val="es-ES" w:eastAsia="en-US"/>
        </w:rPr>
        <w:t xml:space="preserve">Adv Exp Med Biol. 2020 [acceso: 27/01/2023]; 1216:55-64. </w:t>
      </w:r>
      <w:r w:rsidRPr="004A5ABC">
        <w:rPr>
          <w:rFonts w:eastAsiaTheme="minorHAnsi"/>
          <w:bCs/>
          <w:iCs/>
          <w:lang w:val="es-MX" w:eastAsia="en-US"/>
        </w:rPr>
        <w:t>Disponible en:</w:t>
      </w:r>
      <w:r w:rsidRPr="004A5ABC">
        <w:rPr>
          <w:rFonts w:eastAsiaTheme="minorHAnsi"/>
          <w:lang w:val="es-MX" w:eastAsia="en-US"/>
        </w:rPr>
        <w:t xml:space="preserve"> </w:t>
      </w:r>
      <w:hyperlink r:id="rId44" w:history="1">
        <w:r w:rsidRPr="004A5ABC">
          <w:rPr>
            <w:rFonts w:eastAsiaTheme="minorHAnsi"/>
            <w:bCs/>
            <w:iCs/>
            <w:color w:val="0000FF" w:themeColor="hyperlink"/>
            <w:lang w:val="es-MX" w:eastAsia="en-US"/>
          </w:rPr>
          <w:t>https://pubmed.ncbi.nlm.nih.gov/31894547</w:t>
        </w:r>
      </w:hyperlink>
      <w:r w:rsidRPr="004A5ABC">
        <w:rPr>
          <w:rFonts w:eastAsiaTheme="minorHAnsi"/>
          <w:bCs/>
          <w:iCs/>
          <w:lang w:val="es-MX" w:eastAsia="en-US"/>
        </w:rPr>
        <w:t xml:space="preserve"> </w:t>
      </w:r>
    </w:p>
    <w:p w14:paraId="586CDAFE"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n-US" w:eastAsia="en-US"/>
        </w:rPr>
        <w:t>21. Schafer I, Kaduszkiewiz H, Nguyen TS, </w:t>
      </w:r>
      <w:hyperlink r:id="rId45" w:history="1">
        <w:r w:rsidRPr="004A5ABC">
          <w:rPr>
            <w:rFonts w:eastAsiaTheme="minorHAnsi"/>
            <w:bCs/>
            <w:iCs/>
            <w:color w:val="000000" w:themeColor="text1"/>
            <w:lang w:val="en-US" w:eastAsia="en-US"/>
          </w:rPr>
          <w:t>van den H</w:t>
        </w:r>
      </w:hyperlink>
      <w:r w:rsidRPr="004A5ABC">
        <w:rPr>
          <w:rFonts w:eastAsiaTheme="minorHAnsi"/>
          <w:bCs/>
          <w:iCs/>
          <w:color w:val="000000" w:themeColor="text1"/>
          <w:lang w:val="en-US" w:eastAsia="en-US"/>
        </w:rPr>
        <w:t>, </w:t>
      </w:r>
      <w:hyperlink r:id="rId46" w:history="1">
        <w:r w:rsidRPr="004A5ABC">
          <w:rPr>
            <w:rFonts w:eastAsiaTheme="minorHAnsi"/>
            <w:bCs/>
            <w:iCs/>
            <w:color w:val="000000" w:themeColor="text1"/>
            <w:lang w:val="en-US" w:eastAsia="en-US"/>
          </w:rPr>
          <w:t>Scherer</w:t>
        </w:r>
      </w:hyperlink>
      <w:r w:rsidRPr="004A5ABC">
        <w:rPr>
          <w:rFonts w:eastAsiaTheme="minorHAnsi"/>
          <w:bCs/>
          <w:iCs/>
          <w:color w:val="000000" w:themeColor="text1"/>
          <w:lang w:val="en-US" w:eastAsia="en-US"/>
        </w:rPr>
        <w:t xml:space="preserve"> M, </w:t>
      </w:r>
      <w:hyperlink r:id="rId47" w:history="1">
        <w:r w:rsidRPr="004A5ABC">
          <w:rPr>
            <w:rFonts w:eastAsiaTheme="minorHAnsi"/>
            <w:bCs/>
            <w:iCs/>
            <w:color w:val="000000" w:themeColor="text1"/>
            <w:lang w:val="en-US" w:eastAsia="en-US"/>
          </w:rPr>
          <w:t>Schön</w:t>
        </w:r>
      </w:hyperlink>
      <w:r w:rsidRPr="004A5ABC">
        <w:rPr>
          <w:rFonts w:eastAsiaTheme="minorHAnsi"/>
          <w:bCs/>
          <w:iCs/>
          <w:color w:val="000000" w:themeColor="text1"/>
          <w:vertAlign w:val="superscript"/>
          <w:lang w:val="en-US" w:eastAsia="en-US"/>
        </w:rPr>
        <w:t xml:space="preserve"> </w:t>
      </w:r>
      <w:r w:rsidRPr="004A5ABC">
        <w:rPr>
          <w:rFonts w:eastAsiaTheme="minorHAnsi"/>
          <w:bCs/>
          <w:iCs/>
          <w:color w:val="000000" w:themeColor="text1"/>
          <w:lang w:val="en-US" w:eastAsia="en-US"/>
        </w:rPr>
        <w:t xml:space="preserve">G. </w:t>
      </w:r>
      <w:r w:rsidRPr="004A5ABC">
        <w:rPr>
          <w:rFonts w:eastAsiaTheme="minorHAnsi"/>
          <w:bCs/>
          <w:iCs/>
          <w:lang w:val="en-US" w:eastAsia="en-US"/>
        </w:rPr>
        <w:t xml:space="preserve">Multimorbidity patterns and 5 years overall mortality: Results from a claims data based obervational study. </w:t>
      </w:r>
      <w:r w:rsidRPr="004A5ABC">
        <w:rPr>
          <w:rFonts w:eastAsiaTheme="minorHAnsi"/>
          <w:bCs/>
          <w:iCs/>
          <w:lang w:val="es-MX" w:eastAsia="en-US"/>
        </w:rPr>
        <w:t xml:space="preserve">J Comorbidity. </w:t>
      </w:r>
      <w:r w:rsidRPr="004A5ABC">
        <w:rPr>
          <w:rFonts w:eastAsiaTheme="minorHAnsi"/>
          <w:bCs/>
          <w:iCs/>
          <w:lang w:val="es-ES" w:eastAsia="en-US"/>
        </w:rPr>
        <w:t>2018 [acceso: 27/01/2023]; 8(1):1-13. Disponible en:</w:t>
      </w:r>
      <w:r w:rsidRPr="004A5ABC">
        <w:rPr>
          <w:rFonts w:eastAsiaTheme="minorHAnsi"/>
          <w:lang w:val="es-ES" w:eastAsia="en-US"/>
        </w:rPr>
        <w:t xml:space="preserve"> </w:t>
      </w:r>
      <w:hyperlink r:id="rId48" w:history="1">
        <w:r w:rsidRPr="004A5ABC">
          <w:rPr>
            <w:rFonts w:eastAsiaTheme="minorHAnsi"/>
            <w:bCs/>
            <w:iCs/>
            <w:color w:val="0000FF" w:themeColor="hyperlink"/>
            <w:lang w:val="es-ES" w:eastAsia="en-US"/>
          </w:rPr>
          <w:t>https://www.ncbi.nlm.nih.gov/pmc/articles/pmid/30560093/</w:t>
        </w:r>
      </w:hyperlink>
    </w:p>
    <w:p w14:paraId="631A3177"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n-US" w:eastAsia="en-US"/>
        </w:rPr>
        <w:t>22. Hall M, Dondo TB, Yan AT, Mamas</w:t>
      </w:r>
      <w:r w:rsidRPr="004A5ABC">
        <w:rPr>
          <w:rFonts w:eastAsiaTheme="minorHAnsi"/>
          <w:bCs/>
          <w:iCs/>
          <w:color w:val="000000" w:themeColor="text1"/>
          <w:vertAlign w:val="superscript"/>
          <w:lang w:val="en-US" w:eastAsia="en-US"/>
        </w:rPr>
        <w:t> </w:t>
      </w:r>
      <w:hyperlink r:id="rId49" w:anchor="full-view-affiliation-3" w:tooltip="Keele Cardiovascular Research Group, Keele University, Stoke-on-Trent, United Kingdom." w:history="1"/>
      <w:r w:rsidRPr="004A5ABC">
        <w:rPr>
          <w:rFonts w:eastAsiaTheme="minorHAnsi"/>
          <w:bCs/>
          <w:iCs/>
          <w:color w:val="000000" w:themeColor="text1"/>
          <w:lang w:val="en-US" w:eastAsia="en-US"/>
        </w:rPr>
        <w:t xml:space="preserve"> MA, </w:t>
      </w:r>
      <w:r w:rsidRPr="004A5ABC">
        <w:rPr>
          <w:rFonts w:eastAsiaTheme="minorHAnsi"/>
          <w:bCs/>
          <w:iCs/>
          <w:lang w:val="en-US" w:eastAsia="en-US"/>
        </w:rPr>
        <w:t>Timmis</w:t>
      </w:r>
      <w:r w:rsidRPr="004A5ABC">
        <w:rPr>
          <w:rFonts w:eastAsiaTheme="minorHAnsi"/>
          <w:bCs/>
          <w:iCs/>
          <w:color w:val="000000" w:themeColor="text1"/>
          <w:vertAlign w:val="superscript"/>
          <w:lang w:val="en-US" w:eastAsia="en-US"/>
        </w:rPr>
        <w:t> </w:t>
      </w:r>
      <w:hyperlink r:id="rId50" w:anchor="full-view-affiliation-4" w:tooltip="NIHR Cardiovascular Biomedical Research Unit, Barts Heart Centre, London, United Kingdom." w:history="1"/>
      <w:r w:rsidRPr="004A5ABC">
        <w:rPr>
          <w:rFonts w:eastAsiaTheme="minorHAnsi"/>
          <w:bCs/>
          <w:iCs/>
          <w:color w:val="000000" w:themeColor="text1"/>
          <w:lang w:val="en-US" w:eastAsia="en-US"/>
        </w:rPr>
        <w:t xml:space="preserve"> AD, </w:t>
      </w:r>
      <w:r w:rsidRPr="004A5ABC">
        <w:rPr>
          <w:rFonts w:eastAsiaTheme="minorHAnsi"/>
          <w:bCs/>
          <w:iCs/>
          <w:lang w:val="en-US" w:eastAsia="en-US"/>
        </w:rPr>
        <w:t xml:space="preserve"> Deanfield</w:t>
      </w:r>
      <w:r w:rsidRPr="004A5ABC">
        <w:rPr>
          <w:rFonts w:eastAsiaTheme="minorHAnsi"/>
          <w:bCs/>
          <w:iCs/>
          <w:color w:val="000000" w:themeColor="text1"/>
          <w:vertAlign w:val="superscript"/>
          <w:lang w:val="en-US" w:eastAsia="en-US"/>
        </w:rPr>
        <w:t xml:space="preserve">  </w:t>
      </w:r>
      <w:r w:rsidRPr="004A5ABC">
        <w:rPr>
          <w:rFonts w:eastAsiaTheme="minorHAnsi"/>
          <w:bCs/>
          <w:iCs/>
          <w:color w:val="000000" w:themeColor="text1"/>
          <w:lang w:val="en-US" w:eastAsia="en-US"/>
        </w:rPr>
        <w:t xml:space="preserve">JE, et al. </w:t>
      </w:r>
      <w:r w:rsidRPr="004A5ABC">
        <w:rPr>
          <w:rFonts w:eastAsiaTheme="minorHAnsi"/>
          <w:bCs/>
          <w:iCs/>
          <w:lang w:val="en-US" w:eastAsia="en-US"/>
        </w:rPr>
        <w:t xml:space="preserve">Multimorbidity and survival for patients with acute myocardial infarction in England and Wales: Latent class analysis of a nationwide population based cohort. </w:t>
      </w:r>
      <w:r w:rsidRPr="004A5ABC">
        <w:rPr>
          <w:rFonts w:eastAsiaTheme="minorHAnsi"/>
          <w:bCs/>
          <w:iCs/>
          <w:lang w:val="es-ES" w:eastAsia="en-US"/>
        </w:rPr>
        <w:t>Lam CSP, editor. PloSMed. 2018 [acceso: 27/01/2023]; 15(3):e10025001. Disponible en:</w:t>
      </w:r>
      <w:r w:rsidRPr="004A5ABC">
        <w:rPr>
          <w:rFonts w:eastAsiaTheme="minorHAnsi"/>
          <w:lang w:val="es-ES" w:eastAsia="en-US"/>
        </w:rPr>
        <w:t xml:space="preserve"> </w:t>
      </w:r>
      <w:hyperlink r:id="rId51" w:history="1">
        <w:r w:rsidRPr="004A5ABC">
          <w:rPr>
            <w:rFonts w:eastAsiaTheme="minorHAnsi"/>
            <w:bCs/>
            <w:iCs/>
            <w:color w:val="0000FF" w:themeColor="hyperlink"/>
            <w:lang w:val="es-ES" w:eastAsia="en-US"/>
          </w:rPr>
          <w:t>https://pubmed.ncbi.nlm.nih.gov/29509764/</w:t>
        </w:r>
      </w:hyperlink>
    </w:p>
    <w:p w14:paraId="7EE89158"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23. Sánchez E. Historia cardiológica. Comorbilidad. Aspectos farmacológicos. En: Díez Villanueva P (coordinador). Manual de cardiopatía en el adulto anciano. Madrid: IMC; 2022. p. 17-24. [acceso: 27/01/2023]. Disponible en:</w:t>
      </w:r>
      <w:r w:rsidRPr="004A5ABC">
        <w:rPr>
          <w:rFonts w:eastAsiaTheme="minorHAnsi"/>
          <w:lang w:val="es-ES" w:eastAsia="en-US"/>
        </w:rPr>
        <w:t xml:space="preserve"> </w:t>
      </w:r>
      <w:hyperlink r:id="rId52" w:history="1">
        <w:r w:rsidRPr="004A5ABC">
          <w:rPr>
            <w:rFonts w:eastAsiaTheme="minorHAnsi"/>
            <w:bCs/>
            <w:iCs/>
            <w:color w:val="0000FF" w:themeColor="hyperlink"/>
            <w:lang w:val="es-ES" w:eastAsia="en-US"/>
          </w:rPr>
          <w:t>https://secardiologia.es/images/secciones/geriatrica/Manual-cardiopatias_Interactivo.pdf</w:t>
        </w:r>
      </w:hyperlink>
    </w:p>
    <w:p w14:paraId="3B1CEB7C"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 xml:space="preserve">24. Brenes L, de la Cruz JP, Cascudo N, Romero L. Multimorbilidad y demencia: su relación en pacientes mayores atendidos en Servicios Ambulatorios. CITED, 2017-2019. En: Convención Internacional Cuba Salud 2022. La Habana: Ministerio de Salud Pública; 2022. [acceso: 27/01/2023] </w:t>
      </w:r>
      <w:r w:rsidRPr="004A5ABC">
        <w:rPr>
          <w:rFonts w:eastAsiaTheme="minorHAnsi"/>
          <w:bCs/>
          <w:iCs/>
          <w:lang w:val="es-ES" w:eastAsia="en-US"/>
        </w:rPr>
        <w:lastRenderedPageBreak/>
        <w:t xml:space="preserve">Disponible en: </w:t>
      </w:r>
      <w:hyperlink r:id="rId53" w:history="1">
        <w:r w:rsidRPr="004A5ABC">
          <w:rPr>
            <w:rFonts w:eastAsiaTheme="minorHAnsi"/>
            <w:bCs/>
            <w:iCs/>
            <w:color w:val="0000FF" w:themeColor="hyperlink"/>
            <w:lang w:val="es-ES" w:eastAsia="en-US"/>
          </w:rPr>
          <w:t>https://convencionsalud.sld.cu/index.php/convencionsalud22/2022/paper/viewFile/1254/508</w:t>
        </w:r>
      </w:hyperlink>
    </w:p>
    <w:p w14:paraId="5F82BA1A"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s-ES" w:eastAsia="en-US"/>
        </w:rPr>
        <w:t xml:space="preserve">25. Van EF, Hoevenaar MP, Pobretvliet RKE, Gussekloo J, Van JV, Van WA. </w:t>
      </w:r>
      <w:r w:rsidRPr="004A5ABC">
        <w:rPr>
          <w:rFonts w:eastAsiaTheme="minorHAnsi"/>
          <w:bCs/>
          <w:iCs/>
          <w:lang w:val="en-US" w:eastAsia="en-US"/>
        </w:rPr>
        <w:t xml:space="preserve">Predictive value of traditional risk factors for cardiovascular disease in older people: A systematic review. </w:t>
      </w:r>
      <w:r w:rsidRPr="004A5ABC">
        <w:rPr>
          <w:rFonts w:eastAsiaTheme="minorHAnsi"/>
          <w:bCs/>
          <w:iCs/>
          <w:lang w:val="es-ES" w:eastAsia="en-US"/>
        </w:rPr>
        <w:t xml:space="preserve">Preventive Med. 2020 [acceso: 20/01/2023] 132:105986. Disponible en: </w:t>
      </w:r>
      <w:hyperlink r:id="rId54" w:history="1">
        <w:r w:rsidRPr="004A5ABC">
          <w:rPr>
            <w:rFonts w:eastAsiaTheme="minorHAnsi"/>
            <w:bCs/>
            <w:iCs/>
            <w:color w:val="0000FF" w:themeColor="hyperlink"/>
            <w:lang w:val="es-ES" w:eastAsia="en-US"/>
          </w:rPr>
          <w:t>https://www.sciencedirect.com/science/article/pii/S0091743520300104?via%3Dihub</w:t>
        </w:r>
      </w:hyperlink>
    </w:p>
    <w:p w14:paraId="352A7148"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n-US" w:eastAsia="en-US"/>
        </w:rPr>
        <w:t xml:space="preserve">26. Eurelings LS, Van JW, Ter G, Mol CHEP, Richard E, Van W. Apathy and depressive symptoms in older people and incident myocardial infarction, stroke, and mortality: a systematic review and meta-analysis of individual participant data. </w:t>
      </w:r>
      <w:r w:rsidRPr="004A5ABC">
        <w:rPr>
          <w:rFonts w:eastAsiaTheme="minorHAnsi"/>
          <w:bCs/>
          <w:iCs/>
          <w:lang w:val="es-ES" w:eastAsia="en-US"/>
        </w:rPr>
        <w:t xml:space="preserve">Clin Epidemiol. 2018 [acceso: 20/01/2023]; 10: 363- 379. Disponible en: </w:t>
      </w:r>
      <w:hyperlink r:id="rId55" w:history="1">
        <w:r w:rsidRPr="004A5ABC">
          <w:rPr>
            <w:rFonts w:eastAsiaTheme="minorHAnsi"/>
            <w:bCs/>
            <w:iCs/>
            <w:color w:val="0000FF" w:themeColor="hyperlink"/>
            <w:lang w:val="es-ES" w:eastAsia="en-US"/>
          </w:rPr>
          <w:t>https://www.dovepress.com/apathy-and-depressive-symptoms-in-older-people-and-incident-myocardial-peer-reviewed-fulltext-article-CLEP</w:t>
        </w:r>
      </w:hyperlink>
      <w:r w:rsidRPr="004A5ABC">
        <w:rPr>
          <w:rFonts w:eastAsiaTheme="minorHAnsi"/>
          <w:bCs/>
          <w:iCs/>
          <w:lang w:val="es-ES" w:eastAsia="en-US"/>
        </w:rPr>
        <w:t xml:space="preserve"> </w:t>
      </w:r>
    </w:p>
    <w:p w14:paraId="384897F8" w14:textId="77777777" w:rsidR="004A5ABC" w:rsidRPr="004A5ABC" w:rsidRDefault="004A5ABC" w:rsidP="004A5ABC">
      <w:pPr>
        <w:spacing w:line="360" w:lineRule="auto"/>
        <w:rPr>
          <w:rFonts w:eastAsiaTheme="minorHAnsi"/>
          <w:bCs/>
          <w:iCs/>
          <w:lang w:val="es-ES" w:eastAsia="en-US"/>
        </w:rPr>
      </w:pPr>
      <w:r w:rsidRPr="004A5ABC">
        <w:rPr>
          <w:rFonts w:eastAsiaTheme="minorHAnsi"/>
          <w:bCs/>
          <w:iCs/>
          <w:lang w:val="en-US" w:eastAsia="en-US"/>
        </w:rPr>
        <w:t xml:space="preserve">27. Liang X, Huang Y, Han X. Associations between coronary heart disease and risk of cognitive impairment: A meta-analysis. </w:t>
      </w:r>
      <w:r w:rsidRPr="004A5ABC">
        <w:rPr>
          <w:rFonts w:eastAsiaTheme="minorHAnsi"/>
          <w:bCs/>
          <w:iCs/>
          <w:lang w:val="es-ES" w:eastAsia="en-US"/>
        </w:rPr>
        <w:t xml:space="preserve">Brain Behav. 2021 [acceso: 30/01/2023]; 11(5):e02108. Disponible en: </w:t>
      </w:r>
      <w:hyperlink r:id="rId56" w:history="1">
        <w:r w:rsidRPr="004A5ABC">
          <w:rPr>
            <w:rFonts w:eastAsiaTheme="minorHAnsi"/>
            <w:bCs/>
            <w:iCs/>
            <w:color w:val="0000FF" w:themeColor="hyperlink"/>
            <w:lang w:val="es-ES" w:eastAsia="en-US"/>
          </w:rPr>
          <w:t>https://pubmed.ncbi.nlm.nih.gov/33742562/</w:t>
        </w:r>
      </w:hyperlink>
    </w:p>
    <w:p w14:paraId="53FAE381" w14:textId="77777777" w:rsidR="004A5ABC" w:rsidRPr="004A5ABC" w:rsidRDefault="004A5ABC" w:rsidP="004A5ABC">
      <w:pPr>
        <w:spacing w:line="360" w:lineRule="auto"/>
        <w:jc w:val="both"/>
        <w:rPr>
          <w:rFonts w:eastAsiaTheme="minorHAnsi"/>
          <w:bCs/>
          <w:iCs/>
          <w:lang w:val="es-ES" w:eastAsia="en-US"/>
        </w:rPr>
      </w:pPr>
    </w:p>
    <w:p w14:paraId="5AF6A09B" w14:textId="77777777" w:rsidR="004A5ABC" w:rsidRPr="004A5ABC" w:rsidRDefault="004A5ABC" w:rsidP="004A5ABC">
      <w:pPr>
        <w:spacing w:line="360" w:lineRule="auto"/>
        <w:jc w:val="center"/>
        <w:rPr>
          <w:rFonts w:eastAsiaTheme="minorHAnsi"/>
          <w:b/>
          <w:bCs/>
          <w:lang w:val="es-ES" w:eastAsia="en-US"/>
        </w:rPr>
      </w:pPr>
    </w:p>
    <w:p w14:paraId="427C44DB" w14:textId="77777777" w:rsidR="004A5ABC" w:rsidRPr="004A5ABC" w:rsidRDefault="004A5ABC" w:rsidP="004A5ABC">
      <w:pPr>
        <w:spacing w:line="360" w:lineRule="auto"/>
        <w:jc w:val="center"/>
        <w:rPr>
          <w:rFonts w:eastAsiaTheme="minorHAnsi"/>
          <w:b/>
          <w:bCs/>
          <w:lang w:val="es-ES" w:eastAsia="en-US"/>
        </w:rPr>
      </w:pPr>
      <w:r w:rsidRPr="004A5ABC">
        <w:rPr>
          <w:rFonts w:eastAsiaTheme="minorHAnsi"/>
          <w:b/>
          <w:bCs/>
          <w:lang w:val="es-ES" w:eastAsia="en-US"/>
        </w:rPr>
        <w:t>Conflictos de interés</w:t>
      </w:r>
    </w:p>
    <w:p w14:paraId="346A6AA3"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Los autores declaran que no existe conflicto de intereses. </w:t>
      </w:r>
    </w:p>
    <w:p w14:paraId="7189CA53" w14:textId="77777777" w:rsidR="004A5ABC" w:rsidRPr="004A5ABC" w:rsidRDefault="004A5ABC" w:rsidP="004A5ABC">
      <w:pPr>
        <w:spacing w:line="360" w:lineRule="auto"/>
        <w:jc w:val="center"/>
        <w:rPr>
          <w:rFonts w:eastAsiaTheme="minorHAnsi"/>
          <w:b/>
          <w:bCs/>
          <w:lang w:val="es-ES" w:eastAsia="en-US"/>
        </w:rPr>
      </w:pPr>
    </w:p>
    <w:p w14:paraId="4E23CD8F" w14:textId="77777777" w:rsidR="004A5ABC" w:rsidRPr="004A5ABC" w:rsidRDefault="004A5ABC" w:rsidP="004A5ABC">
      <w:pPr>
        <w:spacing w:line="360" w:lineRule="auto"/>
        <w:jc w:val="center"/>
        <w:rPr>
          <w:rFonts w:eastAsiaTheme="minorHAnsi"/>
          <w:b/>
          <w:bCs/>
          <w:lang w:val="es-ES" w:eastAsia="en-US"/>
        </w:rPr>
      </w:pPr>
      <w:r w:rsidRPr="004A5ABC">
        <w:rPr>
          <w:rFonts w:eastAsiaTheme="minorHAnsi"/>
          <w:b/>
          <w:bCs/>
          <w:lang w:val="es-ES" w:eastAsia="en-US"/>
        </w:rPr>
        <w:t>Contribuciones de los autores</w:t>
      </w:r>
    </w:p>
    <w:p w14:paraId="4E91C715"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Conceptualización: </w:t>
      </w:r>
      <w:r w:rsidRPr="004A5ABC">
        <w:rPr>
          <w:rFonts w:eastAsiaTheme="minorHAnsi"/>
          <w:bCs/>
          <w:i/>
          <w:lang w:val="es-ES" w:eastAsia="en-US"/>
        </w:rPr>
        <w:t>Naifi Hierrezuelo Rojas.</w:t>
      </w:r>
    </w:p>
    <w:p w14:paraId="498F4C31"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Curación de datos: </w:t>
      </w:r>
      <w:r w:rsidRPr="004A5ABC">
        <w:rPr>
          <w:rFonts w:eastAsiaTheme="minorHAnsi"/>
          <w:bCs/>
          <w:i/>
          <w:lang w:val="es-ES" w:eastAsia="en-US"/>
        </w:rPr>
        <w:t>Naifi Hierrezuelo Rojas.</w:t>
      </w:r>
    </w:p>
    <w:p w14:paraId="196ACC4B"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Análisis formal: </w:t>
      </w:r>
      <w:r w:rsidRPr="004A5ABC">
        <w:rPr>
          <w:rFonts w:eastAsiaTheme="minorHAnsi"/>
          <w:bCs/>
          <w:i/>
          <w:lang w:val="es-ES" w:eastAsia="en-US"/>
        </w:rPr>
        <w:t>Naifi Hierrezuelo Rojas.</w:t>
      </w:r>
    </w:p>
    <w:p w14:paraId="312C2094"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Supervisión: </w:t>
      </w:r>
      <w:r w:rsidRPr="004A5ABC">
        <w:rPr>
          <w:rFonts w:eastAsiaTheme="minorHAnsi"/>
          <w:bCs/>
          <w:i/>
          <w:lang w:val="es-ES" w:eastAsia="en-US"/>
        </w:rPr>
        <w:t>Naifi Hierrezuelo Rojas, German del Rio Caballero, Alfredo Hernández Magdariaga.</w:t>
      </w:r>
    </w:p>
    <w:p w14:paraId="04EAA49D" w14:textId="77777777" w:rsidR="004A5ABC" w:rsidRPr="004A5ABC" w:rsidRDefault="004A5ABC" w:rsidP="004A5ABC">
      <w:pPr>
        <w:spacing w:line="360" w:lineRule="auto"/>
        <w:jc w:val="both"/>
        <w:rPr>
          <w:rFonts w:eastAsiaTheme="minorHAnsi"/>
          <w:bCs/>
          <w:lang w:val="es-ES" w:eastAsia="en-US"/>
        </w:rPr>
      </w:pPr>
      <w:r w:rsidRPr="004A5ABC">
        <w:rPr>
          <w:rFonts w:eastAsiaTheme="minorHAnsi"/>
          <w:bCs/>
          <w:lang w:val="es-ES" w:eastAsia="en-US"/>
        </w:rPr>
        <w:t xml:space="preserve">Recursos: </w:t>
      </w:r>
      <w:r w:rsidRPr="004A5ABC">
        <w:rPr>
          <w:rFonts w:eastAsiaTheme="minorHAnsi"/>
          <w:bCs/>
          <w:i/>
          <w:lang w:val="es-ES" w:eastAsia="en-US"/>
        </w:rPr>
        <w:t>Naifi Hierrezuelo Rojas, Rolando Bonal Ruiz</w:t>
      </w:r>
      <w:r w:rsidRPr="004A5ABC">
        <w:rPr>
          <w:rFonts w:eastAsiaTheme="minorHAnsi"/>
          <w:bCs/>
          <w:lang w:val="es-ES" w:eastAsia="en-US"/>
        </w:rPr>
        <w:t>.</w:t>
      </w:r>
    </w:p>
    <w:p w14:paraId="38B9BC27"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Investigación: </w:t>
      </w:r>
      <w:r w:rsidRPr="004A5ABC">
        <w:rPr>
          <w:rFonts w:eastAsiaTheme="minorHAnsi"/>
          <w:bCs/>
          <w:i/>
          <w:lang w:val="es-ES" w:eastAsia="en-US"/>
        </w:rPr>
        <w:t>Naifi Hierrezuelo Rojas, Germán del Rio Caballero, Alfredo Hernández Magdariaga, Rolando Bonal Ruiz.</w:t>
      </w:r>
    </w:p>
    <w:p w14:paraId="487408F2"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Software: </w:t>
      </w:r>
      <w:r w:rsidRPr="004A5ABC">
        <w:rPr>
          <w:rFonts w:eastAsiaTheme="minorHAnsi"/>
          <w:bCs/>
          <w:i/>
          <w:lang w:val="es-ES" w:eastAsia="en-US"/>
        </w:rPr>
        <w:t>Rolando Bonal Ruiz Germán del Rio Caballero.</w:t>
      </w:r>
    </w:p>
    <w:p w14:paraId="26881185"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lastRenderedPageBreak/>
        <w:t xml:space="preserve">Metodología: </w:t>
      </w:r>
      <w:r w:rsidRPr="004A5ABC">
        <w:rPr>
          <w:rFonts w:eastAsiaTheme="minorHAnsi"/>
          <w:bCs/>
          <w:i/>
          <w:lang w:val="es-ES" w:eastAsia="en-US"/>
        </w:rPr>
        <w:t>Naifi Hierrezuelo Rojas.</w:t>
      </w:r>
    </w:p>
    <w:p w14:paraId="4D14DA7B"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Visualización: </w:t>
      </w:r>
      <w:r w:rsidRPr="004A5ABC">
        <w:rPr>
          <w:rFonts w:eastAsiaTheme="minorHAnsi"/>
          <w:bCs/>
          <w:i/>
          <w:lang w:val="es-ES" w:eastAsia="en-US"/>
        </w:rPr>
        <w:t>Naifi Hierrezuelo Rojas, German del Rio Caballero, Alfredo Hernández Magdariaga.</w:t>
      </w:r>
    </w:p>
    <w:p w14:paraId="340E7F3F"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Administración del proyecto: </w:t>
      </w:r>
      <w:r w:rsidRPr="004A5ABC">
        <w:rPr>
          <w:rFonts w:eastAsiaTheme="minorHAnsi"/>
          <w:bCs/>
          <w:i/>
          <w:lang w:val="es-ES" w:eastAsia="en-US"/>
        </w:rPr>
        <w:t>Naifi Hierrezuelo Rojas, Germán del Rio Caballero.</w:t>
      </w:r>
    </w:p>
    <w:p w14:paraId="2B345035"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Redacción – borrador original: </w:t>
      </w:r>
      <w:r w:rsidRPr="004A5ABC">
        <w:rPr>
          <w:rFonts w:eastAsiaTheme="minorHAnsi"/>
          <w:bCs/>
          <w:i/>
          <w:lang w:val="es-ES" w:eastAsia="en-US"/>
        </w:rPr>
        <w:t>Naifi Hierrezuelo Rojas, Germán del Rio Caballero, Alfredo Hernández Magdariaga.</w:t>
      </w:r>
    </w:p>
    <w:p w14:paraId="10F5BD33" w14:textId="77777777" w:rsidR="004A5ABC" w:rsidRPr="004A5ABC" w:rsidRDefault="004A5ABC" w:rsidP="004A5ABC">
      <w:pPr>
        <w:spacing w:line="360" w:lineRule="auto"/>
        <w:jc w:val="both"/>
        <w:rPr>
          <w:rFonts w:eastAsiaTheme="minorHAnsi"/>
          <w:bCs/>
          <w:i/>
          <w:lang w:val="es-ES" w:eastAsia="en-US"/>
        </w:rPr>
      </w:pPr>
      <w:r w:rsidRPr="004A5ABC">
        <w:rPr>
          <w:rFonts w:eastAsiaTheme="minorHAnsi"/>
          <w:bCs/>
          <w:lang w:val="es-ES" w:eastAsia="en-US"/>
        </w:rPr>
        <w:t xml:space="preserve">Redacción – revisión y edición: </w:t>
      </w:r>
      <w:r w:rsidRPr="004A5ABC">
        <w:rPr>
          <w:rFonts w:eastAsiaTheme="minorHAnsi"/>
          <w:bCs/>
          <w:i/>
          <w:lang w:val="es-ES" w:eastAsia="en-US"/>
        </w:rPr>
        <w:t>Naifi Hierrezuelo Rojas, Germán del Rio Caballero, Alfredo Hernández Magdariaga, Rolando Bonal Ruiz.</w:t>
      </w:r>
    </w:p>
    <w:p w14:paraId="2D35AD80" w14:textId="77777777" w:rsidR="00675476" w:rsidRPr="0055115D" w:rsidRDefault="00675476" w:rsidP="00EA1FEF">
      <w:pPr>
        <w:pStyle w:val="PDFRevista"/>
      </w:pPr>
    </w:p>
    <w:sectPr w:rsidR="00675476" w:rsidRPr="0055115D" w:rsidSect="00FD3DF8">
      <w:headerReference w:type="default" r:id="rId57"/>
      <w:footerReference w:type="even" r:id="rId58"/>
      <w:footerReference w:type="default" r:id="rId5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E24C" w14:textId="77777777" w:rsidR="00117FE6" w:rsidRDefault="00117FE6">
      <w:r>
        <w:separator/>
      </w:r>
    </w:p>
  </w:endnote>
  <w:endnote w:type="continuationSeparator" w:id="0">
    <w:p w14:paraId="298EC25F" w14:textId="77777777" w:rsidR="00117FE6" w:rsidRDefault="0011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13A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03D76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CC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29CFA1F" wp14:editId="1B343FF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BBE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4761C20" w14:textId="77777777" w:rsidR="00675476" w:rsidRPr="00AE044C" w:rsidRDefault="00117FE6" w:rsidP="00391509">
    <w:pPr>
      <w:pStyle w:val="Piedepgina"/>
      <w:ind w:right="360"/>
      <w:rPr>
        <w:sz w:val="22"/>
        <w:szCs w:val="22"/>
      </w:rPr>
    </w:pPr>
    <w:hyperlink r:id="rId1" w:history="1">
      <w:r w:rsidR="00391509" w:rsidRPr="00AE044C">
        <w:rPr>
          <w:rStyle w:val="Hipervnculo"/>
          <w:sz w:val="22"/>
          <w:szCs w:val="22"/>
        </w:rPr>
        <w:t>http://scielo.sld.cu</w:t>
      </w:r>
    </w:hyperlink>
  </w:p>
  <w:p w14:paraId="0221D810" w14:textId="77777777" w:rsidR="00391509" w:rsidRPr="00AE044C" w:rsidRDefault="00117FE6"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76A8885"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3E85E1BC" wp14:editId="3131B354">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34D" w14:textId="77777777" w:rsidR="00117FE6" w:rsidRDefault="00117FE6">
      <w:r>
        <w:separator/>
      </w:r>
    </w:p>
  </w:footnote>
  <w:footnote w:type="continuationSeparator" w:id="0">
    <w:p w14:paraId="3C4B49B1" w14:textId="77777777" w:rsidR="00117FE6" w:rsidRDefault="0011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3747" w14:textId="6C60EFA2" w:rsidR="00CC376A" w:rsidRPr="00AE044C" w:rsidRDefault="004A5AB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e02303034</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653B2B1" wp14:editId="63FB203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F5D671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410D29A" wp14:editId="046C1CE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EB84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3475"/>
    <w:multiLevelType w:val="multilevel"/>
    <w:tmpl w:val="77E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B1335"/>
    <w:multiLevelType w:val="multilevel"/>
    <w:tmpl w:val="FA1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F36C0"/>
    <w:multiLevelType w:val="hybridMultilevel"/>
    <w:tmpl w:val="3D36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8339B"/>
    <w:multiLevelType w:val="hybridMultilevel"/>
    <w:tmpl w:val="A4F6F8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FC757F"/>
    <w:multiLevelType w:val="hybridMultilevel"/>
    <w:tmpl w:val="A5DC5BA4"/>
    <w:lvl w:ilvl="0" w:tplc="ABBA8068">
      <w:start w:val="1"/>
      <w:numFmt w:val="decimal"/>
      <w:lvlText w:val="%1."/>
      <w:lvlJc w:val="left"/>
      <w:pPr>
        <w:ind w:left="705" w:hanging="705"/>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5" w15:restartNumberingAfterBreak="0">
    <w:nsid w:val="3BCB0A0E"/>
    <w:multiLevelType w:val="hybridMultilevel"/>
    <w:tmpl w:val="332A2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874625"/>
    <w:multiLevelType w:val="multilevel"/>
    <w:tmpl w:val="953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B0546"/>
    <w:multiLevelType w:val="hybridMultilevel"/>
    <w:tmpl w:val="619E6C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1AC3DF0"/>
    <w:multiLevelType w:val="hybridMultilevel"/>
    <w:tmpl w:val="EEE6A1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0C659C"/>
    <w:multiLevelType w:val="hybridMultilevel"/>
    <w:tmpl w:val="BFB03CF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0"/>
  </w:num>
  <w:num w:numId="6">
    <w:abstractNumId w:val="1"/>
  </w:num>
  <w:num w:numId="7">
    <w:abstractNumId w:val="3"/>
  </w:num>
  <w:num w:numId="8">
    <w:abstractNumId w:val="1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BC"/>
    <w:rsid w:val="00057F45"/>
    <w:rsid w:val="000D3958"/>
    <w:rsid w:val="000F3690"/>
    <w:rsid w:val="00117FE6"/>
    <w:rsid w:val="001221D1"/>
    <w:rsid w:val="00165CB5"/>
    <w:rsid w:val="00180CE9"/>
    <w:rsid w:val="00230DD5"/>
    <w:rsid w:val="00250AE9"/>
    <w:rsid w:val="00327D10"/>
    <w:rsid w:val="00380D64"/>
    <w:rsid w:val="00391509"/>
    <w:rsid w:val="003B4777"/>
    <w:rsid w:val="003E03D5"/>
    <w:rsid w:val="004802D3"/>
    <w:rsid w:val="00486BFA"/>
    <w:rsid w:val="00493701"/>
    <w:rsid w:val="004A5ABC"/>
    <w:rsid w:val="004E2065"/>
    <w:rsid w:val="005508A2"/>
    <w:rsid w:val="0055115D"/>
    <w:rsid w:val="00566F71"/>
    <w:rsid w:val="005918BD"/>
    <w:rsid w:val="006173A6"/>
    <w:rsid w:val="00675476"/>
    <w:rsid w:val="007C430F"/>
    <w:rsid w:val="007D2D0C"/>
    <w:rsid w:val="007D614D"/>
    <w:rsid w:val="008C12BA"/>
    <w:rsid w:val="00915D3C"/>
    <w:rsid w:val="00960D6A"/>
    <w:rsid w:val="009A0560"/>
    <w:rsid w:val="009B0917"/>
    <w:rsid w:val="009F0F96"/>
    <w:rsid w:val="00A23C0C"/>
    <w:rsid w:val="00A477DE"/>
    <w:rsid w:val="00A66186"/>
    <w:rsid w:val="00A71E65"/>
    <w:rsid w:val="00AE044C"/>
    <w:rsid w:val="00B31971"/>
    <w:rsid w:val="00B4380A"/>
    <w:rsid w:val="00B66ECB"/>
    <w:rsid w:val="00C60AA7"/>
    <w:rsid w:val="00C7523A"/>
    <w:rsid w:val="00CC1B6E"/>
    <w:rsid w:val="00CC376A"/>
    <w:rsid w:val="00CC48A1"/>
    <w:rsid w:val="00CF50E0"/>
    <w:rsid w:val="00D3128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B536D"/>
  <w15:docId w15:val="{674A021F-45C0-4363-B26C-7FDA7968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A5A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semiHidden/>
    <w:unhideWhenUsed/>
    <w:qFormat/>
    <w:rsid w:val="004A5ABC"/>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s-ES" w:eastAsia="en-US"/>
    </w:rPr>
  </w:style>
  <w:style w:type="paragraph" w:styleId="Ttulo3">
    <w:name w:val="heading 3"/>
    <w:basedOn w:val="Normal"/>
    <w:next w:val="Normal"/>
    <w:link w:val="Ttulo3Car"/>
    <w:uiPriority w:val="9"/>
    <w:semiHidden/>
    <w:unhideWhenUsed/>
    <w:qFormat/>
    <w:rsid w:val="004A5ABC"/>
    <w:pPr>
      <w:keepNext/>
      <w:keepLines/>
      <w:spacing w:before="40" w:line="276" w:lineRule="auto"/>
      <w:outlineLvl w:val="2"/>
    </w:pPr>
    <w:rPr>
      <w:rFonts w:asciiTheme="majorHAnsi" w:eastAsiaTheme="majorEastAsia" w:hAnsiTheme="majorHAnsi" w:cstheme="majorBidi"/>
      <w:color w:val="243F60"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4A5ABC"/>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semiHidden/>
    <w:rsid w:val="004A5ABC"/>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semiHidden/>
    <w:rsid w:val="004A5ABC"/>
    <w:rPr>
      <w:rFonts w:asciiTheme="majorHAnsi" w:eastAsiaTheme="majorEastAsia" w:hAnsiTheme="majorHAnsi" w:cstheme="majorBidi"/>
      <w:color w:val="243F60" w:themeColor="accent1" w:themeShade="7F"/>
      <w:sz w:val="24"/>
      <w:szCs w:val="24"/>
      <w:lang w:eastAsia="en-US"/>
    </w:rPr>
  </w:style>
  <w:style w:type="numbering" w:customStyle="1" w:styleId="Sinlista1">
    <w:name w:val="Sin lista1"/>
    <w:next w:val="Sinlista"/>
    <w:uiPriority w:val="99"/>
    <w:semiHidden/>
    <w:unhideWhenUsed/>
    <w:rsid w:val="004A5ABC"/>
  </w:style>
  <w:style w:type="paragraph" w:styleId="Prrafodelista">
    <w:name w:val="List Paragraph"/>
    <w:basedOn w:val="Normal"/>
    <w:uiPriority w:val="34"/>
    <w:qFormat/>
    <w:rsid w:val="004A5ABC"/>
    <w:pPr>
      <w:spacing w:after="200" w:line="276" w:lineRule="auto"/>
      <w:ind w:left="720"/>
      <w:contextualSpacing/>
    </w:pPr>
    <w:rPr>
      <w:rFonts w:asciiTheme="minorHAnsi" w:eastAsiaTheme="minorHAnsi" w:hAnsiTheme="minorHAnsi" w:cstheme="minorBidi"/>
      <w:sz w:val="22"/>
      <w:szCs w:val="22"/>
      <w:lang w:val="es-ES" w:eastAsia="en-US"/>
    </w:rPr>
  </w:style>
  <w:style w:type="table" w:customStyle="1" w:styleId="Tablaconcuadrcula1">
    <w:name w:val="Tabla con cuadrícula1"/>
    <w:basedOn w:val="Tablanormal"/>
    <w:next w:val="Tablaconcuadrcula"/>
    <w:uiPriority w:val="39"/>
    <w:rsid w:val="004A5ABC"/>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5ABC"/>
    <w:rPr>
      <w:sz w:val="16"/>
      <w:szCs w:val="16"/>
    </w:rPr>
  </w:style>
  <w:style w:type="paragraph" w:styleId="Textocomentario">
    <w:name w:val="annotation text"/>
    <w:basedOn w:val="Normal"/>
    <w:link w:val="TextocomentarioCar"/>
    <w:uiPriority w:val="99"/>
    <w:unhideWhenUsed/>
    <w:qFormat/>
    <w:rsid w:val="004A5ABC"/>
    <w:pPr>
      <w:spacing w:after="20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qFormat/>
    <w:rsid w:val="004A5ABC"/>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4A5ABC"/>
    <w:rPr>
      <w:b/>
      <w:bCs/>
    </w:rPr>
  </w:style>
  <w:style w:type="character" w:customStyle="1" w:styleId="AsuntodelcomentarioCar">
    <w:name w:val="Asunto del comentario Car"/>
    <w:basedOn w:val="TextocomentarioCar"/>
    <w:link w:val="Asuntodelcomentario"/>
    <w:uiPriority w:val="99"/>
    <w:semiHidden/>
    <w:rsid w:val="004A5ABC"/>
    <w:rPr>
      <w:rFonts w:asciiTheme="minorHAnsi" w:eastAsiaTheme="minorHAnsi" w:hAnsiTheme="minorHAnsi" w:cstheme="minorBidi"/>
      <w:b/>
      <w:bCs/>
      <w:lang w:eastAsia="en-US"/>
    </w:rPr>
  </w:style>
  <w:style w:type="paragraph" w:customStyle="1" w:styleId="TableNote">
    <w:name w:val="TableNote"/>
    <w:basedOn w:val="Normal"/>
    <w:rsid w:val="004A5ABC"/>
    <w:pPr>
      <w:spacing w:line="300" w:lineRule="exact"/>
    </w:pPr>
    <w:rPr>
      <w:szCs w:val="20"/>
      <w:lang w:val="en-GB" w:eastAsia="en-US"/>
    </w:rPr>
  </w:style>
  <w:style w:type="paragraph" w:styleId="Textoindependiente">
    <w:name w:val="Body Text"/>
    <w:basedOn w:val="Normal"/>
    <w:link w:val="TextoindependienteCar"/>
    <w:uiPriority w:val="99"/>
    <w:unhideWhenUsed/>
    <w:rsid w:val="004A5ABC"/>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4A5ABC"/>
    <w:rPr>
      <w:rFonts w:ascii="Arial" w:hAnsi="Arial" w:cs="Arial"/>
      <w:sz w:val="12"/>
      <w:szCs w:val="12"/>
    </w:rPr>
  </w:style>
  <w:style w:type="character" w:styleId="nfasis">
    <w:name w:val="Emphasis"/>
    <w:uiPriority w:val="20"/>
    <w:qFormat/>
    <w:rsid w:val="004A5ABC"/>
    <w:rPr>
      <w:i/>
      <w:iCs/>
    </w:rPr>
  </w:style>
  <w:style w:type="paragraph" w:styleId="Lista">
    <w:name w:val="List"/>
    <w:basedOn w:val="Normal"/>
    <w:uiPriority w:val="99"/>
    <w:unhideWhenUsed/>
    <w:rsid w:val="004A5ABC"/>
    <w:pPr>
      <w:ind w:left="283" w:hanging="283"/>
      <w:contextualSpacing/>
    </w:pPr>
    <w:rPr>
      <w:rFonts w:ascii="Arial" w:hAnsi="Arial" w:cs="Arial"/>
      <w:sz w:val="12"/>
      <w:szCs w:val="12"/>
      <w:lang w:val="es-ES" w:eastAsia="es-ES"/>
    </w:rPr>
  </w:style>
  <w:style w:type="character" w:styleId="Textoennegrita">
    <w:name w:val="Strong"/>
    <w:uiPriority w:val="22"/>
    <w:qFormat/>
    <w:rsid w:val="004A5ABC"/>
    <w:rPr>
      <w:b/>
      <w:bCs/>
    </w:rPr>
  </w:style>
  <w:style w:type="paragraph" w:styleId="Sinespaciado">
    <w:name w:val="No Spacing"/>
    <w:uiPriority w:val="1"/>
    <w:qFormat/>
    <w:rsid w:val="004A5ABC"/>
    <w:rPr>
      <w:rFonts w:asciiTheme="minorHAnsi" w:eastAsiaTheme="minorHAnsi" w:hAnsiTheme="minorHAnsi" w:cstheme="minorBidi"/>
      <w:sz w:val="22"/>
      <w:szCs w:val="22"/>
      <w:lang w:val="es-MX" w:eastAsia="en-US"/>
    </w:rPr>
  </w:style>
  <w:style w:type="paragraph" w:styleId="Revisin">
    <w:name w:val="Revision"/>
    <w:hidden/>
    <w:uiPriority w:val="99"/>
    <w:semiHidden/>
    <w:rsid w:val="004A5ABC"/>
    <w:rPr>
      <w:rFonts w:asciiTheme="minorHAnsi" w:eastAsiaTheme="minorHAnsi" w:hAnsiTheme="minorHAnsi" w:cstheme="minorBidi"/>
      <w:sz w:val="22"/>
      <w:szCs w:val="22"/>
      <w:lang w:val="es-MX" w:eastAsia="en-US"/>
    </w:rPr>
  </w:style>
  <w:style w:type="character" w:customStyle="1" w:styleId="Mencinsinresolver1">
    <w:name w:val="Mención sin resolver1"/>
    <w:basedOn w:val="Fuentedeprrafopredeter"/>
    <w:uiPriority w:val="99"/>
    <w:semiHidden/>
    <w:unhideWhenUsed/>
    <w:rsid w:val="004A5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iles.sld.cu/dne/files/2022/10/Anuario-Estadistico-de-Salud-2021.-Ed-2022.pdf" TargetMode="External"/><Relationship Id="rId18" Type="http://schemas.openxmlformats.org/officeDocument/2006/relationships/hyperlink" Target="http://revcardiologia.sld.cu/index.php/revcardiologia/article/view/1193" TargetMode="External"/><Relationship Id="rId26" Type="http://schemas.openxmlformats.org/officeDocument/2006/relationships/hyperlink" Target="https://pubmed.ncbi.nlm.nih.gov/?term=Sanchis+J&amp;cauthor_id=30269913" TargetMode="External"/><Relationship Id="rId39" Type="http://schemas.openxmlformats.org/officeDocument/2006/relationships/hyperlink" Target="https://www.ncbi.nlm.nih.gov/pmc/articles/PMC8105554/" TargetMode="External"/><Relationship Id="rId21" Type="http://schemas.openxmlformats.org/officeDocument/2006/relationships/hyperlink" Target="https://pubmed.ncbi.nlm.nih.gov/?term=Perzynski%20AT%5BAuthor%5D" TargetMode="External"/><Relationship Id="rId34" Type="http://schemas.openxmlformats.org/officeDocument/2006/relationships/hyperlink" Target="https://pubmed.ncbi.nlm.nih.gov/?term=Vi%C3%B1a+J&amp;cauthor_id=30853426" TargetMode="External"/><Relationship Id="rId42" Type="http://schemas.openxmlformats.org/officeDocument/2006/relationships/hyperlink" Target="https://pubmed.ncbi.nlm.nih.gov/31894547/" TargetMode="External"/><Relationship Id="rId47" Type="http://schemas.openxmlformats.org/officeDocument/2006/relationships/hyperlink" Target="https://pubmed.ncbi.nlm.nih.gov/?term=Sch%C3%B6n%20G%5BAuthor%5D" TargetMode="External"/><Relationship Id="rId50" Type="http://schemas.openxmlformats.org/officeDocument/2006/relationships/hyperlink" Target="https://pubmed.ncbi.nlm.nih.gov/29509764/" TargetMode="External"/><Relationship Id="rId55" Type="http://schemas.openxmlformats.org/officeDocument/2006/relationships/hyperlink" Target="https://www.dovepress.com/apathy-and-depressive-symptoms-in-older-people-and-incident-myocardial-peer-reviewed-fulltext-article-CLEP" TargetMode="External"/><Relationship Id="rId7" Type="http://schemas.openxmlformats.org/officeDocument/2006/relationships/hyperlink" Target="https://orcid.org/0000-0001-5782-4033" TargetMode="External"/><Relationship Id="rId2" Type="http://schemas.openxmlformats.org/officeDocument/2006/relationships/styles" Target="styles.xml"/><Relationship Id="rId16" Type="http://schemas.openxmlformats.org/officeDocument/2006/relationships/hyperlink" Target="https://pubmed.ncbi.nlm.nih.gov/?term=Shoghi%20A%5BAuthor%5D" TargetMode="External"/><Relationship Id="rId29" Type="http://schemas.openxmlformats.org/officeDocument/2006/relationships/hyperlink" Target="http://www.acgg.org.co/pdfs_memorias/Multimorbilidad.pdf" TargetMode="External"/><Relationship Id="rId11" Type="http://schemas.openxmlformats.org/officeDocument/2006/relationships/hyperlink" Target="mailto:german.rio@infomed.sld.cu" TargetMode="External"/><Relationship Id="rId24" Type="http://schemas.openxmlformats.org/officeDocument/2006/relationships/hyperlink" Target="https://pubmed.ncbi.nlm.nih.gov/?term=Bonanad+C&amp;cauthor_id=30269913" TargetMode="External"/><Relationship Id="rId32" Type="http://schemas.openxmlformats.org/officeDocument/2006/relationships/hyperlink" Target="https://revmgi.sld.cu/index.php/mgi/article/view/1098" TargetMode="External"/><Relationship Id="rId37" Type="http://schemas.openxmlformats.org/officeDocument/2006/relationships/hyperlink" Target="https://pubmed.ncbi.nlm.nih.gov/?term=Zhang%20J%5BAuthor%5D" TargetMode="External"/><Relationship Id="rId40" Type="http://schemas.openxmlformats.org/officeDocument/2006/relationships/hyperlink" Target="http://www.revhabanera.sld.cu/index.php/rhab/article/view/4147" TargetMode="External"/><Relationship Id="rId45" Type="http://schemas.openxmlformats.org/officeDocument/2006/relationships/hyperlink" Target="https://pubmed.ncbi.nlm.nih.gov/?term=van%20den%20Bussche%20H%5BAuthor%5D" TargetMode="External"/><Relationship Id="rId53" Type="http://schemas.openxmlformats.org/officeDocument/2006/relationships/hyperlink" Target="https://convencionsalud.sld.cu/index.php/convencionsalud22/2022/paper/viewFile/1254/508"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pubmed.ncbi.nlm.nih.gov/?term=Krieger%20NI%5BAuthor%5D" TargetMode="External"/><Relationship Id="rId14" Type="http://schemas.openxmlformats.org/officeDocument/2006/relationships/hyperlink" Target="https://temas.sld.cu/hipertension/files/2022/02/GU%c3%8dA-DE-ACTUACI%c3%93N-FINAL-6.12.21.pdf" TargetMode="External"/><Relationship Id="rId22" Type="http://schemas.openxmlformats.org/officeDocument/2006/relationships/hyperlink" Target="https://www.ncbi.nlm.nih.gov/pmc/articles/pmid/31958154/" TargetMode="External"/><Relationship Id="rId27" Type="http://schemas.openxmlformats.org/officeDocument/2006/relationships/hyperlink" Target="https://pubmed.ncbi.nlm.nih.gov/30269913/" TargetMode="External"/><Relationship Id="rId30" Type="http://schemas.openxmlformats.org/officeDocument/2006/relationships/hyperlink" Target="https://pubmed.ncbi.nlm.nih.gov/?term=Wernecke+KD&amp;cauthor_id=28888555" TargetMode="External"/><Relationship Id="rId35" Type="http://schemas.openxmlformats.org/officeDocument/2006/relationships/hyperlink" Target="https://pubmed.ncbi.nlm.nih.gov/30853426" TargetMode="External"/><Relationship Id="rId43" Type="http://schemas.openxmlformats.org/officeDocument/2006/relationships/hyperlink" Target="https://pubmed.ncbi.nlm.nih.gov/?term=Isik+AT&amp;cauthor_id=31894547" TargetMode="External"/><Relationship Id="rId48" Type="http://schemas.openxmlformats.org/officeDocument/2006/relationships/hyperlink" Target="https://www.ncbi.nlm.nih.gov/pmc/articles/pmid/30560093/" TargetMode="External"/><Relationship Id="rId56" Type="http://schemas.openxmlformats.org/officeDocument/2006/relationships/hyperlink" Target="https://pubmed.ncbi.nlm.nih.gov/33742562/" TargetMode="External"/><Relationship Id="rId8" Type="http://schemas.openxmlformats.org/officeDocument/2006/relationships/hyperlink" Target="https://orcid.org/0000-0002-9857-9596" TargetMode="External"/><Relationship Id="rId51" Type="http://schemas.openxmlformats.org/officeDocument/2006/relationships/hyperlink" Target="https://pubmed.ncbi.nlm.nih.gov/29509764/" TargetMode="External"/><Relationship Id="rId3" Type="http://schemas.openxmlformats.org/officeDocument/2006/relationships/settings" Target="settings.xml"/><Relationship Id="rId12" Type="http://schemas.openxmlformats.org/officeDocument/2006/relationships/hyperlink" Target="https://revmgi.sld.cu/index.php/mgi/article/view/1417" TargetMode="External"/><Relationship Id="rId17" Type="http://schemas.openxmlformats.org/officeDocument/2006/relationships/hyperlink" Target="https://www.ncbi.nlm.nih.gov/pmc/articles/PMC6953486/" TargetMode="External"/><Relationship Id="rId25" Type="http://schemas.openxmlformats.org/officeDocument/2006/relationships/hyperlink" Target="https://pubmed.ncbi.nlm.nih.gov/?term=Formiga+F&amp;cauthor_id=30269913" TargetMode="External"/><Relationship Id="rId33" Type="http://schemas.openxmlformats.org/officeDocument/2006/relationships/hyperlink" Target="https://pubmed.ncbi.nlm.nih.gov/?term=Flores+Ruano+T&amp;cauthor_id=30853426" TargetMode="External"/><Relationship Id="rId38" Type="http://schemas.openxmlformats.org/officeDocument/2006/relationships/hyperlink" Target="https://pubmed.ncbi.nlm.nih.gov/?term=Ruan%20H%5BAuthor%5D" TargetMode="External"/><Relationship Id="rId46" Type="http://schemas.openxmlformats.org/officeDocument/2006/relationships/hyperlink" Target="https://pubmed.ncbi.nlm.nih.gov/?term=Scherer%20M%5BAuthor%5D" TargetMode="External"/><Relationship Id="rId59" Type="http://schemas.openxmlformats.org/officeDocument/2006/relationships/footer" Target="footer2.xml"/><Relationship Id="rId20" Type="http://schemas.openxmlformats.org/officeDocument/2006/relationships/hyperlink" Target="https://pubmed.ncbi.nlm.nih.gov/?term=Zidar%20DA%5BAuthor%5D" TargetMode="External"/><Relationship Id="rId41" Type="http://schemas.openxmlformats.org/officeDocument/2006/relationships/hyperlink" Target="https://pubmed.ncbi.nlm.nih.gov/?term=Jackson+SE&amp;cauthor_id=31894547" TargetMode="External"/><Relationship Id="rId54" Type="http://schemas.openxmlformats.org/officeDocument/2006/relationships/hyperlink" Target="https://www.sciencedirect.com/science/article/pii/S0091743520300104?via%3Dihu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Fakhouri%20S%5BAuthor%5D" TargetMode="External"/><Relationship Id="rId23" Type="http://schemas.openxmlformats.org/officeDocument/2006/relationships/hyperlink" Target="https://gredos.usal.es/bitstream/handle/10366/143540/TFM_DuaN_riesgo.pdf?sequence=1&amp;isAllowed=y" TargetMode="External"/><Relationship Id="rId28" Type="http://schemas.openxmlformats.org/officeDocument/2006/relationships/hyperlink" Target="https://www.scielosp.org/pdf/rsap/2019.v21n2/271-277/es" TargetMode="External"/><Relationship Id="rId36" Type="http://schemas.openxmlformats.org/officeDocument/2006/relationships/hyperlink" Target="https://pubmed.ncbi.nlm.nih.gov/?term=Zhang%20H%5BAuthor%5D" TargetMode="External"/><Relationship Id="rId49" Type="http://schemas.openxmlformats.org/officeDocument/2006/relationships/hyperlink" Target="https://pubmed.ncbi.nlm.nih.gov/29509764/" TargetMode="External"/><Relationship Id="rId57" Type="http://schemas.openxmlformats.org/officeDocument/2006/relationships/header" Target="header1.xml"/><Relationship Id="rId10" Type="http://schemas.openxmlformats.org/officeDocument/2006/relationships/hyperlink" Target="https://orcid.org/0000-0001-6528-1083" TargetMode="External"/><Relationship Id="rId31" Type="http://schemas.openxmlformats.org/officeDocument/2006/relationships/hyperlink" Target="https://pubmed.ncbi.nlm.nih.gov/?term=Spies+C&amp;cauthor_id=28888555" TargetMode="External"/><Relationship Id="rId44" Type="http://schemas.openxmlformats.org/officeDocument/2006/relationships/hyperlink" Target="https://pubmed.ncbi.nlm.nih.gov/31894547" TargetMode="External"/><Relationship Id="rId52" Type="http://schemas.openxmlformats.org/officeDocument/2006/relationships/hyperlink" Target="https://secardiologia.es/images/secciones/geriatrica/Manual-cardiopatias_Interactivo.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8975-318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14</Pages>
  <Words>4629</Words>
  <Characters>25461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30030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2010-09-13T21:29:00Z</cp:lastPrinted>
  <dcterms:created xsi:type="dcterms:W3CDTF">2023-11-30T17:44:00Z</dcterms:created>
  <dcterms:modified xsi:type="dcterms:W3CDTF">2023-12-05T19:35:00Z</dcterms:modified>
</cp:coreProperties>
</file>