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E66D" w14:textId="77777777" w:rsidR="00EF5DCA" w:rsidRPr="00EF5DCA" w:rsidRDefault="00EF5DCA" w:rsidP="00EF5DCA">
      <w:pPr>
        <w:spacing w:line="360" w:lineRule="auto"/>
        <w:jc w:val="right"/>
        <w:rPr>
          <w:rFonts w:eastAsia="Calibri"/>
          <w:bCs/>
          <w:sz w:val="20"/>
          <w:szCs w:val="20"/>
          <w:lang w:eastAsia="en-US"/>
        </w:rPr>
      </w:pPr>
      <w:r w:rsidRPr="00EF5DCA">
        <w:rPr>
          <w:rFonts w:eastAsia="Calibri"/>
          <w:bCs/>
          <w:sz w:val="20"/>
          <w:szCs w:val="20"/>
          <w:lang w:eastAsia="en-US"/>
        </w:rPr>
        <w:t>Carta al editor</w:t>
      </w:r>
    </w:p>
    <w:p w14:paraId="18C58E03" w14:textId="77777777" w:rsidR="00EF5DCA" w:rsidRPr="00EF5DCA" w:rsidRDefault="00EF5DCA" w:rsidP="00EF5DCA">
      <w:pPr>
        <w:spacing w:line="360" w:lineRule="auto"/>
        <w:jc w:val="right"/>
        <w:rPr>
          <w:rFonts w:eastAsia="Calibri"/>
          <w:bCs/>
          <w:lang w:eastAsia="en-US"/>
        </w:rPr>
      </w:pPr>
    </w:p>
    <w:p w14:paraId="6DE5B538" w14:textId="77777777" w:rsidR="00EF5DCA" w:rsidRPr="00EF5DCA" w:rsidRDefault="00EF5DCA" w:rsidP="00EF5DCA">
      <w:pPr>
        <w:spacing w:line="360" w:lineRule="auto"/>
        <w:jc w:val="center"/>
        <w:rPr>
          <w:rFonts w:eastAsia="Calibri"/>
          <w:b/>
          <w:sz w:val="28"/>
          <w:szCs w:val="28"/>
          <w:lang w:eastAsia="en-US"/>
        </w:rPr>
      </w:pPr>
      <w:r w:rsidRPr="00EF5DCA">
        <w:rPr>
          <w:rFonts w:eastAsia="Calibri"/>
          <w:b/>
          <w:sz w:val="28"/>
          <w:szCs w:val="28"/>
          <w:lang w:eastAsia="en-US"/>
        </w:rPr>
        <w:t>Protocolo para la prevención y atención de la violencia basada en género</w:t>
      </w:r>
    </w:p>
    <w:p w14:paraId="20662506" w14:textId="77777777" w:rsidR="00EF5DCA" w:rsidRPr="00EF5DCA" w:rsidRDefault="00EF5DCA" w:rsidP="00EF5DCA">
      <w:pPr>
        <w:spacing w:line="360" w:lineRule="auto"/>
        <w:jc w:val="center"/>
        <w:rPr>
          <w:rFonts w:eastAsia="Calibri"/>
          <w:b/>
          <w:sz w:val="28"/>
          <w:szCs w:val="28"/>
          <w:lang w:val="en-US" w:eastAsia="en-US"/>
        </w:rPr>
      </w:pPr>
      <w:r w:rsidRPr="00EF5DCA">
        <w:rPr>
          <w:rFonts w:eastAsia="Calibri"/>
          <w:sz w:val="28"/>
          <w:szCs w:val="28"/>
          <w:lang w:val="en-US" w:eastAsia="en-US"/>
        </w:rPr>
        <w:t>Protocol for the prevention and care of gender-based violence</w:t>
      </w:r>
    </w:p>
    <w:p w14:paraId="09A71E71" w14:textId="77777777" w:rsidR="00EF5DCA" w:rsidRPr="00EF5DCA" w:rsidRDefault="00EF5DCA" w:rsidP="00EF5DCA">
      <w:pPr>
        <w:spacing w:line="360" w:lineRule="auto"/>
        <w:jc w:val="both"/>
        <w:rPr>
          <w:rFonts w:eastAsia="Calibri"/>
          <w:b/>
          <w:lang w:val="en-US" w:eastAsia="en-US"/>
        </w:rPr>
      </w:pPr>
    </w:p>
    <w:p w14:paraId="6B477E8F" w14:textId="77777777" w:rsidR="00EF5DCA" w:rsidRPr="00EF5DCA" w:rsidRDefault="00EF5DCA" w:rsidP="00EF5DCA">
      <w:pPr>
        <w:spacing w:line="360" w:lineRule="auto"/>
        <w:jc w:val="both"/>
        <w:rPr>
          <w:rFonts w:eastAsia="Calibri"/>
          <w:bCs/>
          <w:lang w:eastAsia="en-US"/>
        </w:rPr>
      </w:pPr>
      <w:r w:rsidRPr="00EF5DCA">
        <w:rPr>
          <w:rFonts w:eastAsia="Calibri"/>
          <w:bCs/>
          <w:lang w:eastAsia="en-US"/>
        </w:rPr>
        <w:t xml:space="preserve">Juan Carlos Mirabal </w:t>
      </w:r>
      <w:proofErr w:type="spellStart"/>
      <w:r w:rsidRPr="00EF5DCA">
        <w:rPr>
          <w:rFonts w:eastAsia="Calibri"/>
          <w:bCs/>
          <w:lang w:eastAsia="en-US"/>
        </w:rPr>
        <w:t>Requena</w:t>
      </w:r>
      <w:r w:rsidRPr="00EF5DCA">
        <w:rPr>
          <w:rFonts w:eastAsia="Calibri"/>
          <w:bCs/>
          <w:vertAlign w:val="superscript"/>
          <w:lang w:eastAsia="en-US"/>
        </w:rPr>
        <w:t>1</w:t>
      </w:r>
      <w:proofErr w:type="spellEnd"/>
      <w:r w:rsidRPr="00EF5DCA">
        <w:rPr>
          <w:rFonts w:eastAsia="Calibri"/>
          <w:bCs/>
          <w:lang w:eastAsia="en-US"/>
        </w:rPr>
        <w:t xml:space="preserve">* </w:t>
      </w:r>
      <w:hyperlink r:id="rId7" w:history="1">
        <w:r w:rsidRPr="00EF5DCA">
          <w:rPr>
            <w:rFonts w:eastAsia="Calibri"/>
            <w:bCs/>
            <w:color w:val="0563C1"/>
            <w:lang w:eastAsia="en-US"/>
          </w:rPr>
          <w:t>https://orcid.org/0000-0002-9159-6887</w:t>
        </w:r>
      </w:hyperlink>
      <w:r w:rsidRPr="00EF5DCA">
        <w:rPr>
          <w:rFonts w:eastAsia="Calibri"/>
          <w:bCs/>
          <w:lang w:eastAsia="en-US"/>
        </w:rPr>
        <w:t xml:space="preserve"> </w:t>
      </w:r>
    </w:p>
    <w:p w14:paraId="30CF25EB" w14:textId="77777777" w:rsidR="00EF5DCA" w:rsidRPr="00EF5DCA" w:rsidRDefault="00EF5DCA" w:rsidP="00EF5DCA">
      <w:pPr>
        <w:spacing w:line="360" w:lineRule="auto"/>
        <w:jc w:val="both"/>
        <w:rPr>
          <w:rFonts w:eastAsia="Calibri"/>
          <w:bCs/>
          <w:lang w:eastAsia="en-US"/>
        </w:rPr>
      </w:pPr>
      <w:r w:rsidRPr="00EF5DCA">
        <w:rPr>
          <w:rFonts w:eastAsia="Calibri"/>
          <w:bCs/>
          <w:lang w:eastAsia="en-US"/>
        </w:rPr>
        <w:t xml:space="preserve">Mirta Santos </w:t>
      </w:r>
      <w:proofErr w:type="spellStart"/>
      <w:r w:rsidRPr="00EF5DCA">
        <w:rPr>
          <w:rFonts w:eastAsia="Calibri"/>
          <w:bCs/>
          <w:lang w:eastAsia="en-US"/>
        </w:rPr>
        <w:t>León</w:t>
      </w:r>
      <w:r w:rsidRPr="00EF5DCA">
        <w:rPr>
          <w:rFonts w:eastAsia="Calibri"/>
          <w:bCs/>
          <w:vertAlign w:val="superscript"/>
          <w:lang w:eastAsia="en-US"/>
        </w:rPr>
        <w:t>1</w:t>
      </w:r>
      <w:proofErr w:type="spellEnd"/>
      <w:r w:rsidRPr="00EF5DCA">
        <w:rPr>
          <w:rFonts w:eastAsia="Calibri"/>
          <w:bCs/>
          <w:lang w:eastAsia="en-US"/>
        </w:rPr>
        <w:t xml:space="preserve"> </w:t>
      </w:r>
      <w:hyperlink r:id="rId8" w:history="1">
        <w:r w:rsidRPr="00EF5DCA">
          <w:rPr>
            <w:rFonts w:eastAsia="Calibri"/>
            <w:bCs/>
            <w:color w:val="0563C1"/>
            <w:lang w:eastAsia="en-US"/>
          </w:rPr>
          <w:t>https://orcid.org/0000-0002-7811-541X</w:t>
        </w:r>
      </w:hyperlink>
      <w:r w:rsidRPr="00EF5DCA">
        <w:rPr>
          <w:rFonts w:eastAsia="Calibri"/>
          <w:bCs/>
          <w:lang w:eastAsia="en-US"/>
        </w:rPr>
        <w:t xml:space="preserve"> </w:t>
      </w:r>
    </w:p>
    <w:p w14:paraId="15EE667D" w14:textId="77777777" w:rsidR="00EF5DCA" w:rsidRPr="00EF5DCA" w:rsidRDefault="00EF5DCA" w:rsidP="00EF5DCA">
      <w:pPr>
        <w:spacing w:line="360" w:lineRule="auto"/>
        <w:jc w:val="both"/>
        <w:rPr>
          <w:rFonts w:eastAsia="Calibri"/>
          <w:bCs/>
          <w:lang w:eastAsia="en-US"/>
        </w:rPr>
      </w:pPr>
      <w:r w:rsidRPr="00EF5DCA">
        <w:rPr>
          <w:rFonts w:eastAsia="Calibri"/>
          <w:bCs/>
          <w:lang w:eastAsia="en-US"/>
        </w:rPr>
        <w:t xml:space="preserve">Belkis </w:t>
      </w:r>
      <w:proofErr w:type="spellStart"/>
      <w:r w:rsidRPr="00EF5DCA">
        <w:rPr>
          <w:rFonts w:eastAsia="Calibri"/>
          <w:bCs/>
          <w:lang w:eastAsia="en-US"/>
        </w:rPr>
        <w:t>Alvarez</w:t>
      </w:r>
      <w:proofErr w:type="spellEnd"/>
      <w:r w:rsidRPr="00EF5DCA">
        <w:rPr>
          <w:rFonts w:eastAsia="Calibri"/>
          <w:bCs/>
          <w:lang w:eastAsia="en-US"/>
        </w:rPr>
        <w:t xml:space="preserve"> </w:t>
      </w:r>
      <w:proofErr w:type="spellStart"/>
      <w:r w:rsidRPr="00EF5DCA">
        <w:rPr>
          <w:rFonts w:eastAsia="Calibri"/>
          <w:bCs/>
          <w:lang w:eastAsia="en-US"/>
        </w:rPr>
        <w:t>Escobar</w:t>
      </w:r>
      <w:r w:rsidRPr="00EF5DCA">
        <w:rPr>
          <w:rFonts w:eastAsia="Calibri"/>
          <w:bCs/>
          <w:vertAlign w:val="superscript"/>
          <w:lang w:eastAsia="en-US"/>
        </w:rPr>
        <w:t>2</w:t>
      </w:r>
      <w:proofErr w:type="spellEnd"/>
      <w:r w:rsidRPr="00EF5DCA">
        <w:rPr>
          <w:rFonts w:eastAsia="Calibri"/>
          <w:bCs/>
          <w:lang w:eastAsia="en-US"/>
        </w:rPr>
        <w:t xml:space="preserve"> </w:t>
      </w:r>
      <w:hyperlink r:id="rId9" w:history="1">
        <w:r w:rsidRPr="00EF5DCA">
          <w:rPr>
            <w:rFonts w:eastAsia="Calibri"/>
            <w:bCs/>
            <w:color w:val="0563C1"/>
            <w:lang w:eastAsia="en-US"/>
          </w:rPr>
          <w:t>https://orcid.org/0000-0002-8701-9075</w:t>
        </w:r>
      </w:hyperlink>
      <w:r w:rsidRPr="00EF5DCA">
        <w:rPr>
          <w:rFonts w:eastAsia="Calibri"/>
          <w:bCs/>
          <w:lang w:eastAsia="en-US"/>
        </w:rPr>
        <w:t xml:space="preserve"> </w:t>
      </w:r>
    </w:p>
    <w:p w14:paraId="75DE9323" w14:textId="77777777" w:rsidR="00EF5DCA" w:rsidRPr="00EF5DCA" w:rsidRDefault="00EF5DCA" w:rsidP="00EF5DCA">
      <w:pPr>
        <w:spacing w:line="360" w:lineRule="auto"/>
        <w:jc w:val="both"/>
        <w:rPr>
          <w:rFonts w:eastAsia="Calibri"/>
          <w:b/>
          <w:lang w:eastAsia="en-US"/>
        </w:rPr>
      </w:pPr>
    </w:p>
    <w:p w14:paraId="76BF9BB9" w14:textId="77777777" w:rsidR="00EF5DCA" w:rsidRPr="00EF5DCA" w:rsidRDefault="00EF5DCA" w:rsidP="00EF5DCA">
      <w:pPr>
        <w:spacing w:line="360" w:lineRule="auto"/>
        <w:jc w:val="both"/>
        <w:rPr>
          <w:rFonts w:eastAsia="Calibri"/>
          <w:bCs/>
          <w:lang w:eastAsia="en-US"/>
        </w:rPr>
      </w:pPr>
      <w:proofErr w:type="spellStart"/>
      <w:r w:rsidRPr="00EF5DCA">
        <w:rPr>
          <w:rFonts w:eastAsia="Calibri"/>
          <w:bCs/>
          <w:vertAlign w:val="superscript"/>
          <w:lang w:eastAsia="en-US"/>
        </w:rPr>
        <w:t>1</w:t>
      </w:r>
      <w:r w:rsidRPr="00EF5DCA">
        <w:rPr>
          <w:rFonts w:eastAsia="Calibri"/>
          <w:bCs/>
          <w:lang w:eastAsia="en-US"/>
        </w:rPr>
        <w:t>Universidad</w:t>
      </w:r>
      <w:proofErr w:type="spellEnd"/>
      <w:r w:rsidRPr="00EF5DCA">
        <w:rPr>
          <w:rFonts w:eastAsia="Calibri"/>
          <w:bCs/>
          <w:lang w:eastAsia="en-US"/>
        </w:rPr>
        <w:t xml:space="preserve"> de Ciencias Médicas de Sancti Spíritus. Dirección Provincial de Salud de Sancti Spíritus. Sancti Spíritus, Cuba. </w:t>
      </w:r>
    </w:p>
    <w:p w14:paraId="2FC60BB5" w14:textId="77777777" w:rsidR="00EF5DCA" w:rsidRPr="00EF5DCA" w:rsidRDefault="00EF5DCA" w:rsidP="00EF5DCA">
      <w:pPr>
        <w:spacing w:line="360" w:lineRule="auto"/>
        <w:jc w:val="both"/>
        <w:rPr>
          <w:rFonts w:eastAsia="Calibri"/>
          <w:bCs/>
          <w:lang w:eastAsia="en-US"/>
        </w:rPr>
      </w:pPr>
      <w:proofErr w:type="spellStart"/>
      <w:r w:rsidRPr="00EF5DCA">
        <w:rPr>
          <w:rFonts w:eastAsia="Calibri"/>
          <w:bCs/>
          <w:vertAlign w:val="superscript"/>
          <w:lang w:eastAsia="en-US"/>
        </w:rPr>
        <w:t>2</w:t>
      </w:r>
      <w:r w:rsidRPr="00EF5DCA">
        <w:rPr>
          <w:rFonts w:eastAsia="Calibri"/>
          <w:bCs/>
          <w:lang w:eastAsia="en-US"/>
        </w:rPr>
        <w:t>Universidad</w:t>
      </w:r>
      <w:proofErr w:type="spellEnd"/>
      <w:r w:rsidRPr="00EF5DCA">
        <w:rPr>
          <w:rFonts w:eastAsia="Calibri"/>
          <w:bCs/>
          <w:lang w:eastAsia="en-US"/>
        </w:rPr>
        <w:t xml:space="preserve"> de Ciencias Médicas de Sancti Spíritus. Departamento metodológico. Sancti Spíritus, Cuba.</w:t>
      </w:r>
    </w:p>
    <w:p w14:paraId="5BBBF033" w14:textId="77777777" w:rsidR="00EF5DCA" w:rsidRPr="00EF5DCA" w:rsidRDefault="00EF5DCA" w:rsidP="00EF5DCA">
      <w:pPr>
        <w:spacing w:line="360" w:lineRule="auto"/>
        <w:jc w:val="both"/>
        <w:rPr>
          <w:rFonts w:eastAsia="Calibri"/>
          <w:bCs/>
          <w:lang w:eastAsia="en-US"/>
        </w:rPr>
      </w:pPr>
    </w:p>
    <w:p w14:paraId="53FABF60" w14:textId="77777777" w:rsidR="00EF5DCA" w:rsidRPr="00EF5DCA" w:rsidRDefault="00EF5DCA" w:rsidP="00EF5DCA">
      <w:pPr>
        <w:spacing w:line="360" w:lineRule="auto"/>
        <w:jc w:val="both"/>
        <w:rPr>
          <w:rFonts w:eastAsia="Calibri"/>
          <w:bCs/>
          <w:lang w:eastAsia="en-US"/>
        </w:rPr>
      </w:pPr>
      <w:r w:rsidRPr="00EF5DCA">
        <w:rPr>
          <w:rFonts w:eastAsia="Calibri"/>
          <w:bCs/>
          <w:lang w:eastAsia="en-US"/>
        </w:rPr>
        <w:t xml:space="preserve">*Autor para la correspondencia. Correo electrónico: </w:t>
      </w:r>
      <w:hyperlink r:id="rId10" w:history="1">
        <w:r w:rsidRPr="00EF5DCA">
          <w:rPr>
            <w:rFonts w:eastAsia="Calibri"/>
            <w:bCs/>
            <w:color w:val="0563C1"/>
            <w:lang w:eastAsia="en-US"/>
          </w:rPr>
          <w:t>juancmirabal@infomed.sld.cu</w:t>
        </w:r>
      </w:hyperlink>
      <w:r w:rsidRPr="00EF5DCA">
        <w:rPr>
          <w:rFonts w:eastAsia="Calibri"/>
          <w:bCs/>
          <w:lang w:eastAsia="en-US"/>
        </w:rPr>
        <w:t xml:space="preserve"> </w:t>
      </w:r>
    </w:p>
    <w:p w14:paraId="558CA076" w14:textId="77777777" w:rsidR="00EF5DCA" w:rsidRPr="00EF5DCA" w:rsidRDefault="00EF5DCA" w:rsidP="00EF5DCA">
      <w:pPr>
        <w:spacing w:line="360" w:lineRule="auto"/>
        <w:jc w:val="both"/>
        <w:rPr>
          <w:rFonts w:eastAsia="Calibri"/>
          <w:b/>
          <w:lang w:eastAsia="en-US"/>
        </w:rPr>
      </w:pPr>
    </w:p>
    <w:p w14:paraId="0EF4BFDD" w14:textId="77777777" w:rsidR="00EF5DCA" w:rsidRPr="00EF5DCA" w:rsidRDefault="00EF5DCA" w:rsidP="00EF5DCA">
      <w:pPr>
        <w:spacing w:line="360" w:lineRule="auto"/>
        <w:jc w:val="both"/>
        <w:rPr>
          <w:rFonts w:eastAsia="Calibri"/>
          <w:bCs/>
          <w:lang w:eastAsia="en-US"/>
        </w:rPr>
      </w:pPr>
    </w:p>
    <w:p w14:paraId="5E713176" w14:textId="77777777" w:rsidR="00EF5DCA" w:rsidRPr="00EF5DCA" w:rsidRDefault="00EF5DCA" w:rsidP="00EF5DCA">
      <w:pPr>
        <w:spacing w:line="360" w:lineRule="auto"/>
        <w:jc w:val="both"/>
        <w:rPr>
          <w:rFonts w:eastAsia="Calibri"/>
          <w:bCs/>
          <w:lang w:eastAsia="en-US"/>
        </w:rPr>
      </w:pPr>
      <w:r w:rsidRPr="00EF5DCA">
        <w:rPr>
          <w:rFonts w:eastAsia="Calibri"/>
          <w:bCs/>
          <w:lang w:eastAsia="en-US"/>
        </w:rPr>
        <w:t>Estimado Editor;</w:t>
      </w:r>
    </w:p>
    <w:p w14:paraId="37837434" w14:textId="77777777" w:rsidR="00EF5DCA" w:rsidRPr="00EF5DCA" w:rsidRDefault="00EF5DCA" w:rsidP="00EF5DCA">
      <w:pPr>
        <w:spacing w:line="360" w:lineRule="auto"/>
        <w:jc w:val="both"/>
        <w:rPr>
          <w:rFonts w:eastAsia="Calibri"/>
          <w:lang w:eastAsia="en-US"/>
        </w:rPr>
      </w:pPr>
      <w:r w:rsidRPr="00EF5DCA">
        <w:rPr>
          <w:rFonts w:eastAsia="Calibri"/>
          <w:lang w:eastAsia="en-US"/>
        </w:rPr>
        <w:t xml:space="preserve">La violencia basada en género muchas veces se mantiene en el anonimato. El 2 de octubre se eligió, por la Organización de las Naciones Unidas (ONU), como el Día Internacional de la No Violencia, en honor a Mahatma Gandhi. La no violencia busca una cultura de paz, tolerancia y comprensión; muchas personas sufren manifestaciones de violencia, pero la </w:t>
      </w:r>
      <w:proofErr w:type="gramStart"/>
      <w:r w:rsidRPr="00EF5DCA">
        <w:rPr>
          <w:rFonts w:eastAsia="Calibri"/>
          <w:lang w:eastAsia="en-US"/>
        </w:rPr>
        <w:t>aceptan.</w:t>
      </w:r>
      <w:r w:rsidRPr="00EF5DCA">
        <w:rPr>
          <w:rFonts w:eastAsia="Calibri"/>
          <w:vertAlign w:val="superscript"/>
          <w:lang w:eastAsia="en-US"/>
        </w:rPr>
        <w:t>(</w:t>
      </w:r>
      <w:proofErr w:type="gramEnd"/>
      <w:r w:rsidRPr="00EF5DCA">
        <w:rPr>
          <w:rFonts w:eastAsia="Calibri"/>
          <w:vertAlign w:val="superscript"/>
          <w:lang w:eastAsia="en-US"/>
        </w:rPr>
        <w:t>1)</w:t>
      </w:r>
      <w:r w:rsidRPr="00EF5DCA">
        <w:rPr>
          <w:rFonts w:eastAsia="Calibri"/>
          <w:lang w:eastAsia="en-US"/>
        </w:rPr>
        <w:t xml:space="preserve"> </w:t>
      </w:r>
    </w:p>
    <w:p w14:paraId="490DBDCA" w14:textId="77777777" w:rsidR="00EF5DCA" w:rsidRPr="00EF5DCA" w:rsidRDefault="00EF5DCA" w:rsidP="00EF5DCA">
      <w:pPr>
        <w:spacing w:line="360" w:lineRule="auto"/>
        <w:jc w:val="both"/>
        <w:rPr>
          <w:rFonts w:eastAsia="Calibri"/>
          <w:lang w:eastAsia="en-US"/>
        </w:rPr>
      </w:pPr>
      <w:r w:rsidRPr="00EF5DCA">
        <w:rPr>
          <w:rFonts w:eastAsia="Calibri"/>
          <w:lang w:eastAsia="en-US"/>
        </w:rPr>
        <w:t xml:space="preserve">Alrededor de 641 millones de mujeres en el mundo sufren actos violentos; el 6 % de las mujeres refieren haber sido agredidas sexualmente, pero en la práctica, estas cifras puede que sean mucho </w:t>
      </w:r>
      <w:proofErr w:type="gramStart"/>
      <w:r w:rsidRPr="00EF5DCA">
        <w:rPr>
          <w:rFonts w:eastAsia="Calibri"/>
          <w:lang w:eastAsia="en-US"/>
        </w:rPr>
        <w:t>mayores.</w:t>
      </w:r>
      <w:r w:rsidRPr="00EF5DCA">
        <w:rPr>
          <w:rFonts w:eastAsia="Calibri"/>
          <w:vertAlign w:val="superscript"/>
          <w:lang w:eastAsia="en-US"/>
        </w:rPr>
        <w:t>(</w:t>
      </w:r>
      <w:proofErr w:type="gramEnd"/>
      <w:r w:rsidRPr="00EF5DCA">
        <w:rPr>
          <w:rFonts w:eastAsia="Calibri"/>
          <w:vertAlign w:val="superscript"/>
          <w:lang w:eastAsia="en-US"/>
        </w:rPr>
        <w:t>2)</w:t>
      </w:r>
      <w:r w:rsidRPr="00EF5DCA">
        <w:rPr>
          <w:rFonts w:eastAsia="Calibri"/>
          <w:lang w:eastAsia="en-US"/>
        </w:rPr>
        <w:t xml:space="preserve"> La violencia contra la mujer puede estar condicionada por factores, como la zona geográfica de residencia, entre otros.</w:t>
      </w:r>
      <w:r w:rsidRPr="00EF5DCA">
        <w:rPr>
          <w:rFonts w:eastAsia="Calibri"/>
          <w:vertAlign w:val="superscript"/>
          <w:lang w:eastAsia="en-US"/>
        </w:rPr>
        <w:t>(3)</w:t>
      </w:r>
      <w:r w:rsidRPr="00EF5DCA">
        <w:rPr>
          <w:rFonts w:eastAsia="Calibri"/>
          <w:lang w:eastAsia="en-US"/>
        </w:rPr>
        <w:t xml:space="preserve"> Existen varias formas de violencia relacionadas con el género.</w:t>
      </w:r>
      <w:r w:rsidRPr="00EF5DCA">
        <w:rPr>
          <w:rFonts w:eastAsia="Calibri"/>
          <w:vertAlign w:val="superscript"/>
          <w:lang w:eastAsia="en-US"/>
        </w:rPr>
        <w:t>(4)</w:t>
      </w:r>
    </w:p>
    <w:p w14:paraId="2F36D27D" w14:textId="77777777" w:rsidR="00EF5DCA" w:rsidRPr="00EF5DCA" w:rsidRDefault="00EF5DCA" w:rsidP="00EF5DCA">
      <w:pPr>
        <w:spacing w:line="360" w:lineRule="auto"/>
        <w:jc w:val="both"/>
        <w:rPr>
          <w:rFonts w:eastAsia="Calibri"/>
          <w:lang w:eastAsia="en-US"/>
        </w:rPr>
      </w:pPr>
      <w:r w:rsidRPr="00EF5DCA">
        <w:rPr>
          <w:rFonts w:eastAsia="Calibri"/>
          <w:lang w:eastAsia="en-US"/>
        </w:rPr>
        <w:t xml:space="preserve">En la Constitución de la República de </w:t>
      </w:r>
      <w:proofErr w:type="gramStart"/>
      <w:r w:rsidRPr="00EF5DCA">
        <w:rPr>
          <w:rFonts w:eastAsia="Calibri"/>
          <w:lang w:eastAsia="en-US"/>
        </w:rPr>
        <w:t>Cuba,</w:t>
      </w:r>
      <w:r w:rsidRPr="00EF5DCA">
        <w:rPr>
          <w:rFonts w:eastAsia="Calibri"/>
          <w:vertAlign w:val="superscript"/>
          <w:lang w:eastAsia="en-US"/>
        </w:rPr>
        <w:t>(</w:t>
      </w:r>
      <w:proofErr w:type="gramEnd"/>
      <w:r w:rsidRPr="00EF5DCA">
        <w:rPr>
          <w:rFonts w:eastAsia="Calibri"/>
          <w:vertAlign w:val="superscript"/>
          <w:lang w:eastAsia="en-US"/>
        </w:rPr>
        <w:t>5)</w:t>
      </w:r>
      <w:r w:rsidRPr="00EF5DCA">
        <w:rPr>
          <w:rFonts w:eastAsia="Calibri"/>
          <w:lang w:eastAsia="en-US"/>
        </w:rPr>
        <w:t xml:space="preserve"> se considera destructiva a la violencia familiar. Este fenómeno universal va en aumento y Cuba no está exenta de </w:t>
      </w:r>
      <w:proofErr w:type="gramStart"/>
      <w:r w:rsidRPr="00EF5DCA">
        <w:rPr>
          <w:rFonts w:eastAsia="Calibri"/>
          <w:lang w:eastAsia="en-US"/>
        </w:rPr>
        <w:t>ello.</w:t>
      </w:r>
      <w:r w:rsidRPr="00EF5DCA">
        <w:rPr>
          <w:rFonts w:eastAsia="Calibri"/>
          <w:vertAlign w:val="superscript"/>
          <w:lang w:eastAsia="en-US"/>
        </w:rPr>
        <w:t>(</w:t>
      </w:r>
      <w:proofErr w:type="gramEnd"/>
      <w:r w:rsidRPr="00EF5DCA">
        <w:rPr>
          <w:rFonts w:eastAsia="Calibri"/>
          <w:vertAlign w:val="superscript"/>
          <w:lang w:eastAsia="en-US"/>
        </w:rPr>
        <w:t>6)</w:t>
      </w:r>
      <w:r w:rsidRPr="00EF5DCA">
        <w:rPr>
          <w:rFonts w:eastAsia="Calibri"/>
          <w:lang w:eastAsia="en-US"/>
        </w:rPr>
        <w:t xml:space="preserve">  </w:t>
      </w:r>
    </w:p>
    <w:p w14:paraId="6535D2A9" w14:textId="77777777" w:rsidR="00EF5DCA" w:rsidRPr="00EF5DCA" w:rsidRDefault="00EF5DCA" w:rsidP="00EF5DCA">
      <w:pPr>
        <w:spacing w:line="360" w:lineRule="auto"/>
        <w:jc w:val="both"/>
        <w:rPr>
          <w:rFonts w:eastAsia="Calibri"/>
          <w:lang w:eastAsia="en-US"/>
        </w:rPr>
      </w:pPr>
      <w:r w:rsidRPr="00EF5DCA">
        <w:rPr>
          <w:rFonts w:eastAsia="Calibri"/>
          <w:lang w:eastAsia="en-US"/>
        </w:rPr>
        <w:lastRenderedPageBreak/>
        <w:t xml:space="preserve">Según el Anuario Estadístico de Salud </w:t>
      </w:r>
      <w:proofErr w:type="gramStart"/>
      <w:r w:rsidRPr="00EF5DCA">
        <w:rPr>
          <w:rFonts w:eastAsia="Calibri"/>
          <w:lang w:eastAsia="en-US"/>
        </w:rPr>
        <w:t>2020,</w:t>
      </w:r>
      <w:r w:rsidRPr="00EF5DCA">
        <w:rPr>
          <w:rFonts w:eastAsia="Calibri"/>
          <w:vertAlign w:val="superscript"/>
          <w:lang w:eastAsia="en-US"/>
        </w:rPr>
        <w:t>(</w:t>
      </w:r>
      <w:proofErr w:type="gramEnd"/>
      <w:r w:rsidRPr="00EF5DCA">
        <w:rPr>
          <w:rFonts w:eastAsia="Calibri"/>
          <w:vertAlign w:val="superscript"/>
          <w:lang w:eastAsia="en-US"/>
        </w:rPr>
        <w:t>7)</w:t>
      </w:r>
      <w:r w:rsidRPr="00EF5DCA">
        <w:rPr>
          <w:rFonts w:eastAsia="Calibri"/>
          <w:lang w:eastAsia="en-US"/>
        </w:rPr>
        <w:t xml:space="preserve"> 105 mujeres murieron por agresiones en 2019, no señala cuántos son feminicidios.</w:t>
      </w:r>
      <w:r w:rsidRPr="00EF5DCA">
        <w:rPr>
          <w:rFonts w:eastAsia="Calibri"/>
          <w:vertAlign w:val="superscript"/>
          <w:lang w:eastAsia="en-US"/>
        </w:rPr>
        <w:t xml:space="preserve"> </w:t>
      </w:r>
      <w:r w:rsidRPr="00EF5DCA">
        <w:rPr>
          <w:rFonts w:eastAsia="Calibri"/>
          <w:lang w:eastAsia="en-US"/>
        </w:rPr>
        <w:t xml:space="preserve">En el 2016, el 26,7 % de las mujeres entre 15 y 74 años sufrieron algún tipo de violencia en su relación de </w:t>
      </w:r>
      <w:proofErr w:type="gramStart"/>
      <w:r w:rsidRPr="00EF5DCA">
        <w:rPr>
          <w:rFonts w:eastAsia="Calibri"/>
          <w:lang w:eastAsia="en-US"/>
        </w:rPr>
        <w:t>pareja.</w:t>
      </w:r>
      <w:r w:rsidRPr="00EF5DCA">
        <w:rPr>
          <w:rFonts w:eastAsia="Calibri"/>
          <w:vertAlign w:val="superscript"/>
          <w:lang w:eastAsia="en-US"/>
        </w:rPr>
        <w:t>(</w:t>
      </w:r>
      <w:proofErr w:type="gramEnd"/>
      <w:r w:rsidRPr="00EF5DCA">
        <w:rPr>
          <w:rFonts w:eastAsia="Calibri"/>
          <w:vertAlign w:val="superscript"/>
          <w:lang w:eastAsia="en-US"/>
        </w:rPr>
        <w:t>8)</w:t>
      </w:r>
    </w:p>
    <w:p w14:paraId="5CDF81A6" w14:textId="77777777" w:rsidR="00EF5DCA" w:rsidRPr="00EF5DCA" w:rsidRDefault="00EF5DCA" w:rsidP="00EF5DCA">
      <w:pPr>
        <w:spacing w:line="360" w:lineRule="auto"/>
        <w:jc w:val="both"/>
        <w:rPr>
          <w:rFonts w:eastAsia="Calibri"/>
          <w:lang w:eastAsia="en-US"/>
        </w:rPr>
      </w:pPr>
      <w:r w:rsidRPr="00EF5DCA">
        <w:rPr>
          <w:rFonts w:eastAsia="Calibri"/>
          <w:lang w:eastAsia="en-US"/>
        </w:rPr>
        <w:t xml:space="preserve">En Cuba no se identifica este tipo de violencia como problema de salud. Faltan herramientas para la detección temprana y seguimiento de la violencia basada en género, en la comunidad.  La bibliografía consultada no recoge gran cantidad de investigaciones que traten este tema, lo que constituye una brecha en la ciencia, aunque sí está abordado en varios medios de comunicación. </w:t>
      </w:r>
    </w:p>
    <w:p w14:paraId="057D987F" w14:textId="77777777" w:rsidR="00EF5DCA" w:rsidRPr="00EF5DCA" w:rsidRDefault="00EF5DCA" w:rsidP="00EF5DCA">
      <w:pPr>
        <w:spacing w:line="360" w:lineRule="auto"/>
        <w:jc w:val="both"/>
        <w:rPr>
          <w:rFonts w:eastAsia="Calibri"/>
          <w:lang w:eastAsia="en-US"/>
        </w:rPr>
      </w:pPr>
      <w:r w:rsidRPr="00EF5DCA">
        <w:rPr>
          <w:rFonts w:eastAsia="Calibri"/>
          <w:lang w:eastAsia="en-US"/>
        </w:rPr>
        <w:t>Cuba viene dando pasos certeros en este aspecto.</w:t>
      </w:r>
      <w:r w:rsidRPr="00EF5DCA">
        <w:rPr>
          <w:rFonts w:eastAsia="Calibri"/>
          <w:vertAlign w:val="superscript"/>
          <w:lang w:eastAsia="en-US"/>
        </w:rPr>
        <w:t xml:space="preserve"> </w:t>
      </w:r>
      <w:r w:rsidRPr="00EF5DCA">
        <w:rPr>
          <w:rFonts w:eastAsia="Calibri"/>
          <w:lang w:eastAsia="en-US"/>
        </w:rPr>
        <w:t xml:space="preserve">Se aprobó un nuevo Código de las </w:t>
      </w:r>
      <w:proofErr w:type="gramStart"/>
      <w:r w:rsidRPr="00EF5DCA">
        <w:rPr>
          <w:rFonts w:eastAsia="Calibri"/>
          <w:lang w:eastAsia="en-US"/>
        </w:rPr>
        <w:t>familias,</w:t>
      </w:r>
      <w:r w:rsidRPr="00EF5DCA">
        <w:rPr>
          <w:rFonts w:eastAsia="Calibri"/>
          <w:vertAlign w:val="superscript"/>
          <w:lang w:eastAsia="en-US"/>
        </w:rPr>
        <w:t>(</w:t>
      </w:r>
      <w:proofErr w:type="gramEnd"/>
      <w:r w:rsidRPr="00EF5DCA">
        <w:rPr>
          <w:rFonts w:eastAsia="Calibri"/>
          <w:vertAlign w:val="superscript"/>
          <w:lang w:eastAsia="en-US"/>
        </w:rPr>
        <w:t>9)</w:t>
      </w:r>
      <w:r w:rsidRPr="00EF5DCA">
        <w:rPr>
          <w:rFonts w:eastAsia="Calibri"/>
          <w:lang w:eastAsia="en-US"/>
        </w:rPr>
        <w:t xml:space="preserve"> el Programa Nacional para el Adelanto de las Mujeres,</w:t>
      </w:r>
      <w:r w:rsidRPr="00EF5DCA">
        <w:rPr>
          <w:rFonts w:eastAsia="Calibri"/>
          <w:vertAlign w:val="superscript"/>
          <w:lang w:eastAsia="en-US"/>
        </w:rPr>
        <w:t>(10)</w:t>
      </w:r>
      <w:r w:rsidRPr="00EF5DCA">
        <w:rPr>
          <w:rFonts w:eastAsia="Calibri"/>
          <w:lang w:eastAsia="en-US"/>
        </w:rPr>
        <w:t xml:space="preserve"> la Estrategia Integral de Prevención y Atención a la violencia de género y en el escenario familiar.</w:t>
      </w:r>
      <w:r w:rsidRPr="00EF5DCA">
        <w:rPr>
          <w:rFonts w:eastAsia="Calibri"/>
          <w:vertAlign w:val="superscript"/>
          <w:lang w:eastAsia="en-US"/>
        </w:rPr>
        <w:t xml:space="preserve">(11) </w:t>
      </w:r>
      <w:r w:rsidRPr="00EF5DCA">
        <w:rPr>
          <w:rFonts w:eastAsia="Calibri"/>
          <w:lang w:eastAsia="en-US"/>
        </w:rPr>
        <w:t xml:space="preserve"> En todos se incluye esta temática. </w:t>
      </w:r>
    </w:p>
    <w:p w14:paraId="3E4FF5C9" w14:textId="77777777" w:rsidR="00EF5DCA" w:rsidRPr="00EF5DCA" w:rsidRDefault="00EF5DCA" w:rsidP="00EF5DCA">
      <w:pPr>
        <w:spacing w:line="360" w:lineRule="auto"/>
        <w:jc w:val="both"/>
        <w:rPr>
          <w:rFonts w:eastAsia="Calibri"/>
          <w:lang w:eastAsia="en-US"/>
        </w:rPr>
      </w:pPr>
      <w:r w:rsidRPr="00EF5DCA">
        <w:rPr>
          <w:rFonts w:eastAsia="Calibri"/>
          <w:lang w:eastAsia="en-US"/>
        </w:rPr>
        <w:t xml:space="preserve">Como parte de dicha estrategia, la Dirección Provincial de Salud de Sancti Spíritus, decidió elaborar el protocolo para la prevención y atención de la violencia basada en género, en respuesta al objetivo 4 del Programa Nacional para el Adelanto de las Mujeres. Se nutrió de otros protocolos, de los cuales se adoptaron y modificaron acápites, según las características propias del sistema nacional de </w:t>
      </w:r>
      <w:proofErr w:type="gramStart"/>
      <w:r w:rsidRPr="00EF5DCA">
        <w:rPr>
          <w:rFonts w:eastAsia="Calibri"/>
          <w:lang w:eastAsia="en-US"/>
        </w:rPr>
        <w:t>salud.</w:t>
      </w:r>
      <w:r w:rsidRPr="00EF5DCA">
        <w:rPr>
          <w:rFonts w:eastAsia="Calibri"/>
          <w:vertAlign w:val="superscript"/>
          <w:lang w:eastAsia="en-US"/>
        </w:rPr>
        <w:t>(</w:t>
      </w:r>
      <w:proofErr w:type="gramEnd"/>
      <w:r w:rsidRPr="00EF5DCA">
        <w:rPr>
          <w:rFonts w:eastAsia="Calibri"/>
          <w:vertAlign w:val="superscript"/>
          <w:lang w:eastAsia="en-US"/>
        </w:rPr>
        <w:t>12,13,14)</w:t>
      </w:r>
    </w:p>
    <w:p w14:paraId="1C94FBF6" w14:textId="77777777" w:rsidR="00EF5DCA" w:rsidRPr="00EF5DCA" w:rsidRDefault="00EF5DCA" w:rsidP="00EF5DCA">
      <w:pPr>
        <w:spacing w:line="360" w:lineRule="auto"/>
        <w:jc w:val="both"/>
        <w:rPr>
          <w:rFonts w:eastAsia="Calibri"/>
          <w:lang w:eastAsia="en-US"/>
        </w:rPr>
      </w:pPr>
      <w:r w:rsidRPr="00EF5DCA">
        <w:rPr>
          <w:rFonts w:eastAsia="Calibri"/>
          <w:lang w:eastAsia="en-US"/>
        </w:rPr>
        <w:t>Incluye la estrategia de detección precoz y de intervención en atención primaria. Establece una pauta de actuación homogénea para la atención integral (física, psicológica, emocional y social) a quienes sufren violencia basada en género. Se refiere a cualquier forma de violencia ejercida contra las mujeres mayores de 14 años. En el caso de agresiones sexuales, la atención y actuación sanitaria es específica, dadas las medidas e implicaciones médico-forenses y legales que conlleva.</w:t>
      </w:r>
    </w:p>
    <w:p w14:paraId="1A92BAFA" w14:textId="77777777" w:rsidR="00EF5DCA" w:rsidRPr="00EF5DCA" w:rsidRDefault="00EF5DCA" w:rsidP="00EF5DCA">
      <w:pPr>
        <w:spacing w:line="360" w:lineRule="auto"/>
        <w:jc w:val="both"/>
        <w:rPr>
          <w:rFonts w:eastAsia="Calibri"/>
          <w:lang w:eastAsia="en-US"/>
        </w:rPr>
      </w:pPr>
      <w:r w:rsidRPr="00EF5DCA">
        <w:rPr>
          <w:rFonts w:eastAsia="Calibri"/>
          <w:lang w:eastAsia="en-US"/>
        </w:rPr>
        <w:t>El documento se discutió entre los autores y colaboradores. Deja claro los tipos de violencia ejercida sobre la mujer, el papel profesional en la notificación de sospecha o del caso, la identificación del riesgo y la protección de las mujeres. Los autores esperan que el protocolo constituya una herramienta útil para los profesionales de los servicios sanitarios en su consulta diaria; aporta una guía de actuación. Este protocolo deberá ser evaluado tras su implementación, lo que posibilitará determinar su eficacia y sugerir modificaciones necesarias para su perfeccionamiento continuo.</w:t>
      </w:r>
    </w:p>
    <w:p w14:paraId="0A1BBB8D" w14:textId="77777777" w:rsidR="00EF5DCA" w:rsidRPr="00EF5DCA" w:rsidRDefault="00EF5DCA" w:rsidP="00EF5DCA">
      <w:pPr>
        <w:spacing w:line="360" w:lineRule="auto"/>
        <w:jc w:val="both"/>
        <w:rPr>
          <w:rFonts w:eastAsia="Calibri"/>
          <w:lang w:eastAsia="en-US"/>
        </w:rPr>
      </w:pPr>
    </w:p>
    <w:p w14:paraId="64F6C293" w14:textId="77777777" w:rsidR="00EF5DCA" w:rsidRPr="00EF5DCA" w:rsidRDefault="00EF5DCA" w:rsidP="00EF5DCA">
      <w:pPr>
        <w:spacing w:line="360" w:lineRule="auto"/>
        <w:jc w:val="both"/>
        <w:rPr>
          <w:rFonts w:eastAsia="Calibri"/>
          <w:lang w:eastAsia="en-US"/>
        </w:rPr>
      </w:pPr>
    </w:p>
    <w:p w14:paraId="3D7D3FE7" w14:textId="77777777" w:rsidR="00E5107D" w:rsidRDefault="00E5107D">
      <w:pPr>
        <w:rPr>
          <w:rFonts w:eastAsia="Calibri"/>
          <w:b/>
          <w:sz w:val="32"/>
          <w:szCs w:val="32"/>
          <w:lang w:eastAsia="en-US"/>
        </w:rPr>
      </w:pPr>
      <w:r>
        <w:rPr>
          <w:rFonts w:eastAsia="Calibri"/>
          <w:b/>
          <w:sz w:val="32"/>
          <w:szCs w:val="32"/>
          <w:lang w:eastAsia="en-US"/>
        </w:rPr>
        <w:br w:type="page"/>
      </w:r>
    </w:p>
    <w:p w14:paraId="69935DA3" w14:textId="33757E5B" w:rsidR="00EF5DCA" w:rsidRPr="00EF5DCA" w:rsidRDefault="00EF5DCA" w:rsidP="00EF5DCA">
      <w:pPr>
        <w:spacing w:line="360" w:lineRule="auto"/>
        <w:jc w:val="center"/>
        <w:rPr>
          <w:rFonts w:eastAsia="Calibri"/>
          <w:b/>
          <w:sz w:val="32"/>
          <w:szCs w:val="32"/>
          <w:lang w:eastAsia="en-US"/>
        </w:rPr>
      </w:pPr>
      <w:r w:rsidRPr="00EF5DCA">
        <w:rPr>
          <w:rFonts w:eastAsia="Calibri"/>
          <w:b/>
          <w:sz w:val="32"/>
          <w:szCs w:val="32"/>
          <w:lang w:eastAsia="en-US"/>
        </w:rPr>
        <w:lastRenderedPageBreak/>
        <w:t>REFERENCIAS BIBLIOGRÁFICAS</w:t>
      </w:r>
    </w:p>
    <w:p w14:paraId="557C270E" w14:textId="77777777" w:rsidR="00EF5DCA" w:rsidRPr="00EF5DCA" w:rsidRDefault="00EF5DCA" w:rsidP="00EF5DCA">
      <w:pPr>
        <w:spacing w:line="360" w:lineRule="auto"/>
        <w:rPr>
          <w:lang w:eastAsia="es-ES"/>
        </w:rPr>
      </w:pPr>
      <w:r w:rsidRPr="00EF5DCA">
        <w:rPr>
          <w:lang w:eastAsia="es-ES"/>
        </w:rPr>
        <w:t xml:space="preserve">1. Consejo de la Magistratura. Día Internacional de la No Violencia. Unidad de Derechos Humanos y Género. 2021 [acceso: 09/11/2022]. Disponible en: </w:t>
      </w:r>
      <w:hyperlink r:id="rId11" w:history="1">
        <w:r w:rsidRPr="00EF5DCA">
          <w:rPr>
            <w:color w:val="0563C1"/>
            <w:lang w:eastAsia="es-ES"/>
          </w:rPr>
          <w:t>https://consejomagistratura.gov.ar/index.php/2021/10/02/dia-internacional-de-la-no-violencia/</w:t>
        </w:r>
      </w:hyperlink>
      <w:r w:rsidRPr="00EF5DCA">
        <w:rPr>
          <w:lang w:eastAsia="es-ES"/>
        </w:rPr>
        <w:t xml:space="preserve"> </w:t>
      </w:r>
    </w:p>
    <w:p w14:paraId="16F3330F" w14:textId="77777777" w:rsidR="00EF5DCA" w:rsidRPr="00EF5DCA" w:rsidRDefault="00EF5DCA" w:rsidP="00EF5DCA">
      <w:pPr>
        <w:spacing w:line="360" w:lineRule="auto"/>
        <w:rPr>
          <w:lang w:eastAsia="es-ES"/>
        </w:rPr>
      </w:pPr>
      <w:r w:rsidRPr="00EF5DCA">
        <w:rPr>
          <w:lang w:eastAsia="es-ES"/>
        </w:rPr>
        <w:t xml:space="preserve">2. </w:t>
      </w:r>
      <w:proofErr w:type="spellStart"/>
      <w:r w:rsidRPr="00EF5DCA">
        <w:rPr>
          <w:lang w:eastAsia="es-ES"/>
        </w:rPr>
        <w:t>OPS</w:t>
      </w:r>
      <w:proofErr w:type="spellEnd"/>
      <w:r w:rsidRPr="00EF5DCA">
        <w:rPr>
          <w:lang w:eastAsia="es-ES"/>
        </w:rPr>
        <w:t xml:space="preserve">/OMS. La violencia contra la mujer es omnipresente y devastadora: la sufren una de cada tres mujeres. </w:t>
      </w:r>
      <w:proofErr w:type="spellStart"/>
      <w:r w:rsidRPr="00EF5DCA">
        <w:rPr>
          <w:lang w:eastAsia="es-ES"/>
        </w:rPr>
        <w:t>OPS</w:t>
      </w:r>
      <w:proofErr w:type="spellEnd"/>
      <w:r w:rsidRPr="00EF5DCA">
        <w:rPr>
          <w:lang w:eastAsia="es-ES"/>
        </w:rPr>
        <w:t xml:space="preserve">/OMS, Oficina Regional para las Américas de la Organización Mundial de la Salud. [actualizado: 09/03/2021; acceso: 09/11/2022]. Disponible en:  </w:t>
      </w:r>
      <w:hyperlink r:id="rId12" w:history="1">
        <w:r w:rsidRPr="00EF5DCA">
          <w:rPr>
            <w:color w:val="0563C1"/>
            <w:lang w:eastAsia="es-ES"/>
          </w:rPr>
          <w:t>https://www.paho.org/es/noticias/9-3-2021-violencia-contra-mujer-es-omnipresente-devastadora-sufren-cada-tres-mujeres</w:t>
        </w:r>
      </w:hyperlink>
      <w:r w:rsidRPr="00EF5DCA">
        <w:rPr>
          <w:lang w:eastAsia="es-ES"/>
        </w:rPr>
        <w:t xml:space="preserve">  </w:t>
      </w:r>
    </w:p>
    <w:p w14:paraId="0AFA7A4E" w14:textId="77777777" w:rsidR="00EF5DCA" w:rsidRPr="00EF5DCA" w:rsidRDefault="00EF5DCA" w:rsidP="00EF5DCA">
      <w:pPr>
        <w:spacing w:line="360" w:lineRule="auto"/>
        <w:rPr>
          <w:lang w:eastAsia="es-ES"/>
        </w:rPr>
      </w:pPr>
      <w:r w:rsidRPr="00EF5DCA">
        <w:rPr>
          <w:lang w:eastAsia="es-ES"/>
        </w:rPr>
        <w:t xml:space="preserve">3. Barja Ore J, Flores </w:t>
      </w:r>
      <w:proofErr w:type="spellStart"/>
      <w:r w:rsidRPr="00EF5DCA">
        <w:rPr>
          <w:lang w:eastAsia="es-ES"/>
        </w:rPr>
        <w:t>Paucarima</w:t>
      </w:r>
      <w:proofErr w:type="spellEnd"/>
      <w:r w:rsidRPr="00EF5DCA">
        <w:rPr>
          <w:lang w:eastAsia="es-ES"/>
        </w:rPr>
        <w:t xml:space="preserve"> A, Campos Enrique J, Burga Martos A. Manifestaciones de violencia contra la mujer en zonas urbanas y rurales del Perú. Revista Cubana de Medicina Militar. 2022 [acceso: 09/11/2022]; 51(4): </w:t>
      </w:r>
      <w:proofErr w:type="spellStart"/>
      <w:r w:rsidRPr="00EF5DCA">
        <w:rPr>
          <w:lang w:eastAsia="es-ES"/>
        </w:rPr>
        <w:t>e02202187</w:t>
      </w:r>
      <w:proofErr w:type="spellEnd"/>
      <w:r w:rsidRPr="00EF5DCA">
        <w:rPr>
          <w:lang w:eastAsia="es-ES"/>
        </w:rPr>
        <w:t xml:space="preserve">. Disponible en: </w:t>
      </w:r>
      <w:hyperlink r:id="rId13" w:history="1">
        <w:r w:rsidRPr="00EF5DCA">
          <w:rPr>
            <w:color w:val="0563C1"/>
            <w:lang w:eastAsia="es-ES"/>
          </w:rPr>
          <w:t>http://revmedmilitar.sld.cu/index.php/mil/article/view/2187</w:t>
        </w:r>
      </w:hyperlink>
      <w:r w:rsidRPr="00EF5DCA">
        <w:rPr>
          <w:lang w:eastAsia="es-ES"/>
        </w:rPr>
        <w:t xml:space="preserve"> </w:t>
      </w:r>
    </w:p>
    <w:p w14:paraId="4632AA1F" w14:textId="77777777" w:rsidR="00EF5DCA" w:rsidRPr="00EF5DCA" w:rsidRDefault="00EF5DCA" w:rsidP="00EF5DCA">
      <w:pPr>
        <w:spacing w:line="360" w:lineRule="auto"/>
        <w:rPr>
          <w:lang w:eastAsia="es-ES"/>
        </w:rPr>
      </w:pPr>
      <w:r w:rsidRPr="00EF5DCA">
        <w:rPr>
          <w:lang w:eastAsia="es-ES"/>
        </w:rPr>
        <w:t xml:space="preserve">4. </w:t>
      </w:r>
      <w:proofErr w:type="spellStart"/>
      <w:r w:rsidRPr="00EF5DCA">
        <w:rPr>
          <w:lang w:eastAsia="es-ES"/>
        </w:rPr>
        <w:t>Alfocea</w:t>
      </w:r>
      <w:proofErr w:type="spellEnd"/>
      <w:r w:rsidRPr="00EF5DCA">
        <w:rPr>
          <w:lang w:eastAsia="es-ES"/>
        </w:rPr>
        <w:t xml:space="preserve"> Frutos J, Ponce Alcaraz </w:t>
      </w:r>
      <w:proofErr w:type="spellStart"/>
      <w:r w:rsidRPr="00EF5DCA">
        <w:rPr>
          <w:lang w:eastAsia="es-ES"/>
        </w:rPr>
        <w:t>FJ</w:t>
      </w:r>
      <w:proofErr w:type="spellEnd"/>
      <w:r w:rsidRPr="00EF5DCA">
        <w:rPr>
          <w:lang w:eastAsia="es-ES"/>
        </w:rPr>
        <w:t xml:space="preserve">. Perspectiva criminológica sobre la violencia de género. La Razón Histórica. 2019 [acceso: 09/11/2022]; 43: 104-21. Disponible en: </w:t>
      </w:r>
      <w:hyperlink r:id="rId14" w:history="1">
        <w:r w:rsidRPr="00EF5DCA">
          <w:rPr>
            <w:color w:val="0563C1"/>
            <w:lang w:eastAsia="es-ES"/>
          </w:rPr>
          <w:t>https://digitum.um.es/digitum/bitstream/10201/69705/1/LRH%2043.8.pdf</w:t>
        </w:r>
      </w:hyperlink>
      <w:r w:rsidRPr="00EF5DCA">
        <w:rPr>
          <w:lang w:eastAsia="es-ES"/>
        </w:rPr>
        <w:t xml:space="preserve">  </w:t>
      </w:r>
    </w:p>
    <w:p w14:paraId="20B55269" w14:textId="77777777" w:rsidR="00EF5DCA" w:rsidRPr="00EF5DCA" w:rsidRDefault="00EF5DCA" w:rsidP="00EF5DCA">
      <w:pPr>
        <w:spacing w:line="360" w:lineRule="auto"/>
        <w:rPr>
          <w:lang w:eastAsia="es-ES"/>
        </w:rPr>
      </w:pPr>
      <w:r w:rsidRPr="00EF5DCA">
        <w:rPr>
          <w:lang w:eastAsia="es-ES"/>
        </w:rPr>
        <w:t xml:space="preserve">5. Asamblea Nacional del Poder Popular. Constitución de la República de Cuba. </w:t>
      </w:r>
      <w:proofErr w:type="spellStart"/>
      <w:r w:rsidRPr="00EF5DCA">
        <w:rPr>
          <w:lang w:eastAsia="es-ES"/>
        </w:rPr>
        <w:t>Cubadebate</w:t>
      </w:r>
      <w:proofErr w:type="spellEnd"/>
      <w:r w:rsidRPr="00EF5DCA">
        <w:rPr>
          <w:lang w:eastAsia="es-ES"/>
        </w:rPr>
        <w:t xml:space="preserve">. 2019 [acceso: 09/11/2022]. Disponible en: </w:t>
      </w:r>
      <w:hyperlink r:id="rId15" w:history="1">
        <w:r w:rsidRPr="00EF5DCA">
          <w:rPr>
            <w:color w:val="0563C1"/>
            <w:lang w:eastAsia="es-ES"/>
          </w:rPr>
          <w:t>http://media.cubadebate.cu/wp-content/uploads/2019/01/Constitucion-Cuba-2019.pdf</w:t>
        </w:r>
      </w:hyperlink>
      <w:r w:rsidRPr="00EF5DCA">
        <w:rPr>
          <w:lang w:eastAsia="es-ES"/>
        </w:rPr>
        <w:t xml:space="preserve"> </w:t>
      </w:r>
    </w:p>
    <w:p w14:paraId="6727563E" w14:textId="77777777" w:rsidR="00EF5DCA" w:rsidRPr="00EF5DCA" w:rsidRDefault="00EF5DCA" w:rsidP="00EF5DCA">
      <w:pPr>
        <w:spacing w:line="360" w:lineRule="auto"/>
        <w:rPr>
          <w:lang w:eastAsia="es-ES"/>
        </w:rPr>
      </w:pPr>
      <w:r w:rsidRPr="00EF5DCA">
        <w:rPr>
          <w:lang w:eastAsia="es-ES"/>
        </w:rPr>
        <w:t xml:space="preserve">6. </w:t>
      </w:r>
      <w:proofErr w:type="spellStart"/>
      <w:r w:rsidRPr="00EF5DCA">
        <w:rPr>
          <w:lang w:eastAsia="es-ES"/>
        </w:rPr>
        <w:t>Proveyer</w:t>
      </w:r>
      <w:proofErr w:type="spellEnd"/>
      <w:r w:rsidRPr="00EF5DCA">
        <w:rPr>
          <w:lang w:eastAsia="es-ES"/>
        </w:rPr>
        <w:t xml:space="preserve"> C. Violencia de género. Aproximación desde la realidad cubana. Revista Sexología y Sociedad. 2014 [acceso: 09/11/2022]; 20(1): </w:t>
      </w:r>
      <w:proofErr w:type="spellStart"/>
      <w:r w:rsidRPr="00EF5DCA">
        <w:rPr>
          <w:lang w:eastAsia="es-ES"/>
        </w:rPr>
        <w:t>e1</w:t>
      </w:r>
      <w:proofErr w:type="spellEnd"/>
      <w:r w:rsidRPr="00EF5DCA">
        <w:rPr>
          <w:lang w:eastAsia="es-ES"/>
        </w:rPr>
        <w:t xml:space="preserve">. Disponible en: </w:t>
      </w:r>
      <w:hyperlink r:id="rId16" w:history="1">
        <w:r w:rsidRPr="00EF5DCA">
          <w:rPr>
            <w:color w:val="0563C1"/>
            <w:lang w:eastAsia="es-ES"/>
          </w:rPr>
          <w:t>https://revsexologiaysociedad.sld.cu/index.php/sexologiaysociedad/article/view/465</w:t>
        </w:r>
      </w:hyperlink>
      <w:r w:rsidRPr="00EF5DCA">
        <w:rPr>
          <w:lang w:eastAsia="es-ES"/>
        </w:rPr>
        <w:t xml:space="preserve">  </w:t>
      </w:r>
    </w:p>
    <w:p w14:paraId="6B246907" w14:textId="77777777" w:rsidR="00EF5DCA" w:rsidRPr="00EF5DCA" w:rsidRDefault="00EF5DCA" w:rsidP="00EF5DCA">
      <w:pPr>
        <w:spacing w:line="360" w:lineRule="auto"/>
        <w:rPr>
          <w:lang w:eastAsia="es-ES"/>
        </w:rPr>
      </w:pPr>
      <w:r w:rsidRPr="00EF5DCA">
        <w:rPr>
          <w:lang w:eastAsia="es-ES"/>
        </w:rPr>
        <w:t xml:space="preserve">7. Ministerio de Salud Pública de Cuba. Anuario Estadístico de Salud 2021. La Habana: MINSAP; 2021. [acceso: 09/11/2022]. Disponible en: </w:t>
      </w:r>
      <w:hyperlink r:id="rId17" w:history="1">
        <w:r w:rsidRPr="00EF5DCA">
          <w:rPr>
            <w:color w:val="0563C1"/>
            <w:lang w:eastAsia="es-ES"/>
          </w:rPr>
          <w:t>https://files.sld.cu/dne/files/2022/10/Anuario-Estad%C3%ADstico-de-Salud-2021.-Ed-2022.pdf</w:t>
        </w:r>
      </w:hyperlink>
      <w:r w:rsidRPr="00EF5DCA">
        <w:rPr>
          <w:lang w:eastAsia="es-ES"/>
        </w:rPr>
        <w:t xml:space="preserve">   </w:t>
      </w:r>
    </w:p>
    <w:p w14:paraId="6EDE2FF2" w14:textId="77777777" w:rsidR="00EF5DCA" w:rsidRPr="00EF5DCA" w:rsidRDefault="00EF5DCA" w:rsidP="00EF5DCA">
      <w:pPr>
        <w:spacing w:line="360" w:lineRule="auto"/>
        <w:rPr>
          <w:lang w:eastAsia="es-ES"/>
        </w:rPr>
      </w:pPr>
      <w:r w:rsidRPr="00EF5DCA">
        <w:rPr>
          <w:lang w:eastAsia="es-ES"/>
        </w:rPr>
        <w:t xml:space="preserve">8. Álvarez Suárez M, Franco Suárez M, Palmero García Y, Díaz Medina Y, Iglesias Rodríguez M, Quesada Gutiérrez E. Encuesta nacional sobre igualdad de género. Anales de la Academia de Ciencias de Cuba. 2019 [acceso: 09/11/2022]; 9 (3): e-678. Disponible en: </w:t>
      </w:r>
      <w:hyperlink r:id="rId18" w:history="1">
        <w:r w:rsidRPr="00EF5DCA">
          <w:rPr>
            <w:color w:val="0563C1"/>
            <w:lang w:eastAsia="es-ES"/>
          </w:rPr>
          <w:t>https://revistaccuba.sld.cu/index.php/revacc/article/view/678</w:t>
        </w:r>
      </w:hyperlink>
      <w:r w:rsidRPr="00EF5DCA">
        <w:rPr>
          <w:lang w:eastAsia="es-ES"/>
        </w:rPr>
        <w:t xml:space="preserve">  </w:t>
      </w:r>
    </w:p>
    <w:p w14:paraId="5CE2413C" w14:textId="77777777" w:rsidR="00EF5DCA" w:rsidRPr="00EF5DCA" w:rsidRDefault="00EF5DCA" w:rsidP="00EF5DCA">
      <w:pPr>
        <w:spacing w:line="360" w:lineRule="auto"/>
        <w:rPr>
          <w:lang w:eastAsia="es-ES"/>
        </w:rPr>
      </w:pPr>
      <w:r w:rsidRPr="00EF5DCA">
        <w:rPr>
          <w:lang w:eastAsia="es-ES"/>
        </w:rPr>
        <w:lastRenderedPageBreak/>
        <w:t xml:space="preserve">9. Asamblea Nacional del Poder Popular. Ley No. 156. Código de las Familias. Gaceta Oficial No. 99 Ordinaria de 27 de septiembre de 2022. 2022 [acceso: 09/11/2022]. Disponible: </w:t>
      </w:r>
      <w:hyperlink r:id="rId19" w:history="1">
        <w:r w:rsidRPr="00EF5DCA">
          <w:rPr>
            <w:color w:val="0563C1"/>
            <w:lang w:eastAsia="es-ES"/>
          </w:rPr>
          <w:t>https://www.gacetaoficial.gob.cu/sites/default/files/goc-2022-o99.pdf</w:t>
        </w:r>
      </w:hyperlink>
      <w:r w:rsidRPr="00EF5DCA">
        <w:rPr>
          <w:lang w:eastAsia="es-ES"/>
        </w:rPr>
        <w:t xml:space="preserve">  </w:t>
      </w:r>
    </w:p>
    <w:p w14:paraId="6EED9168" w14:textId="77777777" w:rsidR="00EF5DCA" w:rsidRPr="00EF5DCA" w:rsidRDefault="00EF5DCA" w:rsidP="00EF5DCA">
      <w:pPr>
        <w:spacing w:line="360" w:lineRule="auto"/>
        <w:rPr>
          <w:lang w:eastAsia="es-ES"/>
        </w:rPr>
      </w:pPr>
      <w:r w:rsidRPr="00EF5DCA">
        <w:rPr>
          <w:lang w:eastAsia="es-ES"/>
        </w:rPr>
        <w:t xml:space="preserve">10. Decreto presidencial 198. Programa Nacional para el adelanto de las Mujeres. Gaceta oficial No. 14 Extraordinaria de 8 de marzo de 2021.  2021 [acceso: 09/11/2022]. Disponible en: </w:t>
      </w:r>
      <w:hyperlink r:id="rId20" w:history="1">
        <w:r w:rsidRPr="00EF5DCA">
          <w:rPr>
            <w:color w:val="0563C1"/>
            <w:lang w:eastAsia="es-ES"/>
          </w:rPr>
          <w:t>https://www.tsp.gob.cu/sites/default/files/documentos/goc-2021-ex14.pdf</w:t>
        </w:r>
      </w:hyperlink>
      <w:r w:rsidRPr="00EF5DCA">
        <w:rPr>
          <w:lang w:eastAsia="es-ES"/>
        </w:rPr>
        <w:t xml:space="preserve"> </w:t>
      </w:r>
    </w:p>
    <w:p w14:paraId="2AF0313A" w14:textId="77777777" w:rsidR="00EF5DCA" w:rsidRPr="00EF5DCA" w:rsidRDefault="00EF5DCA" w:rsidP="00EF5DCA">
      <w:pPr>
        <w:spacing w:line="360" w:lineRule="auto"/>
        <w:rPr>
          <w:lang w:eastAsia="es-ES"/>
        </w:rPr>
      </w:pPr>
      <w:r w:rsidRPr="00EF5DCA">
        <w:rPr>
          <w:lang w:eastAsia="es-ES"/>
        </w:rPr>
        <w:t xml:space="preserve">11.  Consejo de </w:t>
      </w:r>
      <w:proofErr w:type="gramStart"/>
      <w:r w:rsidRPr="00EF5DCA">
        <w:rPr>
          <w:lang w:eastAsia="es-ES"/>
        </w:rPr>
        <w:t>Ministros</w:t>
      </w:r>
      <w:proofErr w:type="gramEnd"/>
      <w:r w:rsidRPr="00EF5DCA">
        <w:rPr>
          <w:lang w:eastAsia="es-ES"/>
        </w:rPr>
        <w:t xml:space="preserve">. Estrategia Integral de Prevención y Atención a la violencia de género y en el escenario familiar. Gaceta oficial No. 101 Extraordinaria de 9 de diciembre de 2021. 2021 [acceso: 09/11/2022]. Disponible en: </w:t>
      </w:r>
      <w:hyperlink r:id="rId21" w:history="1">
        <w:r w:rsidRPr="00EF5DCA">
          <w:rPr>
            <w:color w:val="0563C1"/>
            <w:lang w:eastAsia="es-ES"/>
          </w:rPr>
          <w:t>http://media.cubadebate.cu/wp-content/uploads/2021/12/estrategia-integral-violencia.pdf</w:t>
        </w:r>
      </w:hyperlink>
      <w:r w:rsidRPr="00EF5DCA">
        <w:rPr>
          <w:lang w:eastAsia="es-ES"/>
        </w:rPr>
        <w:t xml:space="preserve"> </w:t>
      </w:r>
    </w:p>
    <w:p w14:paraId="5B9D4E04" w14:textId="77777777" w:rsidR="00EF5DCA" w:rsidRPr="00EF5DCA" w:rsidRDefault="00EF5DCA" w:rsidP="00EF5DCA">
      <w:pPr>
        <w:spacing w:line="360" w:lineRule="auto"/>
        <w:rPr>
          <w:lang w:eastAsia="es-ES"/>
        </w:rPr>
      </w:pPr>
      <w:r w:rsidRPr="00EF5DCA">
        <w:rPr>
          <w:lang w:eastAsia="es-ES"/>
        </w:rPr>
        <w:t xml:space="preserve">12. Rodríguez </w:t>
      </w:r>
      <w:proofErr w:type="spellStart"/>
      <w:r w:rsidRPr="00EF5DCA">
        <w:rPr>
          <w:lang w:eastAsia="es-ES"/>
        </w:rPr>
        <w:t>Gimena</w:t>
      </w:r>
      <w:proofErr w:type="spellEnd"/>
      <w:r w:rsidRPr="00EF5DCA">
        <w:rPr>
          <w:lang w:eastAsia="es-ES"/>
        </w:rPr>
        <w:t xml:space="preserve"> M, Pérez Alonso E, Moratilla Monzó L, Pires Alcaide M, </w:t>
      </w:r>
      <w:proofErr w:type="spellStart"/>
      <w:r w:rsidRPr="00EF5DCA">
        <w:rPr>
          <w:lang w:eastAsia="es-ES"/>
        </w:rPr>
        <w:t>Escortell</w:t>
      </w:r>
      <w:proofErr w:type="spellEnd"/>
      <w:r w:rsidRPr="00EF5DCA">
        <w:rPr>
          <w:lang w:eastAsia="es-ES"/>
        </w:rPr>
        <w:t xml:space="preserve"> Mayor E, Lasheras Lozano L, et al. Guía de apoyo en atención primaria para abordar la violencia de pareja hacia las mujeres. Madrid: Dirección General de Salud Pública y Alimentación, Consejería de Sanidad; 2008. [acceso: 09/11/2022]. Disponible en: </w:t>
      </w:r>
      <w:hyperlink r:id="rId22" w:history="1">
        <w:r w:rsidRPr="00EF5DCA">
          <w:rPr>
            <w:color w:val="0563C1"/>
            <w:lang w:eastAsia="es-ES"/>
          </w:rPr>
          <w:t>http://www.madrid.org/bvirtual/BVCM009545.pdf</w:t>
        </w:r>
      </w:hyperlink>
      <w:r w:rsidRPr="00EF5DCA">
        <w:rPr>
          <w:lang w:eastAsia="es-ES"/>
        </w:rPr>
        <w:t xml:space="preserve"> </w:t>
      </w:r>
    </w:p>
    <w:p w14:paraId="3CC6E863" w14:textId="77777777" w:rsidR="00EF5DCA" w:rsidRPr="00EF5DCA" w:rsidRDefault="00EF5DCA" w:rsidP="00EF5DCA">
      <w:pPr>
        <w:spacing w:line="360" w:lineRule="auto"/>
        <w:rPr>
          <w:lang w:eastAsia="es-ES"/>
        </w:rPr>
      </w:pPr>
      <w:r w:rsidRPr="00EF5DCA">
        <w:rPr>
          <w:lang w:eastAsia="es-ES"/>
        </w:rPr>
        <w:t xml:space="preserve">13. Tribunal Supremo Popular República de Cuba. Protocolo de actuación del Sistema de Tribunales para la incorporación de la perspectiva de género, y la prevención y atención de la violencia basada en el género en la impartición de justicia. La Habana: Tribunal Supremo Popular; 2022. [acceso: 09/11/2022]. Disponible en: </w:t>
      </w:r>
      <w:hyperlink r:id="rId23" w:history="1">
        <w:r w:rsidRPr="00EF5DCA">
          <w:rPr>
            <w:color w:val="0563C1"/>
            <w:lang w:eastAsia="es-ES"/>
          </w:rPr>
          <w:t>https://www.tsp.gob.cu/sites/default/files/documentos/Protocolo%20de%20actuaci%C3%B3n%20del%20Sistema%20de%20Tribunales%20para%20la%20incorporaci%C3%B3n%20de%20la%20perspectiva%20de%20g%C3%A9nero.pdf</w:t>
        </w:r>
      </w:hyperlink>
      <w:r w:rsidRPr="00EF5DCA">
        <w:rPr>
          <w:lang w:eastAsia="es-ES"/>
        </w:rPr>
        <w:t xml:space="preserve"> </w:t>
      </w:r>
    </w:p>
    <w:p w14:paraId="35CDFE40" w14:textId="77777777" w:rsidR="00EF5DCA" w:rsidRPr="00EF5DCA" w:rsidRDefault="00EF5DCA" w:rsidP="00EF5DCA">
      <w:pPr>
        <w:spacing w:line="360" w:lineRule="auto"/>
        <w:rPr>
          <w:lang w:eastAsia="es-ES"/>
        </w:rPr>
      </w:pPr>
      <w:r w:rsidRPr="00EF5DCA">
        <w:rPr>
          <w:lang w:eastAsia="es-ES"/>
        </w:rPr>
        <w:t xml:space="preserve">14. Pérez Martínez V. Preparación global en materia de violencia familiar del especialista de medicina general integral. Educación Médica Superior. 2022 [acceso: 09/11/2022]; 36(3): </w:t>
      </w:r>
      <w:proofErr w:type="spellStart"/>
      <w:r w:rsidRPr="00EF5DCA">
        <w:rPr>
          <w:lang w:eastAsia="es-ES"/>
        </w:rPr>
        <w:t>e3281</w:t>
      </w:r>
      <w:proofErr w:type="spellEnd"/>
      <w:r w:rsidRPr="00EF5DCA">
        <w:rPr>
          <w:lang w:eastAsia="es-ES"/>
        </w:rPr>
        <w:t xml:space="preserve">. Disponible en: </w:t>
      </w:r>
      <w:hyperlink r:id="rId24" w:history="1">
        <w:r w:rsidRPr="00EF5DCA">
          <w:rPr>
            <w:color w:val="0563C1"/>
            <w:lang w:eastAsia="es-ES"/>
          </w:rPr>
          <w:t>http://www.ems.sld.cu/index.php/ems/article/view/3281</w:t>
        </w:r>
      </w:hyperlink>
      <w:r w:rsidRPr="00EF5DCA">
        <w:rPr>
          <w:lang w:eastAsia="es-ES"/>
        </w:rPr>
        <w:t xml:space="preserve"> </w:t>
      </w:r>
    </w:p>
    <w:p w14:paraId="3A9FA063" w14:textId="77777777" w:rsidR="00EF5DCA" w:rsidRPr="00EF5DCA" w:rsidRDefault="00EF5DCA" w:rsidP="00EF5DCA">
      <w:pPr>
        <w:spacing w:line="360" w:lineRule="auto"/>
        <w:jc w:val="center"/>
        <w:rPr>
          <w:rFonts w:eastAsia="Calibri"/>
          <w:b/>
          <w:lang w:eastAsia="en-US"/>
        </w:rPr>
      </w:pPr>
    </w:p>
    <w:p w14:paraId="18D8C637" w14:textId="77777777" w:rsidR="00EF5DCA" w:rsidRPr="00EF5DCA" w:rsidRDefault="00EF5DCA" w:rsidP="00EF5DCA">
      <w:pPr>
        <w:spacing w:line="360" w:lineRule="auto"/>
        <w:jc w:val="center"/>
        <w:rPr>
          <w:rFonts w:eastAsia="Calibri"/>
          <w:b/>
          <w:lang w:eastAsia="en-US"/>
        </w:rPr>
      </w:pPr>
    </w:p>
    <w:p w14:paraId="4F38F410" w14:textId="77777777" w:rsidR="00EF5DCA" w:rsidRPr="00EF5DCA" w:rsidRDefault="00EF5DCA" w:rsidP="00EF5DCA">
      <w:pPr>
        <w:spacing w:line="360" w:lineRule="auto"/>
        <w:jc w:val="center"/>
        <w:rPr>
          <w:rFonts w:eastAsia="Calibri"/>
          <w:b/>
          <w:lang w:eastAsia="en-US"/>
        </w:rPr>
      </w:pPr>
      <w:r w:rsidRPr="00EF5DCA">
        <w:rPr>
          <w:rFonts w:eastAsia="Calibri"/>
          <w:b/>
          <w:lang w:eastAsia="en-US"/>
        </w:rPr>
        <w:t>Conflictos de interés</w:t>
      </w:r>
    </w:p>
    <w:p w14:paraId="56F7D99C" w14:textId="77777777" w:rsidR="00EF5DCA" w:rsidRPr="00EF5DCA" w:rsidRDefault="00EF5DCA" w:rsidP="00EF5DCA">
      <w:pPr>
        <w:spacing w:line="360" w:lineRule="auto"/>
        <w:jc w:val="both"/>
        <w:rPr>
          <w:rFonts w:eastAsia="Calibri"/>
          <w:lang w:eastAsia="en-US"/>
        </w:rPr>
      </w:pPr>
      <w:r w:rsidRPr="00EF5DCA">
        <w:rPr>
          <w:rFonts w:eastAsia="Calibri"/>
          <w:lang w:eastAsia="en-US"/>
        </w:rPr>
        <w:t>Los autores declaran no existir conflictos de interés.</w:t>
      </w:r>
    </w:p>
    <w:p w14:paraId="7D6420AB" w14:textId="77777777" w:rsidR="00EF5DCA" w:rsidRPr="00EF5DCA" w:rsidRDefault="00EF5DCA" w:rsidP="00EF5DCA">
      <w:pPr>
        <w:spacing w:line="360" w:lineRule="auto"/>
        <w:jc w:val="both"/>
        <w:rPr>
          <w:rFonts w:eastAsia="Calibri"/>
          <w:lang w:eastAsia="en-US"/>
        </w:rPr>
      </w:pPr>
    </w:p>
    <w:p w14:paraId="054628A6" w14:textId="77777777" w:rsidR="00EF5DCA" w:rsidRPr="00EF5DCA" w:rsidRDefault="00EF5DCA" w:rsidP="00EF5DCA">
      <w:pPr>
        <w:spacing w:line="360" w:lineRule="auto"/>
        <w:jc w:val="both"/>
        <w:rPr>
          <w:rFonts w:eastAsia="Calibri"/>
          <w:lang w:eastAsia="en-US"/>
        </w:rPr>
      </w:pPr>
    </w:p>
    <w:p w14:paraId="6F922AC3" w14:textId="77777777" w:rsidR="00EF5DCA" w:rsidRPr="00EF5DCA" w:rsidRDefault="00EF5DCA" w:rsidP="00EF5DCA">
      <w:pPr>
        <w:spacing w:line="360" w:lineRule="auto"/>
        <w:jc w:val="both"/>
        <w:rPr>
          <w:rFonts w:eastAsia="Calibri"/>
          <w:lang w:eastAsia="en-US"/>
        </w:rPr>
      </w:pPr>
      <w:r w:rsidRPr="00EF5DCA">
        <w:rPr>
          <w:rFonts w:eastAsia="Calibri"/>
          <w:lang w:eastAsia="en-US"/>
        </w:rPr>
        <w:t>Recibido: 29/04/2023</w:t>
      </w:r>
    </w:p>
    <w:p w14:paraId="557F7F76" w14:textId="77777777" w:rsidR="00EF5DCA" w:rsidRPr="00EF5DCA" w:rsidRDefault="00EF5DCA" w:rsidP="00EF5DCA">
      <w:pPr>
        <w:spacing w:line="360" w:lineRule="auto"/>
        <w:jc w:val="both"/>
        <w:rPr>
          <w:rFonts w:eastAsia="Calibri"/>
          <w:lang w:eastAsia="en-US"/>
        </w:rPr>
      </w:pPr>
      <w:r w:rsidRPr="00EF5DCA">
        <w:rPr>
          <w:rFonts w:eastAsia="Calibri"/>
          <w:lang w:eastAsia="en-US"/>
        </w:rPr>
        <w:t>Aprobado: 05/07/2023</w:t>
      </w:r>
    </w:p>
    <w:p w14:paraId="5C585FD1" w14:textId="77777777" w:rsidR="00675476" w:rsidRPr="0055115D" w:rsidRDefault="00675476" w:rsidP="00EA1FEF">
      <w:pPr>
        <w:pStyle w:val="PDFRevista"/>
      </w:pPr>
    </w:p>
    <w:sectPr w:rsidR="00675476" w:rsidRPr="0055115D"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8924DF" w14:textId="77777777" w:rsidR="00AA70BC" w:rsidRDefault="00AA70BC">
      <w:r>
        <w:separator/>
      </w:r>
    </w:p>
  </w:endnote>
  <w:endnote w:type="continuationSeparator" w:id="0">
    <w:p w14:paraId="6774BC6C" w14:textId="77777777" w:rsidR="00AA70BC" w:rsidRDefault="00AA7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6EF7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7CFE9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08F9" w14:textId="2CAC5933" w:rsidR="000F3690" w:rsidRPr="00AE044C" w:rsidRDefault="00EF5DC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C505B70" wp14:editId="2C935EE6">
              <wp:simplePos x="0" y="0"/>
              <wp:positionH relativeFrom="column">
                <wp:posOffset>3810</wp:posOffset>
              </wp:positionH>
              <wp:positionV relativeFrom="paragraph">
                <wp:posOffset>50165</wp:posOffset>
              </wp:positionV>
              <wp:extent cx="6286500" cy="19050"/>
              <wp:effectExtent l="19050" t="19050" r="0" b="0"/>
              <wp:wrapNone/>
              <wp:docPr id="1160633648"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240691"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EEDE20B"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77059291"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2BD4BBF7" w14:textId="4A5CD331"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F5DCA" w:rsidRPr="00EF5DCA">
      <w:rPr>
        <w:rFonts w:ascii="Verdana" w:hAnsi="Verdana"/>
        <w:noProof/>
        <w:sz w:val="18"/>
        <w:szCs w:val="18"/>
        <w:lang w:val="en-US" w:eastAsia="en-US"/>
      </w:rPr>
      <w:drawing>
        <wp:inline distT="0" distB="0" distL="0" distR="0" wp14:anchorId="31D0BFD7" wp14:editId="455E367A">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3435D9" w14:textId="77777777" w:rsidR="00AA70BC" w:rsidRDefault="00AA70BC">
      <w:r>
        <w:separator/>
      </w:r>
    </w:p>
  </w:footnote>
  <w:footnote w:type="continuationSeparator" w:id="0">
    <w:p w14:paraId="6BFD1179" w14:textId="77777777" w:rsidR="00AA70BC" w:rsidRDefault="00AA70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864B1" w14:textId="4A3DD676" w:rsidR="00CC376A" w:rsidRPr="00AE044C" w:rsidRDefault="00EF5DCA"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02303057</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341E93DE" wp14:editId="12791596">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8BB975" w14:textId="0FEC29FF" w:rsidR="00A477DE" w:rsidRDefault="00EF5DCA">
    <w:r>
      <w:rPr>
        <w:noProof/>
      </w:rPr>
      <mc:AlternateContent>
        <mc:Choice Requires="wps">
          <w:drawing>
            <wp:anchor distT="0" distB="0" distL="114300" distR="114300" simplePos="0" relativeHeight="251654144" behindDoc="0" locked="0" layoutInCell="1" allowOverlap="1" wp14:anchorId="141B747B" wp14:editId="251E2131">
              <wp:simplePos x="0" y="0"/>
              <wp:positionH relativeFrom="column">
                <wp:posOffset>635</wp:posOffset>
              </wp:positionH>
              <wp:positionV relativeFrom="paragraph">
                <wp:posOffset>42545</wp:posOffset>
              </wp:positionV>
              <wp:extent cx="6307455" cy="28575"/>
              <wp:effectExtent l="19050" t="19050" r="17145" b="9525"/>
              <wp:wrapNone/>
              <wp:docPr id="2079264227"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E19D21"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DCA"/>
    <w:rsid w:val="00057F45"/>
    <w:rsid w:val="000D3958"/>
    <w:rsid w:val="000F3690"/>
    <w:rsid w:val="001221D1"/>
    <w:rsid w:val="00143805"/>
    <w:rsid w:val="00165CB5"/>
    <w:rsid w:val="00180CE9"/>
    <w:rsid w:val="00230DD5"/>
    <w:rsid w:val="00250AE9"/>
    <w:rsid w:val="00380D64"/>
    <w:rsid w:val="00391509"/>
    <w:rsid w:val="003E03D5"/>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A0560"/>
    <w:rsid w:val="009B0917"/>
    <w:rsid w:val="009F0F96"/>
    <w:rsid w:val="00A23C0C"/>
    <w:rsid w:val="00A477DE"/>
    <w:rsid w:val="00A66186"/>
    <w:rsid w:val="00A71E65"/>
    <w:rsid w:val="00AA70BC"/>
    <w:rsid w:val="00AE044C"/>
    <w:rsid w:val="00B31971"/>
    <w:rsid w:val="00B4380A"/>
    <w:rsid w:val="00B66ECB"/>
    <w:rsid w:val="00C7523A"/>
    <w:rsid w:val="00CC1B6E"/>
    <w:rsid w:val="00CC376A"/>
    <w:rsid w:val="00CC48A1"/>
    <w:rsid w:val="00CF50E0"/>
    <w:rsid w:val="00D85951"/>
    <w:rsid w:val="00E5107D"/>
    <w:rsid w:val="00E62606"/>
    <w:rsid w:val="00EA1FEF"/>
    <w:rsid w:val="00EC5A6B"/>
    <w:rsid w:val="00EE301D"/>
    <w:rsid w:val="00EF5DCA"/>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85BBA"/>
  <w15:docId w15:val="{9FF664EE-8DC7-4956-AF83-A9C498562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7811-541X" TargetMode="External"/><Relationship Id="rId13" Type="http://schemas.openxmlformats.org/officeDocument/2006/relationships/hyperlink" Target="http://revmedmilitar.sld.cu/index.php/mil/article/view/2187" TargetMode="External"/><Relationship Id="rId18" Type="http://schemas.openxmlformats.org/officeDocument/2006/relationships/hyperlink" Target="https://revistaccuba.sld.cu/index.php/revacc/article/view/678"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media.cubadebate.cu/wp-content/uploads/2021/12/estrategia-integral-violencia.pdf" TargetMode="External"/><Relationship Id="rId7" Type="http://schemas.openxmlformats.org/officeDocument/2006/relationships/hyperlink" Target="https://orcid.org/0000-0002-9159-6887" TargetMode="External"/><Relationship Id="rId12" Type="http://schemas.openxmlformats.org/officeDocument/2006/relationships/hyperlink" Target="https://www.paho.org/es/noticias/9-3-2021-violencia-contra-mujer-es-omnipresente-devastadora-sufren-cada-tres-mujeres" TargetMode="External"/><Relationship Id="rId17" Type="http://schemas.openxmlformats.org/officeDocument/2006/relationships/hyperlink" Target="https://files.sld.cu/dne/files/2022/10/Anuario-Estad%C3%ADstico-de-Salud-2021.-Ed-2022.pdf"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sexologiaysociedad.sld.cu/index.php/sexologiaysociedad/article/view/465" TargetMode="External"/><Relationship Id="rId20" Type="http://schemas.openxmlformats.org/officeDocument/2006/relationships/hyperlink" Target="https://www.tsp.gob.cu/sites/default/files/documentos/goc-2021-ex14.pd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nsejomagistratura.gov.ar/index.php/2021/10/02/dia-internacional-de-la-no-violencia/" TargetMode="External"/><Relationship Id="rId24" Type="http://schemas.openxmlformats.org/officeDocument/2006/relationships/hyperlink" Target="http://www.ems.sld.cu/index.php/ems/article/view/3281" TargetMode="External"/><Relationship Id="rId5" Type="http://schemas.openxmlformats.org/officeDocument/2006/relationships/footnotes" Target="footnotes.xml"/><Relationship Id="rId15" Type="http://schemas.openxmlformats.org/officeDocument/2006/relationships/hyperlink" Target="http://media.cubadebate.cu/wp-content/uploads/2019/01/Constitucion-Cuba-2019.pdf" TargetMode="External"/><Relationship Id="rId23" Type="http://schemas.openxmlformats.org/officeDocument/2006/relationships/hyperlink" Target="https://www.tsp.gob.cu/sites/default/files/documentos/Protocolo%20de%20actuaci%C3%B3n%20del%20Sistema%20de%20Tribunales%20para%20la%20incorporaci%C3%B3n%20de%20la%20perspectiva%20de%20g%C3%A9nero.pdf" TargetMode="External"/><Relationship Id="rId28" Type="http://schemas.openxmlformats.org/officeDocument/2006/relationships/fontTable" Target="fontTable.xml"/><Relationship Id="rId10" Type="http://schemas.openxmlformats.org/officeDocument/2006/relationships/hyperlink" Target="mailto:juancmirabal@infomed.sld.cu" TargetMode="External"/><Relationship Id="rId19" Type="http://schemas.openxmlformats.org/officeDocument/2006/relationships/hyperlink" Target="https://www.gacetaoficial.gob.cu/sites/default/files/goc-2022-o99.pdf" TargetMode="External"/><Relationship Id="rId4" Type="http://schemas.openxmlformats.org/officeDocument/2006/relationships/webSettings" Target="webSettings.xml"/><Relationship Id="rId9" Type="http://schemas.openxmlformats.org/officeDocument/2006/relationships/hyperlink" Target="https://orcid.org/0000-0002-8701-9075" TargetMode="External"/><Relationship Id="rId14" Type="http://schemas.openxmlformats.org/officeDocument/2006/relationships/hyperlink" Target="https://digitum.um.es/digitum/bitstream/10201/69705/1/LRH%2043.8.pdf" TargetMode="External"/><Relationship Id="rId22" Type="http://schemas.openxmlformats.org/officeDocument/2006/relationships/hyperlink" Target="http://www.madrid.org/bvirtual/BVCM009545.pdf"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5</Pages>
  <Words>1485</Words>
  <Characters>8466</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9932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2023-08-11T22:18:00Z</dcterms:created>
  <dcterms:modified xsi:type="dcterms:W3CDTF">2023-08-11T22:19:00Z</dcterms:modified>
</cp:coreProperties>
</file>