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4BA5" w14:textId="77777777" w:rsidR="00C66D21" w:rsidRPr="00C66D21" w:rsidRDefault="00C66D21" w:rsidP="00C66D21">
      <w:pPr>
        <w:spacing w:line="360" w:lineRule="auto"/>
        <w:jc w:val="right"/>
        <w:rPr>
          <w:rFonts w:eastAsia="Calibri"/>
          <w:bCs/>
          <w:sz w:val="20"/>
          <w:szCs w:val="20"/>
          <w:lang w:val="es-ES" w:eastAsia="en-US"/>
        </w:rPr>
      </w:pPr>
      <w:r w:rsidRPr="00C66D21">
        <w:rPr>
          <w:rFonts w:eastAsia="Calibri"/>
          <w:bCs/>
          <w:sz w:val="20"/>
          <w:szCs w:val="20"/>
          <w:lang w:val="es-ES" w:eastAsia="en-US"/>
        </w:rPr>
        <w:t>Comunicación breve</w:t>
      </w:r>
    </w:p>
    <w:p w14:paraId="6DE8C4C4" w14:textId="77777777" w:rsidR="00C66D21" w:rsidRPr="00C66D21" w:rsidRDefault="00C66D21" w:rsidP="00C66D21">
      <w:pPr>
        <w:spacing w:line="360" w:lineRule="auto"/>
        <w:jc w:val="right"/>
        <w:rPr>
          <w:rFonts w:eastAsia="Calibri"/>
          <w:bCs/>
          <w:sz w:val="20"/>
          <w:szCs w:val="20"/>
          <w:lang w:val="es-ES" w:eastAsia="en-US"/>
        </w:rPr>
      </w:pPr>
    </w:p>
    <w:p w14:paraId="15D18C84"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Desempeño del médico de familia en la atención al adulto mayor frágil</w:t>
      </w:r>
    </w:p>
    <w:p w14:paraId="23085A6E" w14:textId="77777777" w:rsidR="00C66D21" w:rsidRPr="00C66D21" w:rsidRDefault="00C66D21" w:rsidP="00C66D21">
      <w:pPr>
        <w:spacing w:line="360" w:lineRule="auto"/>
        <w:jc w:val="center"/>
        <w:rPr>
          <w:rFonts w:eastAsia="Calibri"/>
          <w:sz w:val="28"/>
          <w:szCs w:val="28"/>
          <w:lang w:val="en-US" w:eastAsia="en-US"/>
        </w:rPr>
      </w:pPr>
      <w:r w:rsidRPr="00C66D21">
        <w:rPr>
          <w:rFonts w:eastAsia="Calibri"/>
          <w:sz w:val="28"/>
          <w:szCs w:val="28"/>
          <w:lang w:val="en-US" w:eastAsia="en-US"/>
        </w:rPr>
        <w:t>Performance of the family doctor in the care of frail older adults</w:t>
      </w:r>
    </w:p>
    <w:p w14:paraId="1281E376" w14:textId="77777777" w:rsidR="00C66D21" w:rsidRPr="00C66D21" w:rsidRDefault="00C66D21" w:rsidP="00C66D21">
      <w:pPr>
        <w:spacing w:line="360" w:lineRule="auto"/>
        <w:rPr>
          <w:rFonts w:eastAsia="Calibri"/>
          <w:lang w:val="en-US" w:eastAsia="en-US"/>
        </w:rPr>
      </w:pPr>
    </w:p>
    <w:p w14:paraId="1BFFF3DF"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Rita María Mesa Valiente</w:t>
      </w:r>
      <w:r w:rsidRPr="00C66D21">
        <w:rPr>
          <w:rFonts w:eastAsia="Calibri"/>
          <w:vertAlign w:val="superscript"/>
          <w:lang w:val="es-ES" w:eastAsia="en-US"/>
        </w:rPr>
        <w:t xml:space="preserve">1 </w:t>
      </w:r>
      <w:bookmarkStart w:id="0" w:name="_Hlk121694926"/>
      <w:r w:rsidRPr="00C66D21">
        <w:rPr>
          <w:rFonts w:eastAsia="Calibri"/>
          <w:lang w:val="es-ES" w:eastAsia="en-US"/>
        </w:rPr>
        <w:fldChar w:fldCharType="begin"/>
      </w:r>
      <w:r w:rsidRPr="00C66D21">
        <w:rPr>
          <w:rFonts w:eastAsia="Calibri"/>
          <w:lang w:val="es-ES" w:eastAsia="en-US"/>
        </w:rPr>
        <w:instrText>HYPERLINK "https://orcid.org/0000-0003-2973-0624"</w:instrText>
      </w:r>
      <w:r w:rsidRPr="00C66D21">
        <w:rPr>
          <w:rFonts w:eastAsia="Calibri"/>
          <w:lang w:val="es-ES" w:eastAsia="en-US"/>
        </w:rPr>
        <w:fldChar w:fldCharType="separate"/>
      </w:r>
      <w:r w:rsidRPr="00C66D21">
        <w:rPr>
          <w:rFonts w:eastAsia="Calibri"/>
          <w:color w:val="0563C1"/>
          <w:lang w:val="es-ES" w:eastAsia="en-US"/>
        </w:rPr>
        <w:t>https://orcid.org/</w:t>
      </w:r>
      <w:bookmarkEnd w:id="0"/>
      <w:r w:rsidRPr="00C66D21">
        <w:rPr>
          <w:rFonts w:eastAsia="Calibri"/>
          <w:color w:val="0563C1"/>
          <w:lang w:val="es-ES" w:eastAsia="en-US"/>
        </w:rPr>
        <w:t>0000-0003-2973-0624</w:t>
      </w:r>
      <w:r w:rsidRPr="00C66D21">
        <w:rPr>
          <w:rFonts w:eastAsia="Calibri"/>
          <w:lang w:val="es-ES" w:eastAsia="en-US"/>
        </w:rPr>
        <w:fldChar w:fldCharType="end"/>
      </w:r>
    </w:p>
    <w:p w14:paraId="453B68DC"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German Del Rio Caballero</w:t>
      </w:r>
      <w:r w:rsidRPr="00C66D21">
        <w:rPr>
          <w:rFonts w:eastAsia="Calibri"/>
          <w:vertAlign w:val="superscript"/>
          <w:lang w:val="es-ES" w:eastAsia="en-US"/>
        </w:rPr>
        <w:t>2</w:t>
      </w:r>
      <w:r w:rsidRPr="00C66D21">
        <w:rPr>
          <w:rFonts w:eastAsia="Calibri"/>
          <w:lang w:val="es-ES" w:eastAsia="en-US"/>
        </w:rPr>
        <w:t xml:space="preserve">* </w:t>
      </w:r>
      <w:hyperlink r:id="rId7" w:history="1">
        <w:r w:rsidRPr="00C66D21">
          <w:rPr>
            <w:rFonts w:eastAsia="Calibri"/>
            <w:color w:val="0563C1"/>
            <w:lang w:val="es-ES" w:eastAsia="en-US"/>
          </w:rPr>
          <w:t>https://orcid.org/0000-0002-9857-9596</w:t>
        </w:r>
      </w:hyperlink>
    </w:p>
    <w:p w14:paraId="13329844" w14:textId="77777777" w:rsidR="00C66D21" w:rsidRPr="00C66D21" w:rsidRDefault="00C66D21" w:rsidP="00C66D21">
      <w:pPr>
        <w:spacing w:line="360" w:lineRule="auto"/>
        <w:rPr>
          <w:rFonts w:eastAsia="Calibri"/>
          <w:lang w:val="es-ES" w:eastAsia="en-US"/>
        </w:rPr>
      </w:pPr>
      <w:bookmarkStart w:id="1" w:name="_Hlk121696657"/>
      <w:r w:rsidRPr="00C66D21">
        <w:rPr>
          <w:rFonts w:eastAsia="Calibri"/>
          <w:lang w:val="es-ES" w:eastAsia="en-US"/>
        </w:rPr>
        <w:t>Laura Caridad Hurtado Gascón</w:t>
      </w:r>
      <w:r w:rsidRPr="00C66D21">
        <w:rPr>
          <w:rFonts w:eastAsia="Calibri"/>
          <w:vertAlign w:val="superscript"/>
          <w:lang w:val="es-ES" w:eastAsia="en-US"/>
        </w:rPr>
        <w:t>3</w:t>
      </w:r>
      <w:r w:rsidRPr="00C66D21">
        <w:rPr>
          <w:rFonts w:eastAsia="Calibri"/>
          <w:lang w:val="es-ES" w:eastAsia="en-US"/>
        </w:rPr>
        <w:t xml:space="preserve"> </w:t>
      </w:r>
      <w:hyperlink r:id="rId8" w:history="1">
        <w:r w:rsidRPr="00C66D21">
          <w:rPr>
            <w:rFonts w:eastAsia="Calibri"/>
            <w:color w:val="0563C1"/>
            <w:lang w:val="es-ES" w:eastAsia="en-US"/>
          </w:rPr>
          <w:t>https://orcid.org/0000-0002-2203-5410</w:t>
        </w:r>
      </w:hyperlink>
    </w:p>
    <w:p w14:paraId="1708221A"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Eloy Turro Caró</w:t>
      </w:r>
      <w:r w:rsidRPr="00C66D21">
        <w:rPr>
          <w:rFonts w:eastAsia="Calibri"/>
          <w:vertAlign w:val="superscript"/>
          <w:lang w:val="es-ES" w:eastAsia="en-US"/>
        </w:rPr>
        <w:t>1</w:t>
      </w:r>
      <w:r w:rsidRPr="00C66D21">
        <w:rPr>
          <w:rFonts w:eastAsia="Calibri"/>
          <w:lang w:val="es-ES" w:eastAsia="en-US"/>
        </w:rPr>
        <w:t xml:space="preserve"> </w:t>
      </w:r>
      <w:hyperlink r:id="rId9" w:history="1">
        <w:r w:rsidRPr="00C66D21">
          <w:rPr>
            <w:rFonts w:eastAsia="Calibri"/>
            <w:color w:val="0563C1"/>
            <w:lang w:val="es-ES" w:eastAsia="en-US"/>
          </w:rPr>
          <w:t>https://orcid.org/0000-0003-1045-8990</w:t>
        </w:r>
      </w:hyperlink>
    </w:p>
    <w:p w14:paraId="2E10F82B" w14:textId="77777777" w:rsidR="00C66D21" w:rsidRPr="00C66D21" w:rsidRDefault="00C66D21" w:rsidP="00C66D21">
      <w:pPr>
        <w:spacing w:line="360" w:lineRule="auto"/>
        <w:rPr>
          <w:rFonts w:eastAsia="Calibri"/>
          <w:lang w:val="es-ES" w:eastAsia="en-US"/>
        </w:rPr>
      </w:pPr>
      <w:proofErr w:type="spellStart"/>
      <w:r w:rsidRPr="00C66D21">
        <w:rPr>
          <w:rFonts w:eastAsia="Calibri"/>
          <w:lang w:val="es-ES" w:eastAsia="en-US"/>
        </w:rPr>
        <w:t>Eslaidi</w:t>
      </w:r>
      <w:proofErr w:type="spellEnd"/>
      <w:r w:rsidRPr="00C66D21">
        <w:rPr>
          <w:rFonts w:eastAsia="Calibri"/>
          <w:lang w:val="es-ES" w:eastAsia="en-US"/>
        </w:rPr>
        <w:t xml:space="preserve"> Mendoza Clavel</w:t>
      </w:r>
      <w:r w:rsidRPr="00C66D21">
        <w:rPr>
          <w:rFonts w:eastAsia="Calibri"/>
          <w:vertAlign w:val="superscript"/>
          <w:lang w:val="es-ES" w:eastAsia="en-US"/>
        </w:rPr>
        <w:t>1</w:t>
      </w:r>
      <w:r w:rsidRPr="00C66D21">
        <w:rPr>
          <w:rFonts w:eastAsia="Calibri"/>
          <w:lang w:val="es-ES" w:eastAsia="en-US"/>
        </w:rPr>
        <w:t xml:space="preserve"> </w:t>
      </w:r>
      <w:bookmarkStart w:id="2" w:name="_Hlk121862913"/>
      <w:bookmarkEnd w:id="1"/>
      <w:r w:rsidRPr="00C66D21">
        <w:rPr>
          <w:rFonts w:eastAsia="Calibri"/>
          <w:lang w:val="es-ES" w:eastAsia="en-US"/>
        </w:rPr>
        <w:fldChar w:fldCharType="begin"/>
      </w:r>
      <w:r w:rsidRPr="00C66D21">
        <w:rPr>
          <w:rFonts w:eastAsia="Calibri"/>
          <w:lang w:val="es-ES" w:eastAsia="en-US"/>
        </w:rPr>
        <w:instrText>HYPERLINK "https://orcid.org/0000-0002-6321-0692"</w:instrText>
      </w:r>
      <w:r w:rsidRPr="00C66D21">
        <w:rPr>
          <w:rFonts w:eastAsia="Calibri"/>
          <w:lang w:val="es-ES" w:eastAsia="en-US"/>
        </w:rPr>
        <w:fldChar w:fldCharType="separate"/>
      </w:r>
      <w:r w:rsidRPr="00C66D21">
        <w:rPr>
          <w:rFonts w:eastAsia="Calibri"/>
          <w:color w:val="0563C1"/>
          <w:lang w:val="es-ES" w:eastAsia="en-US"/>
        </w:rPr>
        <w:t>https://orcid.org/0000-0002-6321-0692</w:t>
      </w:r>
      <w:r w:rsidRPr="00C66D21">
        <w:rPr>
          <w:rFonts w:eastAsia="Calibri"/>
          <w:lang w:val="es-ES" w:eastAsia="en-US"/>
        </w:rPr>
        <w:fldChar w:fldCharType="end"/>
      </w:r>
    </w:p>
    <w:bookmarkEnd w:id="2"/>
    <w:p w14:paraId="5C0D505A"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Lucia Nivia Turro Mesa</w:t>
      </w:r>
      <w:r w:rsidRPr="00C66D21">
        <w:rPr>
          <w:rFonts w:eastAsia="Calibri"/>
          <w:vertAlign w:val="superscript"/>
          <w:lang w:val="es-ES" w:eastAsia="en-US"/>
        </w:rPr>
        <w:t xml:space="preserve">4 </w:t>
      </w:r>
      <w:hyperlink r:id="rId10" w:history="1">
        <w:r w:rsidRPr="00C66D21">
          <w:rPr>
            <w:rFonts w:eastAsia="Calibri"/>
            <w:color w:val="0563C1"/>
            <w:lang w:val="es-ES" w:eastAsia="en-US"/>
          </w:rPr>
          <w:t>https://orcid.org/0000-0003-1395-9395</w:t>
        </w:r>
      </w:hyperlink>
    </w:p>
    <w:p w14:paraId="05D07885"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Germán Ricardo Del Río Mesa</w:t>
      </w:r>
      <w:r w:rsidRPr="00C66D21">
        <w:rPr>
          <w:rFonts w:eastAsia="Calibri"/>
          <w:vertAlign w:val="superscript"/>
          <w:lang w:val="es-ES" w:eastAsia="en-US"/>
        </w:rPr>
        <w:t xml:space="preserve">5 </w:t>
      </w:r>
      <w:hyperlink r:id="rId11" w:history="1">
        <w:r w:rsidRPr="00C66D21">
          <w:rPr>
            <w:rFonts w:eastAsia="Calibri"/>
            <w:color w:val="0563C1"/>
            <w:lang w:val="es-ES" w:eastAsia="en-US"/>
          </w:rPr>
          <w:t>https://orcid.org/0000-0001-6823-7563</w:t>
        </w:r>
      </w:hyperlink>
    </w:p>
    <w:p w14:paraId="29AC4868" w14:textId="77777777" w:rsidR="00C66D21" w:rsidRPr="00C66D21" w:rsidRDefault="00C66D21" w:rsidP="00C66D21">
      <w:pPr>
        <w:spacing w:line="360" w:lineRule="auto"/>
        <w:rPr>
          <w:rFonts w:eastAsia="Calibri"/>
          <w:lang w:val="es-ES" w:eastAsia="en-US"/>
        </w:rPr>
      </w:pPr>
    </w:p>
    <w:p w14:paraId="51627933" w14:textId="77777777" w:rsidR="00C66D21" w:rsidRPr="00C66D21" w:rsidRDefault="00C66D21" w:rsidP="00C66D21">
      <w:pPr>
        <w:spacing w:line="360" w:lineRule="auto"/>
        <w:jc w:val="both"/>
        <w:rPr>
          <w:rFonts w:eastAsia="Calibri"/>
          <w:lang w:val="es-ES" w:eastAsia="en-US"/>
        </w:rPr>
      </w:pPr>
      <w:r w:rsidRPr="00C66D21">
        <w:rPr>
          <w:rFonts w:eastAsia="Calibri"/>
          <w:vertAlign w:val="superscript"/>
          <w:lang w:val="es-ES" w:eastAsia="en-US"/>
        </w:rPr>
        <w:t>1</w:t>
      </w:r>
      <w:r w:rsidRPr="00C66D21">
        <w:rPr>
          <w:rFonts w:eastAsia="Calibri"/>
          <w:lang w:val="es-ES" w:eastAsia="en-US"/>
        </w:rPr>
        <w:t>Hospital General “Juan Bruno Alfonso Zayas”. Servicio Geriatría y Gerontología. Santiago de Cuba, Cuba.</w:t>
      </w:r>
    </w:p>
    <w:p w14:paraId="49D074F1" w14:textId="77777777" w:rsidR="00C66D21" w:rsidRPr="00C66D21" w:rsidRDefault="00C66D21" w:rsidP="00C66D21">
      <w:pPr>
        <w:spacing w:line="360" w:lineRule="auto"/>
        <w:jc w:val="both"/>
        <w:rPr>
          <w:rFonts w:eastAsia="Calibri"/>
          <w:lang w:val="es-ES" w:eastAsia="en-US"/>
        </w:rPr>
      </w:pPr>
      <w:r w:rsidRPr="00C66D21">
        <w:rPr>
          <w:rFonts w:eastAsia="Calibri"/>
          <w:vertAlign w:val="superscript"/>
          <w:lang w:val="es-ES" w:eastAsia="en-US"/>
        </w:rPr>
        <w:t>2</w:t>
      </w:r>
      <w:r w:rsidRPr="00C66D21">
        <w:rPr>
          <w:rFonts w:eastAsia="Calibri"/>
          <w:lang w:val="es-ES" w:eastAsia="en-US"/>
        </w:rPr>
        <w:t xml:space="preserve">Hospital Militar “Joaquín Castillo </w:t>
      </w:r>
      <w:proofErr w:type="spellStart"/>
      <w:r w:rsidRPr="00C66D21">
        <w:rPr>
          <w:rFonts w:eastAsia="Calibri"/>
          <w:lang w:val="es-ES" w:eastAsia="en-US"/>
        </w:rPr>
        <w:t>Duany</w:t>
      </w:r>
      <w:proofErr w:type="spellEnd"/>
      <w:r w:rsidRPr="00C66D21">
        <w:rPr>
          <w:rFonts w:eastAsia="Calibri"/>
          <w:lang w:val="es-ES" w:eastAsia="en-US"/>
        </w:rPr>
        <w:t>”. Centro de Desarrollo. Santiago de Cuba, Cuba.</w:t>
      </w:r>
    </w:p>
    <w:p w14:paraId="5D230C1A" w14:textId="77777777" w:rsidR="00C66D21" w:rsidRPr="00C66D21" w:rsidRDefault="00C66D21" w:rsidP="00C66D21">
      <w:pPr>
        <w:spacing w:line="360" w:lineRule="auto"/>
        <w:jc w:val="both"/>
        <w:rPr>
          <w:rFonts w:eastAsia="Calibri"/>
          <w:lang w:val="es-ES" w:eastAsia="en-US"/>
        </w:rPr>
      </w:pPr>
      <w:r w:rsidRPr="00C66D21">
        <w:rPr>
          <w:rFonts w:eastAsia="Calibri"/>
          <w:vertAlign w:val="superscript"/>
          <w:lang w:val="es-ES" w:eastAsia="en-US"/>
        </w:rPr>
        <w:t>3</w:t>
      </w:r>
      <w:r w:rsidRPr="00C66D21">
        <w:rPr>
          <w:rFonts w:eastAsia="Calibri"/>
          <w:lang w:val="es-ES" w:eastAsia="en-US"/>
        </w:rPr>
        <w:t>Hospital “Julio Trigo”. Servicio de Dermatología. La Habana, Cuba.</w:t>
      </w:r>
    </w:p>
    <w:p w14:paraId="24943762" w14:textId="77777777" w:rsidR="00C66D21" w:rsidRPr="00C66D21" w:rsidRDefault="00C66D21" w:rsidP="00C66D21">
      <w:pPr>
        <w:spacing w:line="360" w:lineRule="auto"/>
        <w:jc w:val="both"/>
        <w:rPr>
          <w:rFonts w:eastAsia="Calibri"/>
          <w:lang w:val="es-ES" w:eastAsia="en-US"/>
        </w:rPr>
      </w:pPr>
      <w:r w:rsidRPr="00C66D21">
        <w:rPr>
          <w:rFonts w:eastAsia="Calibri"/>
          <w:vertAlign w:val="superscript"/>
          <w:lang w:val="es-ES" w:eastAsia="en-US"/>
        </w:rPr>
        <w:t>4</w:t>
      </w:r>
      <w:r w:rsidRPr="00C66D21">
        <w:rPr>
          <w:rFonts w:eastAsia="Calibri"/>
          <w:lang w:val="es-ES" w:eastAsia="en-US"/>
        </w:rPr>
        <w:t>Hospital Provincial “Saturnino Lora Torres”. Servicio Cardiología. Santiago de Cuba, Cuba.</w:t>
      </w:r>
    </w:p>
    <w:p w14:paraId="651D80B1" w14:textId="77777777" w:rsidR="00C66D21" w:rsidRPr="00C66D21" w:rsidRDefault="00C66D21" w:rsidP="00C66D21">
      <w:pPr>
        <w:spacing w:line="360" w:lineRule="auto"/>
        <w:jc w:val="both"/>
        <w:rPr>
          <w:rFonts w:eastAsia="Calibri"/>
          <w:lang w:val="es-ES" w:eastAsia="en-US"/>
        </w:rPr>
      </w:pPr>
      <w:r w:rsidRPr="00C66D21">
        <w:rPr>
          <w:rFonts w:eastAsia="Calibri"/>
          <w:vertAlign w:val="superscript"/>
          <w:lang w:val="es-ES" w:eastAsia="en-US"/>
        </w:rPr>
        <w:t>5</w:t>
      </w:r>
      <w:r w:rsidRPr="00C66D21">
        <w:rPr>
          <w:rFonts w:eastAsia="Calibri"/>
          <w:lang w:val="es-ES" w:eastAsia="en-US"/>
        </w:rPr>
        <w:t>Hospital Infantil Norte “Juan de la Cruz Maceira”. Servicio de Cardiología. Santiago de Cuba, Cuba.</w:t>
      </w:r>
    </w:p>
    <w:p w14:paraId="37DEFB31" w14:textId="77777777" w:rsidR="00C66D21" w:rsidRPr="00C66D21" w:rsidRDefault="00C66D21" w:rsidP="00C66D21">
      <w:pPr>
        <w:spacing w:line="360" w:lineRule="auto"/>
        <w:rPr>
          <w:rFonts w:eastAsia="Calibri"/>
          <w:lang w:val="es-ES" w:eastAsia="en-US"/>
        </w:rPr>
      </w:pPr>
    </w:p>
    <w:p w14:paraId="00574811"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*Autor para la correspondencia. Correo electrónico: </w:t>
      </w:r>
      <w:hyperlink r:id="rId12" w:history="1">
        <w:r w:rsidRPr="00C66D21">
          <w:rPr>
            <w:rFonts w:eastAsia="Calibri"/>
            <w:color w:val="0563C1"/>
            <w:lang w:val="es-ES" w:eastAsia="en-US"/>
          </w:rPr>
          <w:t>german.rio@infomed.sld.cu</w:t>
        </w:r>
      </w:hyperlink>
    </w:p>
    <w:p w14:paraId="2F746FAC" w14:textId="77777777" w:rsidR="00C66D21" w:rsidRPr="00C66D21" w:rsidRDefault="00C66D21" w:rsidP="00C66D21">
      <w:pPr>
        <w:spacing w:line="360" w:lineRule="auto"/>
        <w:jc w:val="both"/>
        <w:rPr>
          <w:rFonts w:eastAsia="Calibri"/>
          <w:b/>
          <w:lang w:val="es-ES" w:eastAsia="en-US"/>
        </w:rPr>
      </w:pPr>
    </w:p>
    <w:p w14:paraId="20ECD581" w14:textId="77777777" w:rsidR="00C66D21" w:rsidRPr="00C66D21" w:rsidRDefault="00C66D21" w:rsidP="00C66D21">
      <w:pPr>
        <w:spacing w:line="360" w:lineRule="auto"/>
        <w:jc w:val="both"/>
        <w:rPr>
          <w:rFonts w:eastAsia="Calibri"/>
          <w:b/>
          <w:lang w:val="es-ES" w:eastAsia="en-US"/>
        </w:rPr>
      </w:pPr>
      <w:r w:rsidRPr="00C66D21">
        <w:rPr>
          <w:rFonts w:eastAsia="Calibri"/>
          <w:b/>
          <w:lang w:val="es-ES" w:eastAsia="en-US"/>
        </w:rPr>
        <w:t>RESUMEN</w:t>
      </w:r>
    </w:p>
    <w:p w14:paraId="38C78AAF" w14:textId="77777777" w:rsidR="00C66D21" w:rsidRPr="00C66D21" w:rsidRDefault="00C66D21" w:rsidP="00C66D21">
      <w:pPr>
        <w:spacing w:line="360" w:lineRule="auto"/>
        <w:jc w:val="both"/>
        <w:rPr>
          <w:rFonts w:eastAsia="Calibri"/>
          <w:lang w:val="es-ES" w:eastAsia="en-US"/>
        </w:rPr>
      </w:pPr>
      <w:r w:rsidRPr="00C66D21">
        <w:rPr>
          <w:rFonts w:eastAsia="Calibri"/>
          <w:b/>
          <w:bCs/>
          <w:lang w:val="es-ES" w:eastAsia="en-US"/>
        </w:rPr>
        <w:t>Introducción:</w:t>
      </w:r>
      <w:r w:rsidRPr="00C66D21">
        <w:rPr>
          <w:rFonts w:eastAsia="Calibri"/>
          <w:lang w:val="es-ES" w:eastAsia="en-US"/>
        </w:rPr>
        <w:t xml:space="preserve"> El proceso fisiológico de envejecer conlleva a situaciones de riesgo, así como al deterioro acelerado de la salud, que incluye la fragilidad. </w:t>
      </w:r>
    </w:p>
    <w:p w14:paraId="5A2026BA" w14:textId="77777777" w:rsidR="00C66D21" w:rsidRPr="00C66D21" w:rsidRDefault="00C66D21" w:rsidP="00C66D21">
      <w:pPr>
        <w:spacing w:line="360" w:lineRule="auto"/>
        <w:jc w:val="both"/>
        <w:rPr>
          <w:rFonts w:eastAsia="Calibri"/>
          <w:lang w:val="es-ES" w:eastAsia="en-US"/>
        </w:rPr>
      </w:pPr>
      <w:r w:rsidRPr="00C66D21">
        <w:rPr>
          <w:rFonts w:eastAsia="Calibri"/>
          <w:b/>
          <w:bCs/>
          <w:lang w:val="es-ES" w:eastAsia="en-US"/>
        </w:rPr>
        <w:t>Objetivo:</w:t>
      </w:r>
      <w:r w:rsidRPr="00C66D21">
        <w:rPr>
          <w:rFonts w:eastAsia="Calibri"/>
          <w:lang w:val="es-ES" w:eastAsia="en-US"/>
        </w:rPr>
        <w:t xml:space="preserve"> </w:t>
      </w:r>
      <w:bookmarkStart w:id="3" w:name="_Hlk119253142"/>
      <w:r w:rsidRPr="00C66D21">
        <w:rPr>
          <w:rFonts w:eastAsia="Calibri"/>
          <w:lang w:val="es-ES" w:eastAsia="en-US"/>
        </w:rPr>
        <w:t xml:space="preserve">Determinar el estado del desempeño profesional del médico de la familia para la atención al adulto mayor frágil. </w:t>
      </w:r>
      <w:bookmarkEnd w:id="3"/>
    </w:p>
    <w:p w14:paraId="1E7A8E88" w14:textId="77777777" w:rsidR="00C66D21" w:rsidRPr="00C66D21" w:rsidRDefault="00C66D21" w:rsidP="00C66D21">
      <w:pPr>
        <w:spacing w:line="360" w:lineRule="auto"/>
        <w:jc w:val="both"/>
        <w:rPr>
          <w:rFonts w:eastAsia="Calibri"/>
          <w:lang w:val="es-ES" w:eastAsia="en-US"/>
        </w:rPr>
      </w:pPr>
      <w:r w:rsidRPr="00C66D21">
        <w:rPr>
          <w:rFonts w:eastAsia="Calibri"/>
          <w:b/>
          <w:bCs/>
          <w:lang w:val="es-ES" w:eastAsia="en-US"/>
        </w:rPr>
        <w:lastRenderedPageBreak/>
        <w:t>Método:</w:t>
      </w:r>
      <w:r w:rsidRPr="00C66D21">
        <w:rPr>
          <w:rFonts w:eastAsia="Calibri"/>
          <w:lang w:val="es-ES" w:eastAsia="en-US"/>
        </w:rPr>
        <w:t xml:space="preserve"> Se realizó un estudio observacional descriptivo, la población estuvo constituida por 28 médicos de familia. Se evaluaron 4 dimensiones (cognitiva, asistencial, bioética y científica-investigativa) y 18 indicadores. Se efectuó triangulación metodológica para establecer problemas y potencialidades. En el procesamiento estadístico se realizó el análisis porcentual. </w:t>
      </w:r>
    </w:p>
    <w:p w14:paraId="5EBAAC87" w14:textId="77777777" w:rsidR="00C66D21" w:rsidRPr="00C66D21" w:rsidRDefault="00C66D21" w:rsidP="00C66D21">
      <w:pPr>
        <w:spacing w:line="360" w:lineRule="auto"/>
        <w:jc w:val="both"/>
        <w:rPr>
          <w:rFonts w:eastAsia="Calibri"/>
          <w:lang w:val="es-ES" w:eastAsia="en-US"/>
        </w:rPr>
      </w:pPr>
      <w:r w:rsidRPr="00C66D21">
        <w:rPr>
          <w:rFonts w:eastAsia="Calibri"/>
          <w:b/>
          <w:bCs/>
          <w:lang w:val="es-ES" w:eastAsia="en-US"/>
        </w:rPr>
        <w:t>Resultados:</w:t>
      </w:r>
      <w:r w:rsidRPr="00C66D21">
        <w:rPr>
          <w:rFonts w:eastAsia="Calibri"/>
          <w:color w:val="000000"/>
          <w:lang w:val="es-ES" w:eastAsia="en-US"/>
        </w:rPr>
        <w:t xml:space="preserve"> Hubo </w:t>
      </w:r>
      <w:r w:rsidRPr="00C66D21">
        <w:rPr>
          <w:rFonts w:eastAsia="Calibri"/>
          <w:lang w:val="es-ES" w:eastAsia="en-US"/>
        </w:rPr>
        <w:t>poco dominio por los médicos encuestados del criterio de fragilidad, así como de sus síntomas y signos (78,5 %), reflejaron un deficiente enfoque terapéutico en los adultos mayores frágiles (57,5 %). Se constató una baja frecuencia de realización de actividades de promoción de salud (85,7 % de los casos) e insuficiente utilización de los instrumentos necesarios para la evaluación multidimensional de los adultos mayores, empleados solo por el 23,0 % de los facultativos estudiados. Entre las potencialidades se observó buena disposición de los médicos a participar en cursos sobre fragilidad y aplicación correcta de los principios éticos y morales.</w:t>
      </w:r>
    </w:p>
    <w:p w14:paraId="3A79AEEE" w14:textId="77777777" w:rsidR="00C66D21" w:rsidRPr="00C66D21" w:rsidRDefault="00C66D21" w:rsidP="00C66D21">
      <w:pPr>
        <w:spacing w:line="360" w:lineRule="auto"/>
        <w:jc w:val="both"/>
        <w:rPr>
          <w:rFonts w:eastAsia="Calibri"/>
          <w:lang w:val="es-ES" w:eastAsia="en-US"/>
        </w:rPr>
      </w:pPr>
      <w:r w:rsidRPr="00C66D21">
        <w:rPr>
          <w:rFonts w:eastAsia="Calibri"/>
          <w:b/>
          <w:bCs/>
          <w:lang w:val="es-ES" w:eastAsia="en-US"/>
        </w:rPr>
        <w:t>Conclusiones:</w:t>
      </w:r>
      <w:r w:rsidRPr="00C66D21">
        <w:rPr>
          <w:rFonts w:eastAsia="Calibri"/>
          <w:lang w:val="es-ES" w:eastAsia="en-US"/>
        </w:rPr>
        <w:t xml:space="preserve"> </w:t>
      </w:r>
      <w:bookmarkStart w:id="4" w:name="_Hlk119254589"/>
      <w:r w:rsidRPr="00C66D21">
        <w:rPr>
          <w:rFonts w:eastAsia="Calibri"/>
          <w:lang w:val="es-ES" w:eastAsia="en-US"/>
        </w:rPr>
        <w:t>Se comprueba un insuficiente desempeño de los médicos de familia en la atención integral de los adultos mayores frágiles</w:t>
      </w:r>
      <w:bookmarkEnd w:id="4"/>
      <w:r w:rsidRPr="00C66D21">
        <w:rPr>
          <w:rFonts w:eastAsia="Calibri"/>
          <w:lang w:val="es-ES" w:eastAsia="en-US"/>
        </w:rPr>
        <w:t>.</w:t>
      </w:r>
    </w:p>
    <w:p w14:paraId="6938ABE9" w14:textId="77777777" w:rsidR="00C66D21" w:rsidRPr="00C66D21" w:rsidRDefault="00C66D21" w:rsidP="00C66D21">
      <w:pPr>
        <w:spacing w:line="360" w:lineRule="auto"/>
        <w:jc w:val="both"/>
        <w:rPr>
          <w:rFonts w:eastAsia="Calibri"/>
          <w:lang w:val="es-ES" w:eastAsia="en-US"/>
        </w:rPr>
      </w:pPr>
      <w:r w:rsidRPr="00C66D21">
        <w:rPr>
          <w:rFonts w:eastAsia="Calibri"/>
          <w:b/>
          <w:lang w:val="es-ES" w:eastAsia="en-US"/>
        </w:rPr>
        <w:t>Palabras clave</w:t>
      </w:r>
      <w:r w:rsidRPr="00C66D21">
        <w:rPr>
          <w:rFonts w:eastAsia="Calibri"/>
          <w:b/>
          <w:bCs/>
          <w:lang w:val="es-ES" w:eastAsia="en-US"/>
        </w:rPr>
        <w:t>:</w:t>
      </w:r>
      <w:r w:rsidRPr="00C66D21">
        <w:rPr>
          <w:rFonts w:eastAsia="Calibri"/>
          <w:lang w:val="es-ES" w:eastAsia="en-US"/>
        </w:rPr>
        <w:t xml:space="preserve"> adulto mayor; análisis del desempeño; fragilidad.</w:t>
      </w:r>
    </w:p>
    <w:p w14:paraId="3E28067A" w14:textId="77777777" w:rsidR="00C66D21" w:rsidRPr="00C66D21" w:rsidRDefault="00C66D21" w:rsidP="00C66D21">
      <w:pPr>
        <w:spacing w:line="360" w:lineRule="auto"/>
        <w:rPr>
          <w:rFonts w:eastAsia="Calibri"/>
          <w:b/>
          <w:lang w:val="es-ES" w:eastAsia="en-US"/>
        </w:rPr>
      </w:pPr>
    </w:p>
    <w:p w14:paraId="208D4153" w14:textId="77777777" w:rsidR="00C66D21" w:rsidRPr="00C66D21" w:rsidRDefault="00C66D21" w:rsidP="00C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C66D21">
        <w:rPr>
          <w:b/>
          <w:lang w:val="en-US" w:eastAsia="x-none"/>
        </w:rPr>
        <w:t>ABSTRACT</w:t>
      </w:r>
      <w:r w:rsidRPr="00C66D21">
        <w:rPr>
          <w:b/>
          <w:lang w:val="en-US" w:eastAsia="x-none"/>
        </w:rPr>
        <w:br/>
      </w:r>
      <w:r w:rsidRPr="00C66D21">
        <w:rPr>
          <w:b/>
          <w:bCs/>
          <w:lang w:val="en-US" w:eastAsia="x-none"/>
        </w:rPr>
        <w:t>Introduction:</w:t>
      </w:r>
      <w:r w:rsidRPr="00C66D21">
        <w:rPr>
          <w:lang w:val="en-US" w:eastAsia="x-none"/>
        </w:rPr>
        <w:t xml:space="preserve"> The physiological process of aging leads to risk situations, as well as the accelerated deterioration of health that includes frailty.</w:t>
      </w:r>
    </w:p>
    <w:p w14:paraId="660FE02C" w14:textId="77777777" w:rsidR="00C66D21" w:rsidRPr="00C66D21" w:rsidRDefault="00C66D21" w:rsidP="00C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C66D21">
        <w:rPr>
          <w:b/>
          <w:bCs/>
          <w:lang w:val="en-US" w:eastAsia="en-US"/>
        </w:rPr>
        <w:t>Objective:</w:t>
      </w:r>
      <w:r w:rsidRPr="00C66D21">
        <w:rPr>
          <w:lang w:val="en-US" w:eastAsia="en-US"/>
        </w:rPr>
        <w:t xml:space="preserve"> To determine the state of the professional performance of the family doctor for the care of the frail elderly.</w:t>
      </w:r>
    </w:p>
    <w:p w14:paraId="0A17DBB8" w14:textId="77777777" w:rsidR="00C66D21" w:rsidRPr="00C66D21" w:rsidRDefault="00C66D21" w:rsidP="00C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C66D21">
        <w:rPr>
          <w:b/>
          <w:bCs/>
          <w:lang w:val="en-US" w:eastAsia="en-US"/>
        </w:rPr>
        <w:t xml:space="preserve">Method: </w:t>
      </w:r>
      <w:r w:rsidRPr="00C66D21">
        <w:rPr>
          <w:lang w:val="en-US" w:eastAsia="en-US"/>
        </w:rPr>
        <w:t>An observational descriptive study was carried out, the population consisted of 28 family doctors. Four dimensions (cognitive, care, bioethics and scientific-investigative) and 18 indicators were evaluated. Methodological triangulation was carried out to establish problems and potentialities. In the statistical processing, the percentage analysis was performed.</w:t>
      </w:r>
    </w:p>
    <w:p w14:paraId="5054CC41" w14:textId="77777777" w:rsidR="00C66D21" w:rsidRPr="00C66D21" w:rsidRDefault="00C66D21" w:rsidP="00C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C66D21">
        <w:rPr>
          <w:b/>
          <w:bCs/>
          <w:lang w:val="en-US" w:eastAsia="en-US"/>
        </w:rPr>
        <w:t xml:space="preserve">Results: </w:t>
      </w:r>
      <w:r w:rsidRPr="00C66D21">
        <w:rPr>
          <w:lang w:val="en-US" w:eastAsia="en-US"/>
        </w:rPr>
        <w:t xml:space="preserve">There was little mastery of the respondents of the frailty criteria, knowledge of the symptoms and signs </w:t>
      </w:r>
      <w:r w:rsidRPr="00C66D21">
        <w:rPr>
          <w:rFonts w:eastAsia="Calibri"/>
          <w:lang w:val="en-US" w:eastAsia="en-US"/>
        </w:rPr>
        <w:t>(78.5%)</w:t>
      </w:r>
      <w:r w:rsidRPr="00C66D21">
        <w:rPr>
          <w:lang w:val="en-US" w:eastAsia="en-US"/>
        </w:rPr>
        <w:t xml:space="preserve">, as well as a deficient therapeutic approach in frail older adults </w:t>
      </w:r>
      <w:r w:rsidRPr="00C66D21">
        <w:rPr>
          <w:rFonts w:eastAsia="Calibri"/>
          <w:lang w:val="en-US" w:eastAsia="en-US"/>
        </w:rPr>
        <w:t>(57.5%)</w:t>
      </w:r>
      <w:r w:rsidRPr="00C66D21">
        <w:rPr>
          <w:lang w:val="en-US" w:eastAsia="en-US"/>
        </w:rPr>
        <w:t xml:space="preserve">. The frequency of carrying out health promotion activities </w:t>
      </w:r>
      <w:r w:rsidRPr="00C66D21">
        <w:rPr>
          <w:rFonts w:eastAsia="Calibri"/>
          <w:lang w:val="en-US" w:eastAsia="en-US"/>
        </w:rPr>
        <w:t>(85.7% of the cases)</w:t>
      </w:r>
      <w:r w:rsidRPr="00C66D21">
        <w:rPr>
          <w:lang w:val="en-US" w:eastAsia="en-US"/>
        </w:rPr>
        <w:t xml:space="preserve"> and the use of instruments for the multidimensional evaluation of the elderly was low, used only by 23,0 </w:t>
      </w:r>
      <w:r w:rsidRPr="00C66D21">
        <w:rPr>
          <w:rFonts w:eastAsia="Calibri"/>
          <w:lang w:val="en-US" w:eastAsia="en-US"/>
        </w:rPr>
        <w:t>%</w:t>
      </w:r>
      <w:r w:rsidRPr="00C66D21">
        <w:rPr>
          <w:lang w:val="en-US" w:eastAsia="en-US"/>
        </w:rPr>
        <w:t xml:space="preserve">. Among the potentialities, a </w:t>
      </w:r>
      <w:r w:rsidRPr="00C66D21">
        <w:rPr>
          <w:lang w:val="en-US" w:eastAsia="en-US"/>
        </w:rPr>
        <w:lastRenderedPageBreak/>
        <w:t>willingness of doctors to participate in courses on frailty and correct application of ethical and moral principles was observed.</w:t>
      </w:r>
    </w:p>
    <w:p w14:paraId="602CAC1C" w14:textId="77777777" w:rsidR="00C66D21" w:rsidRPr="00C66D21" w:rsidRDefault="00C66D21" w:rsidP="00C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C66D21">
        <w:rPr>
          <w:b/>
          <w:bCs/>
          <w:lang w:val="en-US" w:eastAsia="en-US"/>
        </w:rPr>
        <w:t>Conclusions:</w:t>
      </w:r>
      <w:r w:rsidRPr="00C66D21">
        <w:rPr>
          <w:lang w:val="en-US" w:eastAsia="en-US"/>
        </w:rPr>
        <w:t xml:space="preserve"> An insufficient performance of family doctors in the comprehensive care of frail older adults was determined.</w:t>
      </w:r>
    </w:p>
    <w:p w14:paraId="2CD3877D" w14:textId="77777777" w:rsidR="00C66D21" w:rsidRPr="00C66D21" w:rsidRDefault="00C66D21" w:rsidP="00C66D21">
      <w:pPr>
        <w:spacing w:line="360" w:lineRule="auto"/>
        <w:jc w:val="both"/>
        <w:rPr>
          <w:lang w:val="en-US" w:eastAsia="es-ES"/>
        </w:rPr>
      </w:pPr>
      <w:r w:rsidRPr="00C66D21">
        <w:rPr>
          <w:b/>
          <w:lang w:val="en-US" w:eastAsia="es-ES"/>
        </w:rPr>
        <w:t>Keywords</w:t>
      </w:r>
      <w:r w:rsidRPr="00C66D21">
        <w:rPr>
          <w:b/>
          <w:bCs/>
          <w:lang w:val="en-US" w:eastAsia="es-ES"/>
        </w:rPr>
        <w:t>:</w:t>
      </w:r>
      <w:r w:rsidRPr="00C66D21">
        <w:rPr>
          <w:lang w:val="en-US" w:eastAsia="es-ES"/>
        </w:rPr>
        <w:t xml:space="preserve"> older adult; employees performance appraisal;</w:t>
      </w:r>
      <w:r w:rsidRPr="00C66D21">
        <w:rPr>
          <w:rFonts w:eastAsia="Calibri"/>
          <w:lang w:val="en-US" w:eastAsia="en-US"/>
        </w:rPr>
        <w:t xml:space="preserve"> frailty.</w:t>
      </w:r>
    </w:p>
    <w:p w14:paraId="4A018DAB" w14:textId="77777777" w:rsidR="00C66D21" w:rsidRPr="00C66D21" w:rsidRDefault="00C66D21" w:rsidP="00C66D21">
      <w:pPr>
        <w:spacing w:line="360" w:lineRule="auto"/>
        <w:jc w:val="both"/>
        <w:rPr>
          <w:lang w:val="en-US" w:eastAsia="es-ES"/>
        </w:rPr>
      </w:pPr>
    </w:p>
    <w:p w14:paraId="38A4A8FF" w14:textId="77777777" w:rsidR="00C66D21" w:rsidRPr="00C66D21" w:rsidRDefault="00C66D21" w:rsidP="00C66D21">
      <w:pPr>
        <w:spacing w:line="360" w:lineRule="auto"/>
        <w:jc w:val="both"/>
        <w:rPr>
          <w:lang w:val="en-US" w:eastAsia="es-ES"/>
        </w:rPr>
      </w:pPr>
    </w:p>
    <w:p w14:paraId="1FF40A3E" w14:textId="77777777" w:rsidR="00C66D21" w:rsidRPr="00C66D21" w:rsidRDefault="00C66D21" w:rsidP="00C66D21">
      <w:pPr>
        <w:spacing w:line="360" w:lineRule="auto"/>
        <w:jc w:val="both"/>
        <w:rPr>
          <w:lang w:val="es-ES" w:eastAsia="es-ES"/>
        </w:rPr>
      </w:pPr>
      <w:r w:rsidRPr="00C66D21">
        <w:rPr>
          <w:lang w:val="es-ES" w:eastAsia="es-ES"/>
        </w:rPr>
        <w:t>Recibido: 10/06/2023</w:t>
      </w:r>
    </w:p>
    <w:p w14:paraId="7039AA90" w14:textId="77777777" w:rsidR="00C66D21" w:rsidRPr="00C66D21" w:rsidRDefault="00C66D21" w:rsidP="00C66D21">
      <w:pPr>
        <w:spacing w:line="360" w:lineRule="auto"/>
        <w:jc w:val="both"/>
        <w:rPr>
          <w:rFonts w:eastAsia="Calibri"/>
          <w:lang w:val="es-ES" w:eastAsia="en-US"/>
        </w:rPr>
      </w:pPr>
      <w:r w:rsidRPr="00C66D21">
        <w:rPr>
          <w:lang w:val="es-ES" w:eastAsia="es-ES"/>
        </w:rPr>
        <w:t>Aprobado: 30/12/2023</w:t>
      </w:r>
    </w:p>
    <w:p w14:paraId="6F513F6F" w14:textId="77777777" w:rsidR="00C66D21" w:rsidRPr="00C66D21" w:rsidRDefault="00C66D21" w:rsidP="00C66D21">
      <w:pPr>
        <w:spacing w:line="360" w:lineRule="auto"/>
        <w:jc w:val="center"/>
        <w:rPr>
          <w:rFonts w:eastAsia="Calibri"/>
          <w:b/>
          <w:lang w:val="es-ES" w:eastAsia="en-US"/>
        </w:rPr>
      </w:pPr>
    </w:p>
    <w:p w14:paraId="1AFB7F89" w14:textId="77777777" w:rsidR="00C66D21" w:rsidRPr="00C66D21" w:rsidRDefault="00C66D21" w:rsidP="00C66D21">
      <w:pPr>
        <w:spacing w:line="360" w:lineRule="auto"/>
        <w:jc w:val="center"/>
        <w:rPr>
          <w:rFonts w:eastAsia="Calibri"/>
          <w:b/>
          <w:sz w:val="32"/>
          <w:szCs w:val="32"/>
          <w:lang w:val="es-ES" w:eastAsia="en-US"/>
        </w:rPr>
      </w:pPr>
    </w:p>
    <w:p w14:paraId="3D586823" w14:textId="77777777" w:rsidR="00C66D21" w:rsidRPr="00C66D21" w:rsidRDefault="00C66D21" w:rsidP="00C66D21">
      <w:pPr>
        <w:spacing w:line="360" w:lineRule="auto"/>
        <w:jc w:val="center"/>
        <w:rPr>
          <w:rFonts w:eastAsia="Calibri"/>
          <w:b/>
          <w:sz w:val="32"/>
          <w:szCs w:val="32"/>
          <w:lang w:val="es-ES" w:eastAsia="en-US"/>
        </w:rPr>
      </w:pPr>
      <w:r w:rsidRPr="00C66D21">
        <w:rPr>
          <w:rFonts w:eastAsia="Calibri"/>
          <w:b/>
          <w:sz w:val="32"/>
          <w:szCs w:val="32"/>
          <w:lang w:val="es-ES" w:eastAsia="en-US"/>
        </w:rPr>
        <w:t>INTRODUCCIÓN</w:t>
      </w:r>
    </w:p>
    <w:p w14:paraId="039FD77E"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El estudio de la problemática del adulto mayor constituye hoy elemento de primordial importancia y factor decisivo en las investigaciones médicas y sociales; las indagaciones</w:t>
      </w:r>
      <w:r w:rsidRPr="00C66D21">
        <w:rPr>
          <w:rFonts w:eastAsia="Calibri"/>
          <w:spacing w:val="6"/>
          <w:lang w:val="es-ES" w:eastAsia="en-US"/>
        </w:rPr>
        <w:t xml:space="preserve"> se concentran en el </w:t>
      </w:r>
      <w:r w:rsidRPr="00C66D21">
        <w:rPr>
          <w:rFonts w:eastAsia="Calibri"/>
          <w:lang w:val="es-ES" w:eastAsia="en-US"/>
        </w:rPr>
        <w:t xml:space="preserve">proceso fisiológico de envejecer, sus impactos y la medicina </w:t>
      </w:r>
      <w:proofErr w:type="gramStart"/>
      <w:r w:rsidRPr="00C66D21">
        <w:rPr>
          <w:rFonts w:eastAsia="Calibri"/>
          <w:lang w:val="es-ES" w:eastAsia="en-US"/>
        </w:rPr>
        <w:t>preventiva.</w:t>
      </w:r>
      <w:r w:rsidRPr="00C66D21">
        <w:rPr>
          <w:rFonts w:eastAsia="Calibri"/>
          <w:vertAlign w:val="superscript"/>
          <w:lang w:val="es-ES" w:eastAsia="en-US"/>
        </w:rPr>
        <w:t>(</w:t>
      </w:r>
      <w:proofErr w:type="gramEnd"/>
      <w:r w:rsidRPr="00C66D21">
        <w:rPr>
          <w:rFonts w:eastAsia="Calibri"/>
          <w:vertAlign w:val="superscript"/>
          <w:lang w:val="es-ES" w:eastAsia="en-US"/>
        </w:rPr>
        <w:t>1,2,3)</w:t>
      </w:r>
    </w:p>
    <w:p w14:paraId="261AA8E8" w14:textId="64945AEE" w:rsidR="00C66D21" w:rsidRPr="00C66D21" w:rsidRDefault="00C66D21" w:rsidP="00C66D21">
      <w:pPr>
        <w:spacing w:line="360" w:lineRule="auto"/>
        <w:jc w:val="both"/>
        <w:rPr>
          <w:rFonts w:eastAsia="Calibri"/>
          <w:spacing w:val="1"/>
          <w:lang w:val="es-ES" w:eastAsia="en-US"/>
        </w:rPr>
      </w:pPr>
      <w:r w:rsidRPr="00C66D21">
        <w:rPr>
          <w:rFonts w:eastAsia="Calibri"/>
          <w:lang w:val="es-ES" w:eastAsia="en-US"/>
        </w:rPr>
        <w:t xml:space="preserve">El envejecimiento es un proceso fisiológico que implica una serie de modificaciones morfológicas, funcionales y bioquímicas caracterizadas por la pérdida progresiva de la capacidad de adaptación ante los </w:t>
      </w:r>
      <w:proofErr w:type="gramStart"/>
      <w:r w:rsidRPr="00C66D21">
        <w:rPr>
          <w:rFonts w:eastAsia="Calibri"/>
          <w:lang w:val="es-ES" w:eastAsia="en-US"/>
        </w:rPr>
        <w:t>cambios</w:t>
      </w:r>
      <w:r w:rsidRPr="00C66D21">
        <w:rPr>
          <w:rFonts w:eastAsia="Calibri"/>
          <w:spacing w:val="1"/>
          <w:lang w:val="es-ES" w:eastAsia="en-US"/>
        </w:rPr>
        <w:t>.</w:t>
      </w:r>
      <w:r w:rsidRPr="00C66D21">
        <w:rPr>
          <w:rFonts w:eastAsia="Calibri"/>
          <w:spacing w:val="1"/>
          <w:vertAlign w:val="superscript"/>
          <w:lang w:val="es-ES" w:eastAsia="en-US"/>
        </w:rPr>
        <w:t>(</w:t>
      </w:r>
      <w:proofErr w:type="gramEnd"/>
      <w:r w:rsidRPr="00C66D21">
        <w:rPr>
          <w:rFonts w:eastAsia="Calibri"/>
          <w:spacing w:val="1"/>
          <w:vertAlign w:val="superscript"/>
          <w:lang w:val="es-ES" w:eastAsia="en-US"/>
        </w:rPr>
        <w:t>1)</w:t>
      </w:r>
      <w:r w:rsidRPr="00C66D21">
        <w:rPr>
          <w:rFonts w:eastAsia="Calibri"/>
          <w:lang w:val="es-ES" w:eastAsia="en-US"/>
        </w:rPr>
        <w:t xml:space="preserve"> Según la Organización Mundial de la Salud (OMS)</w:t>
      </w:r>
      <w:r w:rsidRPr="00C66D21">
        <w:rPr>
          <w:rFonts w:eastAsia="Calibri"/>
          <w:vertAlign w:val="superscript"/>
          <w:lang w:val="es-ES" w:eastAsia="en-US"/>
        </w:rPr>
        <w:t>(4)</w:t>
      </w:r>
      <w:r w:rsidRPr="00C66D21">
        <w:rPr>
          <w:rFonts w:eastAsia="Calibri"/>
          <w:lang w:val="es-ES" w:eastAsia="en-US"/>
        </w:rPr>
        <w:t xml:space="preserve"> existen en la actualidad alrededor de 747 millones de adultos mayores, cifra que se duplicará en 2025. Cuba es uno de los países más envejecidos de América Latina, en particular Santiago de </w:t>
      </w:r>
      <w:r w:rsidRPr="00C66D21">
        <w:rPr>
          <w:rFonts w:eastAsia="Calibri"/>
          <w:lang w:val="es-ES" w:eastAsia="en-US"/>
        </w:rPr>
        <w:t>Cuba; se</w:t>
      </w:r>
      <w:r w:rsidRPr="00C66D21">
        <w:rPr>
          <w:rFonts w:eastAsia="Calibri"/>
          <w:lang w:val="es-ES" w:eastAsia="en-US"/>
        </w:rPr>
        <w:t xml:space="preserve"> prevé que para el año 2025 el 29 % de la población se encuentre en este grupo </w:t>
      </w:r>
      <w:proofErr w:type="gramStart"/>
      <w:r w:rsidRPr="00C66D21">
        <w:rPr>
          <w:rFonts w:eastAsia="Calibri"/>
          <w:lang w:val="es-ES" w:eastAsia="en-US"/>
        </w:rPr>
        <w:t>etario.</w:t>
      </w:r>
      <w:r w:rsidRPr="00C66D21">
        <w:rPr>
          <w:rFonts w:eastAsia="Calibri"/>
          <w:vertAlign w:val="superscript"/>
          <w:lang w:val="es-ES" w:eastAsia="en-US"/>
        </w:rPr>
        <w:t>(</w:t>
      </w:r>
      <w:proofErr w:type="gramEnd"/>
      <w:r w:rsidRPr="00C66D21">
        <w:rPr>
          <w:rFonts w:eastAsia="Calibri"/>
          <w:vertAlign w:val="superscript"/>
          <w:lang w:val="es-ES" w:eastAsia="en-US"/>
        </w:rPr>
        <w:t>5)</w:t>
      </w:r>
      <w:r w:rsidRPr="00C66D21">
        <w:rPr>
          <w:rFonts w:eastAsia="Calibri"/>
          <w:lang w:val="es-ES" w:eastAsia="en-US"/>
        </w:rPr>
        <w:t xml:space="preserve"> </w:t>
      </w:r>
    </w:p>
    <w:p w14:paraId="67CEA598"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La geriatría tiene como objetivo principal los cuidados de salud del paciente adulto mayor, y estudia los grandes síndromes </w:t>
      </w:r>
      <w:proofErr w:type="gramStart"/>
      <w:r w:rsidRPr="00C66D21">
        <w:rPr>
          <w:rFonts w:eastAsia="Calibri"/>
          <w:lang w:val="es-ES" w:eastAsia="en-US"/>
        </w:rPr>
        <w:t>geriátricos.</w:t>
      </w:r>
      <w:r w:rsidRPr="00C66D21">
        <w:rPr>
          <w:rFonts w:eastAsia="Calibri"/>
          <w:vertAlign w:val="superscript"/>
          <w:lang w:val="es-ES" w:eastAsia="en-US"/>
        </w:rPr>
        <w:t>(</w:t>
      </w:r>
      <w:proofErr w:type="gramEnd"/>
      <w:r w:rsidRPr="00C66D21">
        <w:rPr>
          <w:rFonts w:eastAsia="Calibri"/>
          <w:vertAlign w:val="superscript"/>
          <w:lang w:val="es-ES" w:eastAsia="en-US"/>
        </w:rPr>
        <w:t>6)</w:t>
      </w:r>
      <w:r w:rsidRPr="00C66D21">
        <w:rPr>
          <w:rFonts w:eastAsia="Calibri"/>
          <w:lang w:val="es-ES" w:eastAsia="en-US"/>
        </w:rPr>
        <w:t xml:space="preserve"> La fragilidad es considerada como un estado clínico en el que paciente adulto mayor presenta mayor riesgo de eventos adversos.</w:t>
      </w:r>
      <w:r w:rsidRPr="00C66D21">
        <w:rPr>
          <w:rFonts w:eastAsia="Calibri"/>
          <w:vertAlign w:val="superscript"/>
          <w:lang w:val="es-ES" w:eastAsia="en-US"/>
        </w:rPr>
        <w:t>(1,7,8)</w:t>
      </w:r>
      <w:r w:rsidRPr="00C66D21">
        <w:rPr>
          <w:rFonts w:eastAsia="Calibri"/>
          <w:lang w:val="es-ES" w:eastAsia="en-US"/>
        </w:rPr>
        <w:t xml:space="preserve"> </w:t>
      </w:r>
    </w:p>
    <w:p w14:paraId="7DB3A5D6"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Según </w:t>
      </w:r>
      <w:r w:rsidRPr="00C66D21">
        <w:rPr>
          <w:rFonts w:eastAsia="Calibri"/>
          <w:i/>
          <w:iCs/>
          <w:lang w:val="es-ES" w:eastAsia="en-US"/>
        </w:rPr>
        <w:t>Belaunde C</w:t>
      </w:r>
      <w:r w:rsidRPr="00C66D21">
        <w:rPr>
          <w:rFonts w:eastAsia="Calibri"/>
          <w:lang w:val="es-ES" w:eastAsia="en-US"/>
        </w:rPr>
        <w:t xml:space="preserve"> y </w:t>
      </w:r>
      <w:proofErr w:type="gramStart"/>
      <w:r w:rsidRPr="00C66D21">
        <w:rPr>
          <w:rFonts w:eastAsia="Calibri"/>
          <w:lang w:val="es-ES" w:eastAsia="en-US"/>
        </w:rPr>
        <w:t>otros,</w:t>
      </w:r>
      <w:r w:rsidRPr="00C66D21">
        <w:rPr>
          <w:rFonts w:eastAsia="Calibri"/>
          <w:vertAlign w:val="superscript"/>
          <w:lang w:val="es-ES" w:eastAsia="en-US"/>
        </w:rPr>
        <w:t>(</w:t>
      </w:r>
      <w:proofErr w:type="gramEnd"/>
      <w:r w:rsidRPr="00C66D21">
        <w:rPr>
          <w:rFonts w:eastAsia="Calibri"/>
          <w:vertAlign w:val="superscript"/>
          <w:lang w:val="es-ES" w:eastAsia="en-US"/>
        </w:rPr>
        <w:t xml:space="preserve">9) </w:t>
      </w:r>
      <w:proofErr w:type="spellStart"/>
      <w:r w:rsidRPr="00C66D21">
        <w:rPr>
          <w:rFonts w:eastAsia="Calibri"/>
          <w:i/>
          <w:iCs/>
          <w:lang w:val="es-ES" w:eastAsia="en-US"/>
        </w:rPr>
        <w:t>Freid</w:t>
      </w:r>
      <w:proofErr w:type="spellEnd"/>
      <w:r w:rsidRPr="00C66D21">
        <w:rPr>
          <w:rFonts w:eastAsia="Calibri"/>
          <w:i/>
          <w:iCs/>
          <w:lang w:val="es-ES" w:eastAsia="en-US"/>
        </w:rPr>
        <w:t xml:space="preserve"> Linda</w:t>
      </w:r>
      <w:r w:rsidRPr="00C66D21">
        <w:rPr>
          <w:rFonts w:eastAsia="Calibri"/>
          <w:lang w:val="es-ES" w:eastAsia="en-US"/>
        </w:rPr>
        <w:t xml:space="preserve"> define como criterios de fragilidad los siguientes: fatiga crónica referida, debilidad, inactividad, disminución de la velocidad de la marcha y pérdida de peso. Otros </w:t>
      </w:r>
      <w:proofErr w:type="gramStart"/>
      <w:r w:rsidRPr="00C66D21">
        <w:rPr>
          <w:rFonts w:eastAsia="Calibri"/>
          <w:lang w:val="es-ES" w:eastAsia="en-US"/>
        </w:rPr>
        <w:lastRenderedPageBreak/>
        <w:t>autores</w:t>
      </w:r>
      <w:r w:rsidRPr="00C66D21">
        <w:rPr>
          <w:rFonts w:eastAsia="Calibri"/>
          <w:vertAlign w:val="superscript"/>
          <w:lang w:val="es-ES" w:eastAsia="en-US"/>
        </w:rPr>
        <w:t>(</w:t>
      </w:r>
      <w:proofErr w:type="gramEnd"/>
      <w:r w:rsidRPr="00C66D21">
        <w:rPr>
          <w:rFonts w:eastAsia="Calibri"/>
          <w:vertAlign w:val="superscript"/>
          <w:lang w:val="es-ES" w:eastAsia="en-US"/>
        </w:rPr>
        <w:t xml:space="preserve">10,11) </w:t>
      </w:r>
      <w:r w:rsidRPr="00C66D21">
        <w:rPr>
          <w:rFonts w:eastAsia="Calibri"/>
          <w:lang w:val="es-ES" w:eastAsia="en-US"/>
        </w:rPr>
        <w:t>consideran frágil a los ancianos que por sus condiciones biológicas, psicológicas, sociales y funcionales desarrollan dependencia y necesidad de cuidados a largo plazo.</w:t>
      </w:r>
    </w:p>
    <w:p w14:paraId="6FEDF8FA"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El diagnóstico y seguimiento del anciano frágil se efectúa fundamentalmente en la atención primaria de salud. La experiencia de la investigadora en la especialidad de medicina general integral (MGI) y en gerontología y geriatría, le permite entrever limitaciones en el desempeño profesional del especialista en MGI para realizar la interpretación clínica, el diagnóstico y conducta terapéutica integradora de estos pacientes. Ello fue corroborado por </w:t>
      </w:r>
      <w:r w:rsidRPr="00C66D21">
        <w:rPr>
          <w:rFonts w:eastAsia="Calibri"/>
          <w:i/>
          <w:lang w:val="es-ES" w:eastAsia="en-US"/>
        </w:rPr>
        <w:t xml:space="preserve">Álvarez </w:t>
      </w:r>
      <w:proofErr w:type="spellStart"/>
      <w:r w:rsidRPr="00C66D21">
        <w:rPr>
          <w:rFonts w:eastAsia="Calibri"/>
          <w:i/>
          <w:lang w:val="es-ES" w:eastAsia="en-US"/>
        </w:rPr>
        <w:t>Lauzarique</w:t>
      </w:r>
      <w:proofErr w:type="spellEnd"/>
      <w:r w:rsidRPr="00C66D21">
        <w:rPr>
          <w:rFonts w:eastAsia="Calibri"/>
          <w:lang w:val="es-ES" w:eastAsia="en-US"/>
        </w:rPr>
        <w:t xml:space="preserve"> </w:t>
      </w:r>
      <w:r w:rsidRPr="00C66D21">
        <w:rPr>
          <w:rFonts w:eastAsia="Calibri"/>
          <w:i/>
          <w:lang w:val="es-ES" w:eastAsia="en-US"/>
        </w:rPr>
        <w:t>ME</w:t>
      </w:r>
      <w:r w:rsidRPr="00C66D21">
        <w:rPr>
          <w:rFonts w:eastAsia="Calibri"/>
          <w:vertAlign w:val="superscript"/>
          <w:lang w:val="es-ES" w:eastAsia="en-US"/>
        </w:rPr>
        <w:t xml:space="preserve"> (12)</w:t>
      </w:r>
      <w:r w:rsidRPr="00C66D21">
        <w:rPr>
          <w:rFonts w:eastAsia="Calibri"/>
          <w:lang w:val="es-ES" w:eastAsia="en-US"/>
        </w:rPr>
        <w:t xml:space="preserve"> y varios investigadores citados en su trabajo.</w:t>
      </w:r>
    </w:p>
    <w:p w14:paraId="177580F0"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El presente estudio tiene el objetivo de determinar el estado del desempeño profesional del especialista en MGI para la atención del adulto mayor frágil. </w:t>
      </w:r>
    </w:p>
    <w:p w14:paraId="11E0433E"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 </w:t>
      </w:r>
    </w:p>
    <w:p w14:paraId="63806302" w14:textId="77777777" w:rsidR="00C66D21" w:rsidRPr="00C66D21" w:rsidRDefault="00C66D21" w:rsidP="00C66D21">
      <w:pPr>
        <w:spacing w:line="360" w:lineRule="auto"/>
        <w:jc w:val="both"/>
        <w:rPr>
          <w:rFonts w:eastAsia="Calibri"/>
          <w:b/>
          <w:lang w:val="es-ES" w:eastAsia="en-US"/>
        </w:rPr>
      </w:pPr>
      <w:r w:rsidRPr="00C66D21">
        <w:rPr>
          <w:rFonts w:eastAsia="Calibri"/>
          <w:b/>
          <w:lang w:val="es-ES" w:eastAsia="en-US"/>
        </w:rPr>
        <w:t xml:space="preserve"> </w:t>
      </w:r>
    </w:p>
    <w:p w14:paraId="4F633A7D" w14:textId="77777777" w:rsidR="00C66D21" w:rsidRPr="00C66D21" w:rsidRDefault="00C66D21" w:rsidP="00C66D21">
      <w:pPr>
        <w:spacing w:line="360" w:lineRule="auto"/>
        <w:jc w:val="center"/>
        <w:rPr>
          <w:rFonts w:eastAsia="Calibri"/>
          <w:b/>
          <w:sz w:val="32"/>
          <w:szCs w:val="32"/>
          <w:lang w:val="es-ES" w:eastAsia="en-US"/>
        </w:rPr>
      </w:pPr>
      <w:r w:rsidRPr="00C66D21">
        <w:rPr>
          <w:rFonts w:eastAsia="Calibri"/>
          <w:b/>
          <w:sz w:val="32"/>
          <w:szCs w:val="32"/>
          <w:lang w:val="es-ES" w:eastAsia="en-US"/>
        </w:rPr>
        <w:t>MÉTODOS</w:t>
      </w:r>
    </w:p>
    <w:p w14:paraId="2CC7A36E"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Diseño</w:t>
      </w:r>
    </w:p>
    <w:p w14:paraId="01D57A86"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Se realizó una investigación observacional descriptiva y mixta (cuantitativa con elementos cualitativos). en el policlínico Municipal de Santiago de Cuba, desde marzo de 2019 hasta febrero de 2021.</w:t>
      </w:r>
    </w:p>
    <w:p w14:paraId="75CA05B2"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Sujetos</w:t>
      </w:r>
    </w:p>
    <w:p w14:paraId="62498582"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La población de estudio la constituyeron todos los médicos especialistas de MGI ubicados en los consultorios del área de salud (n= 28).</w:t>
      </w:r>
    </w:p>
    <w:p w14:paraId="3993C922"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Variables</w:t>
      </w:r>
    </w:p>
    <w:p w14:paraId="7597EF52"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Se empleó como variable de estudio el desempeño profesional del especialista en MGI en la atención al adulto mayor frágil. Para determinar su estado se realizó la parametrización a través de 4 dimensiones (cognitiva, bioética, asistencial, y científico- investigativa) y 18 indicadores (ver archivo complementario al artículo).</w:t>
      </w:r>
    </w:p>
    <w:p w14:paraId="60C5120D"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Procedimientos</w:t>
      </w:r>
    </w:p>
    <w:p w14:paraId="035260E8"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La información fue recolectada mediante los instrumentos siguientes: encuesta a especialistas en MGI, guía de observación y prueba de desempeño a los médicos durante la asistencia a pacientes, con ellos se </w:t>
      </w:r>
      <w:r w:rsidRPr="00C66D21">
        <w:rPr>
          <w:rFonts w:eastAsia="Calibri"/>
          <w:lang w:val="es-ES" w:eastAsia="en-US"/>
        </w:rPr>
        <w:lastRenderedPageBreak/>
        <w:t xml:space="preserve">evaluaron las dimensiones e indicadores (ver archivo complementario) y subsecuentemente el nivel de conocimiento y estado del desempeño de los médicos. </w:t>
      </w:r>
    </w:p>
    <w:p w14:paraId="0A5C5224"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Para la validación del contenido de los instrumentos utilizados se aplicaron los criterios de </w:t>
      </w:r>
      <w:proofErr w:type="spellStart"/>
      <w:r w:rsidRPr="00C66D21">
        <w:rPr>
          <w:rFonts w:eastAsia="Calibri"/>
          <w:i/>
          <w:lang w:val="es-ES" w:eastAsia="en-US"/>
        </w:rPr>
        <w:t>Moriyama</w:t>
      </w:r>
      <w:proofErr w:type="spellEnd"/>
      <w:r w:rsidRPr="00C66D21">
        <w:rPr>
          <w:rFonts w:eastAsia="Calibri"/>
          <w:lang w:val="es-ES" w:eastAsia="en-US"/>
        </w:rPr>
        <w:t xml:space="preserve">, citado por </w:t>
      </w:r>
      <w:r w:rsidRPr="00C66D21">
        <w:rPr>
          <w:rFonts w:eastAsia="Calibri"/>
          <w:i/>
          <w:lang w:val="es-ES" w:eastAsia="en-US"/>
        </w:rPr>
        <w:t xml:space="preserve">León </w:t>
      </w:r>
      <w:proofErr w:type="spellStart"/>
      <w:r w:rsidRPr="00C66D21">
        <w:rPr>
          <w:rFonts w:eastAsia="Calibri"/>
          <w:i/>
          <w:lang w:val="es-ES" w:eastAsia="en-US"/>
        </w:rPr>
        <w:t>Roman</w:t>
      </w:r>
      <w:proofErr w:type="spellEnd"/>
      <w:r w:rsidRPr="00C66D21">
        <w:rPr>
          <w:rFonts w:eastAsia="Calibri"/>
          <w:i/>
          <w:lang w:val="es-ES" w:eastAsia="en-US"/>
        </w:rPr>
        <w:t xml:space="preserve"> </w:t>
      </w:r>
      <w:proofErr w:type="gramStart"/>
      <w:r w:rsidRPr="00C66D21">
        <w:rPr>
          <w:rFonts w:eastAsia="Calibri"/>
          <w:i/>
          <w:lang w:val="es-ES" w:eastAsia="en-US"/>
        </w:rPr>
        <w:t>C</w:t>
      </w:r>
      <w:r w:rsidRPr="00C66D21">
        <w:rPr>
          <w:rFonts w:eastAsia="Calibri"/>
          <w:vertAlign w:val="superscript"/>
          <w:lang w:val="es-ES" w:eastAsia="en-US"/>
        </w:rPr>
        <w:t>(</w:t>
      </w:r>
      <w:proofErr w:type="gramEnd"/>
      <w:r w:rsidRPr="00C66D21">
        <w:rPr>
          <w:rFonts w:eastAsia="Calibri"/>
          <w:vertAlign w:val="superscript"/>
          <w:lang w:val="es-ES" w:eastAsia="en-US"/>
        </w:rPr>
        <w:t>13)</w:t>
      </w:r>
      <w:r w:rsidRPr="00C66D21">
        <w:rPr>
          <w:rFonts w:eastAsia="Calibri"/>
          <w:lang w:val="es-ES" w:eastAsia="en-US"/>
        </w:rPr>
        <w:t xml:space="preserve"> y el método de </w:t>
      </w:r>
      <w:r w:rsidRPr="00C66D21">
        <w:rPr>
          <w:rFonts w:eastAsia="Calibri"/>
          <w:iCs/>
          <w:lang w:val="es-ES" w:eastAsia="en-US"/>
        </w:rPr>
        <w:t>test-</w:t>
      </w:r>
      <w:proofErr w:type="spellStart"/>
      <w:r w:rsidRPr="00C66D21">
        <w:rPr>
          <w:rFonts w:eastAsia="Calibri"/>
          <w:iCs/>
          <w:lang w:val="es-ES" w:eastAsia="en-US"/>
        </w:rPr>
        <w:t>retest</w:t>
      </w:r>
      <w:proofErr w:type="spellEnd"/>
      <w:r w:rsidRPr="00C66D21">
        <w:rPr>
          <w:rFonts w:eastAsia="Calibri"/>
          <w:iCs/>
          <w:lang w:val="es-ES" w:eastAsia="en-US"/>
        </w:rPr>
        <w:t xml:space="preserve"> </w:t>
      </w:r>
      <w:r w:rsidRPr="00C66D21">
        <w:rPr>
          <w:rFonts w:eastAsia="Calibri"/>
          <w:lang w:val="es-ES" w:eastAsia="en-US"/>
        </w:rPr>
        <w:t xml:space="preserve">para el análisis de la </w:t>
      </w:r>
      <w:bookmarkStart w:id="5" w:name="_Hlk142169449"/>
      <w:r w:rsidRPr="00C66D21">
        <w:rPr>
          <w:rFonts w:eastAsia="Calibri"/>
          <w:lang w:val="es-ES" w:eastAsia="en-US"/>
        </w:rPr>
        <w:t xml:space="preserve">confiabilidad (ver archivo </w:t>
      </w:r>
      <w:bookmarkEnd w:id="5"/>
      <w:r w:rsidRPr="00C66D21">
        <w:rPr>
          <w:rFonts w:eastAsia="Calibri"/>
          <w:lang w:val="es-ES" w:eastAsia="en-US"/>
        </w:rPr>
        <w:t>complementario).</w:t>
      </w:r>
    </w:p>
    <w:p w14:paraId="12C7E8DA"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Mediante la triangulación metodológica se estableció un inventario de problemas, potencialidades y procesos en desarrollo (ver archivo complementario).</w:t>
      </w:r>
    </w:p>
    <w:p w14:paraId="1A3CBF64"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Procesamiento</w:t>
      </w:r>
    </w:p>
    <w:p w14:paraId="27871F82"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El análisis cualitativo se efectuó mediante la valoración de dimensiones e indicadores y la triangulación metodológica antes descritos, los datos cuantitativos se procesaron con el paquete estadístico SPSS 23 y se empleó como medida de resumen las frecuencias absolutas y relativas, así como la media (promedio), los resultados se presentaron en tablas y gráficos.</w:t>
      </w:r>
    </w:p>
    <w:p w14:paraId="05D07497" w14:textId="77777777" w:rsidR="00C66D21" w:rsidRPr="00C66D21" w:rsidRDefault="00C66D21" w:rsidP="00C66D21">
      <w:pPr>
        <w:spacing w:line="360" w:lineRule="auto"/>
        <w:jc w:val="center"/>
        <w:rPr>
          <w:rFonts w:eastAsia="Calibri"/>
          <w:b/>
          <w:sz w:val="28"/>
          <w:szCs w:val="28"/>
          <w:lang w:val="es-ES" w:eastAsia="en-US"/>
        </w:rPr>
      </w:pPr>
      <w:r w:rsidRPr="00C66D21">
        <w:rPr>
          <w:rFonts w:eastAsia="Calibri"/>
          <w:b/>
          <w:sz w:val="28"/>
          <w:szCs w:val="28"/>
          <w:lang w:val="es-ES" w:eastAsia="en-US"/>
        </w:rPr>
        <w:t>Aspectos bioéticos</w:t>
      </w:r>
    </w:p>
    <w:p w14:paraId="29158316"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Se solicitó el consentimiento informado de los participantes en la investigación. El estudio fue aprobado por el comité de ética del Hospital General Dr. "Juan Bruno Zayas Alfonso” de Santiago de Cuba.</w:t>
      </w:r>
    </w:p>
    <w:p w14:paraId="3952A3FE" w14:textId="77777777" w:rsidR="00C66D21" w:rsidRPr="00C66D21" w:rsidRDefault="00C66D21" w:rsidP="00C66D21">
      <w:pPr>
        <w:spacing w:line="360" w:lineRule="auto"/>
        <w:jc w:val="both"/>
        <w:rPr>
          <w:rFonts w:eastAsia="Calibri"/>
          <w:lang w:val="es-ES" w:eastAsia="en-US"/>
        </w:rPr>
      </w:pPr>
    </w:p>
    <w:p w14:paraId="326A23EC" w14:textId="77777777" w:rsidR="00C66D21" w:rsidRPr="00C66D21" w:rsidRDefault="00C66D21" w:rsidP="00C66D21">
      <w:pPr>
        <w:spacing w:line="360" w:lineRule="auto"/>
        <w:jc w:val="center"/>
        <w:rPr>
          <w:rFonts w:eastAsia="Calibri"/>
          <w:b/>
          <w:lang w:val="es-ES" w:eastAsia="en-US"/>
        </w:rPr>
      </w:pPr>
    </w:p>
    <w:p w14:paraId="2CF0F265" w14:textId="77777777" w:rsidR="00C66D21" w:rsidRPr="00C66D21" w:rsidRDefault="00C66D21" w:rsidP="00C66D21">
      <w:pPr>
        <w:spacing w:line="360" w:lineRule="auto"/>
        <w:jc w:val="center"/>
        <w:rPr>
          <w:rFonts w:eastAsia="Calibri"/>
          <w:b/>
          <w:sz w:val="32"/>
          <w:szCs w:val="32"/>
          <w:lang w:val="es-ES" w:eastAsia="en-US"/>
        </w:rPr>
      </w:pPr>
      <w:r w:rsidRPr="00C66D21">
        <w:rPr>
          <w:rFonts w:eastAsia="Calibri"/>
          <w:b/>
          <w:sz w:val="32"/>
          <w:szCs w:val="32"/>
          <w:lang w:val="es-ES" w:eastAsia="en-US"/>
        </w:rPr>
        <w:t>RESULTADOS</w:t>
      </w:r>
    </w:p>
    <w:p w14:paraId="328FE87B" w14:textId="77777777" w:rsidR="00C66D21" w:rsidRPr="00C66D21" w:rsidRDefault="00C66D21" w:rsidP="00C66D21">
      <w:pPr>
        <w:spacing w:line="360" w:lineRule="auto"/>
        <w:jc w:val="both"/>
        <w:rPr>
          <w:rFonts w:eastAsia="Calibri"/>
          <w:color w:val="000000"/>
          <w:lang w:val="es-ES" w:eastAsia="en-US"/>
        </w:rPr>
      </w:pPr>
      <w:r w:rsidRPr="00C66D21">
        <w:rPr>
          <w:rFonts w:eastAsia="Calibri"/>
          <w:color w:val="000000"/>
          <w:lang w:val="es-ES" w:eastAsia="en-US"/>
        </w:rPr>
        <w:t>Al analizar la dimensión cognitiva (Fig. 1), los 4 indicadores de forma general fueron inadecuados (1.1 conocimientos de los síntomas y signos, 1.2 promoción y prevención de discapacidades, 1.3 terapéutica y 1.4 seguimiento), excepto la guía de observación del 1.1 y 1.3, así como en la encuesta médica el 1.4 que fueron poco adecuados.</w:t>
      </w:r>
    </w:p>
    <w:p w14:paraId="55D67DB7" w14:textId="77777777" w:rsidR="00C66D21" w:rsidRPr="00C66D21" w:rsidRDefault="00C66D21" w:rsidP="00C66D21">
      <w:pPr>
        <w:spacing w:line="360" w:lineRule="auto"/>
        <w:jc w:val="both"/>
        <w:rPr>
          <w:rFonts w:eastAsia="Calibri"/>
          <w:color w:val="000000"/>
          <w:lang w:val="es-ES" w:eastAsia="en-US"/>
        </w:rPr>
      </w:pPr>
    </w:p>
    <w:p w14:paraId="20A1B6D1" w14:textId="77777777" w:rsidR="00C66D21" w:rsidRPr="00C66D21" w:rsidRDefault="00C66D21" w:rsidP="00C66D21">
      <w:pPr>
        <w:spacing w:line="360" w:lineRule="auto"/>
        <w:jc w:val="center"/>
        <w:rPr>
          <w:rFonts w:eastAsia="Calibri"/>
          <w:sz w:val="22"/>
          <w:szCs w:val="22"/>
          <w:lang w:val="es-ES" w:eastAsia="en-US"/>
        </w:rPr>
      </w:pPr>
      <w:r w:rsidRPr="00C66D21">
        <w:rPr>
          <w:rFonts w:eastAsia="Calibri"/>
          <w:noProof/>
          <w:sz w:val="22"/>
          <w:szCs w:val="22"/>
          <w:lang w:val="es-ES" w:eastAsia="en-US"/>
        </w:rPr>
        <w:lastRenderedPageBreak/>
        <w:drawing>
          <wp:inline distT="0" distB="0" distL="0" distR="0" wp14:anchorId="61BD1A36" wp14:editId="2EA378BD">
            <wp:extent cx="4467225" cy="2828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4467225" cy="2828925"/>
                    </a:xfrm>
                    <a:prstGeom prst="rect">
                      <a:avLst/>
                    </a:prstGeom>
                  </pic:spPr>
                </pic:pic>
              </a:graphicData>
            </a:graphic>
          </wp:inline>
        </w:drawing>
      </w:r>
    </w:p>
    <w:p w14:paraId="76EF2186" w14:textId="77777777" w:rsidR="00C66D21" w:rsidRPr="00C66D21" w:rsidRDefault="00C66D21" w:rsidP="00C66D21">
      <w:pPr>
        <w:spacing w:line="360" w:lineRule="auto"/>
        <w:jc w:val="center"/>
        <w:rPr>
          <w:rFonts w:eastAsia="Calibri"/>
          <w:sz w:val="22"/>
          <w:szCs w:val="22"/>
          <w:lang w:val="es-ES" w:eastAsia="en-US"/>
        </w:rPr>
      </w:pPr>
      <w:r w:rsidRPr="00C66D21">
        <w:rPr>
          <w:rFonts w:eastAsia="Calibri"/>
          <w:b/>
          <w:sz w:val="22"/>
          <w:szCs w:val="22"/>
          <w:lang w:val="es-ES" w:eastAsia="en-US"/>
        </w:rPr>
        <w:t>Fig. 1 -</w:t>
      </w:r>
      <w:r w:rsidRPr="00C66D21">
        <w:rPr>
          <w:rFonts w:eastAsia="Calibri"/>
          <w:sz w:val="22"/>
          <w:szCs w:val="22"/>
          <w:lang w:val="es-ES" w:eastAsia="en-US"/>
        </w:rPr>
        <w:t xml:space="preserve"> Dimensión cognitiva.</w:t>
      </w:r>
    </w:p>
    <w:p w14:paraId="4EE61B53" w14:textId="77777777" w:rsidR="00C66D21" w:rsidRPr="00C66D21" w:rsidRDefault="00C66D21" w:rsidP="00C66D21">
      <w:pPr>
        <w:spacing w:line="360" w:lineRule="auto"/>
        <w:jc w:val="both"/>
        <w:rPr>
          <w:rFonts w:eastAsia="Calibri"/>
          <w:lang w:val="es-ES" w:eastAsia="en-US"/>
        </w:rPr>
      </w:pPr>
    </w:p>
    <w:p w14:paraId="6CB30C8D"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La tabla 1 evidencia el cumplimiento de los principios éticos por los especialistas en MGI se destaca que el 75 % tuvo una respuesta positiva, lo cual indica un conocimiento adecuado de esta dimensión.</w:t>
      </w:r>
    </w:p>
    <w:p w14:paraId="2BF56F6A" w14:textId="77777777" w:rsidR="00C66D21" w:rsidRPr="00C66D21" w:rsidRDefault="00C66D21" w:rsidP="00C66D21">
      <w:pPr>
        <w:spacing w:line="360" w:lineRule="auto"/>
        <w:jc w:val="both"/>
        <w:rPr>
          <w:rFonts w:eastAsia="Calibri"/>
          <w:sz w:val="22"/>
          <w:szCs w:val="22"/>
          <w:lang w:val="es-ES" w:eastAsia="en-US"/>
        </w:rPr>
      </w:pPr>
    </w:p>
    <w:p w14:paraId="01C00875" w14:textId="77777777" w:rsidR="00C66D21" w:rsidRPr="00C66D21" w:rsidRDefault="00C66D21" w:rsidP="00C66D21">
      <w:pPr>
        <w:rPr>
          <w:rFonts w:eastAsia="Calibri"/>
          <w:sz w:val="22"/>
          <w:szCs w:val="22"/>
          <w:lang w:val="es-ES" w:eastAsia="en-US"/>
        </w:rPr>
      </w:pPr>
      <w:r w:rsidRPr="00C66D21">
        <w:rPr>
          <w:rFonts w:eastAsia="Calibri"/>
          <w:sz w:val="22"/>
          <w:szCs w:val="22"/>
          <w:lang w:val="es-ES" w:eastAsia="en-US"/>
        </w:rPr>
        <w:br w:type="page"/>
      </w:r>
    </w:p>
    <w:p w14:paraId="3F1126E7" w14:textId="77777777" w:rsidR="00C66D21" w:rsidRPr="00C66D21" w:rsidRDefault="00C66D21" w:rsidP="00C66D21">
      <w:pPr>
        <w:spacing w:line="360" w:lineRule="auto"/>
        <w:jc w:val="center"/>
        <w:rPr>
          <w:rFonts w:eastAsia="Calibri"/>
          <w:sz w:val="22"/>
          <w:szCs w:val="22"/>
          <w:lang w:val="es-ES" w:eastAsia="en-US"/>
        </w:rPr>
      </w:pPr>
      <w:r w:rsidRPr="00C66D21">
        <w:rPr>
          <w:rFonts w:ascii="Verdana" w:eastAsia="Calibri" w:hAnsi="Verdana"/>
          <w:sz w:val="22"/>
          <w:szCs w:val="22"/>
          <w:lang w:val="es-ES" w:eastAsia="en-US"/>
        </w:rPr>
        <w:lastRenderedPageBreak/>
        <w:t xml:space="preserve"> </w:t>
      </w:r>
      <w:r w:rsidRPr="00C66D21">
        <w:rPr>
          <w:rFonts w:eastAsia="Calibri"/>
          <w:b/>
          <w:bCs/>
          <w:sz w:val="22"/>
          <w:szCs w:val="22"/>
          <w:lang w:val="es-ES" w:eastAsia="en-US"/>
        </w:rPr>
        <w:t xml:space="preserve">Tabla 1 - </w:t>
      </w:r>
      <w:r w:rsidRPr="00C66D21">
        <w:rPr>
          <w:rFonts w:eastAsia="Calibri"/>
          <w:bCs/>
          <w:sz w:val="22"/>
          <w:szCs w:val="22"/>
          <w:lang w:val="es-ES" w:eastAsia="en-US"/>
        </w:rPr>
        <w:t>Nivel de cumplimiento de principios éticos</w:t>
      </w:r>
    </w:p>
    <w:p w14:paraId="17FB0072" w14:textId="0AA0BE71" w:rsidR="00C66D21" w:rsidRDefault="00CE1433" w:rsidP="00CE1433">
      <w:pPr>
        <w:spacing w:line="360" w:lineRule="auto"/>
        <w:jc w:val="center"/>
        <w:rPr>
          <w:rFonts w:eastAsia="Calibri"/>
          <w:lang w:val="es-ES" w:eastAsia="en-US"/>
        </w:rPr>
      </w:pPr>
      <w:r>
        <w:rPr>
          <w:rFonts w:eastAsia="Calibri"/>
          <w:noProof/>
          <w:lang w:val="es-ES" w:eastAsia="en-US"/>
        </w:rPr>
        <w:drawing>
          <wp:inline distT="0" distB="0" distL="0" distR="0" wp14:anchorId="53B69AAA" wp14:editId="058708BB">
            <wp:extent cx="3866667" cy="2609524"/>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866667" cy="2609524"/>
                    </a:xfrm>
                    <a:prstGeom prst="rect">
                      <a:avLst/>
                    </a:prstGeom>
                  </pic:spPr>
                </pic:pic>
              </a:graphicData>
            </a:graphic>
          </wp:inline>
        </w:drawing>
      </w:r>
    </w:p>
    <w:p w14:paraId="4F299935" w14:textId="77777777" w:rsidR="00CE1433" w:rsidRPr="00C66D21" w:rsidRDefault="00CE1433" w:rsidP="00C66D21">
      <w:pPr>
        <w:spacing w:line="360" w:lineRule="auto"/>
        <w:jc w:val="both"/>
        <w:rPr>
          <w:rFonts w:eastAsia="Calibri"/>
          <w:lang w:val="es-ES" w:eastAsia="en-US"/>
        </w:rPr>
      </w:pPr>
    </w:p>
    <w:p w14:paraId="134CD601"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En la</w:t>
      </w:r>
      <w:r w:rsidRPr="00C66D21">
        <w:rPr>
          <w:rFonts w:eastAsia="Calibri"/>
          <w:color w:val="70AD47"/>
          <w:lang w:val="es-ES" w:eastAsia="en-US"/>
        </w:rPr>
        <w:t xml:space="preserve"> </w:t>
      </w:r>
      <w:r w:rsidRPr="00C66D21">
        <w:rPr>
          <w:rFonts w:eastAsia="Calibri"/>
          <w:lang w:val="es-ES" w:eastAsia="en-US"/>
        </w:rPr>
        <w:t>figura 2</w:t>
      </w:r>
      <w:r w:rsidRPr="00C66D21">
        <w:rPr>
          <w:rFonts w:eastAsia="Calibri"/>
          <w:color w:val="70AD47"/>
          <w:lang w:val="es-ES" w:eastAsia="en-US"/>
        </w:rPr>
        <w:t xml:space="preserve"> </w:t>
      </w:r>
      <w:r w:rsidRPr="00C66D21">
        <w:rPr>
          <w:rFonts w:eastAsia="Calibri"/>
          <w:lang w:val="es-ES" w:eastAsia="en-US"/>
        </w:rPr>
        <w:t>resultan inadecuados los indicadores relacionados con la confección de las historias clínicas (3.1), la integralidad para evaluar a los pacientes (3.2), así como las actividades educativas a desarrollar en este escenario (3.6). Son pocos adecuados el indicador 3.3 relacionado con las remisiones a los especialistas y la satisfacción del adulto mayor y su familia (3.5).</w:t>
      </w:r>
    </w:p>
    <w:p w14:paraId="05BAADDF" w14:textId="77777777" w:rsidR="00C66D21" w:rsidRPr="00C66D21" w:rsidRDefault="00C66D21" w:rsidP="00C66D21">
      <w:pPr>
        <w:spacing w:line="360" w:lineRule="auto"/>
        <w:jc w:val="both"/>
        <w:rPr>
          <w:rFonts w:eastAsia="Calibri"/>
          <w:lang w:val="es-ES" w:eastAsia="en-US"/>
        </w:rPr>
      </w:pPr>
    </w:p>
    <w:p w14:paraId="65ACFEC1" w14:textId="77777777" w:rsidR="00C66D21" w:rsidRPr="00C66D21" w:rsidRDefault="00C66D21" w:rsidP="00C66D21">
      <w:pPr>
        <w:spacing w:line="360" w:lineRule="auto"/>
        <w:jc w:val="center"/>
        <w:rPr>
          <w:rFonts w:eastAsia="Calibri"/>
          <w:sz w:val="22"/>
          <w:szCs w:val="22"/>
          <w:lang w:val="es-ES" w:eastAsia="en-US"/>
        </w:rPr>
      </w:pPr>
      <w:r w:rsidRPr="00C66D21">
        <w:rPr>
          <w:rFonts w:eastAsia="Calibri"/>
          <w:noProof/>
          <w:sz w:val="22"/>
          <w:szCs w:val="22"/>
          <w:lang w:val="es-ES" w:eastAsia="en-US"/>
        </w:rPr>
        <w:drawing>
          <wp:inline distT="0" distB="0" distL="0" distR="0" wp14:anchorId="505BAC72" wp14:editId="67F37DAF">
            <wp:extent cx="5971540" cy="27673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5971540" cy="2767330"/>
                    </a:xfrm>
                    <a:prstGeom prst="rect">
                      <a:avLst/>
                    </a:prstGeom>
                  </pic:spPr>
                </pic:pic>
              </a:graphicData>
            </a:graphic>
          </wp:inline>
        </w:drawing>
      </w:r>
    </w:p>
    <w:p w14:paraId="38B61B8A" w14:textId="77777777" w:rsidR="00C66D21" w:rsidRPr="00C66D21" w:rsidRDefault="00C66D21" w:rsidP="00C66D21">
      <w:pPr>
        <w:spacing w:line="360" w:lineRule="auto"/>
        <w:jc w:val="center"/>
        <w:rPr>
          <w:rFonts w:eastAsia="Calibri"/>
          <w:sz w:val="22"/>
          <w:szCs w:val="22"/>
          <w:lang w:val="es-ES" w:eastAsia="en-US"/>
        </w:rPr>
      </w:pPr>
      <w:r w:rsidRPr="00C66D21">
        <w:rPr>
          <w:rFonts w:eastAsia="Calibri"/>
          <w:b/>
          <w:sz w:val="22"/>
          <w:szCs w:val="22"/>
          <w:lang w:val="es-ES" w:eastAsia="en-US"/>
        </w:rPr>
        <w:lastRenderedPageBreak/>
        <w:t xml:space="preserve">Fig. 2 </w:t>
      </w:r>
      <w:r w:rsidRPr="00C66D21">
        <w:rPr>
          <w:rFonts w:eastAsia="Calibri"/>
          <w:sz w:val="22"/>
          <w:szCs w:val="22"/>
          <w:lang w:val="es-ES" w:eastAsia="en-US"/>
        </w:rPr>
        <w:t>- Dimensión asistencial.</w:t>
      </w:r>
    </w:p>
    <w:p w14:paraId="3D4B466A" w14:textId="77777777" w:rsidR="00C66D21" w:rsidRPr="00C66D21" w:rsidRDefault="00C66D21" w:rsidP="00C66D21">
      <w:pPr>
        <w:spacing w:line="360" w:lineRule="auto"/>
        <w:jc w:val="both"/>
        <w:rPr>
          <w:rFonts w:eastAsia="Calibri"/>
          <w:lang w:val="es-ES" w:eastAsia="en-US"/>
        </w:rPr>
      </w:pPr>
    </w:p>
    <w:p w14:paraId="0BD91CB7"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La tabla 2 recoge que solo un 14,2 % de facultativos encuestados se consideran preparados metodológicamente para investigar y un 42,9 % con poca o ninguna capacidad, lo que dificulta cumplir con los indicadores 4.2 y 4.3 (realización de publicaciones y participación en jornadas relacionadas con la temática). Solo 2 médicos encuestados habían participado en jornadas científicas y </w:t>
      </w:r>
      <w:proofErr w:type="gramStart"/>
      <w:r w:rsidRPr="00C66D21">
        <w:rPr>
          <w:rFonts w:eastAsia="Calibri"/>
          <w:lang w:val="es-ES" w:eastAsia="en-US"/>
        </w:rPr>
        <w:t>publicado trabajos</w:t>
      </w:r>
      <w:proofErr w:type="gramEnd"/>
      <w:r w:rsidRPr="00C66D21">
        <w:rPr>
          <w:rFonts w:eastAsia="Calibri"/>
          <w:lang w:val="es-ES" w:eastAsia="en-US"/>
        </w:rPr>
        <w:t xml:space="preserve"> (7,7 %); ello sitúa el indicador 4.2 en un rango inadecuado.</w:t>
      </w:r>
    </w:p>
    <w:p w14:paraId="232F418B" w14:textId="77777777" w:rsidR="00C66D21" w:rsidRPr="00C66D21" w:rsidRDefault="00C66D21" w:rsidP="00C66D21">
      <w:pPr>
        <w:spacing w:line="360" w:lineRule="auto"/>
        <w:jc w:val="both"/>
        <w:rPr>
          <w:rFonts w:eastAsia="Calibri"/>
          <w:b/>
          <w:bCs/>
          <w:color w:val="000000"/>
          <w:lang w:val="es-ES" w:eastAsia="en-US"/>
        </w:rPr>
      </w:pPr>
    </w:p>
    <w:p w14:paraId="66F239A6" w14:textId="77777777" w:rsidR="00C66D21" w:rsidRPr="00C66D21" w:rsidRDefault="00C66D21" w:rsidP="00C66D21">
      <w:pPr>
        <w:spacing w:line="360" w:lineRule="auto"/>
        <w:jc w:val="center"/>
        <w:rPr>
          <w:rFonts w:eastAsia="Calibri"/>
          <w:bCs/>
          <w:color w:val="000000"/>
          <w:sz w:val="22"/>
          <w:szCs w:val="22"/>
          <w:lang w:val="es-ES" w:eastAsia="en-US"/>
        </w:rPr>
      </w:pPr>
      <w:r w:rsidRPr="00C66D21">
        <w:rPr>
          <w:rFonts w:eastAsia="Calibri"/>
          <w:b/>
          <w:bCs/>
          <w:color w:val="000000"/>
          <w:sz w:val="22"/>
          <w:szCs w:val="22"/>
          <w:lang w:val="es-ES" w:eastAsia="en-US"/>
        </w:rPr>
        <w:t xml:space="preserve">Tabla 2 - </w:t>
      </w:r>
      <w:r w:rsidRPr="00C66D21">
        <w:rPr>
          <w:rFonts w:eastAsia="Calibri"/>
          <w:bCs/>
          <w:color w:val="000000"/>
          <w:sz w:val="22"/>
          <w:szCs w:val="22"/>
          <w:lang w:val="es-ES" w:eastAsia="en-US"/>
        </w:rPr>
        <w:t xml:space="preserve">Preparación metodológica para la investigación científica de </w:t>
      </w:r>
      <w:r w:rsidRPr="00C66D21">
        <w:rPr>
          <w:rFonts w:eastAsia="Calibri"/>
          <w:bCs/>
          <w:color w:val="000000"/>
          <w:sz w:val="22"/>
          <w:szCs w:val="22"/>
          <w:lang w:val="es-ES" w:eastAsia="en-US"/>
        </w:rPr>
        <w:br/>
        <w:t>médicos encuestados según años de graduado</w:t>
      </w:r>
    </w:p>
    <w:p w14:paraId="771ECECF" w14:textId="1F5BD1D0" w:rsidR="00C66D21" w:rsidRDefault="00CE1433" w:rsidP="00CE1433">
      <w:pPr>
        <w:spacing w:line="360" w:lineRule="auto"/>
        <w:jc w:val="center"/>
        <w:rPr>
          <w:rFonts w:eastAsia="Calibri"/>
          <w:b/>
          <w:bCs/>
          <w:color w:val="000000"/>
          <w:lang w:val="es-ES" w:eastAsia="en-US"/>
        </w:rPr>
      </w:pPr>
      <w:r>
        <w:rPr>
          <w:rFonts w:eastAsia="Calibri"/>
          <w:b/>
          <w:bCs/>
          <w:noProof/>
          <w:color w:val="000000"/>
          <w:lang w:val="es-ES" w:eastAsia="en-US"/>
        </w:rPr>
        <w:drawing>
          <wp:inline distT="0" distB="0" distL="0" distR="0" wp14:anchorId="208CED62" wp14:editId="583A7206">
            <wp:extent cx="4533333" cy="1457143"/>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533333" cy="1457143"/>
                    </a:xfrm>
                    <a:prstGeom prst="rect">
                      <a:avLst/>
                    </a:prstGeom>
                  </pic:spPr>
                </pic:pic>
              </a:graphicData>
            </a:graphic>
          </wp:inline>
        </w:drawing>
      </w:r>
    </w:p>
    <w:p w14:paraId="69F04A90" w14:textId="77777777" w:rsidR="00CE1433" w:rsidRPr="00C66D21" w:rsidRDefault="00CE1433" w:rsidP="00CE1433">
      <w:pPr>
        <w:spacing w:line="360" w:lineRule="auto"/>
        <w:jc w:val="center"/>
        <w:rPr>
          <w:rFonts w:eastAsia="Calibri"/>
          <w:b/>
          <w:bCs/>
          <w:color w:val="000000"/>
          <w:lang w:val="es-ES" w:eastAsia="en-US"/>
        </w:rPr>
      </w:pPr>
    </w:p>
    <w:p w14:paraId="73F0C359" w14:textId="77777777" w:rsidR="00C66D21" w:rsidRPr="00C66D21" w:rsidRDefault="00C66D21" w:rsidP="00C66D21">
      <w:pPr>
        <w:spacing w:line="360" w:lineRule="auto"/>
        <w:jc w:val="both"/>
        <w:rPr>
          <w:rFonts w:eastAsia="Calibri"/>
          <w:b/>
          <w:bCs/>
          <w:color w:val="000000"/>
          <w:lang w:val="es-ES" w:eastAsia="en-US"/>
        </w:rPr>
      </w:pPr>
    </w:p>
    <w:p w14:paraId="768319C0" w14:textId="77777777" w:rsidR="00C66D21" w:rsidRPr="00C66D21" w:rsidRDefault="00C66D21" w:rsidP="00C66D21">
      <w:pPr>
        <w:spacing w:line="360" w:lineRule="auto"/>
        <w:jc w:val="center"/>
        <w:rPr>
          <w:rFonts w:eastAsia="Calibri"/>
          <w:sz w:val="22"/>
          <w:szCs w:val="22"/>
          <w:lang w:val="es-ES" w:eastAsia="en-US"/>
        </w:rPr>
      </w:pPr>
      <w:r w:rsidRPr="00C66D21">
        <w:rPr>
          <w:rFonts w:eastAsia="Calibri"/>
          <w:noProof/>
          <w:sz w:val="22"/>
          <w:szCs w:val="22"/>
          <w:lang w:val="es-ES" w:eastAsia="en-US"/>
        </w:rPr>
        <w:lastRenderedPageBreak/>
        <w:drawing>
          <wp:inline distT="0" distB="0" distL="0" distR="0" wp14:anchorId="03298E7A" wp14:editId="6C4B8102">
            <wp:extent cx="4838700" cy="2876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7">
                      <a:extLst>
                        <a:ext uri="{28A0092B-C50C-407E-A947-70E740481C1C}">
                          <a14:useLocalDpi xmlns:a14="http://schemas.microsoft.com/office/drawing/2010/main" val="0"/>
                        </a:ext>
                      </a:extLst>
                    </a:blip>
                    <a:stretch>
                      <a:fillRect/>
                    </a:stretch>
                  </pic:blipFill>
                  <pic:spPr>
                    <a:xfrm>
                      <a:off x="0" y="0"/>
                      <a:ext cx="4838700" cy="2876550"/>
                    </a:xfrm>
                    <a:prstGeom prst="rect">
                      <a:avLst/>
                    </a:prstGeom>
                  </pic:spPr>
                </pic:pic>
              </a:graphicData>
            </a:graphic>
          </wp:inline>
        </w:drawing>
      </w:r>
    </w:p>
    <w:p w14:paraId="1E7FD4A9" w14:textId="77777777" w:rsidR="00C66D21" w:rsidRPr="00C66D21" w:rsidRDefault="00C66D21" w:rsidP="00C66D21">
      <w:pPr>
        <w:spacing w:line="360" w:lineRule="auto"/>
        <w:jc w:val="center"/>
        <w:rPr>
          <w:rFonts w:eastAsia="Calibri"/>
          <w:bCs/>
          <w:sz w:val="22"/>
          <w:szCs w:val="22"/>
          <w:lang w:val="es-ES" w:eastAsia="en-US"/>
        </w:rPr>
      </w:pPr>
      <w:r w:rsidRPr="00C66D21">
        <w:rPr>
          <w:rFonts w:eastAsia="Calibri"/>
          <w:b/>
          <w:bCs/>
          <w:sz w:val="22"/>
          <w:szCs w:val="22"/>
          <w:lang w:val="es-ES" w:eastAsia="en-US"/>
        </w:rPr>
        <w:t>Fig. 3 -</w:t>
      </w:r>
      <w:r w:rsidRPr="00C66D21">
        <w:rPr>
          <w:rFonts w:eastAsia="Calibri"/>
          <w:bCs/>
          <w:sz w:val="22"/>
          <w:szCs w:val="22"/>
          <w:lang w:val="es-ES" w:eastAsia="en-US"/>
        </w:rPr>
        <w:t xml:space="preserve"> Triangulación por instrumentos.</w:t>
      </w:r>
    </w:p>
    <w:p w14:paraId="290E1F41" w14:textId="77777777" w:rsidR="00C66D21" w:rsidRPr="00C66D21" w:rsidRDefault="00C66D21" w:rsidP="00C66D21">
      <w:pPr>
        <w:spacing w:line="360" w:lineRule="auto"/>
        <w:jc w:val="center"/>
        <w:rPr>
          <w:rFonts w:eastAsia="Calibri"/>
          <w:bCs/>
          <w:sz w:val="22"/>
          <w:szCs w:val="22"/>
          <w:lang w:val="es-ES" w:eastAsia="en-US"/>
        </w:rPr>
      </w:pPr>
    </w:p>
    <w:p w14:paraId="1DD1BB82"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La figura 3 muestra las calificaciones más bajas en las dimensiones cognitiva, asistencial y científica-investigativa; en desarrollo se encuentra la dimensión bioética.</w:t>
      </w:r>
    </w:p>
    <w:p w14:paraId="12133B3A" w14:textId="77777777" w:rsidR="00C66D21" w:rsidRPr="00C66D21" w:rsidRDefault="00C66D21" w:rsidP="00C66D21">
      <w:pPr>
        <w:spacing w:line="360" w:lineRule="auto"/>
        <w:jc w:val="center"/>
        <w:rPr>
          <w:rFonts w:eastAsia="Calibri"/>
          <w:b/>
          <w:lang w:val="es-ES" w:eastAsia="en-US"/>
        </w:rPr>
      </w:pPr>
    </w:p>
    <w:p w14:paraId="06D3E11D" w14:textId="77777777" w:rsidR="00C66D21" w:rsidRPr="00C66D21" w:rsidRDefault="00C66D21" w:rsidP="00C66D21">
      <w:pPr>
        <w:spacing w:line="360" w:lineRule="auto"/>
        <w:jc w:val="center"/>
        <w:rPr>
          <w:rFonts w:eastAsia="Calibri"/>
          <w:b/>
          <w:lang w:val="es-ES" w:eastAsia="en-US"/>
        </w:rPr>
      </w:pPr>
    </w:p>
    <w:p w14:paraId="096FBC20" w14:textId="77777777" w:rsidR="00C66D21" w:rsidRPr="00C66D21" w:rsidRDefault="00C66D21" w:rsidP="00C66D21">
      <w:pPr>
        <w:spacing w:line="360" w:lineRule="auto"/>
        <w:jc w:val="center"/>
        <w:rPr>
          <w:rFonts w:eastAsia="Calibri"/>
          <w:b/>
          <w:sz w:val="32"/>
          <w:szCs w:val="32"/>
          <w:lang w:val="es-ES" w:eastAsia="en-US"/>
        </w:rPr>
      </w:pPr>
      <w:r w:rsidRPr="00C66D21">
        <w:rPr>
          <w:rFonts w:eastAsia="Calibri"/>
          <w:b/>
          <w:sz w:val="32"/>
          <w:szCs w:val="32"/>
          <w:lang w:val="es-ES" w:eastAsia="en-US"/>
        </w:rPr>
        <w:t>DISCUSIÓN</w:t>
      </w:r>
    </w:p>
    <w:p w14:paraId="1E90E002"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El desempeño, según el diccionario de la Real Academia de la Lengua </w:t>
      </w:r>
      <w:proofErr w:type="gramStart"/>
      <w:r w:rsidRPr="00C66D21">
        <w:rPr>
          <w:rFonts w:eastAsia="Calibri"/>
          <w:lang w:val="es-ES" w:eastAsia="en-US"/>
        </w:rPr>
        <w:t>Española,</w:t>
      </w:r>
      <w:r w:rsidRPr="00C66D21">
        <w:rPr>
          <w:rFonts w:eastAsia="Calibri"/>
          <w:vertAlign w:val="superscript"/>
          <w:lang w:val="es-ES" w:eastAsia="en-US"/>
        </w:rPr>
        <w:t>(</w:t>
      </w:r>
      <w:proofErr w:type="gramEnd"/>
      <w:r w:rsidRPr="00C66D21">
        <w:rPr>
          <w:rFonts w:eastAsia="Calibri"/>
          <w:vertAlign w:val="superscript"/>
          <w:lang w:val="es-ES" w:eastAsia="en-US"/>
        </w:rPr>
        <w:t>14)</w:t>
      </w:r>
      <w:r w:rsidRPr="00C66D21">
        <w:rPr>
          <w:rFonts w:eastAsia="Calibri"/>
          <w:lang w:val="es-ES" w:eastAsia="en-US"/>
        </w:rPr>
        <w:t xml:space="preserve"> “es la acción y efecto de desempeñar o desempeñarse”, el desempeño profesional está relacionado con la capacidad, conducta, habilidad, idoneidad, comportamiento, competencia de los profesionales para realizar su profesión, implica procesos competitivos, flexibles y abiertos en los que se demuestra el saber, el saber hacer y el ser.</w:t>
      </w:r>
      <w:r w:rsidRPr="00C66D21">
        <w:rPr>
          <w:rFonts w:eastAsia="Calibri"/>
          <w:vertAlign w:val="superscript"/>
          <w:lang w:val="es-ES" w:eastAsia="en-US"/>
        </w:rPr>
        <w:t>(15,16)</w:t>
      </w:r>
    </w:p>
    <w:p w14:paraId="36EE7209"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Los autores de la presente investigación consideran la necesidad de potenciar la superación profesional del especialista en MGI para la atención integral al adulto mayor frágil, a partir de redimensionar los indicadores que posibilitan un mejoramiento de su desempeño profesional. </w:t>
      </w:r>
    </w:p>
    <w:p w14:paraId="74999DC8"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Hoy la promoción de salud representa un nuevo reto para la atención primaria de salud en general y para los médicos de familia en particular, lo cual demanda una formación permanente y sistemática de estos </w:t>
      </w:r>
      <w:proofErr w:type="gramStart"/>
      <w:r w:rsidRPr="00C66D21">
        <w:rPr>
          <w:rFonts w:eastAsia="Calibri"/>
          <w:lang w:val="es-ES" w:eastAsia="en-US"/>
        </w:rPr>
        <w:lastRenderedPageBreak/>
        <w:t>profesionales.</w:t>
      </w:r>
      <w:r w:rsidRPr="00C66D21">
        <w:rPr>
          <w:rFonts w:eastAsia="Calibri"/>
          <w:vertAlign w:val="superscript"/>
          <w:lang w:val="es-ES" w:eastAsia="en-US"/>
        </w:rPr>
        <w:t>(</w:t>
      </w:r>
      <w:proofErr w:type="gramEnd"/>
      <w:r w:rsidRPr="00C66D21">
        <w:rPr>
          <w:rFonts w:eastAsia="Calibri"/>
          <w:vertAlign w:val="superscript"/>
          <w:lang w:val="es-ES" w:eastAsia="en-US"/>
        </w:rPr>
        <w:t xml:space="preserve">17,18) </w:t>
      </w:r>
      <w:r w:rsidRPr="00C66D21">
        <w:rPr>
          <w:rFonts w:eastAsia="Calibri"/>
          <w:lang w:val="es-ES" w:eastAsia="en-US"/>
        </w:rPr>
        <w:t xml:space="preserve">Ello permite garantizar un diagnóstico y seguimiento adecuado del adulto mayor frágil en correspondencia con sus conocimientos y habilidades. </w:t>
      </w:r>
    </w:p>
    <w:p w14:paraId="4446EBAE"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La profundización teórica efectuada permitió concluir, que existe una relación directa entre el proceso de superación profesional, el mejoramiento del desempeño profesional y la calidad de la atención integral al adulto mayor frágil. La relación anterior constituye un aspecto fundamental en esta investigación. </w:t>
      </w:r>
    </w:p>
    <w:p w14:paraId="6FCC4CF2" w14:textId="77777777" w:rsidR="00C66D21" w:rsidRPr="00C66D21" w:rsidRDefault="00C66D21" w:rsidP="00C66D21">
      <w:pPr>
        <w:shd w:val="clear" w:color="auto" w:fill="FFFFFF"/>
        <w:spacing w:line="360" w:lineRule="auto"/>
        <w:jc w:val="both"/>
        <w:textAlignment w:val="baseline"/>
        <w:rPr>
          <w:color w:val="000000"/>
          <w:bdr w:val="none" w:sz="0" w:space="0" w:color="auto" w:frame="1"/>
          <w:lang w:val="es-ES" w:eastAsia="es-ES"/>
        </w:rPr>
      </w:pPr>
      <w:r w:rsidRPr="00C66D21">
        <w:rPr>
          <w:i/>
          <w:iCs/>
          <w:color w:val="000000"/>
          <w:bdr w:val="none" w:sz="0" w:space="0" w:color="auto" w:frame="1"/>
          <w:lang w:val="es-ES" w:eastAsia="es-ES"/>
        </w:rPr>
        <w:t>García Parodi </w:t>
      </w:r>
      <w:r w:rsidRPr="00C66D21">
        <w:rPr>
          <w:color w:val="000000"/>
          <w:bdr w:val="none" w:sz="0" w:space="0" w:color="auto" w:frame="1"/>
          <w:lang w:val="es-ES" w:eastAsia="es-ES"/>
        </w:rPr>
        <w:t xml:space="preserve">y </w:t>
      </w:r>
      <w:proofErr w:type="gramStart"/>
      <w:r w:rsidRPr="00C66D21">
        <w:rPr>
          <w:color w:val="000000"/>
          <w:bdr w:val="none" w:sz="0" w:space="0" w:color="auto" w:frame="1"/>
          <w:lang w:val="es-ES" w:eastAsia="es-ES"/>
        </w:rPr>
        <w:t>otros,</w:t>
      </w:r>
      <w:r w:rsidRPr="00C66D21">
        <w:rPr>
          <w:color w:val="000000"/>
          <w:bdr w:val="none" w:sz="0" w:space="0" w:color="auto" w:frame="1"/>
          <w:vertAlign w:val="superscript"/>
          <w:lang w:val="es-ES" w:eastAsia="es-ES"/>
        </w:rPr>
        <w:t>(</w:t>
      </w:r>
      <w:proofErr w:type="gramEnd"/>
      <w:r w:rsidRPr="00C66D21">
        <w:rPr>
          <w:color w:val="000000"/>
          <w:bdr w:val="none" w:sz="0" w:space="0" w:color="auto" w:frame="1"/>
          <w:vertAlign w:val="superscript"/>
          <w:lang w:val="es-ES" w:eastAsia="es-ES"/>
        </w:rPr>
        <w:t>19)</w:t>
      </w:r>
      <w:r w:rsidRPr="00C66D21">
        <w:rPr>
          <w:color w:val="000000"/>
          <w:bdr w:val="none" w:sz="0" w:space="0" w:color="auto" w:frame="1"/>
          <w:lang w:val="es-ES" w:eastAsia="es-ES"/>
        </w:rPr>
        <w:t> en una investigación relacionada con una estrategia de superación profesoral sobre la atención integral al adulto mayor, indican que esta contribuyó al incremento de la importancia del conocimiento y el desempeño en los tutores, así como una mayor participación en las actividades de ciencia y técnica relacionada en la temática; los autores de este estudio consideran muy loable esta iniciativa, pero que debe extenderse a todo el personal facultativo. En concordancia con este criterio, </w:t>
      </w:r>
      <w:r w:rsidRPr="00C66D21">
        <w:rPr>
          <w:i/>
          <w:iCs/>
          <w:color w:val="000000"/>
          <w:bdr w:val="none" w:sz="0" w:space="0" w:color="auto" w:frame="1"/>
          <w:lang w:val="es-ES" w:eastAsia="es-ES"/>
        </w:rPr>
        <w:t>Bouza Plasencia</w:t>
      </w:r>
      <w:r w:rsidRPr="00C66D21">
        <w:rPr>
          <w:color w:val="000000"/>
          <w:bdr w:val="none" w:sz="0" w:space="0" w:color="auto" w:frame="1"/>
          <w:lang w:val="es-ES" w:eastAsia="es-ES"/>
        </w:rPr>
        <w:t xml:space="preserve"> y </w:t>
      </w:r>
      <w:proofErr w:type="gramStart"/>
      <w:r w:rsidRPr="00C66D21">
        <w:rPr>
          <w:color w:val="000000"/>
          <w:bdr w:val="none" w:sz="0" w:space="0" w:color="auto" w:frame="1"/>
          <w:lang w:val="es-ES" w:eastAsia="es-ES"/>
        </w:rPr>
        <w:t>otros,</w:t>
      </w:r>
      <w:r w:rsidRPr="00C66D21">
        <w:rPr>
          <w:color w:val="000000"/>
          <w:bdr w:val="none" w:sz="0" w:space="0" w:color="auto" w:frame="1"/>
          <w:vertAlign w:val="superscript"/>
          <w:lang w:val="es-ES" w:eastAsia="es-ES"/>
        </w:rPr>
        <w:t>(</w:t>
      </w:r>
      <w:proofErr w:type="gramEnd"/>
      <w:r w:rsidRPr="00C66D21">
        <w:rPr>
          <w:color w:val="000000"/>
          <w:bdr w:val="none" w:sz="0" w:space="0" w:color="auto" w:frame="1"/>
          <w:vertAlign w:val="superscript"/>
          <w:lang w:val="es-ES" w:eastAsia="es-ES"/>
        </w:rPr>
        <w:t>20)</w:t>
      </w:r>
      <w:r w:rsidRPr="00C66D21">
        <w:rPr>
          <w:color w:val="000000"/>
          <w:bdr w:val="none" w:sz="0" w:space="0" w:color="auto" w:frame="1"/>
          <w:lang w:val="es-ES" w:eastAsia="es-ES"/>
        </w:rPr>
        <w:t xml:space="preserve"> en una investigación reciente sobre la calidad de la atención del anciano en 2 policlínicos del municipio de Santiago de Cuba, detectaron que la calidad del proceso de atención en el consultorio médico de la familia y en el grupo básico de trabajo se evalúa como mal. Ello demuestra la falta de competencias al respecto. </w:t>
      </w:r>
    </w:p>
    <w:p w14:paraId="0BB0DED9" w14:textId="77777777" w:rsidR="00C66D21" w:rsidRPr="00C66D21" w:rsidRDefault="00C66D21" w:rsidP="00C66D21">
      <w:pPr>
        <w:shd w:val="clear" w:color="auto" w:fill="FFFFFF"/>
        <w:spacing w:line="360" w:lineRule="auto"/>
        <w:jc w:val="both"/>
        <w:textAlignment w:val="baseline"/>
        <w:rPr>
          <w:color w:val="000000"/>
          <w:sz w:val="28"/>
          <w:szCs w:val="28"/>
          <w:lang w:val="es-ES" w:eastAsia="es-ES"/>
        </w:rPr>
      </w:pPr>
      <w:r w:rsidRPr="00C66D21">
        <w:rPr>
          <w:color w:val="000000"/>
          <w:bdr w:val="none" w:sz="0" w:space="0" w:color="auto" w:frame="1"/>
          <w:lang w:val="es-ES" w:eastAsia="es-ES"/>
        </w:rPr>
        <w:t xml:space="preserve">Otras </w:t>
      </w:r>
      <w:proofErr w:type="gramStart"/>
      <w:r w:rsidRPr="00C66D21">
        <w:rPr>
          <w:color w:val="000000"/>
          <w:bdr w:val="none" w:sz="0" w:space="0" w:color="auto" w:frame="1"/>
          <w:lang w:val="es-ES" w:eastAsia="es-ES"/>
        </w:rPr>
        <w:t>investigaciones</w:t>
      </w:r>
      <w:r w:rsidRPr="00C66D21">
        <w:rPr>
          <w:color w:val="000000"/>
          <w:bdr w:val="none" w:sz="0" w:space="0" w:color="auto" w:frame="1"/>
          <w:vertAlign w:val="superscript"/>
          <w:lang w:val="es-ES" w:eastAsia="es-ES"/>
        </w:rPr>
        <w:t>(</w:t>
      </w:r>
      <w:proofErr w:type="gramEnd"/>
      <w:r w:rsidRPr="00C66D21">
        <w:rPr>
          <w:color w:val="000000"/>
          <w:bdr w:val="none" w:sz="0" w:space="0" w:color="auto" w:frame="1"/>
          <w:vertAlign w:val="superscript"/>
          <w:lang w:val="es-ES" w:eastAsia="es-ES"/>
        </w:rPr>
        <w:t xml:space="preserve">21,22,23) </w:t>
      </w:r>
      <w:r w:rsidRPr="00C66D21">
        <w:rPr>
          <w:color w:val="000000"/>
          <w:bdr w:val="none" w:sz="0" w:space="0" w:color="auto" w:frame="1"/>
          <w:lang w:val="es-ES" w:eastAsia="es-ES"/>
        </w:rPr>
        <w:t>ponen de manifiesto un insuficiente conocimiento de los factores desencadenantes de la fragilidad. </w:t>
      </w:r>
      <w:r w:rsidRPr="00C66D21">
        <w:rPr>
          <w:i/>
          <w:iCs/>
          <w:color w:val="000000"/>
          <w:bdr w:val="none" w:sz="0" w:space="0" w:color="auto" w:frame="1"/>
          <w:lang w:val="es-ES" w:eastAsia="es-ES"/>
        </w:rPr>
        <w:t xml:space="preserve">López </w:t>
      </w:r>
      <w:proofErr w:type="gramStart"/>
      <w:r w:rsidRPr="00C66D21">
        <w:rPr>
          <w:i/>
          <w:iCs/>
          <w:color w:val="000000"/>
          <w:bdr w:val="none" w:sz="0" w:space="0" w:color="auto" w:frame="1"/>
          <w:lang w:val="es-ES" w:eastAsia="es-ES"/>
        </w:rPr>
        <w:t>Fábregas</w:t>
      </w:r>
      <w:r w:rsidRPr="00C66D21">
        <w:rPr>
          <w:color w:val="000000"/>
          <w:bdr w:val="none" w:sz="0" w:space="0" w:color="auto" w:frame="1"/>
          <w:vertAlign w:val="superscript"/>
          <w:lang w:val="es-ES" w:eastAsia="es-ES"/>
        </w:rPr>
        <w:t>(</w:t>
      </w:r>
      <w:proofErr w:type="gramEnd"/>
      <w:r w:rsidRPr="00C66D21">
        <w:rPr>
          <w:color w:val="000000"/>
          <w:bdr w:val="none" w:sz="0" w:space="0" w:color="auto" w:frame="1"/>
          <w:vertAlign w:val="superscript"/>
          <w:lang w:val="es-ES" w:eastAsia="es-ES"/>
        </w:rPr>
        <w:t>22)</w:t>
      </w:r>
      <w:r w:rsidRPr="00C66D21">
        <w:rPr>
          <w:color w:val="000000"/>
          <w:bdr w:val="none" w:sz="0" w:space="0" w:color="auto" w:frame="1"/>
          <w:lang w:val="es-ES" w:eastAsia="es-ES"/>
        </w:rPr>
        <w:t> propone criterios cubanos de fragilidad agrupados en 4 categorías: médicos, funcionales, mentales y sociodemográficos.</w:t>
      </w:r>
    </w:p>
    <w:p w14:paraId="1B61D2EC" w14:textId="77777777" w:rsidR="00C66D21" w:rsidRPr="00C66D21" w:rsidRDefault="00C66D21" w:rsidP="00C66D21">
      <w:pPr>
        <w:spacing w:line="360" w:lineRule="auto"/>
        <w:jc w:val="both"/>
        <w:rPr>
          <w:rFonts w:eastAsia="Calibri"/>
          <w:lang w:val="es-ES" w:eastAsia="en-US"/>
        </w:rPr>
      </w:pPr>
      <w:r w:rsidRPr="00C66D21">
        <w:rPr>
          <w:i/>
          <w:iCs/>
          <w:color w:val="000000"/>
          <w:bdr w:val="none" w:sz="0" w:space="0" w:color="auto" w:frame="1"/>
          <w:shd w:val="clear" w:color="auto" w:fill="FFFFFF"/>
          <w:lang w:val="es-ES" w:eastAsia="es-ES"/>
        </w:rPr>
        <w:t xml:space="preserve">Tello Rodríguez </w:t>
      </w:r>
      <w:proofErr w:type="gramStart"/>
      <w:r w:rsidRPr="00C66D21">
        <w:rPr>
          <w:i/>
          <w:iCs/>
          <w:color w:val="000000"/>
          <w:bdr w:val="none" w:sz="0" w:space="0" w:color="auto" w:frame="1"/>
          <w:shd w:val="clear" w:color="auto" w:fill="FFFFFF"/>
          <w:lang w:val="es-ES" w:eastAsia="es-ES"/>
        </w:rPr>
        <w:t>T</w:t>
      </w:r>
      <w:r w:rsidRPr="00C66D21">
        <w:rPr>
          <w:color w:val="000000"/>
          <w:bdr w:val="none" w:sz="0" w:space="0" w:color="auto" w:frame="1"/>
          <w:shd w:val="clear" w:color="auto" w:fill="FFFFFF"/>
          <w:vertAlign w:val="superscript"/>
          <w:lang w:val="es-ES" w:eastAsia="es-ES"/>
        </w:rPr>
        <w:t>(</w:t>
      </w:r>
      <w:proofErr w:type="gramEnd"/>
      <w:r w:rsidRPr="00C66D21">
        <w:rPr>
          <w:color w:val="000000"/>
          <w:bdr w:val="none" w:sz="0" w:space="0" w:color="auto" w:frame="1"/>
          <w:shd w:val="clear" w:color="auto" w:fill="FFFFFF"/>
          <w:vertAlign w:val="superscript"/>
          <w:lang w:val="es-ES" w:eastAsia="es-ES"/>
        </w:rPr>
        <w:t>23)</w:t>
      </w:r>
      <w:r w:rsidRPr="00C66D21">
        <w:rPr>
          <w:color w:val="000000"/>
          <w:bdr w:val="none" w:sz="0" w:space="0" w:color="auto" w:frame="1"/>
          <w:shd w:val="clear" w:color="auto" w:fill="FFFFFF"/>
          <w:lang w:val="es-ES" w:eastAsia="es-ES"/>
        </w:rPr>
        <w:t> reconoce que la fragilidad está asociada a eventos adversos en los adultos mayores, por lo que es necesario que todos los profesionales de la salud, especialmente los de la atención primaria, identifiquen este grupo de adulto mayor para poder intervenir.</w:t>
      </w:r>
    </w:p>
    <w:p w14:paraId="12E56208"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Los especialistas en MGI, que se desempeñan en la atención primaria, deben asumir las actividades relacionadas con el manejo del adulto mayor frágil y aplicar correctamente </w:t>
      </w:r>
      <w:smartTag w:uri="urn:schemas-microsoft-com:office:smarttags" w:element="PersonName">
        <w:smartTagPr>
          <w:attr w:name="ProductID" w:val="la Escala Geri￡trica"/>
        </w:smartTagPr>
        <w:r w:rsidRPr="00C66D21">
          <w:rPr>
            <w:rFonts w:eastAsia="Calibri"/>
            <w:lang w:val="es-ES" w:eastAsia="en-US"/>
          </w:rPr>
          <w:t>la Escala Geriátrica</w:t>
        </w:r>
      </w:smartTag>
      <w:r w:rsidRPr="00C66D21">
        <w:rPr>
          <w:rFonts w:eastAsia="Calibri"/>
          <w:lang w:val="es-ES" w:eastAsia="en-US"/>
        </w:rPr>
        <w:t xml:space="preserve"> de Evaluación Funcional; también adoptar acciones consecuentes que derivan en el tratamiento oportuno y la disminución de la </w:t>
      </w:r>
      <w:proofErr w:type="gramStart"/>
      <w:r w:rsidRPr="00C66D21">
        <w:rPr>
          <w:rFonts w:eastAsia="Calibri"/>
          <w:lang w:val="es-ES" w:eastAsia="en-US"/>
        </w:rPr>
        <w:t>discapacidad.</w:t>
      </w:r>
      <w:r w:rsidRPr="00C66D21">
        <w:rPr>
          <w:rFonts w:eastAsia="Calibri"/>
          <w:vertAlign w:val="superscript"/>
          <w:lang w:val="es-ES" w:eastAsia="en-US"/>
        </w:rPr>
        <w:t>(</w:t>
      </w:r>
      <w:proofErr w:type="gramEnd"/>
      <w:r w:rsidRPr="00C66D21">
        <w:rPr>
          <w:rFonts w:eastAsia="Calibri"/>
          <w:vertAlign w:val="superscript"/>
          <w:lang w:val="es-ES" w:eastAsia="en-US"/>
        </w:rPr>
        <w:t>24)</w:t>
      </w:r>
    </w:p>
    <w:p w14:paraId="04EE8C86"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Las acciones sugeridas sustentan la responsabilidad del médico de la familia en mantener un alto desempeño profesional clínico, epidemiológico, ético y humanista. </w:t>
      </w:r>
    </w:p>
    <w:p w14:paraId="4E91AC52"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lastRenderedPageBreak/>
        <w:t>Se concluye que existe un insuficiente desempeño de los médicos de familia en la atención integral de los adultos mayores frágiles,</w:t>
      </w:r>
      <w:r w:rsidRPr="00C66D21">
        <w:rPr>
          <w:rFonts w:eastAsia="Calibri"/>
          <w:color w:val="70AD47"/>
          <w:lang w:val="es-ES" w:eastAsia="en-US"/>
        </w:rPr>
        <w:t xml:space="preserve"> </w:t>
      </w:r>
      <w:r w:rsidRPr="00C66D21">
        <w:rPr>
          <w:rFonts w:eastAsia="Calibri"/>
          <w:lang w:val="es-ES" w:eastAsia="en-US"/>
        </w:rPr>
        <w:t>lo que justifica la necesidad de elaborar una estrategia de superación para su mejoramiento.</w:t>
      </w:r>
    </w:p>
    <w:p w14:paraId="458CB61B" w14:textId="77777777" w:rsidR="00C66D21" w:rsidRPr="00C66D21" w:rsidRDefault="00C66D21" w:rsidP="00C66D21">
      <w:pPr>
        <w:spacing w:line="360" w:lineRule="auto"/>
        <w:jc w:val="both"/>
        <w:rPr>
          <w:rFonts w:eastAsia="Calibri"/>
          <w:lang w:val="es-ES" w:eastAsia="en-US"/>
        </w:rPr>
      </w:pPr>
    </w:p>
    <w:p w14:paraId="42330E5D" w14:textId="77777777" w:rsidR="00C66D21" w:rsidRPr="00C66D21" w:rsidRDefault="00C66D21" w:rsidP="00C66D21">
      <w:pPr>
        <w:spacing w:line="360" w:lineRule="auto"/>
        <w:jc w:val="both"/>
        <w:rPr>
          <w:rFonts w:eastAsia="Calibri"/>
          <w:b/>
          <w:lang w:val="es-ES" w:eastAsia="en-US"/>
        </w:rPr>
      </w:pPr>
    </w:p>
    <w:p w14:paraId="3BBAD67C" w14:textId="77777777" w:rsidR="00C66D21" w:rsidRPr="00C66D21" w:rsidRDefault="00C66D21" w:rsidP="00C66D21">
      <w:pPr>
        <w:spacing w:line="360" w:lineRule="auto"/>
        <w:jc w:val="center"/>
        <w:rPr>
          <w:rFonts w:eastAsia="Calibri"/>
          <w:b/>
          <w:sz w:val="32"/>
          <w:szCs w:val="32"/>
          <w:lang w:val="es-ES" w:eastAsia="en-US"/>
        </w:rPr>
      </w:pPr>
      <w:r w:rsidRPr="00C66D21">
        <w:rPr>
          <w:rFonts w:eastAsia="Calibri"/>
          <w:b/>
          <w:sz w:val="32"/>
          <w:szCs w:val="32"/>
          <w:lang w:val="es-ES" w:eastAsia="en-US"/>
        </w:rPr>
        <w:t>REFERENCIAS BIBLIOGRÁFICAS</w:t>
      </w:r>
    </w:p>
    <w:p w14:paraId="09C31E94" w14:textId="77777777" w:rsidR="00C66D21" w:rsidRPr="00C66D21" w:rsidRDefault="00C66D21" w:rsidP="00C66D21">
      <w:pPr>
        <w:keepNext/>
        <w:spacing w:line="360" w:lineRule="auto"/>
        <w:outlineLvl w:val="2"/>
        <w:rPr>
          <w:color w:val="4472C4"/>
          <w:lang w:val="x-none" w:eastAsia="en-US"/>
        </w:rPr>
      </w:pPr>
      <w:r w:rsidRPr="00C66D21">
        <w:rPr>
          <w:lang w:val="x-none" w:eastAsia="en-US"/>
        </w:rPr>
        <w:t>1.</w:t>
      </w:r>
      <w:r w:rsidRPr="00C66D21">
        <w:rPr>
          <w:b/>
          <w:lang w:val="x-none" w:eastAsia="en-US"/>
        </w:rPr>
        <w:t xml:space="preserve"> </w:t>
      </w:r>
      <w:r w:rsidRPr="00C66D21">
        <w:rPr>
          <w:bCs/>
          <w:lang w:val="x-none" w:eastAsia="en-US"/>
        </w:rPr>
        <w:t xml:space="preserve">Sánchez Barrera O, Martínez Abreu J, </w:t>
      </w:r>
      <w:proofErr w:type="spellStart"/>
      <w:r w:rsidRPr="00C66D21">
        <w:rPr>
          <w:bCs/>
          <w:lang w:val="x-none" w:eastAsia="en-US"/>
        </w:rPr>
        <w:t>Florit</w:t>
      </w:r>
      <w:proofErr w:type="spellEnd"/>
      <w:r w:rsidRPr="00C66D21">
        <w:rPr>
          <w:bCs/>
          <w:lang w:val="x-none" w:eastAsia="en-US"/>
        </w:rPr>
        <w:t xml:space="preserve"> </w:t>
      </w:r>
      <w:proofErr w:type="spellStart"/>
      <w:r w:rsidRPr="00C66D21">
        <w:rPr>
          <w:bCs/>
          <w:lang w:val="x-none" w:eastAsia="en-US"/>
        </w:rPr>
        <w:t>Serrate</w:t>
      </w:r>
      <w:proofErr w:type="spellEnd"/>
      <w:r w:rsidRPr="00C66D21">
        <w:rPr>
          <w:bCs/>
          <w:lang w:val="x-none" w:eastAsia="en-US"/>
        </w:rPr>
        <w:t xml:space="preserve"> PC, Gispert Abreu EA, Vila Viera M. Envejecimiento poblacional: algunas valoraciones desde la antropología. </w:t>
      </w:r>
      <w:proofErr w:type="spellStart"/>
      <w:r w:rsidRPr="00C66D21">
        <w:rPr>
          <w:bCs/>
          <w:lang w:val="x-none" w:eastAsia="en-US"/>
        </w:rPr>
        <w:t>Rev</w:t>
      </w:r>
      <w:proofErr w:type="spellEnd"/>
      <w:r w:rsidRPr="00C66D21">
        <w:rPr>
          <w:bCs/>
          <w:lang w:val="x-none" w:eastAsia="en-US"/>
        </w:rPr>
        <w:t xml:space="preserve"> </w:t>
      </w:r>
      <w:proofErr w:type="spellStart"/>
      <w:r w:rsidRPr="00C66D21">
        <w:rPr>
          <w:bCs/>
          <w:lang w:val="x-none" w:eastAsia="en-US"/>
        </w:rPr>
        <w:t>Med</w:t>
      </w:r>
      <w:proofErr w:type="spellEnd"/>
      <w:r w:rsidRPr="00C66D21">
        <w:rPr>
          <w:bCs/>
          <w:lang w:val="x-none" w:eastAsia="en-US"/>
        </w:rPr>
        <w:t xml:space="preserve"> Electrón. 2019</w:t>
      </w:r>
      <w:r w:rsidRPr="00C66D21" w:rsidDel="001138B7">
        <w:rPr>
          <w:bCs/>
          <w:kern w:val="36"/>
          <w:lang w:val="x-none" w:eastAsia="es-MX"/>
        </w:rPr>
        <w:t xml:space="preserve"> </w:t>
      </w:r>
      <w:bookmarkStart w:id="6" w:name="_Hlk121864438"/>
      <w:r w:rsidRPr="00C66D21">
        <w:rPr>
          <w:bCs/>
          <w:kern w:val="36"/>
          <w:lang w:val="x-none" w:eastAsia="es-MX"/>
        </w:rPr>
        <w:t>[</w:t>
      </w:r>
      <w:bookmarkEnd w:id="6"/>
      <w:r w:rsidRPr="00C66D21">
        <w:rPr>
          <w:bCs/>
          <w:kern w:val="36"/>
          <w:lang w:val="x-none" w:eastAsia="es-MX"/>
        </w:rPr>
        <w:t>acceso:10/11/2022</w:t>
      </w:r>
      <w:bookmarkStart w:id="7" w:name="_Hlk121864456"/>
      <w:r w:rsidRPr="00C66D21">
        <w:rPr>
          <w:bCs/>
          <w:kern w:val="36"/>
          <w:lang w:val="x-none" w:eastAsia="es-MX"/>
        </w:rPr>
        <w:t>]</w:t>
      </w:r>
      <w:bookmarkEnd w:id="7"/>
      <w:r w:rsidRPr="00C66D21">
        <w:rPr>
          <w:bCs/>
          <w:kern w:val="36"/>
          <w:lang w:val="x-none" w:eastAsia="es-MX"/>
        </w:rPr>
        <w:t>; 41(3):708-24. Disponible en:</w:t>
      </w:r>
      <w:r w:rsidRPr="00C66D21">
        <w:rPr>
          <w:kern w:val="36"/>
          <w:lang w:val="es-ES" w:eastAsia="es-MX"/>
        </w:rPr>
        <w:t xml:space="preserve"> </w:t>
      </w:r>
      <w:hyperlink r:id="rId18" w:history="1">
        <w:r w:rsidRPr="00C66D21">
          <w:rPr>
            <w:color w:val="0563C1"/>
            <w:lang w:val="x-none" w:eastAsia="en-US"/>
          </w:rPr>
          <w:t>http://scielo.sld.cu/scielo.php?script=sci_arttext&amp;pid=S1684-18242019000300708&amp;lng=es</w:t>
        </w:r>
      </w:hyperlink>
    </w:p>
    <w:p w14:paraId="1D78CAD7"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2. Méndez C LM. Síndrome de fragilidad en el adulto mayor. Universidad de San Carlos de Guatemala. [Tesis para grado de Licenciatura]; 2019 </w:t>
      </w:r>
      <w:bookmarkStart w:id="8" w:name="_Hlk142146358"/>
      <w:r w:rsidRPr="00C66D21">
        <w:rPr>
          <w:rFonts w:eastAsia="Calibri"/>
          <w:kern w:val="36"/>
          <w:lang w:val="es-ES" w:eastAsia="es-MX"/>
        </w:rPr>
        <w:t>[acceso: 10/11/2022</w:t>
      </w:r>
      <w:bookmarkEnd w:id="8"/>
      <w:r w:rsidRPr="00C66D21">
        <w:rPr>
          <w:rFonts w:eastAsia="Calibri"/>
          <w:kern w:val="36"/>
          <w:lang w:val="es-ES" w:eastAsia="es-MX"/>
        </w:rPr>
        <w:t xml:space="preserve">]. Disponible en: </w:t>
      </w:r>
      <w:hyperlink r:id="rId19" w:history="1">
        <w:r w:rsidRPr="00C66D21">
          <w:rPr>
            <w:rFonts w:eastAsia="Calibri"/>
            <w:color w:val="0563C1"/>
            <w:lang w:val="es-ES" w:eastAsia="en-US"/>
          </w:rPr>
          <w:t>https://biblioteca.medicina.usac.edu.gt/tesis/pre/2019/063.pdf</w:t>
        </w:r>
      </w:hyperlink>
    </w:p>
    <w:p w14:paraId="3E0A60FD"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3. Robledo Marín CA, Duque Sierra CP, Hernández Calle JA, Ruiz Vélez MA, Zapata Monsalve RB. Envejecimiento, calidad de vida y políticas públicas en torno al envejecimiento y la vejez. </w:t>
      </w:r>
      <w:proofErr w:type="spellStart"/>
      <w:r w:rsidRPr="00C66D21">
        <w:rPr>
          <w:rFonts w:eastAsia="Calibri"/>
          <w:lang w:val="es-ES" w:eastAsia="en-US"/>
        </w:rPr>
        <w:t>Rev</w:t>
      </w:r>
      <w:proofErr w:type="spellEnd"/>
      <w:r w:rsidRPr="00C66D21">
        <w:rPr>
          <w:rFonts w:eastAsia="Calibri"/>
          <w:lang w:val="es-ES" w:eastAsia="en-US"/>
        </w:rPr>
        <w:t xml:space="preserve"> ces derecho. 13 de septiembre de 2022 [acceso: 10/11/2022]; 13(2):132-60. Disponible en: </w:t>
      </w:r>
      <w:hyperlink r:id="rId20" w:history="1">
        <w:r w:rsidRPr="00C66D21">
          <w:rPr>
            <w:rFonts w:eastAsia="Calibri"/>
            <w:color w:val="0563C1"/>
            <w:lang w:val="es-ES" w:eastAsia="en-US"/>
          </w:rPr>
          <w:t>https://revistas.ces.edu.co/index.php/derecho/article/view/6453</w:t>
        </w:r>
      </w:hyperlink>
      <w:r w:rsidRPr="00C66D21" w:rsidDel="002900E5">
        <w:rPr>
          <w:rFonts w:eastAsia="Calibri"/>
          <w:lang w:val="es-ES" w:eastAsia="en-US"/>
        </w:rPr>
        <w:t xml:space="preserve"> </w:t>
      </w:r>
    </w:p>
    <w:p w14:paraId="2F379D4F"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4. Ponce Hernández JP. Envejecimiento demográfico: principal reto para enfermería geriátrica. Cuidarte. 2022 [acceso: 06/12/2022];11(21):58-67. Disponible en: </w:t>
      </w:r>
      <w:hyperlink r:id="rId21" w:history="1">
        <w:r w:rsidRPr="00C66D21">
          <w:rPr>
            <w:rFonts w:eastAsia="Calibri"/>
            <w:color w:val="0563C1"/>
            <w:lang w:val="es-ES" w:eastAsia="en-US"/>
          </w:rPr>
          <w:t>https://www.revistas.unam.mx/index.php/cuidarte/article/view/80055</w:t>
        </w:r>
      </w:hyperlink>
    </w:p>
    <w:p w14:paraId="039A998C"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5. </w:t>
      </w:r>
      <w:proofErr w:type="spellStart"/>
      <w:r w:rsidRPr="00C66D21">
        <w:rPr>
          <w:rFonts w:eastAsia="Calibri"/>
          <w:lang w:val="es-ES" w:eastAsia="en-US"/>
        </w:rPr>
        <w:t>Ivonet</w:t>
      </w:r>
      <w:proofErr w:type="spellEnd"/>
      <w:r w:rsidRPr="00C66D21">
        <w:rPr>
          <w:rFonts w:eastAsia="Calibri"/>
          <w:lang w:val="es-ES" w:eastAsia="en-US"/>
        </w:rPr>
        <w:t xml:space="preserve"> </w:t>
      </w:r>
      <w:proofErr w:type="spellStart"/>
      <w:r w:rsidRPr="00C66D21">
        <w:rPr>
          <w:rFonts w:eastAsia="Calibri"/>
          <w:lang w:val="es-ES" w:eastAsia="en-US"/>
        </w:rPr>
        <w:t>Munder</w:t>
      </w:r>
      <w:proofErr w:type="spellEnd"/>
      <w:r w:rsidRPr="00C66D21">
        <w:rPr>
          <w:rFonts w:eastAsia="Calibri"/>
          <w:lang w:val="es-ES" w:eastAsia="en-US"/>
        </w:rPr>
        <w:t xml:space="preserve"> MM, Fariñas Vargas M. Envejecimiento demográfico en el municipio Santiago de Cuba. </w:t>
      </w:r>
      <w:proofErr w:type="spellStart"/>
      <w:r w:rsidRPr="00C66D21">
        <w:rPr>
          <w:rFonts w:eastAsia="Calibri"/>
          <w:lang w:val="es-ES" w:eastAsia="en-US"/>
        </w:rPr>
        <w:t>Rev</w:t>
      </w:r>
      <w:proofErr w:type="spellEnd"/>
      <w:r w:rsidRPr="00C66D21">
        <w:rPr>
          <w:rFonts w:eastAsia="Calibri"/>
          <w:lang w:val="es-ES" w:eastAsia="en-US"/>
        </w:rPr>
        <w:t xml:space="preserve"> Nov </w:t>
      </w:r>
      <w:proofErr w:type="spellStart"/>
      <w:r w:rsidRPr="00C66D21">
        <w:rPr>
          <w:rFonts w:eastAsia="Calibri"/>
          <w:lang w:val="es-ES" w:eastAsia="en-US"/>
        </w:rPr>
        <w:t>Pob</w:t>
      </w:r>
      <w:proofErr w:type="spellEnd"/>
      <w:r w:rsidRPr="00C66D21">
        <w:rPr>
          <w:rFonts w:eastAsia="Calibri"/>
          <w:lang w:val="es-ES" w:eastAsia="en-US"/>
        </w:rPr>
        <w:t xml:space="preserve">. 2021 [acceso: 06/12/2022]; 17(34):279-306. Disponible en: </w:t>
      </w:r>
      <w:hyperlink r:id="rId22" w:history="1">
        <w:r w:rsidRPr="00C66D21">
          <w:rPr>
            <w:rFonts w:eastAsia="Calibri"/>
            <w:color w:val="0563C1"/>
            <w:lang w:val="es-ES" w:eastAsia="en-US"/>
          </w:rPr>
          <w:t>http://scielo.sld.cu/scielo.php?script=sci_arttext&amp;pid=S1817-40782021000200279</w:t>
        </w:r>
      </w:hyperlink>
    </w:p>
    <w:p w14:paraId="5D014C06"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6. Mendoza Ruvalcaba NM, </w:t>
      </w:r>
      <w:proofErr w:type="spellStart"/>
      <w:r w:rsidRPr="00C66D21">
        <w:rPr>
          <w:rFonts w:eastAsia="Calibri"/>
          <w:lang w:val="es-ES" w:eastAsia="en-US"/>
        </w:rPr>
        <w:t>Vazquez</w:t>
      </w:r>
      <w:proofErr w:type="spellEnd"/>
      <w:r w:rsidRPr="00C66D21">
        <w:rPr>
          <w:rFonts w:eastAsia="Calibri"/>
          <w:lang w:val="es-ES" w:eastAsia="en-US"/>
        </w:rPr>
        <w:t xml:space="preserve"> </w:t>
      </w:r>
      <w:proofErr w:type="spellStart"/>
      <w:r w:rsidRPr="00C66D21">
        <w:rPr>
          <w:rFonts w:eastAsia="Calibri"/>
          <w:lang w:val="es-ES" w:eastAsia="en-US"/>
        </w:rPr>
        <w:t>Nuñez</w:t>
      </w:r>
      <w:proofErr w:type="spellEnd"/>
      <w:r w:rsidRPr="00C66D21">
        <w:rPr>
          <w:rFonts w:eastAsia="Calibri"/>
          <w:lang w:val="es-ES" w:eastAsia="en-US"/>
        </w:rPr>
        <w:t xml:space="preserve"> KP, González Navarro A. Envejecimiento y vejez. 1.ª ed. Guadalajara: Grupo editorial: Editorial Universidad de Guadalajara. 2021. [acceso: 06/12/2022]; Disponible en: </w:t>
      </w:r>
      <w:hyperlink r:id="rId23" w:history="1">
        <w:r w:rsidRPr="00C66D21">
          <w:rPr>
            <w:rFonts w:eastAsia="Calibri"/>
            <w:color w:val="0563C1"/>
            <w:lang w:val="es-ES" w:eastAsia="en-US"/>
          </w:rPr>
          <w:t>https://editorial.udg.mx/gpd-envejecimiento-y-vejez-62b4dee57de32.html 1-20</w:t>
        </w:r>
      </w:hyperlink>
      <w:r w:rsidRPr="00C66D21">
        <w:rPr>
          <w:rFonts w:eastAsia="Calibri"/>
          <w:lang w:val="es-ES" w:eastAsia="en-US"/>
        </w:rPr>
        <w:t xml:space="preserve">. </w:t>
      </w:r>
    </w:p>
    <w:p w14:paraId="15CE7CEA" w14:textId="77777777" w:rsidR="00C66D21" w:rsidRPr="00C66D21" w:rsidRDefault="00C66D21" w:rsidP="00C66D21">
      <w:pPr>
        <w:spacing w:line="360" w:lineRule="auto"/>
        <w:rPr>
          <w:rFonts w:eastAsia="Calibri"/>
          <w:lang w:val="es-ES" w:eastAsia="en-US"/>
        </w:rPr>
      </w:pPr>
      <w:r w:rsidRPr="00C66D21">
        <w:rPr>
          <w:rFonts w:eastAsia="Calibri"/>
          <w:lang w:val="es-ES" w:eastAsia="en-US"/>
        </w:rPr>
        <w:lastRenderedPageBreak/>
        <w:t xml:space="preserve">7. Díaz NE, Rodríguez G JA, Novo M MM, Martín HE, Pérez P EA, Morejón S MD. Prevalencia y perfil de la persona frágil en la Isla de la Palma. </w:t>
      </w:r>
      <w:proofErr w:type="spellStart"/>
      <w:r w:rsidRPr="00C66D21">
        <w:rPr>
          <w:rFonts w:eastAsia="Calibri"/>
          <w:lang w:val="es-ES" w:eastAsia="en-US"/>
        </w:rPr>
        <w:t>Rev</w:t>
      </w:r>
      <w:proofErr w:type="spellEnd"/>
      <w:r w:rsidRPr="00C66D21">
        <w:rPr>
          <w:rFonts w:eastAsia="Calibri"/>
          <w:lang w:val="es-ES" w:eastAsia="en-US"/>
        </w:rPr>
        <w:t xml:space="preserve"> </w:t>
      </w:r>
      <w:proofErr w:type="spellStart"/>
      <w:r w:rsidRPr="00C66D21">
        <w:rPr>
          <w:rFonts w:eastAsia="Calibri"/>
          <w:lang w:val="es-ES" w:eastAsia="en-US"/>
        </w:rPr>
        <w:t>Esp</w:t>
      </w:r>
      <w:proofErr w:type="spellEnd"/>
      <w:r w:rsidRPr="00C66D21">
        <w:rPr>
          <w:rFonts w:eastAsia="Calibri"/>
          <w:lang w:val="es-ES" w:eastAsia="en-US"/>
        </w:rPr>
        <w:t xml:space="preserve"> Ger y </w:t>
      </w:r>
      <w:proofErr w:type="spellStart"/>
      <w:r w:rsidRPr="00C66D21">
        <w:rPr>
          <w:rFonts w:eastAsia="Calibri"/>
          <w:lang w:val="es-ES" w:eastAsia="en-US"/>
        </w:rPr>
        <w:t>Geront</w:t>
      </w:r>
      <w:proofErr w:type="spellEnd"/>
      <w:r w:rsidRPr="00C66D21">
        <w:rPr>
          <w:rFonts w:eastAsia="Calibri"/>
          <w:lang w:val="es-ES" w:eastAsia="en-US"/>
        </w:rPr>
        <w:t xml:space="preserve">. 2019 </w:t>
      </w:r>
      <w:r w:rsidRPr="00C66D21">
        <w:rPr>
          <w:rFonts w:eastAsia="Calibri"/>
          <w:kern w:val="36"/>
          <w:lang w:val="es-ES" w:eastAsia="es-MX"/>
        </w:rPr>
        <w:t>[acceso: 10/11/22]</w:t>
      </w:r>
      <w:r w:rsidRPr="00C66D21">
        <w:rPr>
          <w:rFonts w:eastAsia="Calibri"/>
          <w:lang w:val="es-ES" w:eastAsia="en-US"/>
        </w:rPr>
        <w:t xml:space="preserve">; 54(3):129-35. Disponible en: </w:t>
      </w:r>
      <w:hyperlink r:id="rId24" w:history="1">
        <w:r w:rsidRPr="00C66D21">
          <w:rPr>
            <w:rFonts w:eastAsia="Calibri"/>
            <w:color w:val="0563C1"/>
            <w:lang w:val="es-ES" w:eastAsia="en-US"/>
          </w:rPr>
          <w:t>https://www.sciencedirect.com/science/article/pii/S0211139X18307212</w:t>
        </w:r>
      </w:hyperlink>
    </w:p>
    <w:p w14:paraId="2D9AE4B7"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8. Mateos </w:t>
      </w:r>
      <w:proofErr w:type="spellStart"/>
      <w:r w:rsidRPr="00C66D21">
        <w:rPr>
          <w:rFonts w:eastAsia="Calibri"/>
          <w:lang w:val="es-ES" w:eastAsia="en-US"/>
        </w:rPr>
        <w:t>Nozal</w:t>
      </w:r>
      <w:proofErr w:type="spellEnd"/>
      <w:r w:rsidRPr="00C66D21">
        <w:rPr>
          <w:rFonts w:eastAsia="Calibri"/>
          <w:lang w:val="es-ES" w:eastAsia="en-US"/>
        </w:rPr>
        <w:t xml:space="preserve"> J, Bermejo </w:t>
      </w:r>
      <w:proofErr w:type="spellStart"/>
      <w:r w:rsidRPr="00C66D21">
        <w:rPr>
          <w:rFonts w:eastAsia="Calibri"/>
          <w:lang w:val="es-ES" w:eastAsia="en-US"/>
        </w:rPr>
        <w:t>Boixareo</w:t>
      </w:r>
      <w:proofErr w:type="spellEnd"/>
      <w:r w:rsidRPr="00C66D21">
        <w:rPr>
          <w:rFonts w:eastAsia="Calibri"/>
          <w:lang w:val="es-ES" w:eastAsia="en-US"/>
        </w:rPr>
        <w:t xml:space="preserve"> C, Pérez Panizo N, </w:t>
      </w:r>
      <w:proofErr w:type="spellStart"/>
      <w:r w:rsidRPr="00C66D21">
        <w:rPr>
          <w:rFonts w:eastAsia="Calibri"/>
          <w:lang w:val="es-ES" w:eastAsia="en-US"/>
        </w:rPr>
        <w:t>Hormigó</w:t>
      </w:r>
      <w:proofErr w:type="spellEnd"/>
      <w:r w:rsidRPr="00C66D21">
        <w:rPr>
          <w:rFonts w:eastAsia="Calibri"/>
          <w:lang w:val="es-ES" w:eastAsia="en-US"/>
        </w:rPr>
        <w:t xml:space="preserve"> Sánchez AI, Martínez </w:t>
      </w:r>
      <w:proofErr w:type="spellStart"/>
      <w:r w:rsidRPr="00C66D21">
        <w:rPr>
          <w:rFonts w:eastAsia="Calibri"/>
          <w:lang w:val="es-ES" w:eastAsia="en-US"/>
        </w:rPr>
        <w:t>Peromingo</w:t>
      </w:r>
      <w:proofErr w:type="spellEnd"/>
      <w:r w:rsidRPr="00C66D21">
        <w:rPr>
          <w:rFonts w:eastAsia="Calibri"/>
          <w:lang w:val="es-ES" w:eastAsia="en-US"/>
        </w:rPr>
        <w:t xml:space="preserve"> FJ. Situación y actividad de las unidades de geriatría de enlace con residencia de mayores en la comunidad de Madrid. </w:t>
      </w:r>
      <w:proofErr w:type="spellStart"/>
      <w:r w:rsidRPr="00C66D21">
        <w:rPr>
          <w:rFonts w:eastAsia="Calibri"/>
          <w:lang w:val="es-ES" w:eastAsia="en-US"/>
        </w:rPr>
        <w:t>Rev</w:t>
      </w:r>
      <w:proofErr w:type="spellEnd"/>
      <w:r w:rsidRPr="00C66D21">
        <w:rPr>
          <w:rFonts w:eastAsia="Calibri"/>
          <w:lang w:val="es-ES" w:eastAsia="en-US"/>
        </w:rPr>
        <w:t xml:space="preserve"> </w:t>
      </w:r>
      <w:proofErr w:type="spellStart"/>
      <w:r w:rsidRPr="00C66D21">
        <w:rPr>
          <w:rFonts w:eastAsia="Calibri"/>
          <w:lang w:val="es-ES" w:eastAsia="en-US"/>
        </w:rPr>
        <w:t>Esp</w:t>
      </w:r>
      <w:proofErr w:type="spellEnd"/>
      <w:r w:rsidRPr="00C66D21">
        <w:rPr>
          <w:rFonts w:eastAsia="Calibri"/>
          <w:lang w:val="es-ES" w:eastAsia="en-US"/>
        </w:rPr>
        <w:t xml:space="preserve"> </w:t>
      </w:r>
      <w:proofErr w:type="spellStart"/>
      <w:r w:rsidRPr="00C66D21">
        <w:rPr>
          <w:rFonts w:eastAsia="Calibri"/>
          <w:lang w:val="es-ES" w:eastAsia="en-US"/>
        </w:rPr>
        <w:t>Geriatr</w:t>
      </w:r>
      <w:proofErr w:type="spellEnd"/>
      <w:r w:rsidRPr="00C66D21">
        <w:rPr>
          <w:rFonts w:eastAsia="Calibri"/>
          <w:lang w:val="es-ES" w:eastAsia="en-US"/>
        </w:rPr>
        <w:t xml:space="preserve"> </w:t>
      </w:r>
      <w:proofErr w:type="spellStart"/>
      <w:r w:rsidRPr="00C66D21">
        <w:rPr>
          <w:rFonts w:eastAsia="Calibri"/>
          <w:lang w:val="es-ES" w:eastAsia="en-US"/>
        </w:rPr>
        <w:t>Geront</w:t>
      </w:r>
      <w:proofErr w:type="spellEnd"/>
      <w:r w:rsidRPr="00C66D21">
        <w:rPr>
          <w:rFonts w:eastAsia="Calibri"/>
          <w:lang w:val="es-ES" w:eastAsia="en-US"/>
        </w:rPr>
        <w:t xml:space="preserve">. 2022 </w:t>
      </w:r>
      <w:r w:rsidRPr="00C66D21">
        <w:rPr>
          <w:rFonts w:eastAsia="Calibri"/>
          <w:kern w:val="36"/>
          <w:lang w:val="es-ES" w:eastAsia="es-MX"/>
        </w:rPr>
        <w:t>[</w:t>
      </w:r>
      <w:r w:rsidRPr="00C66D21">
        <w:rPr>
          <w:rFonts w:eastAsia="Calibri"/>
          <w:lang w:val="es-ES" w:eastAsia="en-US"/>
        </w:rPr>
        <w:t xml:space="preserve">acceso: 06/12/2022]; 18(1): 27-30. Disponible en: </w:t>
      </w:r>
      <w:hyperlink r:id="rId25" w:history="1">
        <w:r w:rsidRPr="00C66D21">
          <w:rPr>
            <w:rFonts w:ascii="Calibri" w:eastAsia="Calibri" w:hAnsi="Calibri"/>
            <w:color w:val="0563C1"/>
            <w:sz w:val="22"/>
            <w:szCs w:val="22"/>
            <w:lang w:val="es-ES" w:eastAsia="en-US"/>
          </w:rPr>
          <w:t>https://www.ncbi.nlm.nih.gov/pmc/articles/PMC9701085/</w:t>
        </w:r>
      </w:hyperlink>
      <w:r w:rsidRPr="00C66D21">
        <w:rPr>
          <w:rFonts w:eastAsia="Calibri"/>
          <w:lang w:val="es-ES" w:eastAsia="en-US"/>
        </w:rPr>
        <w:t xml:space="preserve"> </w:t>
      </w:r>
    </w:p>
    <w:p w14:paraId="2A4513CD" w14:textId="77777777" w:rsidR="00C66D21" w:rsidRPr="00C66D21" w:rsidRDefault="00C66D21" w:rsidP="00C66D21">
      <w:pPr>
        <w:spacing w:line="360" w:lineRule="auto"/>
        <w:rPr>
          <w:rFonts w:eastAsia="Calibri"/>
          <w:color w:val="0563C1"/>
          <w:lang w:val="es-ES" w:eastAsia="en-US"/>
        </w:rPr>
      </w:pPr>
      <w:r w:rsidRPr="00C66D21">
        <w:rPr>
          <w:rFonts w:eastAsia="Calibri"/>
          <w:lang w:val="es-ES" w:eastAsia="en-US"/>
        </w:rPr>
        <w:t xml:space="preserve">9. Belaunde Clausell A, </w:t>
      </w:r>
      <w:proofErr w:type="spellStart"/>
      <w:r w:rsidRPr="00C66D21">
        <w:rPr>
          <w:rFonts w:eastAsia="Calibri"/>
          <w:lang w:val="es-ES" w:eastAsia="en-US"/>
        </w:rPr>
        <w:t>Lluis</w:t>
      </w:r>
      <w:proofErr w:type="spellEnd"/>
      <w:r w:rsidRPr="00C66D21">
        <w:rPr>
          <w:rFonts w:eastAsia="Calibri"/>
          <w:lang w:val="es-ES" w:eastAsia="en-US"/>
        </w:rPr>
        <w:t xml:space="preserve"> Ramos GE, Valladares Reyes D,</w:t>
      </w:r>
      <w:r w:rsidRPr="00C66D21">
        <w:rPr>
          <w:rFonts w:eastAsia="Calibri"/>
          <w:vertAlign w:val="superscript"/>
          <w:lang w:val="es-ES" w:eastAsia="en-US"/>
        </w:rPr>
        <w:t xml:space="preserve"> </w:t>
      </w:r>
      <w:proofErr w:type="spellStart"/>
      <w:r w:rsidRPr="00C66D21">
        <w:rPr>
          <w:rFonts w:eastAsia="Calibri"/>
          <w:lang w:val="es-ES" w:eastAsia="en-US"/>
        </w:rPr>
        <w:t>Marcheco</w:t>
      </w:r>
      <w:proofErr w:type="spellEnd"/>
      <w:r w:rsidRPr="00C66D21">
        <w:rPr>
          <w:rFonts w:eastAsia="Calibri"/>
          <w:lang w:val="es-ES" w:eastAsia="en-US"/>
        </w:rPr>
        <w:t xml:space="preserve"> Moreira O. Diagnóstico del síndrome de fragilidad. </w:t>
      </w:r>
      <w:proofErr w:type="spellStart"/>
      <w:r w:rsidRPr="00C66D21">
        <w:rPr>
          <w:rFonts w:eastAsia="Calibri"/>
          <w:lang w:val="es-ES" w:eastAsia="en-US"/>
        </w:rPr>
        <w:t>Arch</w:t>
      </w:r>
      <w:proofErr w:type="spellEnd"/>
      <w:r w:rsidRPr="00C66D21">
        <w:rPr>
          <w:rFonts w:eastAsia="Calibri"/>
          <w:lang w:val="es-ES" w:eastAsia="en-US"/>
        </w:rPr>
        <w:t xml:space="preserve"> </w:t>
      </w:r>
      <w:proofErr w:type="spellStart"/>
      <w:r w:rsidRPr="00C66D21">
        <w:rPr>
          <w:rFonts w:eastAsia="Calibri"/>
          <w:lang w:val="es-ES" w:eastAsia="en-US"/>
        </w:rPr>
        <w:t>Hosp</w:t>
      </w:r>
      <w:proofErr w:type="spellEnd"/>
      <w:r w:rsidRPr="00C66D21">
        <w:rPr>
          <w:rFonts w:eastAsia="Calibri"/>
          <w:lang w:val="es-ES" w:eastAsia="en-US"/>
        </w:rPr>
        <w:t xml:space="preserve"> </w:t>
      </w:r>
      <w:proofErr w:type="spellStart"/>
      <w:r w:rsidRPr="00C66D21">
        <w:rPr>
          <w:rFonts w:eastAsia="Calibri"/>
          <w:lang w:val="es-ES" w:eastAsia="en-US"/>
        </w:rPr>
        <w:t>Univ</w:t>
      </w:r>
      <w:proofErr w:type="spellEnd"/>
      <w:r w:rsidRPr="00C66D21">
        <w:rPr>
          <w:rFonts w:eastAsia="Calibri"/>
          <w:lang w:val="es-ES" w:eastAsia="en-US"/>
        </w:rPr>
        <w:t xml:space="preserve"> General Calixto García. 2022 [acceso: 09/12/2022] 10 (1): [Aprox. 6p]. Disponible en: </w:t>
      </w:r>
      <w:hyperlink r:id="rId26" w:history="1">
        <w:r w:rsidRPr="00C66D21">
          <w:rPr>
            <w:rFonts w:eastAsia="Calibri"/>
            <w:color w:val="0563C1"/>
            <w:lang w:val="es-ES" w:eastAsia="en-US"/>
          </w:rPr>
          <w:t>https://revcalixto.sld.cu/index.php/ahcg/article/view/e837/718</w:t>
        </w:r>
      </w:hyperlink>
    </w:p>
    <w:p w14:paraId="371578B7"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10. Herrera Pérez D, Soriano Moreno AN, Rodrigo </w:t>
      </w:r>
      <w:proofErr w:type="spellStart"/>
      <w:r w:rsidRPr="00C66D21">
        <w:rPr>
          <w:rFonts w:eastAsia="Calibri"/>
          <w:lang w:val="es-ES" w:eastAsia="en-US"/>
        </w:rPr>
        <w:t>Gallardo</w:t>
      </w:r>
      <w:proofErr w:type="spellEnd"/>
      <w:r w:rsidRPr="00C66D21">
        <w:rPr>
          <w:rFonts w:eastAsia="Calibri"/>
          <w:lang w:val="es-ES" w:eastAsia="en-US"/>
        </w:rPr>
        <w:t xml:space="preserve"> PK, Toro </w:t>
      </w:r>
      <w:proofErr w:type="spellStart"/>
      <w:r w:rsidRPr="00C66D21">
        <w:rPr>
          <w:rFonts w:eastAsia="Calibri"/>
          <w:lang w:val="es-ES" w:eastAsia="en-US"/>
        </w:rPr>
        <w:t>Huamanchumo</w:t>
      </w:r>
      <w:proofErr w:type="spellEnd"/>
      <w:r w:rsidRPr="00C66D21">
        <w:rPr>
          <w:rFonts w:eastAsia="Calibri"/>
          <w:lang w:val="es-ES" w:eastAsia="en-US"/>
        </w:rPr>
        <w:t xml:space="preserve"> CJ. Prevalencia del síndrome de fragilidad y factores asociados en adultos mayores. </w:t>
      </w:r>
      <w:proofErr w:type="spellStart"/>
      <w:r w:rsidRPr="00C66D21">
        <w:rPr>
          <w:rFonts w:eastAsia="Calibri"/>
          <w:lang w:val="es-ES" w:eastAsia="en-US"/>
        </w:rPr>
        <w:t>Rev</w:t>
      </w:r>
      <w:proofErr w:type="spellEnd"/>
      <w:r w:rsidRPr="00C66D21">
        <w:rPr>
          <w:rFonts w:eastAsia="Calibri"/>
          <w:lang w:val="es-ES" w:eastAsia="en-US"/>
        </w:rPr>
        <w:t xml:space="preserve"> </w:t>
      </w:r>
      <w:proofErr w:type="spellStart"/>
      <w:r w:rsidRPr="00C66D21">
        <w:rPr>
          <w:rFonts w:eastAsia="Calibri"/>
          <w:lang w:val="es-ES" w:eastAsia="en-US"/>
        </w:rPr>
        <w:t>Cub</w:t>
      </w:r>
      <w:proofErr w:type="spellEnd"/>
      <w:r w:rsidRPr="00C66D21">
        <w:rPr>
          <w:rFonts w:eastAsia="Calibri"/>
          <w:lang w:val="es-ES" w:eastAsia="en-US"/>
        </w:rPr>
        <w:t xml:space="preserve"> </w:t>
      </w:r>
      <w:proofErr w:type="spellStart"/>
      <w:r w:rsidRPr="00C66D21">
        <w:rPr>
          <w:rFonts w:eastAsia="Calibri"/>
          <w:lang w:val="es-ES" w:eastAsia="en-US"/>
        </w:rPr>
        <w:t>Med</w:t>
      </w:r>
      <w:proofErr w:type="spellEnd"/>
      <w:r w:rsidRPr="00C66D21">
        <w:rPr>
          <w:rFonts w:eastAsia="Calibri"/>
          <w:lang w:val="es-ES" w:eastAsia="en-US"/>
        </w:rPr>
        <w:t xml:space="preserve"> Gen </w:t>
      </w:r>
      <w:proofErr w:type="spellStart"/>
      <w:r w:rsidRPr="00C66D21">
        <w:rPr>
          <w:rFonts w:eastAsia="Calibri"/>
          <w:lang w:val="es-ES" w:eastAsia="en-US"/>
        </w:rPr>
        <w:t>Int</w:t>
      </w:r>
      <w:proofErr w:type="spellEnd"/>
      <w:r w:rsidRPr="00C66D21">
        <w:rPr>
          <w:rFonts w:eastAsia="Calibri"/>
          <w:lang w:val="es-ES" w:eastAsia="en-US"/>
        </w:rPr>
        <w:t xml:space="preserve">. 2020 </w:t>
      </w:r>
      <w:r w:rsidRPr="00C66D21">
        <w:rPr>
          <w:rFonts w:eastAsia="Calibri"/>
          <w:kern w:val="36"/>
          <w:lang w:val="es-ES" w:eastAsia="es-MX"/>
        </w:rPr>
        <w:t>[</w:t>
      </w:r>
      <w:r w:rsidRPr="00C66D21">
        <w:rPr>
          <w:rFonts w:eastAsia="Calibri"/>
          <w:lang w:val="es-ES" w:eastAsia="en-US"/>
        </w:rPr>
        <w:t>acceso: 06/12/2022]; 36(2</w:t>
      </w:r>
      <w:proofErr w:type="gramStart"/>
      <w:r w:rsidRPr="00C66D21">
        <w:rPr>
          <w:rFonts w:eastAsia="Calibri"/>
          <w:lang w:val="es-ES" w:eastAsia="en-US"/>
        </w:rPr>
        <w:t>):e</w:t>
      </w:r>
      <w:proofErr w:type="gramEnd"/>
      <w:r w:rsidRPr="00C66D21">
        <w:rPr>
          <w:rFonts w:eastAsia="Calibri"/>
          <w:lang w:val="es-ES" w:eastAsia="en-US"/>
        </w:rPr>
        <w:t xml:space="preserve">1093. Disponible en: </w:t>
      </w:r>
      <w:hyperlink r:id="rId27" w:history="1">
        <w:r w:rsidRPr="00C66D21">
          <w:rPr>
            <w:rFonts w:eastAsia="Calibri"/>
            <w:color w:val="0563C1"/>
            <w:lang w:val="es-ES" w:eastAsia="en-US"/>
          </w:rPr>
          <w:t>http://scielo.sld.cu/scielo.php?script=sci_arttext&amp;pid=S0864-21252020000200008&amp;lng=es&amp;nrm=iso</w:t>
        </w:r>
      </w:hyperlink>
    </w:p>
    <w:p w14:paraId="4DC4C4C5"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11. Pizano-Escalante MG, Anaya-Esparza LM, Nuño K, Rodríguez-Romero JD, González Torres S, López-de la Mora DA. </w:t>
      </w:r>
      <w:r w:rsidRPr="00C66D21">
        <w:rPr>
          <w:rFonts w:eastAsia="Calibri"/>
          <w:lang w:val="en-US" w:eastAsia="en-US"/>
        </w:rPr>
        <w:t>Direct and Indirect Effects of COVID-</w:t>
      </w:r>
      <w:smartTag w:uri="urn:schemas-microsoft-com:office:smarttags" w:element="metricconverter">
        <w:smartTagPr>
          <w:attr w:name="ProductID" w:val="19 in"/>
        </w:smartTagPr>
        <w:r w:rsidRPr="00C66D21">
          <w:rPr>
            <w:rFonts w:eastAsia="Calibri"/>
            <w:lang w:val="en-US" w:eastAsia="en-US"/>
          </w:rPr>
          <w:t>19 in</w:t>
        </w:r>
      </w:smartTag>
      <w:r w:rsidRPr="00C66D21">
        <w:rPr>
          <w:rFonts w:eastAsia="Calibri"/>
          <w:lang w:val="en-US" w:eastAsia="en-US"/>
        </w:rPr>
        <w:t xml:space="preserve"> Frail Elderly: Interventions and Recommendations. </w:t>
      </w:r>
      <w:r w:rsidRPr="00C66D21">
        <w:rPr>
          <w:rFonts w:eastAsia="Calibri"/>
          <w:lang w:val="es-ES" w:eastAsia="en-US"/>
        </w:rPr>
        <w:t xml:space="preserve">J Pers </w:t>
      </w:r>
      <w:proofErr w:type="spellStart"/>
      <w:r w:rsidRPr="00C66D21">
        <w:rPr>
          <w:rFonts w:eastAsia="Calibri"/>
          <w:lang w:val="es-ES" w:eastAsia="en-US"/>
        </w:rPr>
        <w:t>Med</w:t>
      </w:r>
      <w:proofErr w:type="spellEnd"/>
      <w:r w:rsidRPr="00C66D21">
        <w:rPr>
          <w:rFonts w:eastAsia="Calibri"/>
          <w:lang w:val="es-ES" w:eastAsia="en-US"/>
        </w:rPr>
        <w:t xml:space="preserve">. 2021 [acceso: 09/12/2022]; 11(10): 999. Disponible en: </w:t>
      </w:r>
      <w:hyperlink r:id="rId28" w:history="1">
        <w:r w:rsidRPr="00C66D21">
          <w:rPr>
            <w:rFonts w:ascii="Calibri" w:eastAsia="Calibri" w:hAnsi="Calibri"/>
            <w:color w:val="0563C1"/>
            <w:sz w:val="22"/>
            <w:szCs w:val="22"/>
            <w:lang w:val="es-ES" w:eastAsia="en-US"/>
          </w:rPr>
          <w:t>https://www.ncbi.nlm.nih.gov/pmc/articles/PMC8539433/</w:t>
        </w:r>
      </w:hyperlink>
      <w:r w:rsidRPr="00C66D21">
        <w:rPr>
          <w:rFonts w:eastAsia="Calibri"/>
          <w:lang w:val="es-ES" w:eastAsia="en-US"/>
        </w:rPr>
        <w:t xml:space="preserve"> </w:t>
      </w:r>
    </w:p>
    <w:p w14:paraId="10BD8D90"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12. Álvarez </w:t>
      </w:r>
      <w:proofErr w:type="spellStart"/>
      <w:r w:rsidRPr="00C66D21">
        <w:rPr>
          <w:rFonts w:eastAsia="Calibri"/>
          <w:lang w:val="es-ES" w:eastAsia="en-US"/>
        </w:rPr>
        <w:t>Lauzarique</w:t>
      </w:r>
      <w:proofErr w:type="spellEnd"/>
      <w:r w:rsidRPr="00C66D21">
        <w:rPr>
          <w:rFonts w:eastAsia="Calibri"/>
          <w:lang w:val="es-ES" w:eastAsia="en-US"/>
        </w:rPr>
        <w:t xml:space="preserve"> ME, </w:t>
      </w:r>
      <w:proofErr w:type="spellStart"/>
      <w:r w:rsidRPr="00C66D21">
        <w:rPr>
          <w:rFonts w:eastAsia="Calibri"/>
          <w:lang w:val="es-ES" w:eastAsia="en-US"/>
        </w:rPr>
        <w:t>Bayarre</w:t>
      </w:r>
      <w:proofErr w:type="spellEnd"/>
      <w:r w:rsidRPr="00C66D21">
        <w:rPr>
          <w:rFonts w:eastAsia="Calibri"/>
          <w:lang w:val="es-ES" w:eastAsia="en-US"/>
        </w:rPr>
        <w:t xml:space="preserve"> Vea H, Pérez Piñero J. Evaluación de la calidad de la atención al adulto mayor en el primer nivel de salud. </w:t>
      </w:r>
      <w:proofErr w:type="spellStart"/>
      <w:r w:rsidRPr="00C66D21">
        <w:rPr>
          <w:rFonts w:eastAsia="Calibri"/>
          <w:lang w:val="es-ES" w:eastAsia="en-US"/>
        </w:rPr>
        <w:t>Rev</w:t>
      </w:r>
      <w:proofErr w:type="spellEnd"/>
      <w:r w:rsidRPr="00C66D21">
        <w:rPr>
          <w:rFonts w:eastAsia="Calibri"/>
          <w:lang w:val="es-ES" w:eastAsia="en-US"/>
        </w:rPr>
        <w:t xml:space="preserve"> </w:t>
      </w:r>
      <w:proofErr w:type="spellStart"/>
      <w:r w:rsidRPr="00C66D21">
        <w:rPr>
          <w:rFonts w:eastAsia="Calibri"/>
          <w:lang w:val="es-ES" w:eastAsia="en-US"/>
        </w:rPr>
        <w:t>Cub</w:t>
      </w:r>
      <w:proofErr w:type="spellEnd"/>
      <w:r w:rsidRPr="00C66D21">
        <w:rPr>
          <w:rFonts w:eastAsia="Calibri"/>
          <w:lang w:val="es-ES" w:eastAsia="en-US"/>
        </w:rPr>
        <w:t xml:space="preserve"> </w:t>
      </w:r>
      <w:proofErr w:type="spellStart"/>
      <w:r w:rsidRPr="00C66D21">
        <w:rPr>
          <w:rFonts w:eastAsia="Calibri"/>
          <w:lang w:val="es-ES" w:eastAsia="en-US"/>
        </w:rPr>
        <w:t>Med</w:t>
      </w:r>
      <w:proofErr w:type="spellEnd"/>
      <w:r w:rsidRPr="00C66D21">
        <w:rPr>
          <w:rFonts w:eastAsia="Calibri"/>
          <w:lang w:val="es-ES" w:eastAsia="en-US"/>
        </w:rPr>
        <w:t xml:space="preserve"> Gen </w:t>
      </w:r>
      <w:proofErr w:type="spellStart"/>
      <w:r w:rsidRPr="00C66D21">
        <w:rPr>
          <w:rFonts w:eastAsia="Calibri"/>
          <w:lang w:val="es-ES" w:eastAsia="en-US"/>
        </w:rPr>
        <w:t>Integr</w:t>
      </w:r>
      <w:proofErr w:type="spellEnd"/>
      <w:r w:rsidRPr="00C66D21">
        <w:rPr>
          <w:rFonts w:eastAsia="Calibri"/>
          <w:lang w:val="es-ES" w:eastAsia="en-US"/>
        </w:rPr>
        <w:t xml:space="preserve">, 2018 [acceso: 09/12/2022]; 34(2):1-10 Disponible en: </w:t>
      </w:r>
      <w:hyperlink r:id="rId29" w:history="1">
        <w:r w:rsidRPr="00C66D21">
          <w:rPr>
            <w:rFonts w:eastAsia="Calibri"/>
            <w:color w:val="0563C1"/>
            <w:lang w:val="es-ES" w:eastAsia="en-US"/>
          </w:rPr>
          <w:t>http://scielo.sld.cu/scielo.php?script=sci_arttext&amp;pid=S0864-21252018000200007</w:t>
        </w:r>
      </w:hyperlink>
    </w:p>
    <w:p w14:paraId="52EC988A"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13. León-Román C. Validación de instrumento para medir calidad percibida de los servicios de enfermería en el contexto hospitalario. Revista Cubana de Enfermería. 2023 [acceso: 09/12/2022]; 39(1</w:t>
      </w:r>
      <w:proofErr w:type="gramStart"/>
      <w:r w:rsidRPr="00C66D21">
        <w:rPr>
          <w:rFonts w:eastAsia="Calibri"/>
          <w:lang w:val="es-ES" w:eastAsia="en-US"/>
        </w:rPr>
        <w:t>):e</w:t>
      </w:r>
      <w:proofErr w:type="gramEnd"/>
      <w:r w:rsidRPr="00C66D21">
        <w:rPr>
          <w:rFonts w:eastAsia="Calibri"/>
          <w:lang w:val="es-ES" w:eastAsia="en-US"/>
        </w:rPr>
        <w:t xml:space="preserve">6140. Disponible en: </w:t>
      </w:r>
      <w:hyperlink r:id="rId30" w:history="1">
        <w:r w:rsidRPr="00C66D21">
          <w:rPr>
            <w:rFonts w:ascii="Calibri" w:eastAsia="Calibri" w:hAnsi="Calibri"/>
            <w:color w:val="0563C1"/>
            <w:sz w:val="22"/>
            <w:szCs w:val="22"/>
            <w:lang w:val="es-ES" w:eastAsia="en-US"/>
          </w:rPr>
          <w:t>https://revenfermeria.sld.cu/index.php/enf/article/view/6140</w:t>
        </w:r>
      </w:hyperlink>
      <w:r w:rsidRPr="00C66D21" w:rsidDel="00BF26B3">
        <w:rPr>
          <w:rFonts w:eastAsia="Calibri"/>
          <w:lang w:val="es-ES" w:eastAsia="en-US"/>
        </w:rPr>
        <w:t xml:space="preserve"> </w:t>
      </w:r>
    </w:p>
    <w:p w14:paraId="59A4CE0F"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14. Diccionario de la Lengua española [versión 23.6 en línea].  Real Academia Española. Madrid; 2022 [acceso: 10/05/2023]. Disponible en: </w:t>
      </w:r>
      <w:hyperlink r:id="rId31" w:history="1">
        <w:r w:rsidRPr="00C66D21">
          <w:rPr>
            <w:rFonts w:eastAsia="Calibri"/>
            <w:color w:val="0563C1"/>
            <w:lang w:val="es-ES" w:eastAsia="en-US"/>
          </w:rPr>
          <w:t>https://dle.rae.es</w:t>
        </w:r>
      </w:hyperlink>
      <w:r w:rsidRPr="00C66D21">
        <w:rPr>
          <w:rFonts w:eastAsia="Calibri"/>
          <w:color w:val="0563C1"/>
          <w:lang w:val="es-ES" w:eastAsia="en-US"/>
        </w:rPr>
        <w:t>/desempeño</w:t>
      </w:r>
      <w:r w:rsidRPr="00C66D21">
        <w:rPr>
          <w:rFonts w:eastAsia="Calibri"/>
          <w:lang w:val="es-ES" w:eastAsia="en-US"/>
        </w:rPr>
        <w:t xml:space="preserve"> </w:t>
      </w:r>
    </w:p>
    <w:p w14:paraId="2281ECD1" w14:textId="77777777" w:rsidR="00C66D21" w:rsidRPr="00C66D21" w:rsidRDefault="00C66D21" w:rsidP="00C66D21">
      <w:pPr>
        <w:widowControl w:val="0"/>
        <w:autoSpaceDE w:val="0"/>
        <w:autoSpaceDN w:val="0"/>
        <w:spacing w:line="360" w:lineRule="auto"/>
        <w:rPr>
          <w:color w:val="000000"/>
          <w:lang w:val="es-ES" w:eastAsia="en-US"/>
        </w:rPr>
      </w:pPr>
      <w:r w:rsidRPr="00C66D21">
        <w:rPr>
          <w:color w:val="000000"/>
          <w:lang w:val="es-ES" w:eastAsia="en-US"/>
        </w:rPr>
        <w:t xml:space="preserve">15. Ramos Suárez V, Lazo Pena M, Ávila Sánchez M. Caracterización del desempeño profesional para </w:t>
      </w:r>
      <w:r w:rsidRPr="00C66D21">
        <w:rPr>
          <w:color w:val="000000"/>
          <w:lang w:val="es-ES" w:eastAsia="en-US"/>
        </w:rPr>
        <w:lastRenderedPageBreak/>
        <w:t xml:space="preserve">la aplicación de los procederes tecnológicos de mamografía. En: </w:t>
      </w:r>
      <w:r w:rsidRPr="00C66D21">
        <w:rPr>
          <w:rFonts w:eastAsia="Calibri"/>
          <w:lang w:val="es-ES" w:eastAsia="en-US"/>
        </w:rPr>
        <w:t xml:space="preserve">V Jornada Científica. </w:t>
      </w:r>
      <w:proofErr w:type="spellStart"/>
      <w:r w:rsidRPr="00C66D21">
        <w:rPr>
          <w:rFonts w:eastAsia="Calibri"/>
          <w:lang w:val="es-ES" w:eastAsia="en-US"/>
        </w:rPr>
        <w:t>Edumed</w:t>
      </w:r>
      <w:proofErr w:type="spellEnd"/>
      <w:r w:rsidRPr="00C66D21">
        <w:rPr>
          <w:color w:val="000000"/>
          <w:lang w:val="es-ES" w:eastAsia="es-MX"/>
        </w:rPr>
        <w:t xml:space="preserve">. </w:t>
      </w:r>
      <w:r w:rsidRPr="00C66D21">
        <w:rPr>
          <w:color w:val="000000"/>
          <w:lang w:val="es-ES" w:eastAsia="en-US"/>
        </w:rPr>
        <w:t xml:space="preserve">2017. La Habana, Cuba. </w:t>
      </w:r>
      <w:proofErr w:type="spellStart"/>
      <w:r w:rsidRPr="00C66D21">
        <w:rPr>
          <w:color w:val="000000"/>
          <w:lang w:val="es-ES" w:eastAsia="en-US"/>
        </w:rPr>
        <w:t>Edumed</w:t>
      </w:r>
      <w:proofErr w:type="spellEnd"/>
      <w:r w:rsidRPr="00C66D21">
        <w:rPr>
          <w:color w:val="000000"/>
          <w:lang w:val="es-ES" w:eastAsia="en-US"/>
        </w:rPr>
        <w:t xml:space="preserve"> 2017. [acceso: 10/05/2023]. </w:t>
      </w:r>
      <w:r w:rsidRPr="00C66D21">
        <w:rPr>
          <w:lang w:eastAsia="en-US"/>
        </w:rPr>
        <w:t xml:space="preserve"> </w:t>
      </w:r>
      <w:r w:rsidRPr="00C66D21">
        <w:rPr>
          <w:color w:val="000000"/>
          <w:lang w:val="es-ES" w:eastAsia="en-US"/>
        </w:rPr>
        <w:t xml:space="preserve">Disponible en: </w:t>
      </w:r>
      <w:r w:rsidRPr="00C66D21">
        <w:rPr>
          <w:lang w:eastAsia="en-US"/>
        </w:rPr>
        <w:t xml:space="preserve"> </w:t>
      </w:r>
      <w:hyperlink r:id="rId32" w:history="1">
        <w:r w:rsidRPr="00C66D21">
          <w:rPr>
            <w:color w:val="0563C1"/>
            <w:lang w:eastAsia="en-US"/>
          </w:rPr>
          <w:t>http://edumed2017.sld.cu/index.php/edumed/2017/paper/download/81/70</w:t>
        </w:r>
      </w:hyperlink>
    </w:p>
    <w:p w14:paraId="6D66DFD2" w14:textId="77777777" w:rsidR="00C66D21" w:rsidRPr="00C66D21" w:rsidRDefault="00C66D21" w:rsidP="00C66D21">
      <w:pPr>
        <w:autoSpaceDE w:val="0"/>
        <w:autoSpaceDN w:val="0"/>
        <w:adjustRightInd w:val="0"/>
        <w:spacing w:line="360" w:lineRule="auto"/>
        <w:rPr>
          <w:rFonts w:eastAsia="Calibri"/>
          <w:color w:val="000000"/>
          <w:lang w:val="es-ES" w:eastAsia="es-ES"/>
        </w:rPr>
      </w:pPr>
      <w:r w:rsidRPr="00C66D21">
        <w:rPr>
          <w:rFonts w:eastAsia="Calibri"/>
          <w:color w:val="000000"/>
          <w:lang w:val="es-ES" w:eastAsia="es-ES"/>
        </w:rPr>
        <w:t xml:space="preserve">16. Solís </w:t>
      </w:r>
      <w:proofErr w:type="spellStart"/>
      <w:r w:rsidRPr="00C66D21">
        <w:rPr>
          <w:rFonts w:eastAsia="Calibri"/>
          <w:color w:val="000000"/>
          <w:lang w:val="es-ES" w:eastAsia="es-ES"/>
        </w:rPr>
        <w:t>Solís</w:t>
      </w:r>
      <w:proofErr w:type="spellEnd"/>
      <w:r w:rsidRPr="00C66D21">
        <w:rPr>
          <w:rFonts w:eastAsia="Calibri"/>
          <w:color w:val="000000"/>
          <w:lang w:val="es-ES" w:eastAsia="es-ES"/>
        </w:rPr>
        <w:t xml:space="preserve"> S. Modelo de evaluación del desempeño profesional del licenciado en higiene y epidemiología. [Tesis doctoral]. La Habana: Universidad de Ciencias Médicas de La Habana; 2017. [acceso: 10/5/2023]. Disponible en: </w:t>
      </w:r>
      <w:hyperlink r:id="rId33" w:history="1">
        <w:r w:rsidRPr="00C66D21">
          <w:rPr>
            <w:rFonts w:eastAsia="Calibri"/>
            <w:color w:val="0563C1"/>
            <w:lang w:val="es-ES" w:eastAsia="es-ES"/>
          </w:rPr>
          <w:t>http://tesis.sld.cu/FileStorage/000591-02C3-Susana%20Solis.pdf</w:t>
        </w:r>
      </w:hyperlink>
    </w:p>
    <w:p w14:paraId="1EA56996" w14:textId="77777777" w:rsidR="00C66D21" w:rsidRPr="00C66D21" w:rsidRDefault="00C66D21" w:rsidP="00C66D21">
      <w:pPr>
        <w:widowControl w:val="0"/>
        <w:autoSpaceDE w:val="0"/>
        <w:autoSpaceDN w:val="0"/>
        <w:spacing w:line="360" w:lineRule="auto"/>
        <w:rPr>
          <w:kern w:val="36"/>
          <w:lang w:val="es-ES" w:eastAsia="es-MX"/>
        </w:rPr>
      </w:pPr>
      <w:r w:rsidRPr="00C66D21">
        <w:rPr>
          <w:lang w:val="es-ES" w:eastAsia="en-US"/>
        </w:rPr>
        <w:t xml:space="preserve">17. </w:t>
      </w:r>
      <w:hyperlink r:id="rId34" w:history="1">
        <w:r w:rsidRPr="00C66D21">
          <w:rPr>
            <w:lang w:val="es-ES" w:eastAsia="en-US"/>
          </w:rPr>
          <w:t>Delgado Rifá</w:t>
        </w:r>
      </w:hyperlink>
      <w:r w:rsidRPr="00C66D21">
        <w:rPr>
          <w:lang w:val="es-ES" w:eastAsia="en-US"/>
        </w:rPr>
        <w:t xml:space="preserve"> E, </w:t>
      </w:r>
      <w:hyperlink r:id="rId35" w:history="1">
        <w:r w:rsidRPr="00C66D21">
          <w:rPr>
            <w:lang w:val="es-ES" w:eastAsia="en-US"/>
          </w:rPr>
          <w:t>Martínez Rubio</w:t>
        </w:r>
      </w:hyperlink>
      <w:r w:rsidRPr="00C66D21">
        <w:rPr>
          <w:lang w:val="es-ES" w:eastAsia="en-US"/>
        </w:rPr>
        <w:t xml:space="preserve"> BN,  </w:t>
      </w:r>
      <w:hyperlink r:id="rId36" w:history="1">
        <w:r w:rsidRPr="00C66D21">
          <w:rPr>
            <w:lang w:val="es-ES" w:eastAsia="en-US"/>
          </w:rPr>
          <w:t>Alonso Hernández</w:t>
        </w:r>
      </w:hyperlink>
      <w:r w:rsidRPr="00C66D21">
        <w:rPr>
          <w:lang w:val="es-ES" w:eastAsia="en-US"/>
        </w:rPr>
        <w:t xml:space="preserve"> E. Superación profesional del médico de familia para la promoción de salud en adultos mayores con fractura de cadera. </w:t>
      </w:r>
      <w:proofErr w:type="spellStart"/>
      <w:r w:rsidRPr="00C66D21">
        <w:rPr>
          <w:lang w:val="es-ES" w:eastAsia="en-US"/>
        </w:rPr>
        <w:t>Rev</w:t>
      </w:r>
      <w:proofErr w:type="spellEnd"/>
      <w:r w:rsidRPr="00C66D21">
        <w:rPr>
          <w:lang w:val="es-ES" w:eastAsia="en-US"/>
        </w:rPr>
        <w:t xml:space="preserve"> </w:t>
      </w:r>
      <w:proofErr w:type="spellStart"/>
      <w:r w:rsidRPr="00C66D21">
        <w:rPr>
          <w:lang w:val="es-ES" w:eastAsia="en-US"/>
        </w:rPr>
        <w:t>Didac</w:t>
      </w:r>
      <w:proofErr w:type="spellEnd"/>
      <w:r w:rsidRPr="00C66D21">
        <w:rPr>
          <w:lang w:val="es-ES" w:eastAsia="en-US"/>
        </w:rPr>
        <w:t xml:space="preserve"> Edu. 2022</w:t>
      </w:r>
      <w:r w:rsidRPr="00C66D21">
        <w:rPr>
          <w:kern w:val="36"/>
          <w:lang w:val="es-ES" w:eastAsia="es-MX"/>
        </w:rPr>
        <w:t xml:space="preserve"> [</w:t>
      </w:r>
      <w:r w:rsidRPr="00C66D21">
        <w:rPr>
          <w:lang w:val="es-ES" w:eastAsia="en-US"/>
        </w:rPr>
        <w:t>acceso: 06/12/2022]; 13</w:t>
      </w:r>
      <w:r w:rsidRPr="00C66D21">
        <w:rPr>
          <w:kern w:val="36"/>
          <w:lang w:val="es-ES" w:eastAsia="es-MX"/>
        </w:rPr>
        <w:t xml:space="preserve">(3):270-98. Disponible en:  </w:t>
      </w:r>
      <w:hyperlink r:id="rId37" w:history="1">
        <w:r w:rsidRPr="00C66D21">
          <w:rPr>
            <w:color w:val="0563C1"/>
            <w:kern w:val="36"/>
            <w:lang w:val="es-ES" w:eastAsia="es-MX"/>
          </w:rPr>
          <w:t>https://revistas.ult.edu.cu/index.php/didascalia/article/view/1421/1521</w:t>
        </w:r>
      </w:hyperlink>
    </w:p>
    <w:p w14:paraId="4AD0615B" w14:textId="77777777" w:rsidR="00C66D21" w:rsidRPr="00C66D21" w:rsidRDefault="00C66D21" w:rsidP="00C66D21">
      <w:pPr>
        <w:widowControl w:val="0"/>
        <w:autoSpaceDE w:val="0"/>
        <w:autoSpaceDN w:val="0"/>
        <w:spacing w:line="360" w:lineRule="auto"/>
        <w:rPr>
          <w:kern w:val="36"/>
          <w:lang w:val="es-ES" w:eastAsia="es-MX"/>
        </w:rPr>
      </w:pPr>
      <w:r w:rsidRPr="00C66D21">
        <w:rPr>
          <w:lang w:val="es-ES" w:eastAsia="en-US"/>
        </w:rPr>
        <w:t xml:space="preserve">18. González García T. </w:t>
      </w:r>
      <w:r w:rsidRPr="00C66D21">
        <w:rPr>
          <w:rFonts w:eastAsia="Calibri"/>
          <w:iCs/>
          <w:lang w:val="es-ES" w:eastAsia="en-US"/>
        </w:rPr>
        <w:t xml:space="preserve">Modelo para el desarrollo de competencias investigativas con enfoque interdisciplinario en Tecnología de la salud. </w:t>
      </w:r>
      <w:r w:rsidRPr="00C66D21">
        <w:rPr>
          <w:rFonts w:eastAsia="Calibri"/>
          <w:lang w:val="es-ES" w:eastAsia="en-US"/>
        </w:rPr>
        <w:t>[Tesis doctoral]</w:t>
      </w:r>
      <w:r w:rsidRPr="00C66D21">
        <w:rPr>
          <w:lang w:val="es-ES" w:eastAsia="es-MX"/>
        </w:rPr>
        <w:t>.</w:t>
      </w:r>
      <w:r w:rsidRPr="00C66D21">
        <w:rPr>
          <w:lang w:val="es-ES" w:eastAsia="en-US"/>
        </w:rPr>
        <w:t xml:space="preserve"> </w:t>
      </w:r>
      <w:r w:rsidRPr="00C66D21">
        <w:rPr>
          <w:lang w:val="es-ES" w:eastAsia="es-MX"/>
        </w:rPr>
        <w:t>La Habana: Universidad de Ciencias Médicas de la Habana, Facultad de Tecnología de la Salud;</w:t>
      </w:r>
      <w:r w:rsidRPr="00C66D21">
        <w:rPr>
          <w:rFonts w:eastAsia="Calibri"/>
          <w:lang w:val="es-ES" w:eastAsia="en-US"/>
        </w:rPr>
        <w:t xml:space="preserve"> 2017 </w:t>
      </w:r>
      <w:r w:rsidRPr="00C66D21">
        <w:rPr>
          <w:kern w:val="36"/>
          <w:lang w:val="es-ES" w:eastAsia="es-MX"/>
        </w:rPr>
        <w:t>[</w:t>
      </w:r>
      <w:r w:rsidRPr="00C66D21">
        <w:rPr>
          <w:lang w:val="es-ES" w:eastAsia="en-US"/>
        </w:rPr>
        <w:t>acceso: 06/12/2022]</w:t>
      </w:r>
      <w:r w:rsidRPr="00C66D21">
        <w:rPr>
          <w:kern w:val="36"/>
          <w:lang w:val="es-ES" w:eastAsia="es-MX"/>
        </w:rPr>
        <w:t>. Disponible en:</w:t>
      </w:r>
      <w:r w:rsidRPr="00C66D21">
        <w:rPr>
          <w:lang w:eastAsia="en-US"/>
        </w:rPr>
        <w:t xml:space="preserve"> </w:t>
      </w:r>
      <w:hyperlink r:id="rId38" w:history="1">
        <w:r w:rsidRPr="00C66D21">
          <w:rPr>
            <w:color w:val="0563C1"/>
            <w:sz w:val="20"/>
            <w:szCs w:val="20"/>
            <w:lang w:eastAsia="en-US"/>
          </w:rPr>
          <w:t>https://tesis.sld.cu/index.php?P=FullRecord&amp;ID=727</w:t>
        </w:r>
      </w:hyperlink>
      <w:r w:rsidRPr="00C66D21">
        <w:rPr>
          <w:kern w:val="36"/>
          <w:lang w:val="es-ES" w:eastAsia="es-MX"/>
        </w:rPr>
        <w:t xml:space="preserve">   </w:t>
      </w:r>
    </w:p>
    <w:p w14:paraId="3733ACF0" w14:textId="77777777" w:rsidR="00C66D21" w:rsidRPr="00C66D21" w:rsidRDefault="00C66D21" w:rsidP="00C66D21">
      <w:pPr>
        <w:widowControl w:val="0"/>
        <w:autoSpaceDE w:val="0"/>
        <w:autoSpaceDN w:val="0"/>
        <w:spacing w:line="360" w:lineRule="auto"/>
        <w:rPr>
          <w:lang w:eastAsia="en-US"/>
        </w:rPr>
      </w:pPr>
      <w:r w:rsidRPr="00C66D21">
        <w:rPr>
          <w:lang w:eastAsia="en-US"/>
        </w:rPr>
        <w:t xml:space="preserve">19. García Parodi MM, </w:t>
      </w:r>
      <w:proofErr w:type="spellStart"/>
      <w:r w:rsidRPr="00C66D21">
        <w:rPr>
          <w:lang w:eastAsia="en-US"/>
        </w:rPr>
        <w:t>Gort</w:t>
      </w:r>
      <w:proofErr w:type="spellEnd"/>
      <w:r w:rsidRPr="00C66D21">
        <w:rPr>
          <w:lang w:eastAsia="en-US"/>
        </w:rPr>
        <w:t xml:space="preserve"> Hernández M, Cisneros Suárez Y, Hayes PO, </w:t>
      </w:r>
      <w:proofErr w:type="spellStart"/>
      <w:r w:rsidRPr="00C66D21">
        <w:rPr>
          <w:lang w:eastAsia="en-US"/>
        </w:rPr>
        <w:t>Heidys</w:t>
      </w:r>
      <w:proofErr w:type="spellEnd"/>
      <w:r w:rsidRPr="00C66D21">
        <w:rPr>
          <w:lang w:eastAsia="en-US"/>
        </w:rPr>
        <w:t xml:space="preserve"> Sainz RH. Estrategia de superación profesoral sobre atención integral al adulto mayor. </w:t>
      </w:r>
      <w:proofErr w:type="spellStart"/>
      <w:r w:rsidRPr="00C66D21">
        <w:rPr>
          <w:lang w:eastAsia="en-US"/>
        </w:rPr>
        <w:t>Rev</w:t>
      </w:r>
      <w:proofErr w:type="spellEnd"/>
      <w:r w:rsidRPr="00C66D21">
        <w:rPr>
          <w:lang w:eastAsia="en-US"/>
        </w:rPr>
        <w:t xml:space="preserve"> </w:t>
      </w:r>
      <w:proofErr w:type="spellStart"/>
      <w:r w:rsidRPr="00C66D21">
        <w:rPr>
          <w:lang w:eastAsia="en-US"/>
        </w:rPr>
        <w:t>Cub</w:t>
      </w:r>
      <w:proofErr w:type="spellEnd"/>
      <w:r w:rsidRPr="00C66D21">
        <w:rPr>
          <w:lang w:eastAsia="en-US"/>
        </w:rPr>
        <w:t xml:space="preserve"> </w:t>
      </w:r>
      <w:proofErr w:type="spellStart"/>
      <w:r w:rsidRPr="00C66D21">
        <w:rPr>
          <w:lang w:eastAsia="en-US"/>
        </w:rPr>
        <w:t>Med</w:t>
      </w:r>
      <w:proofErr w:type="spellEnd"/>
      <w:r w:rsidRPr="00C66D21">
        <w:rPr>
          <w:lang w:eastAsia="en-US"/>
        </w:rPr>
        <w:t xml:space="preserve"> Gen </w:t>
      </w:r>
      <w:proofErr w:type="spellStart"/>
      <w:r w:rsidRPr="00C66D21">
        <w:rPr>
          <w:lang w:eastAsia="en-US"/>
        </w:rPr>
        <w:t>Int</w:t>
      </w:r>
      <w:proofErr w:type="spellEnd"/>
      <w:r w:rsidRPr="00C66D21">
        <w:rPr>
          <w:lang w:eastAsia="en-US"/>
        </w:rPr>
        <w:t xml:space="preserve">. 2021 </w:t>
      </w:r>
      <w:r w:rsidRPr="00C66D21">
        <w:rPr>
          <w:kern w:val="36"/>
          <w:lang w:eastAsia="es-MX"/>
        </w:rPr>
        <w:t>[</w:t>
      </w:r>
      <w:r w:rsidRPr="00C66D21">
        <w:rPr>
          <w:lang w:eastAsia="en-US"/>
        </w:rPr>
        <w:t xml:space="preserve">acceso: 06/12/2022]; 37(4): 1-19. Disponible en: </w:t>
      </w:r>
      <w:hyperlink r:id="rId39" w:history="1">
        <w:r w:rsidRPr="00C66D21">
          <w:rPr>
            <w:color w:val="0563C1"/>
            <w:lang w:eastAsia="en-US"/>
          </w:rPr>
          <w:t>http://scielo.sld.cu/scielo.php?script=sci_arttext&amp;pid=S0864-21252021000400011</w:t>
        </w:r>
      </w:hyperlink>
    </w:p>
    <w:p w14:paraId="547E3499" w14:textId="77777777" w:rsidR="00C66D21" w:rsidRPr="00C66D21" w:rsidRDefault="00C66D21" w:rsidP="00C66D21">
      <w:pPr>
        <w:spacing w:line="360" w:lineRule="auto"/>
        <w:rPr>
          <w:rFonts w:eastAsia="Calibri"/>
          <w:color w:val="000000"/>
          <w:shd w:val="clear" w:color="auto" w:fill="FFFFFF"/>
          <w:lang w:val="es-ES" w:eastAsia="en-US"/>
        </w:rPr>
      </w:pPr>
      <w:r w:rsidRPr="00C66D21">
        <w:rPr>
          <w:rFonts w:eastAsia="Calibri"/>
          <w:lang w:val="es-ES" w:eastAsia="en-US"/>
        </w:rPr>
        <w:t xml:space="preserve">20. </w:t>
      </w:r>
      <w:r w:rsidRPr="00C66D21">
        <w:rPr>
          <w:rFonts w:eastAsia="Calibri"/>
          <w:shd w:val="clear" w:color="auto" w:fill="FFFFFF"/>
          <w:lang w:val="es-ES" w:eastAsia="en-US"/>
        </w:rPr>
        <w:t xml:space="preserve">Bouza Plasencia G, </w:t>
      </w:r>
      <w:proofErr w:type="spellStart"/>
      <w:r w:rsidRPr="00C66D21">
        <w:rPr>
          <w:rFonts w:eastAsia="Calibri"/>
          <w:shd w:val="clear" w:color="auto" w:fill="FFFFFF"/>
          <w:lang w:val="es-ES" w:eastAsia="en-US"/>
        </w:rPr>
        <w:t>Villoch</w:t>
      </w:r>
      <w:proofErr w:type="spellEnd"/>
      <w:r w:rsidRPr="00C66D21">
        <w:rPr>
          <w:rFonts w:eastAsia="Calibri"/>
          <w:shd w:val="clear" w:color="auto" w:fill="FFFFFF"/>
          <w:lang w:val="es-ES" w:eastAsia="en-US"/>
        </w:rPr>
        <w:t xml:space="preserve"> Bonet R, Plasencia </w:t>
      </w:r>
      <w:proofErr w:type="spellStart"/>
      <w:r w:rsidRPr="00C66D21">
        <w:rPr>
          <w:rFonts w:eastAsia="Calibri"/>
          <w:shd w:val="clear" w:color="auto" w:fill="FFFFFF"/>
          <w:lang w:val="es-ES" w:eastAsia="en-US"/>
        </w:rPr>
        <w:t>Dominguez</w:t>
      </w:r>
      <w:proofErr w:type="spellEnd"/>
      <w:r w:rsidRPr="00C66D21">
        <w:rPr>
          <w:rFonts w:eastAsia="Calibri"/>
          <w:shd w:val="clear" w:color="auto" w:fill="FFFFFF"/>
          <w:lang w:val="es-ES" w:eastAsia="en-US"/>
        </w:rPr>
        <w:t xml:space="preserve"> O, Sosa Tejeda I. Calidad de la atención al anciano en dos policlínicos del municipio de Santiago de Cuba. MEDISAN. 2021 [acceso: </w:t>
      </w:r>
      <w:r w:rsidRPr="00C66D21">
        <w:rPr>
          <w:rFonts w:eastAsia="Calibri"/>
          <w:lang w:val="es-ES" w:eastAsia="en-US"/>
        </w:rPr>
        <w:t xml:space="preserve">06/12/2022]; </w:t>
      </w:r>
      <w:r w:rsidRPr="00C66D21">
        <w:rPr>
          <w:rFonts w:eastAsia="Calibri"/>
          <w:shd w:val="clear" w:color="auto" w:fill="FFFFFF"/>
          <w:lang w:val="es-ES" w:eastAsia="en-US"/>
        </w:rPr>
        <w:t>25(1): [aprox. 14 p.]. Disponible en:</w:t>
      </w:r>
      <w:r w:rsidRPr="00C66D21">
        <w:rPr>
          <w:rFonts w:eastAsia="Calibri"/>
          <w:lang w:val="es-ES" w:eastAsia="en-US"/>
        </w:rPr>
        <w:t xml:space="preserve"> </w:t>
      </w:r>
      <w:hyperlink r:id="rId40" w:history="1">
        <w:r w:rsidRPr="00C66D21">
          <w:rPr>
            <w:rFonts w:ascii="Calibri" w:eastAsia="Calibri" w:hAnsi="Calibri"/>
            <w:color w:val="0563C1"/>
            <w:sz w:val="22"/>
            <w:szCs w:val="22"/>
            <w:lang w:val="es-ES" w:eastAsia="en-US"/>
          </w:rPr>
          <w:t>http://scielo.sld.cu/scielo.php?script=sci_arttext&amp;pid=S1029-30192021000100051&amp;lng=es</w:t>
        </w:r>
      </w:hyperlink>
      <w:r w:rsidRPr="00C66D21">
        <w:rPr>
          <w:rFonts w:eastAsia="Calibri"/>
          <w:shd w:val="clear" w:color="auto" w:fill="FFFFFF"/>
          <w:lang w:val="es-ES" w:eastAsia="en-US"/>
        </w:rPr>
        <w:t xml:space="preserve">   </w:t>
      </w:r>
      <w:r w:rsidRPr="00C66D21" w:rsidDel="008D1B74">
        <w:rPr>
          <w:rFonts w:eastAsia="Calibri"/>
          <w:lang w:val="es-ES" w:eastAsia="en-US"/>
        </w:rPr>
        <w:t xml:space="preserve"> </w:t>
      </w:r>
    </w:p>
    <w:p w14:paraId="08B4C161" w14:textId="77777777" w:rsidR="00C66D21" w:rsidRPr="00C66D21" w:rsidRDefault="00C66D21" w:rsidP="00C66D21">
      <w:pPr>
        <w:tabs>
          <w:tab w:val="left" w:pos="426"/>
        </w:tabs>
        <w:spacing w:line="360" w:lineRule="auto"/>
        <w:rPr>
          <w:rFonts w:eastAsia="Calibri"/>
          <w:lang w:val="es-ES" w:eastAsia="en-US"/>
        </w:rPr>
      </w:pPr>
      <w:r w:rsidRPr="00C66D21">
        <w:rPr>
          <w:rFonts w:eastAsia="Calibri"/>
          <w:lang w:val="es-ES" w:eastAsia="en-US"/>
        </w:rPr>
        <w:t xml:space="preserve">21. Naranjo Hernández I. Caracterización de los adultos mayores frágiles desde la perspectiva de la enfermería. </w:t>
      </w:r>
      <w:proofErr w:type="spellStart"/>
      <w:r w:rsidRPr="00C66D21">
        <w:rPr>
          <w:rFonts w:eastAsia="Calibri"/>
          <w:lang w:val="es-ES" w:eastAsia="en-US"/>
        </w:rPr>
        <w:t>Rev</w:t>
      </w:r>
      <w:proofErr w:type="spellEnd"/>
      <w:r w:rsidRPr="00C66D21">
        <w:rPr>
          <w:rFonts w:eastAsia="Calibri"/>
          <w:lang w:val="es-ES" w:eastAsia="en-US"/>
        </w:rPr>
        <w:t xml:space="preserve"> </w:t>
      </w:r>
      <w:proofErr w:type="spellStart"/>
      <w:r w:rsidRPr="00C66D21">
        <w:rPr>
          <w:rFonts w:eastAsia="Calibri"/>
          <w:lang w:val="es-ES" w:eastAsia="en-US"/>
        </w:rPr>
        <w:t>Cub</w:t>
      </w:r>
      <w:proofErr w:type="spellEnd"/>
      <w:r w:rsidRPr="00C66D21">
        <w:rPr>
          <w:rFonts w:eastAsia="Calibri"/>
          <w:lang w:val="es-ES" w:eastAsia="en-US"/>
        </w:rPr>
        <w:t xml:space="preserve"> </w:t>
      </w:r>
      <w:proofErr w:type="spellStart"/>
      <w:r w:rsidRPr="00C66D21">
        <w:rPr>
          <w:rFonts w:eastAsia="Calibri"/>
          <w:lang w:val="es-ES" w:eastAsia="en-US"/>
        </w:rPr>
        <w:t>Enferm</w:t>
      </w:r>
      <w:proofErr w:type="spellEnd"/>
      <w:r w:rsidRPr="00C66D21">
        <w:rPr>
          <w:rFonts w:eastAsia="Calibri"/>
          <w:lang w:val="es-ES" w:eastAsia="en-US"/>
        </w:rPr>
        <w:t xml:space="preserve">. 2020 </w:t>
      </w:r>
      <w:r w:rsidRPr="00C66D21">
        <w:rPr>
          <w:rFonts w:eastAsia="Calibri"/>
          <w:kern w:val="36"/>
          <w:lang w:val="es-ES" w:eastAsia="es-MX"/>
        </w:rPr>
        <w:t>[</w:t>
      </w:r>
      <w:r w:rsidRPr="00C66D21">
        <w:rPr>
          <w:rFonts w:eastAsia="Calibri"/>
          <w:lang w:val="es-ES" w:eastAsia="en-US"/>
        </w:rPr>
        <w:t xml:space="preserve">acceso: 06/12/2022]; 36(1). [Aprox. 9 p].  Disponible en: </w:t>
      </w:r>
      <w:hyperlink r:id="rId41" w:history="1">
        <w:r w:rsidRPr="00C66D21">
          <w:rPr>
            <w:rFonts w:eastAsia="Calibri"/>
            <w:color w:val="0563C1"/>
            <w:lang w:val="es-ES" w:eastAsia="en-US"/>
          </w:rPr>
          <w:t>https://revenfermeria.sld.cu/index.php/enf/article/view/2778/532</w:t>
        </w:r>
      </w:hyperlink>
    </w:p>
    <w:p w14:paraId="196B5A04" w14:textId="77777777" w:rsidR="00C66D21" w:rsidRPr="00C66D21" w:rsidRDefault="00C66D21" w:rsidP="00C66D21">
      <w:pPr>
        <w:tabs>
          <w:tab w:val="left" w:pos="426"/>
        </w:tabs>
        <w:spacing w:line="360" w:lineRule="auto"/>
        <w:rPr>
          <w:rFonts w:eastAsia="Calibri"/>
          <w:color w:val="000000"/>
          <w:shd w:val="clear" w:color="auto" w:fill="FFFFFF"/>
          <w:lang w:val="es-ES" w:eastAsia="en-US"/>
        </w:rPr>
      </w:pPr>
      <w:r w:rsidRPr="00C66D21">
        <w:rPr>
          <w:rFonts w:eastAsia="Calibri"/>
          <w:lang w:val="es-ES" w:eastAsia="en-US"/>
        </w:rPr>
        <w:t>22. López Fábregas LM. Factores desencadenantes de la fragilidad en el anciano. PODIUM-</w:t>
      </w:r>
      <w:proofErr w:type="spellStart"/>
      <w:r w:rsidRPr="00C66D21">
        <w:rPr>
          <w:rFonts w:eastAsia="Calibri"/>
          <w:lang w:val="es-ES" w:eastAsia="en-US"/>
        </w:rPr>
        <w:t>Rev</w:t>
      </w:r>
      <w:proofErr w:type="spellEnd"/>
      <w:r w:rsidRPr="00C66D21">
        <w:rPr>
          <w:rFonts w:eastAsia="Calibri"/>
          <w:lang w:val="es-ES" w:eastAsia="en-US"/>
        </w:rPr>
        <w:t xml:space="preserve"> de Ciencia y tecnología en la cultura física. 2011 </w:t>
      </w:r>
      <w:r w:rsidRPr="00C66D21">
        <w:rPr>
          <w:rFonts w:eastAsia="Calibri"/>
          <w:kern w:val="36"/>
          <w:lang w:val="es-ES" w:eastAsia="es-MX"/>
        </w:rPr>
        <w:t>[</w:t>
      </w:r>
      <w:r w:rsidRPr="00C66D21">
        <w:rPr>
          <w:rFonts w:eastAsia="Calibri"/>
          <w:lang w:val="es-ES" w:eastAsia="en-US"/>
        </w:rPr>
        <w:t xml:space="preserve">acceso: 06/12/2022]; 6(2):180-8. Disponible en: </w:t>
      </w:r>
      <w:hyperlink r:id="rId42" w:history="1">
        <w:r w:rsidRPr="00C66D21">
          <w:rPr>
            <w:rFonts w:eastAsia="Calibri"/>
            <w:color w:val="0563C1"/>
            <w:lang w:val="es-ES" w:eastAsia="en-US"/>
          </w:rPr>
          <w:t>https://podium.upr.edu.cu/index.php/podium/article/view/357</w:t>
        </w:r>
      </w:hyperlink>
      <w:r w:rsidRPr="00C66D21">
        <w:rPr>
          <w:rFonts w:eastAsia="Calibri"/>
          <w:lang w:val="es-ES" w:eastAsia="en-US"/>
        </w:rPr>
        <w:t xml:space="preserve"> </w:t>
      </w:r>
    </w:p>
    <w:p w14:paraId="466912A3" w14:textId="77777777" w:rsidR="00C66D21" w:rsidRPr="00C66D21" w:rsidRDefault="00C66D21" w:rsidP="00C66D21">
      <w:pPr>
        <w:spacing w:line="360" w:lineRule="auto"/>
        <w:rPr>
          <w:rFonts w:eastAsia="Calibri"/>
          <w:lang w:val="es-ES" w:eastAsia="en-US"/>
        </w:rPr>
      </w:pPr>
      <w:r w:rsidRPr="00C66D21">
        <w:rPr>
          <w:rFonts w:eastAsia="Calibri"/>
          <w:lang w:val="es-ES" w:eastAsia="en-US"/>
        </w:rPr>
        <w:lastRenderedPageBreak/>
        <w:t xml:space="preserve">23. Tello RT, Pinedo LD. Fragilidad en el adulto mayor: detección, intervención en la comunidad y toma de decisiones en el manejo de enfermedades crónicas. </w:t>
      </w:r>
      <w:proofErr w:type="spellStart"/>
      <w:r w:rsidRPr="00C66D21">
        <w:rPr>
          <w:rFonts w:eastAsia="Calibri"/>
          <w:lang w:val="es-ES" w:eastAsia="en-US"/>
        </w:rPr>
        <w:t>Rev</w:t>
      </w:r>
      <w:proofErr w:type="spellEnd"/>
      <w:r w:rsidRPr="00C66D21">
        <w:rPr>
          <w:rFonts w:eastAsia="Calibri"/>
          <w:lang w:val="es-ES" w:eastAsia="en-US"/>
        </w:rPr>
        <w:t xml:space="preserve"> Perú </w:t>
      </w:r>
      <w:proofErr w:type="spellStart"/>
      <w:r w:rsidRPr="00C66D21">
        <w:rPr>
          <w:rFonts w:eastAsia="Calibri"/>
          <w:lang w:val="es-ES" w:eastAsia="en-US"/>
        </w:rPr>
        <w:t>Med</w:t>
      </w:r>
      <w:proofErr w:type="spellEnd"/>
      <w:r w:rsidRPr="00C66D21">
        <w:rPr>
          <w:rFonts w:eastAsia="Calibri"/>
          <w:lang w:val="es-ES" w:eastAsia="en-US"/>
        </w:rPr>
        <w:t xml:space="preserve"> </w:t>
      </w:r>
      <w:proofErr w:type="spellStart"/>
      <w:r w:rsidRPr="00C66D21">
        <w:rPr>
          <w:rFonts w:eastAsia="Calibri"/>
          <w:lang w:val="es-ES" w:eastAsia="en-US"/>
        </w:rPr>
        <w:t>Exp</w:t>
      </w:r>
      <w:proofErr w:type="spellEnd"/>
      <w:r w:rsidRPr="00C66D21">
        <w:rPr>
          <w:rFonts w:eastAsia="Calibri"/>
          <w:lang w:val="es-ES" w:eastAsia="en-US"/>
        </w:rPr>
        <w:t xml:space="preserve"> Sal Pub. 2016; 33(2): 328-34. Disponible en: </w:t>
      </w:r>
      <w:hyperlink r:id="rId43" w:history="1">
        <w:r w:rsidRPr="00C66D21">
          <w:rPr>
            <w:rFonts w:eastAsia="Calibri"/>
            <w:color w:val="0563C1"/>
            <w:lang w:val="es-ES" w:eastAsia="en-US"/>
          </w:rPr>
          <w:t>http://www.scielo.org.pe/pdf/rins/v33n2/a19v33n2.pdf</w:t>
        </w:r>
      </w:hyperlink>
      <w:r w:rsidRPr="00C66D21">
        <w:rPr>
          <w:rFonts w:eastAsia="Calibri"/>
          <w:lang w:val="es-ES" w:eastAsia="en-US"/>
        </w:rPr>
        <w:t xml:space="preserve"> </w:t>
      </w:r>
    </w:p>
    <w:p w14:paraId="47FCC01F" w14:textId="77777777" w:rsidR="00C66D21" w:rsidRPr="00C66D21" w:rsidRDefault="00C66D21" w:rsidP="00C66D21">
      <w:pPr>
        <w:spacing w:line="360" w:lineRule="auto"/>
        <w:rPr>
          <w:rFonts w:eastAsia="Calibri"/>
          <w:lang w:val="es-ES" w:eastAsia="en-US"/>
        </w:rPr>
      </w:pPr>
      <w:r w:rsidRPr="00C66D21">
        <w:rPr>
          <w:rFonts w:eastAsia="Calibri"/>
          <w:lang w:val="es-ES" w:eastAsia="en-US"/>
        </w:rPr>
        <w:t xml:space="preserve">24. González-Rodríguez R. Resultados del examen periódico de salud en adultos mayores. </w:t>
      </w:r>
      <w:proofErr w:type="spellStart"/>
      <w:r w:rsidRPr="00C66D21">
        <w:rPr>
          <w:rFonts w:eastAsia="Calibri"/>
          <w:lang w:val="es-ES" w:eastAsia="en-US"/>
        </w:rPr>
        <w:t>Rev</w:t>
      </w:r>
      <w:proofErr w:type="spellEnd"/>
      <w:r w:rsidRPr="00C66D21">
        <w:rPr>
          <w:rFonts w:eastAsia="Calibri"/>
          <w:lang w:val="es-ES" w:eastAsia="en-US"/>
        </w:rPr>
        <w:t xml:space="preserve"> </w:t>
      </w:r>
      <w:proofErr w:type="spellStart"/>
      <w:r w:rsidRPr="00C66D21">
        <w:rPr>
          <w:rFonts w:eastAsia="Calibri"/>
          <w:lang w:val="es-ES" w:eastAsia="en-US"/>
        </w:rPr>
        <w:t>Finlay</w:t>
      </w:r>
      <w:proofErr w:type="spellEnd"/>
      <w:r w:rsidRPr="00C66D21">
        <w:rPr>
          <w:rFonts w:eastAsia="Calibri"/>
          <w:lang w:val="es-ES" w:eastAsia="en-US"/>
        </w:rPr>
        <w:t xml:space="preserve">. 2020 </w:t>
      </w:r>
      <w:r w:rsidRPr="00C66D21">
        <w:rPr>
          <w:rFonts w:eastAsia="Calibri"/>
          <w:kern w:val="36"/>
          <w:lang w:val="es-ES" w:eastAsia="es-MX"/>
        </w:rPr>
        <w:t>[</w:t>
      </w:r>
      <w:r w:rsidRPr="00C66D21">
        <w:rPr>
          <w:rFonts w:eastAsia="Calibri"/>
          <w:lang w:val="es-ES" w:eastAsia="en-US"/>
        </w:rPr>
        <w:t xml:space="preserve">acceso: 06/12/2022]; 10(2): [aprox. 7 p.]. Disponible en: </w:t>
      </w:r>
      <w:hyperlink r:id="rId44" w:history="1">
        <w:r w:rsidRPr="00C66D21">
          <w:rPr>
            <w:rFonts w:eastAsia="Calibri"/>
            <w:color w:val="0563C1"/>
            <w:lang w:val="es-ES" w:eastAsia="en-US"/>
          </w:rPr>
          <w:t>https://revfinlay.sld.cu/index.php/finlay/article/view/730/1843</w:t>
        </w:r>
      </w:hyperlink>
      <w:r w:rsidRPr="00C66D21">
        <w:rPr>
          <w:rFonts w:eastAsia="Calibri"/>
          <w:lang w:val="es-ES" w:eastAsia="en-US"/>
        </w:rPr>
        <w:t xml:space="preserve"> </w:t>
      </w:r>
    </w:p>
    <w:p w14:paraId="466334FC" w14:textId="77777777" w:rsidR="00C66D21" w:rsidRPr="00C66D21" w:rsidRDefault="00C66D21" w:rsidP="00C66D21">
      <w:pPr>
        <w:spacing w:line="360" w:lineRule="auto"/>
        <w:jc w:val="center"/>
        <w:rPr>
          <w:rFonts w:eastAsia="Calibri"/>
          <w:b/>
          <w:bCs/>
          <w:lang w:val="es-ES" w:eastAsia="en-US"/>
        </w:rPr>
      </w:pPr>
    </w:p>
    <w:p w14:paraId="66F48B93" w14:textId="77777777" w:rsidR="00C66D21" w:rsidRPr="00C66D21" w:rsidRDefault="00C66D21" w:rsidP="00C66D21">
      <w:pPr>
        <w:spacing w:line="360" w:lineRule="auto"/>
        <w:jc w:val="center"/>
        <w:rPr>
          <w:rFonts w:eastAsia="Calibri"/>
          <w:b/>
          <w:bCs/>
          <w:lang w:val="es-ES" w:eastAsia="en-US"/>
        </w:rPr>
      </w:pPr>
    </w:p>
    <w:p w14:paraId="4E9B730C" w14:textId="77777777" w:rsidR="00C66D21" w:rsidRPr="00C66D21" w:rsidRDefault="00C66D21" w:rsidP="00C66D21">
      <w:pPr>
        <w:spacing w:line="360" w:lineRule="auto"/>
        <w:jc w:val="center"/>
        <w:rPr>
          <w:rFonts w:eastAsia="Calibri"/>
          <w:lang w:val="es-ES" w:eastAsia="en-US"/>
        </w:rPr>
      </w:pPr>
      <w:r w:rsidRPr="00C66D21">
        <w:rPr>
          <w:rFonts w:eastAsia="Calibri"/>
          <w:b/>
          <w:bCs/>
          <w:lang w:val="es-ES" w:eastAsia="en-US"/>
        </w:rPr>
        <w:t>Conflictos de interés</w:t>
      </w:r>
    </w:p>
    <w:p w14:paraId="3C997BBC"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Los autores no declararan conflictos de interés</w:t>
      </w:r>
    </w:p>
    <w:p w14:paraId="672CB61C" w14:textId="77777777" w:rsidR="00C66D21" w:rsidRPr="00C66D21" w:rsidRDefault="00C66D21" w:rsidP="00C66D21">
      <w:pPr>
        <w:spacing w:line="360" w:lineRule="auto"/>
        <w:jc w:val="center"/>
        <w:rPr>
          <w:rFonts w:eastAsia="Calibri"/>
          <w:b/>
          <w:bCs/>
          <w:lang w:val="es-ES" w:eastAsia="en-US"/>
        </w:rPr>
      </w:pPr>
    </w:p>
    <w:p w14:paraId="39532FB5" w14:textId="77777777" w:rsidR="00C66D21" w:rsidRPr="00C66D21" w:rsidRDefault="00C66D21" w:rsidP="00C66D21">
      <w:pPr>
        <w:spacing w:line="360" w:lineRule="auto"/>
        <w:jc w:val="center"/>
        <w:rPr>
          <w:rFonts w:eastAsia="Calibri"/>
          <w:b/>
          <w:bCs/>
          <w:lang w:val="es-ES" w:eastAsia="en-US"/>
        </w:rPr>
      </w:pPr>
      <w:r w:rsidRPr="00C66D21">
        <w:rPr>
          <w:rFonts w:eastAsia="Calibri"/>
          <w:b/>
          <w:bCs/>
          <w:lang w:val="es-ES" w:eastAsia="en-US"/>
        </w:rPr>
        <w:t>Contribuciones de los autores</w:t>
      </w:r>
    </w:p>
    <w:p w14:paraId="4759FCEF"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Conceptualización: </w:t>
      </w:r>
      <w:r w:rsidRPr="00C66D21">
        <w:rPr>
          <w:rFonts w:eastAsia="Calibri"/>
          <w:i/>
          <w:lang w:val="es-ES" w:eastAsia="en-US"/>
        </w:rPr>
        <w:t>Rita María Mesa Valiente.</w:t>
      </w:r>
    </w:p>
    <w:p w14:paraId="62492FEB"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Curación de datos: </w:t>
      </w:r>
      <w:r w:rsidRPr="00C66D21">
        <w:rPr>
          <w:rFonts w:eastAsia="Calibri"/>
          <w:i/>
          <w:lang w:val="es-ES" w:eastAsia="en-US"/>
        </w:rPr>
        <w:t xml:space="preserve">Germán R. Del Río Mesa. </w:t>
      </w:r>
    </w:p>
    <w:p w14:paraId="2CC03512"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Análisis formal: </w:t>
      </w:r>
      <w:r w:rsidRPr="00C66D21">
        <w:rPr>
          <w:rFonts w:eastAsia="Calibri"/>
          <w:i/>
          <w:lang w:val="es-ES" w:eastAsia="en-US"/>
        </w:rPr>
        <w:t>Lucía N. Turro Mesa.</w:t>
      </w:r>
    </w:p>
    <w:p w14:paraId="64C0C030"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Investigación: </w:t>
      </w:r>
      <w:r w:rsidRPr="00C66D21">
        <w:rPr>
          <w:rFonts w:eastAsia="Calibri"/>
          <w:i/>
          <w:lang w:val="es-ES" w:eastAsia="en-US"/>
        </w:rPr>
        <w:t xml:space="preserve">Rita María Mesa Valiente. </w:t>
      </w:r>
    </w:p>
    <w:p w14:paraId="5199EAAC"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Metodología: </w:t>
      </w:r>
      <w:r w:rsidRPr="00C66D21">
        <w:rPr>
          <w:rFonts w:eastAsia="Calibri"/>
          <w:i/>
          <w:lang w:val="es-ES" w:eastAsia="en-US"/>
        </w:rPr>
        <w:t xml:space="preserve">Laura Caridad Hurtado Gascón. </w:t>
      </w:r>
    </w:p>
    <w:p w14:paraId="18CC9E48"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Validación:</w:t>
      </w:r>
      <w:r w:rsidRPr="00C66D21">
        <w:rPr>
          <w:rFonts w:ascii="Calibri" w:eastAsia="Calibri" w:hAnsi="Calibri"/>
          <w:sz w:val="22"/>
          <w:szCs w:val="22"/>
          <w:lang w:val="es-ES" w:eastAsia="en-US"/>
        </w:rPr>
        <w:t xml:space="preserve"> </w:t>
      </w:r>
      <w:r w:rsidRPr="00C66D21">
        <w:rPr>
          <w:rFonts w:eastAsia="Calibri"/>
          <w:i/>
          <w:iCs/>
          <w:lang w:val="es-ES" w:eastAsia="en-US"/>
        </w:rPr>
        <w:t xml:space="preserve">Eloy Turro </w:t>
      </w:r>
      <w:proofErr w:type="spellStart"/>
      <w:r w:rsidRPr="00C66D21">
        <w:rPr>
          <w:rFonts w:eastAsia="Calibri"/>
          <w:i/>
          <w:iCs/>
          <w:lang w:val="es-ES" w:eastAsia="en-US"/>
        </w:rPr>
        <w:t>Caró</w:t>
      </w:r>
      <w:proofErr w:type="spellEnd"/>
      <w:r w:rsidRPr="00C66D21">
        <w:rPr>
          <w:rFonts w:eastAsia="Calibri"/>
          <w:i/>
          <w:iCs/>
          <w:lang w:val="es-ES" w:eastAsia="en-US"/>
        </w:rPr>
        <w:t xml:space="preserve">.  </w:t>
      </w:r>
    </w:p>
    <w:p w14:paraId="7CE0E2CE" w14:textId="77777777" w:rsidR="00C66D21" w:rsidRPr="00C66D21" w:rsidRDefault="00C66D21" w:rsidP="00C66D21">
      <w:pPr>
        <w:spacing w:line="360" w:lineRule="auto"/>
        <w:jc w:val="both"/>
        <w:rPr>
          <w:rFonts w:eastAsia="Calibri"/>
          <w:lang w:val="es-ES" w:eastAsia="en-US"/>
        </w:rPr>
      </w:pPr>
      <w:r w:rsidRPr="00C66D21">
        <w:rPr>
          <w:rFonts w:eastAsia="Calibri"/>
          <w:lang w:val="es-ES" w:eastAsia="en-US"/>
        </w:rPr>
        <w:t xml:space="preserve">Visualización: </w:t>
      </w:r>
      <w:proofErr w:type="spellStart"/>
      <w:r w:rsidRPr="00C66D21">
        <w:rPr>
          <w:rFonts w:eastAsia="Calibri"/>
          <w:i/>
          <w:iCs/>
          <w:lang w:val="es-ES" w:eastAsia="en-US"/>
        </w:rPr>
        <w:t>Eslaidi</w:t>
      </w:r>
      <w:proofErr w:type="spellEnd"/>
      <w:r w:rsidRPr="00C66D21">
        <w:rPr>
          <w:rFonts w:eastAsia="Calibri"/>
          <w:i/>
          <w:iCs/>
          <w:lang w:val="es-ES" w:eastAsia="en-US"/>
        </w:rPr>
        <w:t xml:space="preserve"> Mendoza Clavel.</w:t>
      </w:r>
    </w:p>
    <w:p w14:paraId="5A69F0F2"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Redacción – borrador original: </w:t>
      </w:r>
      <w:bookmarkStart w:id="9" w:name="_Hlk121696890"/>
      <w:r w:rsidRPr="00C66D21">
        <w:rPr>
          <w:rFonts w:eastAsia="Calibri"/>
          <w:i/>
          <w:lang w:val="es-ES" w:eastAsia="en-US"/>
        </w:rPr>
        <w:t>Rita María Mesa Valiente</w:t>
      </w:r>
      <w:bookmarkEnd w:id="9"/>
      <w:r w:rsidRPr="00C66D21">
        <w:rPr>
          <w:rFonts w:eastAsia="Calibri"/>
          <w:i/>
          <w:lang w:val="es-ES" w:eastAsia="en-US"/>
        </w:rPr>
        <w:t>.</w:t>
      </w:r>
    </w:p>
    <w:p w14:paraId="2D4D5459"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 Redacción – revisión y edición: </w:t>
      </w:r>
      <w:r w:rsidRPr="00C66D21">
        <w:rPr>
          <w:rFonts w:eastAsia="Calibri"/>
          <w:i/>
          <w:lang w:val="es-ES" w:eastAsia="en-US"/>
        </w:rPr>
        <w:t>Germán Del Río Caballero.</w:t>
      </w:r>
    </w:p>
    <w:p w14:paraId="0AA9AB68" w14:textId="77777777" w:rsidR="00C66D21" w:rsidRPr="00C66D21" w:rsidRDefault="00C66D21" w:rsidP="00C66D21">
      <w:pPr>
        <w:spacing w:line="360" w:lineRule="auto"/>
        <w:jc w:val="both"/>
        <w:rPr>
          <w:rFonts w:eastAsia="Calibri"/>
          <w:i/>
          <w:lang w:val="es-ES" w:eastAsia="en-US"/>
        </w:rPr>
      </w:pPr>
      <w:r w:rsidRPr="00C66D21">
        <w:rPr>
          <w:rFonts w:eastAsia="Calibri"/>
          <w:lang w:val="es-ES" w:eastAsia="en-US"/>
        </w:rPr>
        <w:t xml:space="preserve"> Supervisión: </w:t>
      </w:r>
      <w:r w:rsidRPr="00C66D21">
        <w:rPr>
          <w:rFonts w:eastAsia="Calibri"/>
          <w:i/>
          <w:lang w:val="es-ES" w:eastAsia="en-US"/>
        </w:rPr>
        <w:t>Laura Caridad Hurtado Gascón.</w:t>
      </w:r>
    </w:p>
    <w:p w14:paraId="2A217CCA" w14:textId="77777777" w:rsidR="00C66D21" w:rsidRPr="00C66D21" w:rsidRDefault="00C66D21" w:rsidP="00C66D21">
      <w:pPr>
        <w:spacing w:line="360" w:lineRule="auto"/>
        <w:jc w:val="both"/>
        <w:rPr>
          <w:rFonts w:eastAsia="Calibri"/>
          <w:lang w:val="es-ES" w:eastAsia="en-US"/>
        </w:rPr>
      </w:pPr>
    </w:p>
    <w:p w14:paraId="72C8BA4A" w14:textId="77777777" w:rsidR="00675476" w:rsidRPr="0055115D" w:rsidRDefault="00675476" w:rsidP="00EA1FEF">
      <w:pPr>
        <w:pStyle w:val="PDFRevista"/>
      </w:pPr>
    </w:p>
    <w:sectPr w:rsidR="00675476" w:rsidRPr="0055115D" w:rsidSect="00FD3DF8">
      <w:headerReference w:type="default" r:id="rId45"/>
      <w:footerReference w:type="even" r:id="rId46"/>
      <w:footerReference w:type="default" r:id="rId4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7706" w14:textId="77777777" w:rsidR="00583DB0" w:rsidRDefault="00583DB0">
      <w:r>
        <w:separator/>
      </w:r>
    </w:p>
  </w:endnote>
  <w:endnote w:type="continuationSeparator" w:id="0">
    <w:p w14:paraId="261AAECA" w14:textId="77777777" w:rsidR="00583DB0" w:rsidRDefault="005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13E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56F85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BCA9"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4CC2058" wp14:editId="2601855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67B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B4F6035" w14:textId="77777777" w:rsidR="00675476" w:rsidRPr="00AE044C" w:rsidRDefault="00583DB0" w:rsidP="00391509">
    <w:pPr>
      <w:pStyle w:val="Piedepgina"/>
      <w:ind w:right="360"/>
      <w:rPr>
        <w:sz w:val="22"/>
        <w:szCs w:val="22"/>
      </w:rPr>
    </w:pPr>
    <w:hyperlink r:id="rId1" w:history="1">
      <w:r w:rsidR="00391509" w:rsidRPr="00AE044C">
        <w:rPr>
          <w:rStyle w:val="Hipervnculo"/>
          <w:sz w:val="22"/>
          <w:szCs w:val="22"/>
        </w:rPr>
        <w:t>http://scielo.sld.cu</w:t>
      </w:r>
    </w:hyperlink>
  </w:p>
  <w:p w14:paraId="6F2AAFA9" w14:textId="77777777" w:rsidR="00391509" w:rsidRPr="00AE044C" w:rsidRDefault="00583DB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3A1E18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3645ADB" wp14:editId="5BFE42A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4107" w14:textId="77777777" w:rsidR="00583DB0" w:rsidRDefault="00583DB0">
      <w:r>
        <w:separator/>
      </w:r>
    </w:p>
  </w:footnote>
  <w:footnote w:type="continuationSeparator" w:id="0">
    <w:p w14:paraId="20F28734" w14:textId="77777777" w:rsidR="00583DB0" w:rsidRDefault="0058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B6FB" w14:textId="25A63F69" w:rsidR="00CC376A" w:rsidRPr="00AE044C" w:rsidRDefault="00C66D21"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3E9A60B1" wp14:editId="437C3BB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e02403067</w:t>
    </w:r>
  </w:p>
  <w:p w14:paraId="60B48A8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00BDE62" wp14:editId="325F159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859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A7D"/>
    <w:multiLevelType w:val="hybridMultilevel"/>
    <w:tmpl w:val="E37EDB88"/>
    <w:lvl w:ilvl="0" w:tplc="080A000F">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50A02"/>
    <w:multiLevelType w:val="hybridMultilevel"/>
    <w:tmpl w:val="9AB8F13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67371"/>
    <w:multiLevelType w:val="hybridMultilevel"/>
    <w:tmpl w:val="AC1407D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B35DB"/>
    <w:multiLevelType w:val="hybridMultilevel"/>
    <w:tmpl w:val="6D90C962"/>
    <w:lvl w:ilvl="0" w:tplc="5C0A000F">
      <w:start w:val="1"/>
      <w:numFmt w:val="decimal"/>
      <w:lvlText w:val="%1."/>
      <w:lvlJc w:val="left"/>
      <w:pPr>
        <w:ind w:left="785"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101528CA"/>
    <w:multiLevelType w:val="hybridMultilevel"/>
    <w:tmpl w:val="B0D452D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42723"/>
    <w:multiLevelType w:val="hybridMultilevel"/>
    <w:tmpl w:val="B88C5446"/>
    <w:lvl w:ilvl="0" w:tplc="5F0842A6">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88462C"/>
    <w:multiLevelType w:val="hybridMultilevel"/>
    <w:tmpl w:val="7630B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B7BFD"/>
    <w:multiLevelType w:val="hybridMultilevel"/>
    <w:tmpl w:val="9CBEB762"/>
    <w:lvl w:ilvl="0" w:tplc="A08C82AA">
      <w:start w:val="1"/>
      <w:numFmt w:val="decimal"/>
      <w:lvlText w:val="%1."/>
      <w:lvlJc w:val="left"/>
      <w:pPr>
        <w:ind w:left="405" w:hanging="360"/>
      </w:pPr>
      <w:rPr>
        <w:rFonts w:ascii="Times New Roman" w:eastAsia="Times New Roman" w:hAnsi="Times New Roman" w:cs="Times New Roman"/>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301E349C"/>
    <w:multiLevelType w:val="hybridMultilevel"/>
    <w:tmpl w:val="28022ABA"/>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3D7593"/>
    <w:multiLevelType w:val="hybridMultilevel"/>
    <w:tmpl w:val="B818E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4718D"/>
    <w:multiLevelType w:val="hybridMultilevel"/>
    <w:tmpl w:val="0360C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75ADD"/>
    <w:multiLevelType w:val="hybridMultilevel"/>
    <w:tmpl w:val="193C9134"/>
    <w:lvl w:ilvl="0" w:tplc="02A832B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A3327"/>
    <w:multiLevelType w:val="hybridMultilevel"/>
    <w:tmpl w:val="5002CDD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4" w15:restartNumberingAfterBreak="0">
    <w:nsid w:val="500C1947"/>
    <w:multiLevelType w:val="hybridMultilevel"/>
    <w:tmpl w:val="23524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8E3521"/>
    <w:multiLevelType w:val="hybridMultilevel"/>
    <w:tmpl w:val="9E36F69A"/>
    <w:lvl w:ilvl="0" w:tplc="080A000F">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832359"/>
    <w:multiLevelType w:val="hybridMultilevel"/>
    <w:tmpl w:val="AB6A95D0"/>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2010F7"/>
    <w:multiLevelType w:val="hybridMultilevel"/>
    <w:tmpl w:val="0A78E00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7E5A8F"/>
    <w:multiLevelType w:val="hybridMultilevel"/>
    <w:tmpl w:val="AF2CD94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30B82"/>
    <w:multiLevelType w:val="hybridMultilevel"/>
    <w:tmpl w:val="49DA91AA"/>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713A1EE2"/>
    <w:multiLevelType w:val="hybridMultilevel"/>
    <w:tmpl w:val="6E46CE9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B716CE"/>
    <w:multiLevelType w:val="hybridMultilevel"/>
    <w:tmpl w:val="FEA6CB82"/>
    <w:lvl w:ilvl="0" w:tplc="080A000F">
      <w:start w:val="1"/>
      <w:numFmt w:val="decimal"/>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2" w15:restartNumberingAfterBreak="0">
    <w:nsid w:val="77555629"/>
    <w:multiLevelType w:val="hybridMultilevel"/>
    <w:tmpl w:val="CC46472E"/>
    <w:lvl w:ilvl="0" w:tplc="01BABEBC">
      <w:start w:val="1"/>
      <w:numFmt w:val="decimal"/>
      <w:lvlText w:val="%1."/>
      <w:lvlJc w:val="left"/>
      <w:pPr>
        <w:ind w:left="502"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4544D0"/>
    <w:multiLevelType w:val="hybridMultilevel"/>
    <w:tmpl w:val="D150A904"/>
    <w:lvl w:ilvl="0" w:tplc="A1CA378E">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353893"/>
    <w:multiLevelType w:val="hybridMultilevel"/>
    <w:tmpl w:val="C7E2A254"/>
    <w:lvl w:ilvl="0" w:tplc="1FA07DE2">
      <w:start w:val="1"/>
      <w:numFmt w:val="decimal"/>
      <w:lvlText w:val="%1."/>
      <w:lvlJc w:val="left"/>
      <w:pPr>
        <w:ind w:left="405" w:hanging="360"/>
      </w:pPr>
      <w:rPr>
        <w:rFonts w:ascii="Times New Roman" w:eastAsia="Times New Roman" w:hAnsi="Times New Roman" w:cs="Times New Roman"/>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3"/>
  </w:num>
  <w:num w:numId="2">
    <w:abstractNumId w:val="9"/>
  </w:num>
  <w:num w:numId="3">
    <w:abstractNumId w:val="19"/>
  </w:num>
  <w:num w:numId="4">
    <w:abstractNumId w:val="10"/>
  </w:num>
  <w:num w:numId="5">
    <w:abstractNumId w:val="6"/>
  </w:num>
  <w:num w:numId="6">
    <w:abstractNumId w:val="11"/>
  </w:num>
  <w:num w:numId="7">
    <w:abstractNumId w:val="8"/>
  </w:num>
  <w:num w:numId="8">
    <w:abstractNumId w:val="3"/>
  </w:num>
  <w:num w:numId="9">
    <w:abstractNumId w:val="5"/>
  </w:num>
  <w:num w:numId="10">
    <w:abstractNumId w:val="14"/>
  </w:num>
  <w:num w:numId="11">
    <w:abstractNumId w:val="24"/>
  </w:num>
  <w:num w:numId="12">
    <w:abstractNumId w:val="23"/>
  </w:num>
  <w:num w:numId="13">
    <w:abstractNumId w:val="0"/>
  </w:num>
  <w:num w:numId="14">
    <w:abstractNumId w:val="7"/>
  </w:num>
  <w:num w:numId="15">
    <w:abstractNumId w:val="1"/>
  </w:num>
  <w:num w:numId="16">
    <w:abstractNumId w:val="18"/>
  </w:num>
  <w:num w:numId="17">
    <w:abstractNumId w:val="2"/>
  </w:num>
  <w:num w:numId="18">
    <w:abstractNumId w:val="17"/>
  </w:num>
  <w:num w:numId="19">
    <w:abstractNumId w:val="20"/>
  </w:num>
  <w:num w:numId="20">
    <w:abstractNumId w:val="4"/>
  </w:num>
  <w:num w:numId="21">
    <w:abstractNumId w:val="12"/>
  </w:num>
  <w:num w:numId="22">
    <w:abstractNumId w:val="16"/>
  </w:num>
  <w:num w:numId="23">
    <w:abstractNumId w:val="21"/>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83DB0"/>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66D21"/>
    <w:rsid w:val="00C7523A"/>
    <w:rsid w:val="00CC1B6E"/>
    <w:rsid w:val="00CC376A"/>
    <w:rsid w:val="00CC48A1"/>
    <w:rsid w:val="00CE1433"/>
    <w:rsid w:val="00CF50E0"/>
    <w:rsid w:val="00D40BFB"/>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06884FE"/>
  <w15:docId w15:val="{E3E212B9-1779-4AFC-9B30-4C401628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C66D21"/>
    <w:pPr>
      <w:keepNext/>
      <w:keepLines/>
      <w:spacing w:before="240"/>
      <w:outlineLvl w:val="0"/>
    </w:pPr>
    <w:rPr>
      <w:rFonts w:ascii="Calibri Light" w:hAnsi="Calibri Light"/>
      <w:color w:val="2F5496"/>
      <w:sz w:val="32"/>
      <w:szCs w:val="32"/>
      <w:lang w:val="es-ES" w:eastAsia="es-ES"/>
    </w:rPr>
  </w:style>
  <w:style w:type="paragraph" w:styleId="Ttulo2">
    <w:name w:val="heading 2"/>
    <w:basedOn w:val="Normal"/>
    <w:next w:val="Normal"/>
    <w:link w:val="Ttulo2Car"/>
    <w:uiPriority w:val="9"/>
    <w:qFormat/>
    <w:rsid w:val="00C66D21"/>
    <w:pPr>
      <w:keepNext/>
      <w:spacing w:before="240" w:after="60" w:line="276" w:lineRule="auto"/>
      <w:outlineLvl w:val="1"/>
    </w:pPr>
    <w:rPr>
      <w:rFonts w:ascii="Cambria" w:hAnsi="Cambria"/>
      <w:b/>
      <w:bCs/>
      <w:i/>
      <w:iCs/>
      <w:sz w:val="28"/>
      <w:szCs w:val="28"/>
      <w:lang w:val="x-none" w:eastAsia="en-US"/>
    </w:rPr>
  </w:style>
  <w:style w:type="paragraph" w:styleId="Ttulo3">
    <w:name w:val="heading 3"/>
    <w:basedOn w:val="Normal"/>
    <w:next w:val="Normal"/>
    <w:link w:val="Ttulo3Car"/>
    <w:uiPriority w:val="9"/>
    <w:qFormat/>
    <w:rsid w:val="00C66D21"/>
    <w:pPr>
      <w:keepNext/>
      <w:spacing w:before="240" w:after="60" w:line="276" w:lineRule="auto"/>
      <w:outlineLvl w:val="2"/>
    </w:pPr>
    <w:rPr>
      <w:rFonts w:ascii="Cambria" w:hAnsi="Cambria"/>
      <w:b/>
      <w:bCs/>
      <w:sz w:val="26"/>
      <w:szCs w:val="26"/>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C66D21"/>
    <w:pPr>
      <w:keepNext/>
      <w:keepLines/>
      <w:spacing w:before="240" w:line="276" w:lineRule="auto"/>
      <w:outlineLvl w:val="0"/>
    </w:pPr>
    <w:rPr>
      <w:rFonts w:ascii="Calibri Light" w:hAnsi="Calibri Light"/>
      <w:color w:val="2F5496"/>
      <w:sz w:val="32"/>
      <w:szCs w:val="32"/>
      <w:lang w:val="es-ES" w:eastAsia="en-US"/>
    </w:rPr>
  </w:style>
  <w:style w:type="character" w:customStyle="1" w:styleId="Ttulo2Car">
    <w:name w:val="Título 2 Car"/>
    <w:basedOn w:val="Fuentedeprrafopredeter"/>
    <w:link w:val="Ttulo2"/>
    <w:uiPriority w:val="9"/>
    <w:rsid w:val="00C66D21"/>
    <w:rPr>
      <w:rFonts w:ascii="Cambria" w:hAnsi="Cambria"/>
      <w:b/>
      <w:bCs/>
      <w:i/>
      <w:iCs/>
      <w:sz w:val="28"/>
      <w:szCs w:val="28"/>
      <w:lang w:val="x-none" w:eastAsia="en-US"/>
    </w:rPr>
  </w:style>
  <w:style w:type="character" w:customStyle="1" w:styleId="Ttulo3Car">
    <w:name w:val="Título 3 Car"/>
    <w:basedOn w:val="Fuentedeprrafopredeter"/>
    <w:link w:val="Ttulo3"/>
    <w:uiPriority w:val="9"/>
    <w:rsid w:val="00C66D21"/>
    <w:rPr>
      <w:rFonts w:ascii="Cambria" w:hAnsi="Cambria"/>
      <w:b/>
      <w:bCs/>
      <w:sz w:val="26"/>
      <w:szCs w:val="26"/>
      <w:lang w:val="x-none" w:eastAsia="en-US"/>
    </w:rPr>
  </w:style>
  <w:style w:type="numbering" w:customStyle="1" w:styleId="Sinlista1">
    <w:name w:val="Sin lista1"/>
    <w:next w:val="Sinlista"/>
    <w:uiPriority w:val="99"/>
    <w:semiHidden/>
    <w:unhideWhenUsed/>
    <w:rsid w:val="00C66D21"/>
  </w:style>
  <w:style w:type="paragraph" w:styleId="Textoindependiente">
    <w:name w:val="Body Text"/>
    <w:basedOn w:val="Normal"/>
    <w:link w:val="TextoindependienteCar"/>
    <w:uiPriority w:val="1"/>
    <w:rsid w:val="00C66D21"/>
    <w:pPr>
      <w:spacing w:after="160" w:line="259" w:lineRule="auto"/>
      <w:ind w:left="265"/>
    </w:pPr>
    <w:rPr>
      <w:rFonts w:ascii="Arial" w:hAnsi="Arial"/>
      <w:lang w:val="en-US" w:eastAsia="en-US"/>
    </w:rPr>
  </w:style>
  <w:style w:type="character" w:customStyle="1" w:styleId="TextoindependienteCar">
    <w:name w:val="Texto independiente Car"/>
    <w:basedOn w:val="Fuentedeprrafopredeter"/>
    <w:link w:val="Textoindependiente"/>
    <w:uiPriority w:val="1"/>
    <w:rsid w:val="00C66D21"/>
    <w:rPr>
      <w:rFonts w:ascii="Arial" w:hAnsi="Arial"/>
      <w:sz w:val="24"/>
      <w:szCs w:val="24"/>
      <w:lang w:val="en-US" w:eastAsia="en-US"/>
    </w:rPr>
  </w:style>
  <w:style w:type="table" w:customStyle="1" w:styleId="Tablaconcuadrcula1">
    <w:name w:val="Tabla con cuadrícula1"/>
    <w:basedOn w:val="Tablanormal"/>
    <w:next w:val="Tablaconcuadrcula"/>
    <w:uiPriority w:val="59"/>
    <w:rsid w:val="00C66D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ígrafe"/>
    <w:basedOn w:val="Normal"/>
    <w:next w:val="Normal"/>
    <w:uiPriority w:val="35"/>
    <w:qFormat/>
    <w:rsid w:val="00C66D21"/>
    <w:pPr>
      <w:spacing w:after="200" w:line="276" w:lineRule="auto"/>
    </w:pPr>
    <w:rPr>
      <w:rFonts w:ascii="Calibri" w:eastAsia="Calibri" w:hAnsi="Calibri"/>
      <w:b/>
      <w:bCs/>
      <w:sz w:val="20"/>
      <w:szCs w:val="20"/>
      <w:lang w:val="es-ES" w:eastAsia="en-US"/>
    </w:rPr>
  </w:style>
  <w:style w:type="character" w:customStyle="1" w:styleId="Mencinsinresolver1">
    <w:name w:val="Mención sin resolver1"/>
    <w:uiPriority w:val="99"/>
    <w:semiHidden/>
    <w:unhideWhenUsed/>
    <w:rsid w:val="00C66D21"/>
    <w:rPr>
      <w:color w:val="605E5C"/>
      <w:shd w:val="clear" w:color="auto" w:fill="E1DFDD"/>
    </w:rPr>
  </w:style>
  <w:style w:type="paragraph" w:styleId="Textonotaalfinal">
    <w:name w:val="endnote text"/>
    <w:basedOn w:val="Normal"/>
    <w:link w:val="TextonotaalfinalCar"/>
    <w:rsid w:val="00C66D21"/>
    <w:pPr>
      <w:widowControl w:val="0"/>
      <w:autoSpaceDE w:val="0"/>
      <w:autoSpaceDN w:val="0"/>
    </w:pPr>
    <w:rPr>
      <w:sz w:val="20"/>
      <w:szCs w:val="20"/>
      <w:lang w:eastAsia="en-US"/>
    </w:rPr>
  </w:style>
  <w:style w:type="character" w:customStyle="1" w:styleId="TextonotaalfinalCar">
    <w:name w:val="Texto nota al final Car"/>
    <w:basedOn w:val="Fuentedeprrafopredeter"/>
    <w:link w:val="Textonotaalfinal"/>
    <w:rsid w:val="00C66D21"/>
    <w:rPr>
      <w:lang w:val="es-ES_tradnl" w:eastAsia="en-US"/>
    </w:rPr>
  </w:style>
  <w:style w:type="paragraph" w:customStyle="1" w:styleId="Default">
    <w:name w:val="Default"/>
    <w:rsid w:val="00C66D21"/>
    <w:pPr>
      <w:autoSpaceDE w:val="0"/>
      <w:autoSpaceDN w:val="0"/>
      <w:adjustRightInd w:val="0"/>
    </w:pPr>
    <w:rPr>
      <w:rFonts w:ascii="Gill Sans MT Condensed" w:eastAsia="Calibri" w:hAnsi="Gill Sans MT Condensed" w:cs="Gill Sans MT Condensed"/>
      <w:color w:val="000000"/>
      <w:sz w:val="24"/>
      <w:szCs w:val="24"/>
    </w:rPr>
  </w:style>
  <w:style w:type="character" w:customStyle="1" w:styleId="rynqvb">
    <w:name w:val="rynqvb"/>
    <w:basedOn w:val="Fuentedeprrafopredeter"/>
    <w:rsid w:val="00C66D21"/>
  </w:style>
  <w:style w:type="character" w:customStyle="1" w:styleId="hwtze">
    <w:name w:val="hwtze"/>
    <w:basedOn w:val="Fuentedeprrafopredeter"/>
    <w:rsid w:val="00C66D21"/>
  </w:style>
  <w:style w:type="character" w:customStyle="1" w:styleId="titulo">
    <w:name w:val="titulo"/>
    <w:basedOn w:val="Fuentedeprrafopredeter"/>
    <w:rsid w:val="00C66D21"/>
  </w:style>
  <w:style w:type="character" w:styleId="Textoennegrita">
    <w:name w:val="Strong"/>
    <w:uiPriority w:val="22"/>
    <w:qFormat/>
    <w:rsid w:val="00C66D21"/>
    <w:rPr>
      <w:b/>
      <w:bCs/>
    </w:rPr>
  </w:style>
  <w:style w:type="character" w:customStyle="1" w:styleId="article-title">
    <w:name w:val="article-title"/>
    <w:basedOn w:val="Fuentedeprrafopredeter"/>
    <w:rsid w:val="00C66D21"/>
  </w:style>
  <w:style w:type="character" w:customStyle="1" w:styleId="author-name">
    <w:name w:val="author-name"/>
    <w:basedOn w:val="Fuentedeprrafopredeter"/>
    <w:rsid w:val="00C66D21"/>
  </w:style>
  <w:style w:type="character" w:styleId="Refdecomentario">
    <w:name w:val="annotation reference"/>
    <w:uiPriority w:val="99"/>
    <w:semiHidden/>
    <w:unhideWhenUsed/>
    <w:rsid w:val="00C66D21"/>
    <w:rPr>
      <w:sz w:val="16"/>
      <w:szCs w:val="16"/>
    </w:rPr>
  </w:style>
  <w:style w:type="paragraph" w:styleId="Textocomentario">
    <w:name w:val="annotation text"/>
    <w:basedOn w:val="Normal"/>
    <w:link w:val="TextocomentarioCar"/>
    <w:uiPriority w:val="99"/>
    <w:unhideWhenUsed/>
    <w:qFormat/>
    <w:rsid w:val="00C66D21"/>
    <w:pPr>
      <w:spacing w:after="200" w:line="276"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C66D2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C66D21"/>
    <w:rPr>
      <w:b/>
      <w:bCs/>
    </w:rPr>
  </w:style>
  <w:style w:type="character" w:customStyle="1" w:styleId="AsuntodelcomentarioCar">
    <w:name w:val="Asunto del comentario Car"/>
    <w:basedOn w:val="TextocomentarioCar"/>
    <w:link w:val="Asuntodelcomentario"/>
    <w:uiPriority w:val="99"/>
    <w:semiHidden/>
    <w:rsid w:val="00C66D21"/>
    <w:rPr>
      <w:rFonts w:ascii="Calibri" w:eastAsia="Calibri" w:hAnsi="Calibri"/>
      <w:b/>
      <w:bCs/>
      <w:lang w:eastAsia="en-US"/>
    </w:rPr>
  </w:style>
  <w:style w:type="character" w:styleId="Hipervnculovisitado">
    <w:name w:val="FollowedHyperlink"/>
    <w:uiPriority w:val="99"/>
    <w:semiHidden/>
    <w:unhideWhenUsed/>
    <w:rsid w:val="00C66D21"/>
    <w:rPr>
      <w:color w:val="954F72"/>
      <w:u w:val="single"/>
    </w:rPr>
  </w:style>
  <w:style w:type="paragraph" w:styleId="HTMLconformatoprevio">
    <w:name w:val="HTML Preformatted"/>
    <w:basedOn w:val="Normal"/>
    <w:link w:val="HTMLconformatoprevioCar"/>
    <w:uiPriority w:val="99"/>
    <w:semiHidden/>
    <w:unhideWhenUsed/>
    <w:rsid w:val="00C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C66D21"/>
    <w:rPr>
      <w:rFonts w:ascii="Courier New" w:hAnsi="Courier New"/>
      <w:lang w:val="x-none" w:eastAsia="x-none"/>
    </w:rPr>
  </w:style>
  <w:style w:type="character" w:customStyle="1" w:styleId="y2iqfc">
    <w:name w:val="y2iqfc"/>
    <w:basedOn w:val="Fuentedeprrafopredeter"/>
    <w:rsid w:val="00C66D21"/>
  </w:style>
  <w:style w:type="character" w:styleId="nfasis">
    <w:name w:val="Emphasis"/>
    <w:uiPriority w:val="20"/>
    <w:qFormat/>
    <w:rsid w:val="00C66D21"/>
    <w:rPr>
      <w:i/>
      <w:iCs/>
    </w:rPr>
  </w:style>
  <w:style w:type="paragraph" w:styleId="Lista">
    <w:name w:val="List"/>
    <w:basedOn w:val="Normal"/>
    <w:uiPriority w:val="99"/>
    <w:unhideWhenUsed/>
    <w:rsid w:val="00C66D21"/>
    <w:pPr>
      <w:ind w:left="283" w:hanging="283"/>
      <w:contextualSpacing/>
    </w:pPr>
    <w:rPr>
      <w:rFonts w:ascii="Arial" w:hAnsi="Arial" w:cs="Arial"/>
      <w:sz w:val="12"/>
      <w:szCs w:val="12"/>
      <w:lang w:val="es-ES" w:eastAsia="es-ES"/>
    </w:rPr>
  </w:style>
  <w:style w:type="paragraph" w:styleId="Revisin">
    <w:name w:val="Revision"/>
    <w:hidden/>
    <w:uiPriority w:val="99"/>
    <w:semiHidden/>
    <w:rsid w:val="00C66D21"/>
    <w:rPr>
      <w:rFonts w:ascii="Calibri" w:eastAsia="Calibri" w:hAnsi="Calibri"/>
      <w:sz w:val="22"/>
      <w:szCs w:val="22"/>
      <w:lang w:val="es-MX" w:eastAsia="en-US"/>
    </w:rPr>
  </w:style>
  <w:style w:type="character" w:customStyle="1" w:styleId="Ttulo1Car">
    <w:name w:val="Título 1 Car"/>
    <w:basedOn w:val="Fuentedeprrafopredeter"/>
    <w:link w:val="Ttulo1"/>
    <w:uiPriority w:val="9"/>
    <w:rsid w:val="00C66D21"/>
    <w:rPr>
      <w:rFonts w:ascii="Calibri Light" w:eastAsia="Times New Roman" w:hAnsi="Calibri Light" w:cs="Times New Roman"/>
      <w:color w:val="2F5496"/>
      <w:sz w:val="32"/>
      <w:szCs w:val="32"/>
      <w:lang w:val="es-ES"/>
    </w:rPr>
  </w:style>
  <w:style w:type="character" w:customStyle="1" w:styleId="Mencinsinresolver2">
    <w:name w:val="Mención sin resolver2"/>
    <w:basedOn w:val="Fuentedeprrafopredeter"/>
    <w:uiPriority w:val="99"/>
    <w:semiHidden/>
    <w:unhideWhenUsed/>
    <w:rsid w:val="00C66D21"/>
    <w:rPr>
      <w:color w:val="605E5C"/>
      <w:shd w:val="clear" w:color="auto" w:fill="E1DFDD"/>
    </w:rPr>
  </w:style>
  <w:style w:type="character" w:customStyle="1" w:styleId="Ttulo1Car1">
    <w:name w:val="Título 1 Car1"/>
    <w:basedOn w:val="Fuentedeprrafopredeter"/>
    <w:link w:val="Ttulo1"/>
    <w:rsid w:val="00C66D21"/>
    <w:rPr>
      <w:rFonts w:asciiTheme="majorHAnsi" w:eastAsiaTheme="majorEastAsia" w:hAnsiTheme="majorHAnsi" w:cstheme="majorBidi"/>
      <w:color w:val="365F91"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cielo.sld.cu/scielo.php?script=sci_arttext&amp;pid=S1684-18242019000300708&amp;lng=es" TargetMode="External"/><Relationship Id="rId26" Type="http://schemas.openxmlformats.org/officeDocument/2006/relationships/hyperlink" Target="https://revcalixto.sld.cu/index.php/ahcg/article/view/e837/718" TargetMode="External"/><Relationship Id="rId39" Type="http://schemas.openxmlformats.org/officeDocument/2006/relationships/hyperlink" Target="http://scielo.sld.cu/scielo.php?script=sci_arttext&amp;pid=S0864-21252021000400011" TargetMode="External"/><Relationship Id="rId21" Type="http://schemas.openxmlformats.org/officeDocument/2006/relationships/hyperlink" Target="https://www.revistas.unam.mx/index.php/cuidarte/article/view/80055" TargetMode="External"/><Relationship Id="rId34" Type="http://schemas.openxmlformats.org/officeDocument/2006/relationships/hyperlink" Target="https://dialnet.unirioja.es/servlet/autor?codigo=5723800" TargetMode="External"/><Relationship Id="rId42" Type="http://schemas.openxmlformats.org/officeDocument/2006/relationships/hyperlink" Target="https://podium.upr.edu.cu/index.php/podium/article/view/357" TargetMode="External"/><Relationship Id="rId47" Type="http://schemas.openxmlformats.org/officeDocument/2006/relationships/footer" Target="footer2.xml"/><Relationship Id="rId7" Type="http://schemas.openxmlformats.org/officeDocument/2006/relationships/hyperlink" Target="https://orcid.org/0000-0002-9857-9596"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cielo.sld.cu/scielo.php?script=sci_arttext&amp;pid=S0864-21252018000200007" TargetMode="External"/><Relationship Id="rId11" Type="http://schemas.openxmlformats.org/officeDocument/2006/relationships/hyperlink" Target="https://orcid.org/0000-0001-6823-7563" TargetMode="External"/><Relationship Id="rId24" Type="http://schemas.openxmlformats.org/officeDocument/2006/relationships/hyperlink" Target="https://www.sciencedirect.com/science/article/pii/S0211139X18307212" TargetMode="External"/><Relationship Id="rId32" Type="http://schemas.openxmlformats.org/officeDocument/2006/relationships/hyperlink" Target="http://edumed2017.sld.cu/index.php/edumed/2017/paper/download/81/70" TargetMode="External"/><Relationship Id="rId37" Type="http://schemas.openxmlformats.org/officeDocument/2006/relationships/hyperlink" Target="https://revistas.ult.edu.cu/index.php/didascalia/article/view/1421/1521" TargetMode="External"/><Relationship Id="rId40" Type="http://schemas.openxmlformats.org/officeDocument/2006/relationships/hyperlink" Target="http://scielo.sld.cu/scielo.php?script=sci_arttext&amp;pid=S1029-30192021000100051&amp;lng=e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editorial.udg.mx/gpd-envejecimiento-y-vejez-62b4dee57de32.html%201-20" TargetMode="External"/><Relationship Id="rId28" Type="http://schemas.openxmlformats.org/officeDocument/2006/relationships/hyperlink" Target="https://www.ncbi.nlm.nih.gov/pmc/articles/PMC8539433/" TargetMode="External"/><Relationship Id="rId36" Type="http://schemas.openxmlformats.org/officeDocument/2006/relationships/hyperlink" Target="https://dialnet.unirioja.es/servlet/autor?codigo=4623036" TargetMode="External"/><Relationship Id="rId49" Type="http://schemas.openxmlformats.org/officeDocument/2006/relationships/theme" Target="theme/theme1.xml"/><Relationship Id="rId10" Type="http://schemas.openxmlformats.org/officeDocument/2006/relationships/hyperlink" Target="https://orcid.org/0000-0003-1395-9395" TargetMode="External"/><Relationship Id="rId19" Type="http://schemas.openxmlformats.org/officeDocument/2006/relationships/hyperlink" Target="https://biblioteca.medicina.usac.edu.gt/tesis/pre/2019/063.pdf" TargetMode="External"/><Relationship Id="rId31" Type="http://schemas.openxmlformats.org/officeDocument/2006/relationships/hyperlink" Target="https://dle.rae.es" TargetMode="External"/><Relationship Id="rId44" Type="http://schemas.openxmlformats.org/officeDocument/2006/relationships/hyperlink" Target="https://revfinlay.sld.cu/index.php/finlay/article/view/730/1843" TargetMode="External"/><Relationship Id="rId4" Type="http://schemas.openxmlformats.org/officeDocument/2006/relationships/webSettings" Target="webSettings.xml"/><Relationship Id="rId9" Type="http://schemas.openxmlformats.org/officeDocument/2006/relationships/hyperlink" Target="https://orcid.org/0000-0003-1045-8990" TargetMode="External"/><Relationship Id="rId14" Type="http://schemas.openxmlformats.org/officeDocument/2006/relationships/image" Target="media/image2.png"/><Relationship Id="rId22" Type="http://schemas.openxmlformats.org/officeDocument/2006/relationships/hyperlink" Target="http://scielo.sld.cu/scielo.php?script=sci_arttext&amp;pid=S1817-40782021000200279" TargetMode="External"/><Relationship Id="rId27" Type="http://schemas.openxmlformats.org/officeDocument/2006/relationships/hyperlink" Target="http://scielo.sld.cu/scielo.php?script=sci_arttext&amp;pid=S0864-21252020000200008&amp;lng=es&amp;nrm=iso" TargetMode="External"/><Relationship Id="rId30" Type="http://schemas.openxmlformats.org/officeDocument/2006/relationships/hyperlink" Target="https://revenfermeria.sld.cu/index.php/enf/article/view/6140" TargetMode="External"/><Relationship Id="rId35" Type="http://schemas.openxmlformats.org/officeDocument/2006/relationships/hyperlink" Target="https://dialnet.unirioja.es/servlet/autor?codigo=4597411" TargetMode="External"/><Relationship Id="rId43" Type="http://schemas.openxmlformats.org/officeDocument/2006/relationships/hyperlink" Target="http://www.scielo.org.pe/pdf/rins/v33n2/a19v33n2.pdf" TargetMode="External"/><Relationship Id="rId48" Type="http://schemas.openxmlformats.org/officeDocument/2006/relationships/fontTable" Target="fontTable.xml"/><Relationship Id="rId8" Type="http://schemas.openxmlformats.org/officeDocument/2006/relationships/hyperlink" Target="https://orcid.org/0000-0002-2203-5410" TargetMode="External"/><Relationship Id="rId3" Type="http://schemas.openxmlformats.org/officeDocument/2006/relationships/settings" Target="settings.xml"/><Relationship Id="rId12" Type="http://schemas.openxmlformats.org/officeDocument/2006/relationships/hyperlink" Target="mailto:german.rio@infomed.sld.cu" TargetMode="External"/><Relationship Id="rId17" Type="http://schemas.openxmlformats.org/officeDocument/2006/relationships/image" Target="media/image5.jpg"/><Relationship Id="rId25" Type="http://schemas.openxmlformats.org/officeDocument/2006/relationships/hyperlink" Target="https://www.ncbi.nlm.nih.gov/pmc/articles/PMC9701085/" TargetMode="External"/><Relationship Id="rId33" Type="http://schemas.openxmlformats.org/officeDocument/2006/relationships/hyperlink" Target="http://tesis.sld.cu/FileStorage/000591-02C3-Susana%20Solis.pdf" TargetMode="External"/><Relationship Id="rId38" Type="http://schemas.openxmlformats.org/officeDocument/2006/relationships/hyperlink" Target="https://tesis.sld.cu/index.php?P=FullRecord&amp;ID=727" TargetMode="External"/><Relationship Id="rId46" Type="http://schemas.openxmlformats.org/officeDocument/2006/relationships/footer" Target="footer1.xml"/><Relationship Id="rId20" Type="http://schemas.openxmlformats.org/officeDocument/2006/relationships/hyperlink" Target="https://revistas.ces.edu.co/index.php/derecho/article/view/6453" TargetMode="External"/><Relationship Id="rId41" Type="http://schemas.openxmlformats.org/officeDocument/2006/relationships/hyperlink" Target="https://revenfermeria.sld.cu/index.php/enf/article/view/2778/532"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14</Pages>
  <Words>3672</Words>
  <Characters>20200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23825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3</cp:revision>
  <cp:lastPrinted>2024-01-05T22:52:00Z</cp:lastPrinted>
  <dcterms:created xsi:type="dcterms:W3CDTF">2024-01-05T22:50:00Z</dcterms:created>
  <dcterms:modified xsi:type="dcterms:W3CDTF">2024-01-05T22:54:00Z</dcterms:modified>
</cp:coreProperties>
</file>