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C9F753" w14:textId="77777777" w:rsidR="00D26B6F" w:rsidRPr="00D901B0" w:rsidRDefault="00D26B6F" w:rsidP="00D26B6F">
      <w:pPr>
        <w:spacing w:after="0" w:line="360" w:lineRule="auto"/>
        <w:jc w:val="right"/>
        <w:rPr>
          <w:rFonts w:ascii="Times New Roman" w:hAnsi="Times New Roman" w:cs="Times New Roman"/>
          <w:sz w:val="20"/>
          <w:szCs w:val="20"/>
        </w:rPr>
      </w:pPr>
      <w:r w:rsidRPr="00D901B0">
        <w:rPr>
          <w:rFonts w:ascii="Times New Roman" w:hAnsi="Times New Roman" w:cs="Times New Roman"/>
          <w:sz w:val="20"/>
          <w:szCs w:val="20"/>
        </w:rPr>
        <w:t>Presentación de caso</w:t>
      </w:r>
    </w:p>
    <w:p w14:paraId="1F22066B" w14:textId="77777777" w:rsidR="00D26B6F" w:rsidRPr="00D901B0" w:rsidRDefault="00D26B6F" w:rsidP="00D26B6F">
      <w:pPr>
        <w:spacing w:after="0" w:line="360" w:lineRule="auto"/>
        <w:jc w:val="center"/>
        <w:rPr>
          <w:rFonts w:ascii="Times New Roman" w:hAnsi="Times New Roman" w:cs="Times New Roman"/>
          <w:b/>
          <w:sz w:val="28"/>
          <w:szCs w:val="28"/>
        </w:rPr>
      </w:pPr>
    </w:p>
    <w:p w14:paraId="775CF37C" w14:textId="77777777" w:rsidR="00D26B6F" w:rsidRPr="00D901B0" w:rsidRDefault="00D26B6F" w:rsidP="00D26B6F">
      <w:pPr>
        <w:spacing w:after="0" w:line="360" w:lineRule="auto"/>
        <w:jc w:val="center"/>
        <w:rPr>
          <w:rFonts w:ascii="Times New Roman" w:hAnsi="Times New Roman" w:cs="Times New Roman"/>
          <w:b/>
          <w:sz w:val="28"/>
          <w:szCs w:val="28"/>
        </w:rPr>
      </w:pPr>
      <w:r w:rsidRPr="00D901B0">
        <w:rPr>
          <w:rFonts w:ascii="Times New Roman" w:hAnsi="Times New Roman" w:cs="Times New Roman"/>
          <w:b/>
          <w:sz w:val="28"/>
          <w:szCs w:val="28"/>
        </w:rPr>
        <w:t>Insuficiencia renal aguda transitoria después de trombólisis</w:t>
      </w:r>
      <w:r w:rsidRPr="00D901B0">
        <w:rPr>
          <w:rFonts w:ascii="Times New Roman" w:hAnsi="Times New Roman" w:cs="Times New Roman"/>
          <w:sz w:val="28"/>
          <w:szCs w:val="28"/>
        </w:rPr>
        <w:t xml:space="preserve"> </w:t>
      </w:r>
      <w:r w:rsidRPr="00D901B0">
        <w:rPr>
          <w:rFonts w:ascii="Times New Roman" w:hAnsi="Times New Roman" w:cs="Times New Roman"/>
          <w:b/>
          <w:sz w:val="28"/>
          <w:szCs w:val="28"/>
        </w:rPr>
        <w:t xml:space="preserve">coronaria con </w:t>
      </w:r>
      <w:r w:rsidRPr="00D901B0">
        <w:rPr>
          <w:rFonts w:ascii="Times New Roman" w:eastAsia="Times New Roman" w:hAnsi="Times New Roman" w:cs="Times New Roman"/>
          <w:b/>
          <w:sz w:val="28"/>
          <w:szCs w:val="28"/>
          <w:lang w:eastAsia="es-MX"/>
        </w:rPr>
        <w:t>estreptoquinasa</w:t>
      </w:r>
    </w:p>
    <w:p w14:paraId="43F5DA3A" w14:textId="77777777" w:rsidR="00D26B6F" w:rsidRPr="00D901B0" w:rsidRDefault="00D26B6F" w:rsidP="00D26B6F">
      <w:pPr>
        <w:spacing w:after="0" w:line="360" w:lineRule="auto"/>
        <w:jc w:val="center"/>
        <w:rPr>
          <w:rFonts w:ascii="Times New Roman" w:hAnsi="Times New Roman" w:cs="Times New Roman"/>
          <w:sz w:val="28"/>
          <w:szCs w:val="28"/>
          <w:lang w:val="en-US"/>
        </w:rPr>
      </w:pPr>
      <w:r w:rsidRPr="00D901B0">
        <w:rPr>
          <w:rFonts w:ascii="Times New Roman" w:hAnsi="Times New Roman" w:cs="Times New Roman"/>
          <w:sz w:val="28"/>
          <w:szCs w:val="28"/>
          <w:lang w:val="en-US"/>
        </w:rPr>
        <w:t>Transient acute renal failure after coronary thrombolysis with streptokinase</w:t>
      </w:r>
    </w:p>
    <w:p w14:paraId="49C1B86A" w14:textId="77777777" w:rsidR="00D26B6F" w:rsidRPr="00D901B0" w:rsidRDefault="00D26B6F" w:rsidP="00D26B6F">
      <w:pPr>
        <w:spacing w:after="0" w:line="360" w:lineRule="auto"/>
        <w:jc w:val="both"/>
        <w:rPr>
          <w:rFonts w:ascii="Times New Roman" w:hAnsi="Times New Roman" w:cs="Times New Roman"/>
          <w:b/>
          <w:sz w:val="24"/>
          <w:szCs w:val="24"/>
          <w:lang w:val="en-US"/>
        </w:rPr>
      </w:pPr>
    </w:p>
    <w:p w14:paraId="27CC9014"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rPr>
        <w:t>Rodolfo Vega Candelario</w:t>
      </w:r>
      <w:r w:rsidRPr="00D901B0">
        <w:rPr>
          <w:rFonts w:ascii="Times New Roman" w:hAnsi="Times New Roman" w:cs="Times New Roman"/>
          <w:sz w:val="24"/>
          <w:szCs w:val="24"/>
          <w:vertAlign w:val="superscript"/>
        </w:rPr>
        <w:t>1</w:t>
      </w:r>
      <w:r w:rsidRPr="00D901B0">
        <w:rPr>
          <w:rFonts w:ascii="Times New Roman" w:hAnsi="Times New Roman" w:cs="Times New Roman"/>
          <w:sz w:val="24"/>
          <w:szCs w:val="24"/>
        </w:rPr>
        <w:t>*</w:t>
      </w:r>
      <w:r w:rsidRPr="00D901B0">
        <w:rPr>
          <w:rFonts w:ascii="Verdana" w:hAnsi="Verdana"/>
          <w:sz w:val="20"/>
          <w:szCs w:val="20"/>
        </w:rPr>
        <w:t xml:space="preserve"> </w:t>
      </w:r>
      <w:r w:rsidRPr="00D901B0">
        <w:rPr>
          <w:rFonts w:ascii="Times New Roman" w:hAnsi="Times New Roman" w:cs="Times New Roman"/>
          <w:sz w:val="24"/>
          <w:szCs w:val="24"/>
        </w:rPr>
        <w:t xml:space="preserve">https://orcid.org/0000-0003-4459-8350 </w:t>
      </w:r>
    </w:p>
    <w:p w14:paraId="6DC0135F"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rPr>
        <w:t>Junior Vega Jiménez</w:t>
      </w:r>
      <w:r w:rsidRPr="00D901B0">
        <w:rPr>
          <w:rFonts w:ascii="Times New Roman" w:hAnsi="Times New Roman" w:cs="Times New Roman"/>
          <w:sz w:val="24"/>
          <w:szCs w:val="24"/>
          <w:vertAlign w:val="superscript"/>
        </w:rPr>
        <w:t>2</w:t>
      </w:r>
      <w:r w:rsidRPr="00D901B0">
        <w:t xml:space="preserve"> </w:t>
      </w:r>
      <w:r w:rsidRPr="00D901B0">
        <w:rPr>
          <w:rFonts w:ascii="Times New Roman" w:hAnsi="Times New Roman" w:cs="Times New Roman"/>
          <w:sz w:val="24"/>
          <w:szCs w:val="24"/>
        </w:rPr>
        <w:t>https://orcid.org/0000-0002-6801-5191</w:t>
      </w:r>
    </w:p>
    <w:p w14:paraId="7CB427FB" w14:textId="77777777" w:rsidR="00D26B6F" w:rsidRPr="00D901B0" w:rsidRDefault="00D26B6F" w:rsidP="00D26B6F">
      <w:pPr>
        <w:spacing w:after="0" w:line="360" w:lineRule="auto"/>
        <w:jc w:val="both"/>
        <w:rPr>
          <w:rFonts w:ascii="Times New Roman" w:hAnsi="Times New Roman" w:cs="Times New Roman"/>
          <w:sz w:val="24"/>
          <w:szCs w:val="24"/>
        </w:rPr>
      </w:pPr>
    </w:p>
    <w:p w14:paraId="266ECDC8"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vertAlign w:val="superscript"/>
        </w:rPr>
        <w:t>1</w:t>
      </w:r>
      <w:r w:rsidRPr="00D901B0">
        <w:rPr>
          <w:rFonts w:ascii="Times New Roman" w:hAnsi="Times New Roman" w:cs="Times New Roman"/>
          <w:sz w:val="24"/>
          <w:szCs w:val="24"/>
        </w:rPr>
        <w:t>Hospital Provincial Docente Roberto Rodríguez Fernández. Ciego de Ávila, Cuba.</w:t>
      </w:r>
    </w:p>
    <w:p w14:paraId="03D94667"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vertAlign w:val="superscript"/>
        </w:rPr>
        <w:t>2</w:t>
      </w:r>
      <w:r w:rsidRPr="00D901B0">
        <w:rPr>
          <w:vertAlign w:val="superscript"/>
        </w:rPr>
        <w:t xml:space="preserve"> </w:t>
      </w:r>
      <w:r w:rsidRPr="00D901B0">
        <w:rPr>
          <w:rFonts w:ascii="Times New Roman" w:hAnsi="Times New Roman" w:cs="Times New Roman"/>
          <w:sz w:val="24"/>
          <w:szCs w:val="24"/>
        </w:rPr>
        <w:t>Hospital Militar "Dr. Mario Muñoz Monroy". Matanzas, Cuba.</w:t>
      </w:r>
    </w:p>
    <w:p w14:paraId="4C3A7606"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rPr>
        <w:t xml:space="preserve">*Autor para la correspondencia. Correo electrónico: </w:t>
      </w:r>
      <w:hyperlink r:id="rId6" w:history="1">
        <w:r w:rsidRPr="00D901B0">
          <w:rPr>
            <w:rStyle w:val="Hipervnculo"/>
            <w:rFonts w:ascii="Times New Roman" w:hAnsi="Times New Roman" w:cs="Times New Roman"/>
            <w:sz w:val="24"/>
            <w:szCs w:val="24"/>
          </w:rPr>
          <w:t>rvc_50@infomed.sld.cu</w:t>
        </w:r>
      </w:hyperlink>
    </w:p>
    <w:p w14:paraId="79CE9F4A" w14:textId="77777777" w:rsidR="00D26B6F" w:rsidRPr="00D901B0" w:rsidRDefault="00D26B6F" w:rsidP="00D26B6F">
      <w:pPr>
        <w:spacing w:after="0" w:line="360" w:lineRule="auto"/>
        <w:jc w:val="both"/>
        <w:rPr>
          <w:rFonts w:ascii="Times New Roman" w:hAnsi="Times New Roman" w:cs="Times New Roman"/>
          <w:b/>
          <w:sz w:val="24"/>
          <w:szCs w:val="24"/>
        </w:rPr>
      </w:pPr>
    </w:p>
    <w:p w14:paraId="06C1D54B"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b/>
          <w:sz w:val="24"/>
          <w:szCs w:val="24"/>
        </w:rPr>
        <w:t>RESUMEN</w:t>
      </w:r>
    </w:p>
    <w:p w14:paraId="55205804"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b/>
          <w:sz w:val="24"/>
          <w:szCs w:val="24"/>
        </w:rPr>
        <w:t>Introducción:</w:t>
      </w:r>
      <w:r w:rsidRPr="00D901B0">
        <w:rPr>
          <w:rFonts w:ascii="Times New Roman" w:hAnsi="Times New Roman" w:cs="Times New Roman"/>
          <w:sz w:val="24"/>
          <w:szCs w:val="24"/>
        </w:rPr>
        <w:t xml:space="preserve"> </w:t>
      </w:r>
      <w:r w:rsidRPr="00D901B0">
        <w:rPr>
          <w:rFonts w:ascii="Times New Roman" w:eastAsia="Times New Roman" w:hAnsi="Times New Roman" w:cs="Times New Roman"/>
          <w:color w:val="000000"/>
          <w:sz w:val="24"/>
          <w:szCs w:val="24"/>
          <w:lang w:eastAsia="es-ES"/>
        </w:rPr>
        <w:t>En la actualidad existen más de 150 medicamentos relacionados con la aparición de rabdomiólisis e insuficiencia renal aguda transitoria. La estreptoquinasa puede ser uno de ellos.</w:t>
      </w:r>
    </w:p>
    <w:p w14:paraId="54DD6D04"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eastAsia="Times New Roman" w:hAnsi="Times New Roman" w:cs="Times New Roman"/>
          <w:b/>
          <w:color w:val="000000"/>
          <w:sz w:val="24"/>
          <w:szCs w:val="24"/>
          <w:lang w:eastAsia="es-ES"/>
        </w:rPr>
        <w:t>Objetivo:</w:t>
      </w:r>
      <w:r w:rsidRPr="00D901B0">
        <w:rPr>
          <w:rFonts w:ascii="Times New Roman" w:eastAsia="Times New Roman" w:hAnsi="Times New Roman" w:cs="Times New Roman"/>
          <w:color w:val="000000"/>
          <w:sz w:val="24"/>
          <w:szCs w:val="24"/>
          <w:lang w:eastAsia="es-ES"/>
        </w:rPr>
        <w:t xml:space="preserve"> Presentar un caso en el cual </w:t>
      </w:r>
      <w:r w:rsidRPr="00D901B0">
        <w:rPr>
          <w:rFonts w:ascii="Times New Roman" w:hAnsi="Times New Roman" w:cs="Times New Roman"/>
          <w:sz w:val="24"/>
          <w:szCs w:val="24"/>
        </w:rPr>
        <w:t>la administración de trombólisis con estreptoquinasa pudiera estar relacionado con una insuficiencia renal aguda transitoria.</w:t>
      </w:r>
    </w:p>
    <w:p w14:paraId="4DAC0AF1"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b/>
          <w:sz w:val="24"/>
          <w:szCs w:val="24"/>
        </w:rPr>
        <w:t>Caso clínico:</w:t>
      </w:r>
      <w:r w:rsidRPr="00D901B0">
        <w:rPr>
          <w:rFonts w:ascii="Times New Roman" w:hAnsi="Times New Roman" w:cs="Times New Roman"/>
          <w:sz w:val="24"/>
          <w:szCs w:val="24"/>
        </w:rPr>
        <w:t xml:space="preserve"> Paciente de 38 años, con antecedentes de salud anterior y creatinina de 81 mg/L días antes del ingreso, sufrió infarto miocárdico agudo y después de la trombólisis con estreptoquinasa presentó dolores musculares intensos, náuseas, vómitos y lumbalgia intensa. La creatinina ascendió progresivamente; tuvo oligoanuria progresiva que evolucionó hasta las dos semanas y luego se recuperó. A los 21 días, la creatinina estaba en 116 mg/L. En la coronariografía, las coronarias son normales. </w:t>
      </w:r>
    </w:p>
    <w:p w14:paraId="5C2CAD3F" w14:textId="77777777" w:rsidR="00D26B6F" w:rsidRPr="00D901B0" w:rsidRDefault="00D26B6F" w:rsidP="00D26B6F">
      <w:pPr>
        <w:spacing w:after="0" w:line="360" w:lineRule="auto"/>
        <w:jc w:val="both"/>
        <w:rPr>
          <w:rFonts w:ascii="Times New Roman" w:eastAsia="Times New Roman" w:hAnsi="Times New Roman" w:cs="Times New Roman"/>
          <w:sz w:val="24"/>
          <w:szCs w:val="24"/>
          <w:lang w:eastAsia="es-ES"/>
        </w:rPr>
      </w:pPr>
      <w:r w:rsidRPr="00D901B0">
        <w:rPr>
          <w:rFonts w:ascii="Times New Roman" w:hAnsi="Times New Roman" w:cs="Times New Roman"/>
          <w:b/>
          <w:sz w:val="24"/>
          <w:szCs w:val="24"/>
        </w:rPr>
        <w:t>Comentarios:</w:t>
      </w:r>
      <w:r w:rsidRPr="00D901B0">
        <w:rPr>
          <w:rFonts w:ascii="Times New Roman" w:hAnsi="Times New Roman" w:cs="Times New Roman"/>
          <w:sz w:val="24"/>
          <w:szCs w:val="24"/>
        </w:rPr>
        <w:t xml:space="preserve"> </w:t>
      </w:r>
      <w:r w:rsidRPr="00D901B0">
        <w:rPr>
          <w:rFonts w:ascii="Times New Roman" w:eastAsia="Times New Roman" w:hAnsi="Times New Roman" w:cs="Times New Roman"/>
          <w:sz w:val="24"/>
          <w:szCs w:val="24"/>
          <w:lang w:eastAsia="es-ES"/>
        </w:rPr>
        <w:t>Las causas de insuficiencia renal aguda transitoria pudieran ser, rabdomiólisis asociada con alteraciones del metabolismo del ATP y trastornos inmunológicos provocados por la administración de estreptoquinasa.</w:t>
      </w:r>
      <w:r w:rsidRPr="00D901B0">
        <w:rPr>
          <w:rFonts w:ascii="Times New Roman" w:hAnsi="Times New Roman" w:cs="Times New Roman"/>
          <w:sz w:val="24"/>
          <w:szCs w:val="24"/>
        </w:rPr>
        <w:t xml:space="preserve"> La coronariografía resultó normal. </w:t>
      </w:r>
    </w:p>
    <w:p w14:paraId="38FF20BB"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b/>
          <w:sz w:val="24"/>
          <w:szCs w:val="24"/>
        </w:rPr>
        <w:t>Palabras clave:</w:t>
      </w:r>
      <w:r w:rsidRPr="00D901B0">
        <w:rPr>
          <w:rFonts w:ascii="Times New Roman" w:hAnsi="Times New Roman" w:cs="Times New Roman"/>
          <w:sz w:val="24"/>
          <w:szCs w:val="24"/>
        </w:rPr>
        <w:t xml:space="preserve"> terapia trombolítica; estreptoquinasa; lesión renal aguda; infarto del miocardio.</w:t>
      </w:r>
    </w:p>
    <w:p w14:paraId="2E976D6B" w14:textId="77777777" w:rsidR="00D26B6F" w:rsidRPr="00D901B0" w:rsidRDefault="00D26B6F" w:rsidP="00D26B6F">
      <w:pPr>
        <w:spacing w:after="0" w:line="360" w:lineRule="auto"/>
        <w:jc w:val="both"/>
        <w:rPr>
          <w:rFonts w:ascii="Times New Roman" w:hAnsi="Times New Roman" w:cs="Times New Roman"/>
          <w:b/>
          <w:sz w:val="24"/>
          <w:szCs w:val="24"/>
        </w:rPr>
      </w:pPr>
    </w:p>
    <w:p w14:paraId="024D604A" w14:textId="77777777" w:rsidR="00D26B6F" w:rsidRPr="00D901B0" w:rsidRDefault="00D26B6F" w:rsidP="00D26B6F">
      <w:pPr>
        <w:spacing w:after="0" w:line="360" w:lineRule="auto"/>
        <w:rPr>
          <w:rFonts w:ascii="Times New Roman" w:hAnsi="Times New Roman" w:cs="Times New Roman"/>
          <w:sz w:val="24"/>
          <w:szCs w:val="24"/>
          <w:lang w:val="en-US"/>
        </w:rPr>
      </w:pPr>
      <w:r w:rsidRPr="00D901B0">
        <w:rPr>
          <w:rFonts w:ascii="Times New Roman" w:hAnsi="Times New Roman" w:cs="Times New Roman"/>
          <w:b/>
          <w:sz w:val="24"/>
          <w:szCs w:val="24"/>
          <w:lang w:val="en-US"/>
        </w:rPr>
        <w:t>ABSTRACT</w:t>
      </w:r>
    </w:p>
    <w:p w14:paraId="6D73B61F" w14:textId="77777777" w:rsidR="00D26B6F" w:rsidRPr="00D901B0" w:rsidRDefault="00D26B6F" w:rsidP="00D26B6F">
      <w:pPr>
        <w:spacing w:after="0" w:line="360" w:lineRule="auto"/>
        <w:rPr>
          <w:rFonts w:ascii="Times New Roman" w:hAnsi="Times New Roman" w:cs="Times New Roman"/>
          <w:color w:val="000000"/>
          <w:sz w:val="24"/>
          <w:szCs w:val="24"/>
          <w:lang w:val="en-US"/>
        </w:rPr>
      </w:pPr>
      <w:r w:rsidRPr="00D901B0">
        <w:rPr>
          <w:rFonts w:ascii="Times New Roman" w:eastAsia="Times New Roman" w:hAnsi="Times New Roman" w:cs="Times New Roman"/>
          <w:b/>
          <w:sz w:val="24"/>
          <w:szCs w:val="24"/>
          <w:lang w:val="en-US" w:eastAsia="es-MX"/>
        </w:rPr>
        <w:t>Introduction</w:t>
      </w:r>
      <w:r w:rsidRPr="00D901B0">
        <w:rPr>
          <w:rFonts w:ascii="Times New Roman" w:eastAsia="Times New Roman" w:hAnsi="Times New Roman" w:cs="Times New Roman"/>
          <w:sz w:val="24"/>
          <w:szCs w:val="24"/>
          <w:lang w:val="en-US" w:eastAsia="es-MX"/>
        </w:rPr>
        <w:t>: There are currently more than 150 medications related to the appearance of rhabdomyolysis and transient acute renal failure. Streptokinase can be one of them.</w:t>
      </w:r>
      <w:r w:rsidRPr="00D901B0">
        <w:rPr>
          <w:rFonts w:ascii="Times New Roman" w:eastAsia="Times New Roman" w:hAnsi="Times New Roman" w:cs="Times New Roman"/>
          <w:sz w:val="24"/>
          <w:szCs w:val="24"/>
          <w:lang w:val="en-US" w:eastAsia="es-MX"/>
        </w:rPr>
        <w:br/>
      </w:r>
      <w:r w:rsidRPr="00D901B0">
        <w:rPr>
          <w:rFonts w:ascii="Times New Roman" w:eastAsia="Times New Roman" w:hAnsi="Times New Roman" w:cs="Times New Roman"/>
          <w:b/>
          <w:sz w:val="24"/>
          <w:szCs w:val="24"/>
          <w:lang w:val="en-US" w:eastAsia="es-MX"/>
        </w:rPr>
        <w:t>Objective</w:t>
      </w:r>
      <w:r w:rsidRPr="00D901B0">
        <w:rPr>
          <w:rFonts w:ascii="Times New Roman" w:eastAsia="Times New Roman" w:hAnsi="Times New Roman" w:cs="Times New Roman"/>
          <w:sz w:val="24"/>
          <w:szCs w:val="24"/>
          <w:lang w:val="en-US" w:eastAsia="es-MX"/>
        </w:rPr>
        <w:t xml:space="preserve">: </w:t>
      </w:r>
      <w:r w:rsidRPr="00D901B0">
        <w:rPr>
          <w:rFonts w:ascii="Times New Roman" w:hAnsi="Times New Roman" w:cs="Times New Roman"/>
          <w:color w:val="000000"/>
          <w:sz w:val="24"/>
          <w:szCs w:val="24"/>
          <w:lang w:val="en-US"/>
        </w:rPr>
        <w:t xml:space="preserve">Presenting a case </w:t>
      </w:r>
      <w:r w:rsidRPr="00D901B0">
        <w:rPr>
          <w:rFonts w:ascii="Times New Roman" w:eastAsia="Times New Roman" w:hAnsi="Times New Roman" w:cs="Times New Roman"/>
          <w:sz w:val="24"/>
          <w:szCs w:val="24"/>
          <w:lang w:val="en-US" w:eastAsia="es-MX"/>
        </w:rPr>
        <w:t>the administration of streptokinase as a possible cause of acute, transient renal failure.</w:t>
      </w:r>
      <w:r w:rsidRPr="00D901B0">
        <w:rPr>
          <w:rFonts w:ascii="Times New Roman" w:eastAsia="Times New Roman" w:hAnsi="Times New Roman" w:cs="Times New Roman"/>
          <w:sz w:val="24"/>
          <w:szCs w:val="24"/>
          <w:lang w:val="en-US" w:eastAsia="es-MX"/>
        </w:rPr>
        <w:br/>
      </w:r>
      <w:r w:rsidRPr="00D901B0">
        <w:rPr>
          <w:rFonts w:ascii="Times New Roman" w:eastAsia="Times New Roman" w:hAnsi="Times New Roman" w:cs="Times New Roman"/>
          <w:b/>
          <w:sz w:val="24"/>
          <w:szCs w:val="24"/>
          <w:lang w:val="en-US" w:eastAsia="es-MX"/>
        </w:rPr>
        <w:t>Case report</w:t>
      </w:r>
      <w:r w:rsidRPr="00D901B0">
        <w:rPr>
          <w:rFonts w:ascii="Times New Roman" w:eastAsia="Times New Roman" w:hAnsi="Times New Roman" w:cs="Times New Roman"/>
          <w:sz w:val="24"/>
          <w:szCs w:val="24"/>
          <w:lang w:val="en-US" w:eastAsia="es-MX"/>
        </w:rPr>
        <w:t>: A 38-year-old patient with a previous health history and 81 mg creatinine per liter days before admission, suffers acute myocardial infarction and after streptokinase thrombolysis he suffers severe muscle pain, nausea, vomiting, severe low back pain, creatinine ascends progressively and progressive oligoanuria that evolves until two weeks when it begins to return. At 21 days with 116 mg creatinine per liter, coronary angiography was performed with normal coronaries.</w:t>
      </w:r>
      <w:r w:rsidRPr="00D901B0">
        <w:rPr>
          <w:rFonts w:ascii="Times New Roman" w:eastAsia="Times New Roman" w:hAnsi="Times New Roman" w:cs="Times New Roman"/>
          <w:sz w:val="24"/>
          <w:szCs w:val="24"/>
          <w:lang w:val="en-US" w:eastAsia="es-MX"/>
        </w:rPr>
        <w:br/>
      </w:r>
      <w:r w:rsidRPr="00D901B0">
        <w:rPr>
          <w:rFonts w:ascii="Times New Roman" w:eastAsia="Times New Roman" w:hAnsi="Times New Roman" w:cs="Times New Roman"/>
          <w:b/>
          <w:sz w:val="24"/>
          <w:szCs w:val="24"/>
          <w:lang w:val="en-US" w:eastAsia="es-MX"/>
        </w:rPr>
        <w:t>Comments</w:t>
      </w:r>
      <w:r w:rsidRPr="00D901B0">
        <w:rPr>
          <w:rFonts w:ascii="Times New Roman" w:eastAsia="Times New Roman" w:hAnsi="Times New Roman" w:cs="Times New Roman"/>
          <w:sz w:val="24"/>
          <w:szCs w:val="24"/>
          <w:lang w:val="en-US" w:eastAsia="es-MX"/>
        </w:rPr>
        <w:t>: The causes of transient acute renal failure may be rhabdomyolysis associated with abnormalities of the metabolism of ATP and immune disorders, caused by the administration of streptokinase. His coronary angiography was completely normal.</w:t>
      </w:r>
      <w:r w:rsidRPr="00D901B0">
        <w:rPr>
          <w:rFonts w:ascii="Times New Roman" w:eastAsia="Times New Roman" w:hAnsi="Times New Roman" w:cs="Times New Roman"/>
          <w:sz w:val="24"/>
          <w:szCs w:val="24"/>
          <w:lang w:val="en-US" w:eastAsia="es-MX"/>
        </w:rPr>
        <w:br/>
      </w:r>
      <w:r w:rsidRPr="00D901B0">
        <w:rPr>
          <w:rFonts w:ascii="Times New Roman" w:eastAsia="Times New Roman" w:hAnsi="Times New Roman" w:cs="Times New Roman"/>
          <w:b/>
          <w:sz w:val="24"/>
          <w:szCs w:val="24"/>
          <w:lang w:val="en-US" w:eastAsia="es-MX"/>
        </w:rPr>
        <w:t>Keywords</w:t>
      </w:r>
      <w:r w:rsidRPr="00D901B0">
        <w:rPr>
          <w:rFonts w:ascii="Times New Roman" w:eastAsia="Times New Roman" w:hAnsi="Times New Roman" w:cs="Times New Roman"/>
          <w:sz w:val="24"/>
          <w:szCs w:val="24"/>
          <w:lang w:val="en-US" w:eastAsia="es-MX"/>
        </w:rPr>
        <w:t xml:space="preserve">: </w:t>
      </w:r>
      <w:r w:rsidRPr="00D901B0">
        <w:rPr>
          <w:rFonts w:ascii="Times New Roman" w:hAnsi="Times New Roman" w:cs="Times New Roman"/>
          <w:sz w:val="24"/>
          <w:szCs w:val="24"/>
          <w:lang w:val="en-US"/>
        </w:rPr>
        <w:t xml:space="preserve">therapy thrombolytic; </w:t>
      </w:r>
      <w:r w:rsidRPr="00D901B0">
        <w:rPr>
          <w:rFonts w:ascii="Times New Roman" w:eastAsia="Times New Roman" w:hAnsi="Times New Roman" w:cs="Times New Roman"/>
          <w:sz w:val="24"/>
          <w:szCs w:val="24"/>
          <w:lang w:val="en-US" w:eastAsia="es-MX"/>
        </w:rPr>
        <w:t>streptokinase</w:t>
      </w:r>
      <w:r w:rsidRPr="00D901B0">
        <w:rPr>
          <w:rFonts w:ascii="Times New Roman" w:hAnsi="Times New Roman" w:cs="Times New Roman"/>
          <w:sz w:val="24"/>
          <w:szCs w:val="24"/>
          <w:lang w:val="en-US"/>
        </w:rPr>
        <w:t xml:space="preserve">; </w:t>
      </w:r>
      <w:r w:rsidRPr="00D901B0">
        <w:rPr>
          <w:rFonts w:ascii="Times New Roman" w:hAnsi="Times New Roman" w:cs="Times New Roman"/>
          <w:color w:val="000000"/>
          <w:sz w:val="24"/>
          <w:szCs w:val="24"/>
          <w:lang w:val="en-US"/>
        </w:rPr>
        <w:t>renal intense lesion; infarct of the myocardium.</w:t>
      </w:r>
    </w:p>
    <w:p w14:paraId="0B1EA8CC" w14:textId="77777777" w:rsidR="00D26B6F" w:rsidRPr="00D901B0" w:rsidRDefault="00D26B6F" w:rsidP="00D26B6F">
      <w:pPr>
        <w:spacing w:after="0" w:line="360" w:lineRule="auto"/>
        <w:rPr>
          <w:rFonts w:ascii="Times New Roman" w:hAnsi="Times New Roman" w:cs="Times New Roman"/>
          <w:color w:val="000000"/>
          <w:sz w:val="24"/>
          <w:szCs w:val="24"/>
          <w:lang w:val="en-US"/>
        </w:rPr>
      </w:pPr>
    </w:p>
    <w:p w14:paraId="323E42F2" w14:textId="77777777" w:rsidR="00D26B6F" w:rsidRPr="00D901B0" w:rsidRDefault="00D26B6F" w:rsidP="00D26B6F">
      <w:pPr>
        <w:spacing w:after="0" w:line="360" w:lineRule="auto"/>
        <w:rPr>
          <w:rFonts w:ascii="Times New Roman" w:hAnsi="Times New Roman" w:cs="Times New Roman"/>
          <w:color w:val="000000"/>
          <w:sz w:val="24"/>
          <w:szCs w:val="24"/>
          <w:lang w:val="en-US"/>
        </w:rPr>
      </w:pPr>
    </w:p>
    <w:p w14:paraId="199B1788" w14:textId="77777777" w:rsidR="00D26B6F" w:rsidRPr="00D901B0" w:rsidRDefault="00D26B6F" w:rsidP="00D26B6F">
      <w:pPr>
        <w:spacing w:after="0" w:line="360" w:lineRule="auto"/>
        <w:rPr>
          <w:rFonts w:ascii="Times New Roman" w:hAnsi="Times New Roman" w:cs="Times New Roman"/>
          <w:color w:val="000000"/>
          <w:sz w:val="24"/>
          <w:szCs w:val="24"/>
        </w:rPr>
      </w:pPr>
      <w:r w:rsidRPr="00D901B0">
        <w:rPr>
          <w:rFonts w:ascii="Times New Roman" w:hAnsi="Times New Roman" w:cs="Times New Roman"/>
          <w:color w:val="000000"/>
          <w:sz w:val="24"/>
          <w:szCs w:val="24"/>
        </w:rPr>
        <w:t>Recibido: 17/06/2019</w:t>
      </w:r>
    </w:p>
    <w:p w14:paraId="6DE2792C" w14:textId="77777777" w:rsidR="00D26B6F" w:rsidRPr="00D901B0" w:rsidRDefault="00D26B6F" w:rsidP="00D26B6F">
      <w:pPr>
        <w:spacing w:after="0" w:line="360" w:lineRule="auto"/>
      </w:pPr>
      <w:r w:rsidRPr="00D901B0">
        <w:rPr>
          <w:rFonts w:ascii="Times New Roman" w:hAnsi="Times New Roman" w:cs="Times New Roman"/>
          <w:color w:val="000000"/>
          <w:sz w:val="24"/>
          <w:szCs w:val="24"/>
        </w:rPr>
        <w:t>Aprobado:</w:t>
      </w:r>
      <w:r w:rsidRPr="00D901B0">
        <w:rPr>
          <w:rFonts w:ascii="Times New Roman" w:hAnsi="Times New Roman" w:cs="Times New Roman"/>
          <w:b/>
          <w:color w:val="000000"/>
          <w:sz w:val="24"/>
          <w:szCs w:val="24"/>
        </w:rPr>
        <w:t xml:space="preserve"> </w:t>
      </w:r>
      <w:r w:rsidRPr="00D901B0">
        <w:rPr>
          <w:rFonts w:ascii="Times New Roman" w:hAnsi="Times New Roman" w:cs="Times New Roman"/>
          <w:color w:val="000000"/>
          <w:sz w:val="24"/>
          <w:szCs w:val="24"/>
        </w:rPr>
        <w:t>16/10/2019</w:t>
      </w:r>
    </w:p>
    <w:p w14:paraId="244F72BD" w14:textId="77777777" w:rsidR="00D26B6F" w:rsidRPr="00D901B0" w:rsidRDefault="00D26B6F" w:rsidP="00D26B6F">
      <w:pPr>
        <w:spacing w:after="0" w:line="360" w:lineRule="auto"/>
        <w:jc w:val="both"/>
        <w:rPr>
          <w:rFonts w:ascii="Times New Roman" w:hAnsi="Times New Roman" w:cs="Times New Roman"/>
          <w:sz w:val="24"/>
          <w:szCs w:val="24"/>
        </w:rPr>
      </w:pPr>
    </w:p>
    <w:p w14:paraId="16F189EA" w14:textId="77777777" w:rsidR="00D26B6F" w:rsidRPr="00D901B0" w:rsidRDefault="00D26B6F" w:rsidP="00D26B6F">
      <w:pPr>
        <w:spacing w:after="0" w:line="360" w:lineRule="auto"/>
        <w:jc w:val="both"/>
        <w:rPr>
          <w:rFonts w:ascii="Times New Roman" w:eastAsia="Times New Roman" w:hAnsi="Times New Roman" w:cs="Times New Roman"/>
          <w:sz w:val="24"/>
          <w:szCs w:val="24"/>
          <w:lang w:eastAsia="es-MX"/>
        </w:rPr>
      </w:pPr>
    </w:p>
    <w:p w14:paraId="4B4493E6" w14:textId="77777777" w:rsidR="00D26B6F" w:rsidRPr="00D901B0" w:rsidRDefault="00D26B6F" w:rsidP="00D26B6F">
      <w:pPr>
        <w:spacing w:after="0" w:line="360" w:lineRule="auto"/>
        <w:jc w:val="center"/>
        <w:rPr>
          <w:rFonts w:ascii="Times New Roman" w:hAnsi="Times New Roman" w:cs="Times New Roman"/>
          <w:b/>
          <w:sz w:val="32"/>
          <w:szCs w:val="32"/>
        </w:rPr>
      </w:pPr>
      <w:r w:rsidRPr="00D901B0">
        <w:rPr>
          <w:rFonts w:ascii="Times New Roman" w:hAnsi="Times New Roman" w:cs="Times New Roman"/>
          <w:b/>
          <w:sz w:val="32"/>
          <w:szCs w:val="32"/>
        </w:rPr>
        <w:t>INTRODUCCIÓN</w:t>
      </w:r>
    </w:p>
    <w:p w14:paraId="20EAB9BF" w14:textId="77777777" w:rsidR="00D26B6F" w:rsidRPr="00D901B0" w:rsidRDefault="00D26B6F" w:rsidP="00D26B6F">
      <w:pPr>
        <w:spacing w:after="0" w:line="360" w:lineRule="auto"/>
        <w:jc w:val="both"/>
        <w:rPr>
          <w:rFonts w:ascii="Times New Roman" w:eastAsia="Times New Roman" w:hAnsi="Times New Roman" w:cs="Times New Roman"/>
          <w:color w:val="000000"/>
          <w:sz w:val="24"/>
          <w:szCs w:val="24"/>
          <w:lang w:eastAsia="es-ES"/>
        </w:rPr>
      </w:pPr>
      <w:r w:rsidRPr="00D901B0">
        <w:rPr>
          <w:rFonts w:ascii="Times New Roman" w:eastAsia="Times New Roman" w:hAnsi="Times New Roman" w:cs="Times New Roman"/>
          <w:color w:val="000000"/>
          <w:sz w:val="24"/>
          <w:szCs w:val="24"/>
          <w:lang w:eastAsia="es-ES"/>
        </w:rPr>
        <w:t>En la actualidad existen más de 150 medicamentos relacionados con la aparición de rabdomiólisis, de ellos las estatinas son los implicados con mayor frecuencia.</w:t>
      </w:r>
      <w:r w:rsidRPr="00D901B0">
        <w:rPr>
          <w:rFonts w:ascii="Times New Roman" w:eastAsia="Times New Roman" w:hAnsi="Times New Roman" w:cs="Times New Roman"/>
          <w:color w:val="000000"/>
          <w:sz w:val="24"/>
          <w:szCs w:val="24"/>
          <w:vertAlign w:val="superscript"/>
          <w:lang w:eastAsia="es-ES"/>
        </w:rPr>
        <w:t xml:space="preserve">(1) </w:t>
      </w:r>
      <w:r w:rsidRPr="00D901B0">
        <w:rPr>
          <w:rFonts w:ascii="Times New Roman" w:eastAsia="Times New Roman" w:hAnsi="Times New Roman" w:cs="Times New Roman"/>
          <w:color w:val="000000"/>
          <w:sz w:val="24"/>
          <w:szCs w:val="24"/>
          <w:lang w:eastAsia="es-ES"/>
        </w:rPr>
        <w:t>Inducen rabdomiólisis por el bloqueo de la síntesis de colesterol; disminuye el colesterol en el sarcolema.</w:t>
      </w:r>
      <w:r w:rsidRPr="00D901B0">
        <w:rPr>
          <w:rFonts w:ascii="Times New Roman" w:eastAsia="Times New Roman" w:hAnsi="Times New Roman" w:cs="Times New Roman"/>
          <w:color w:val="000000"/>
          <w:sz w:val="24"/>
          <w:szCs w:val="24"/>
          <w:vertAlign w:val="superscript"/>
          <w:lang w:eastAsia="es-ES"/>
        </w:rPr>
        <w:t>(1)</w:t>
      </w:r>
      <w:r w:rsidRPr="00D901B0">
        <w:rPr>
          <w:rFonts w:ascii="Times New Roman" w:eastAsia="Times New Roman" w:hAnsi="Times New Roman" w:cs="Times New Roman"/>
          <w:color w:val="000000"/>
          <w:sz w:val="24"/>
          <w:szCs w:val="24"/>
          <w:lang w:eastAsia="es-ES"/>
        </w:rPr>
        <w:t xml:space="preserve"> Otros autores proponen que estos medicamentos inducen apoptosis de la fibra muscular.</w:t>
      </w:r>
      <w:r w:rsidRPr="00D901B0">
        <w:rPr>
          <w:rFonts w:ascii="Times New Roman" w:eastAsia="Times New Roman" w:hAnsi="Times New Roman" w:cs="Times New Roman"/>
          <w:color w:val="000000"/>
          <w:sz w:val="24"/>
          <w:szCs w:val="24"/>
          <w:vertAlign w:val="superscript"/>
          <w:lang w:eastAsia="es-ES"/>
        </w:rPr>
        <w:t>(1,2)</w:t>
      </w:r>
      <w:r w:rsidRPr="00D901B0">
        <w:rPr>
          <w:rFonts w:ascii="Times New Roman" w:eastAsia="Times New Roman" w:hAnsi="Times New Roman" w:cs="Times New Roman"/>
          <w:color w:val="000000"/>
          <w:sz w:val="24"/>
          <w:szCs w:val="24"/>
          <w:lang w:eastAsia="es-ES"/>
        </w:rPr>
        <w:t xml:space="preserve"> </w:t>
      </w:r>
    </w:p>
    <w:p w14:paraId="67E48A09" w14:textId="77777777" w:rsidR="00D26B6F" w:rsidRPr="00D901B0" w:rsidRDefault="00D26B6F" w:rsidP="00D26B6F">
      <w:pPr>
        <w:spacing w:after="0" w:line="360" w:lineRule="auto"/>
        <w:jc w:val="both"/>
        <w:rPr>
          <w:rFonts w:ascii="Times New Roman" w:eastAsia="Times New Roman" w:hAnsi="Times New Roman" w:cs="Times New Roman"/>
          <w:color w:val="000000"/>
          <w:sz w:val="24"/>
          <w:szCs w:val="24"/>
          <w:lang w:eastAsia="es-ES"/>
        </w:rPr>
      </w:pPr>
      <w:r w:rsidRPr="00D901B0">
        <w:rPr>
          <w:rFonts w:ascii="Times New Roman" w:eastAsia="Times New Roman" w:hAnsi="Times New Roman" w:cs="Times New Roman"/>
          <w:color w:val="000000"/>
          <w:sz w:val="24"/>
          <w:szCs w:val="24"/>
          <w:lang w:eastAsia="es-ES"/>
        </w:rPr>
        <w:lastRenderedPageBreak/>
        <w:t>Presentan rabdomiólisis, especialmente aquellos pacientes con enfermedad hepática o renal, hipotiroidismo, diabetes mellitus y polimedicación.</w:t>
      </w:r>
      <w:r w:rsidRPr="00D901B0">
        <w:rPr>
          <w:rFonts w:ascii="Times New Roman" w:eastAsia="Times New Roman" w:hAnsi="Times New Roman" w:cs="Times New Roman"/>
          <w:color w:val="000000"/>
          <w:sz w:val="24"/>
          <w:szCs w:val="24"/>
          <w:vertAlign w:val="superscript"/>
          <w:lang w:eastAsia="es-ES"/>
        </w:rPr>
        <w:t>(1)</w:t>
      </w:r>
      <w:r w:rsidRPr="00D901B0">
        <w:rPr>
          <w:rFonts w:ascii="Times New Roman" w:eastAsia="Times New Roman" w:hAnsi="Times New Roman" w:cs="Times New Roman"/>
          <w:color w:val="000000"/>
          <w:sz w:val="24"/>
          <w:szCs w:val="24"/>
          <w:lang w:eastAsia="es-ES"/>
        </w:rPr>
        <w:t xml:space="preserve"> Los síntomas aparecen de 1 a 4 semanas después de iniciada la medicación y mejoran entre 1 y 30 días después de suspenderla.</w:t>
      </w:r>
      <w:r w:rsidRPr="00D901B0">
        <w:rPr>
          <w:rFonts w:ascii="Times New Roman" w:eastAsia="Times New Roman" w:hAnsi="Times New Roman" w:cs="Times New Roman"/>
          <w:color w:val="000000"/>
          <w:sz w:val="24"/>
          <w:szCs w:val="24"/>
          <w:vertAlign w:val="superscript"/>
          <w:lang w:eastAsia="es-ES"/>
        </w:rPr>
        <w:t>(2,3,4)</w:t>
      </w:r>
      <w:r w:rsidRPr="00D901B0">
        <w:rPr>
          <w:rFonts w:ascii="Times New Roman" w:eastAsia="Times New Roman" w:hAnsi="Times New Roman" w:cs="Times New Roman"/>
          <w:color w:val="000000"/>
          <w:sz w:val="24"/>
          <w:szCs w:val="24"/>
          <w:lang w:eastAsia="es-ES"/>
        </w:rPr>
        <w:t xml:space="preserve"> </w:t>
      </w:r>
    </w:p>
    <w:p w14:paraId="45905735" w14:textId="77777777" w:rsidR="00D26B6F" w:rsidRPr="00D901B0" w:rsidRDefault="00D26B6F" w:rsidP="00D26B6F">
      <w:pPr>
        <w:spacing w:after="0" w:line="360" w:lineRule="auto"/>
        <w:jc w:val="both"/>
        <w:rPr>
          <w:rFonts w:ascii="Times New Roman" w:eastAsia="Times New Roman" w:hAnsi="Times New Roman" w:cs="Times New Roman"/>
          <w:color w:val="000000"/>
          <w:sz w:val="24"/>
          <w:szCs w:val="24"/>
          <w:lang w:eastAsia="es-ES"/>
        </w:rPr>
      </w:pPr>
      <w:r w:rsidRPr="00D901B0">
        <w:rPr>
          <w:rFonts w:ascii="Times New Roman" w:eastAsia="Times New Roman" w:hAnsi="Times New Roman" w:cs="Times New Roman"/>
          <w:color w:val="000000"/>
          <w:sz w:val="24"/>
          <w:szCs w:val="24"/>
          <w:lang w:eastAsia="es-ES"/>
        </w:rPr>
        <w:t>La insuficiencia renal aguda (IRA) es una causa frecuente de morbilidad y mortalidad en los servicios de urgencias.</w:t>
      </w:r>
      <w:r w:rsidRPr="00D901B0">
        <w:rPr>
          <w:rFonts w:ascii="Times New Roman" w:eastAsia="Times New Roman" w:hAnsi="Times New Roman" w:cs="Times New Roman"/>
          <w:color w:val="000000"/>
          <w:sz w:val="24"/>
          <w:szCs w:val="24"/>
          <w:vertAlign w:val="superscript"/>
          <w:lang w:eastAsia="es-ES"/>
        </w:rPr>
        <w:t>(3,4)</w:t>
      </w:r>
      <w:r w:rsidRPr="00D901B0">
        <w:rPr>
          <w:rFonts w:ascii="Times New Roman" w:eastAsia="Times New Roman" w:hAnsi="Times New Roman" w:cs="Times New Roman"/>
          <w:color w:val="000000"/>
          <w:sz w:val="24"/>
          <w:szCs w:val="24"/>
          <w:lang w:eastAsia="es-ES"/>
        </w:rPr>
        <w:t xml:space="preserve"> </w:t>
      </w:r>
      <w:r w:rsidRPr="00D901B0">
        <w:rPr>
          <w:rFonts w:ascii="Times New Roman" w:eastAsia="Times New Roman" w:hAnsi="Times New Roman" w:cs="Times New Roman"/>
          <w:color w:val="111111"/>
          <w:sz w:val="24"/>
          <w:szCs w:val="24"/>
          <w:lang w:eastAsia="es-ES"/>
        </w:rPr>
        <w:t>Se ha descrito y publicado sobre el dolor lumbar intenso durante la administración de estreptoquinasa, pero no con un cuadro de insuficiencia renal aguda.</w:t>
      </w:r>
      <w:r w:rsidRPr="00D901B0">
        <w:rPr>
          <w:rFonts w:ascii="Times New Roman" w:eastAsia="Times New Roman" w:hAnsi="Times New Roman" w:cs="Times New Roman"/>
          <w:color w:val="111111"/>
          <w:sz w:val="24"/>
          <w:szCs w:val="24"/>
          <w:vertAlign w:val="superscript"/>
          <w:lang w:eastAsia="es-ES"/>
        </w:rPr>
        <w:t>(5)</w:t>
      </w:r>
    </w:p>
    <w:p w14:paraId="4D6E6139" w14:textId="77777777" w:rsidR="00D26B6F" w:rsidRPr="00D901B0" w:rsidRDefault="00D26B6F" w:rsidP="00D26B6F">
      <w:pPr>
        <w:shd w:val="clear" w:color="auto" w:fill="FFFFFF"/>
        <w:spacing w:after="0" w:line="360" w:lineRule="auto"/>
        <w:jc w:val="both"/>
        <w:rPr>
          <w:rFonts w:ascii="Times New Roman" w:hAnsi="Times New Roman" w:cs="Times New Roman"/>
          <w:sz w:val="24"/>
          <w:szCs w:val="24"/>
          <w:vertAlign w:val="superscript"/>
        </w:rPr>
      </w:pPr>
      <w:r w:rsidRPr="00D901B0">
        <w:rPr>
          <w:rFonts w:ascii="Times New Roman" w:hAnsi="Times New Roman" w:cs="Times New Roman"/>
          <w:sz w:val="24"/>
          <w:szCs w:val="24"/>
        </w:rPr>
        <w:t xml:space="preserve">La estreptoquinasa (SK), debido a su origen bacteriano, es antigénica y por tanto puede producir reacciones alérgicas. Un 4 % de los pacientes del </w:t>
      </w:r>
      <w:r w:rsidRPr="00D901B0">
        <w:rPr>
          <w:rFonts w:ascii="Times New Roman" w:hAnsi="Times New Roman" w:cs="Times New Roman"/>
          <w:i/>
          <w:sz w:val="24"/>
          <w:szCs w:val="24"/>
        </w:rPr>
        <w:t>Second International Study of Infarct Survival</w:t>
      </w:r>
      <w:r w:rsidRPr="00D901B0">
        <w:rPr>
          <w:rFonts w:ascii="Times New Roman" w:hAnsi="Times New Roman" w:cs="Times New Roman"/>
          <w:sz w:val="24"/>
          <w:szCs w:val="24"/>
        </w:rPr>
        <w:t xml:space="preserve"> (ISIS-2) que recibieron SK, tuvieron reacciones alérgicas, fiebre, escalofríos, urticaria o </w:t>
      </w:r>
      <w:r w:rsidRPr="00D901B0">
        <w:rPr>
          <w:rFonts w:ascii="Times New Roman" w:hAnsi="Times New Roman" w:cs="Times New Roman"/>
          <w:i/>
          <w:sz w:val="24"/>
          <w:szCs w:val="24"/>
        </w:rPr>
        <w:t>rash</w:t>
      </w:r>
      <w:r w:rsidRPr="00D901B0">
        <w:rPr>
          <w:rFonts w:ascii="Times New Roman" w:hAnsi="Times New Roman" w:cs="Times New Roman"/>
          <w:sz w:val="24"/>
          <w:szCs w:val="24"/>
        </w:rPr>
        <w:t>.</w:t>
      </w:r>
      <w:r w:rsidRPr="00D901B0">
        <w:rPr>
          <w:rFonts w:ascii="Times New Roman" w:hAnsi="Times New Roman" w:cs="Times New Roman"/>
          <w:sz w:val="24"/>
          <w:szCs w:val="24"/>
          <w:vertAlign w:val="superscript"/>
        </w:rPr>
        <w:t>(6)</w:t>
      </w:r>
      <w:r w:rsidRPr="00D901B0">
        <w:rPr>
          <w:rFonts w:ascii="Times New Roman" w:hAnsi="Times New Roman" w:cs="Times New Roman"/>
          <w:sz w:val="24"/>
          <w:szCs w:val="24"/>
        </w:rPr>
        <w:t xml:space="preserve"> También se han descrito algunos casos de síndrome de Guillain-Barré, supuestamente relacionados con estreptoquinasa, al igual que la aparición de síndrome de distrés respiratorio agudo.</w:t>
      </w:r>
      <w:r w:rsidRPr="00D901B0">
        <w:rPr>
          <w:rFonts w:ascii="Times New Roman" w:hAnsi="Times New Roman" w:cs="Times New Roman"/>
          <w:sz w:val="24"/>
          <w:szCs w:val="24"/>
          <w:vertAlign w:val="superscript"/>
        </w:rPr>
        <w:t xml:space="preserve">(7) </w:t>
      </w:r>
      <w:r w:rsidRPr="00D901B0">
        <w:rPr>
          <w:rFonts w:ascii="Times New Roman" w:hAnsi="Times New Roman" w:cs="Times New Roman"/>
          <w:sz w:val="24"/>
          <w:szCs w:val="24"/>
        </w:rPr>
        <w:t>El choque anafiláctico, afortunadamente es muy raro (0,1- 0,5 %). Sin embargo, la hipotensión arterial precisa administración hidroelectrolítica en 7- 10 % de los pacientes y es frecuente cuando se administra la SK (aproximadamente en 70 % de los casos); prevalece en los pacientes con infarto del miocardio inferior y resuelve con la corrección rápida de volumen.</w:t>
      </w:r>
      <w:r w:rsidRPr="00D901B0">
        <w:rPr>
          <w:rFonts w:ascii="Times New Roman" w:hAnsi="Times New Roman" w:cs="Times New Roman"/>
          <w:sz w:val="24"/>
          <w:szCs w:val="24"/>
          <w:vertAlign w:val="superscript"/>
        </w:rPr>
        <w:t xml:space="preserve">(8) </w:t>
      </w:r>
    </w:p>
    <w:p w14:paraId="1E94A0CD" w14:textId="77777777" w:rsidR="00D26B6F" w:rsidRPr="00D901B0" w:rsidRDefault="00D26B6F" w:rsidP="00D26B6F">
      <w:pPr>
        <w:shd w:val="clear" w:color="auto" w:fill="FFFFFF"/>
        <w:spacing w:after="0" w:line="360" w:lineRule="auto"/>
        <w:jc w:val="both"/>
        <w:rPr>
          <w:rFonts w:ascii="Times New Roman" w:eastAsia="Times New Roman" w:hAnsi="Times New Roman" w:cs="Times New Roman"/>
          <w:color w:val="111111"/>
          <w:sz w:val="24"/>
          <w:szCs w:val="24"/>
          <w:u w:val="single"/>
          <w:lang w:eastAsia="es-ES"/>
        </w:rPr>
      </w:pPr>
      <w:r w:rsidRPr="00D901B0">
        <w:rPr>
          <w:rFonts w:ascii="Times New Roman" w:hAnsi="Times New Roman" w:cs="Times New Roman"/>
          <w:sz w:val="24"/>
          <w:szCs w:val="24"/>
        </w:rPr>
        <w:t>Con poca frecuencia, la administración de SK produce vómitos, diarrea, dolor abdominal, anorexia, flebitis, hipertransaminemia, alteraciones del sistema nervioso central (delirio, depresión, reacciones psicóticas, etc.) y la afectación renal (glomerulonefritis por formación de inmunocomplejos).</w:t>
      </w:r>
      <w:r w:rsidRPr="00D901B0">
        <w:rPr>
          <w:rFonts w:ascii="Times New Roman" w:hAnsi="Times New Roman" w:cs="Times New Roman"/>
          <w:sz w:val="24"/>
          <w:szCs w:val="24"/>
          <w:vertAlign w:val="superscript"/>
        </w:rPr>
        <w:t>(9)</w:t>
      </w:r>
      <w:r w:rsidRPr="00D901B0">
        <w:rPr>
          <w:rFonts w:ascii="Times New Roman" w:hAnsi="Times New Roman" w:cs="Times New Roman"/>
          <w:sz w:val="24"/>
          <w:szCs w:val="24"/>
        </w:rPr>
        <w:t xml:space="preserve"> </w:t>
      </w:r>
    </w:p>
    <w:p w14:paraId="46E98AD3"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rPr>
        <w:t>Durante muchos años se ha debatido si los pacientes tratados con estreptoquinasa o activador tisular del plasminógeno, debían recibir una nueva dosis. Varios estudios se han realizado en esta línea y actualmente se ha demostrado que tras el tratamiento con estos fármacos, el organismo crea anticuerpos IgG que perduran durante aproximadamente cuatro años. Sin embargo, no hay ningún estudio que haya demostrado que estos valores serológicos estén asociados con un aumento en la frecuencia de aparición de reacciones alérgicas, ni con una disminución en la eficacia del tratamiento trombolítico</w:t>
      </w:r>
      <w:r w:rsidRPr="00D901B0">
        <w:rPr>
          <w:rFonts w:ascii="Times New Roman" w:hAnsi="Times New Roman" w:cs="Times New Roman"/>
          <w:color w:val="000000" w:themeColor="text1"/>
          <w:sz w:val="24"/>
          <w:szCs w:val="24"/>
        </w:rPr>
        <w:t>.</w:t>
      </w:r>
      <w:r w:rsidRPr="00D901B0">
        <w:rPr>
          <w:rFonts w:ascii="Times New Roman" w:hAnsi="Times New Roman" w:cs="Times New Roman"/>
          <w:sz w:val="24"/>
          <w:szCs w:val="24"/>
          <w:vertAlign w:val="superscript"/>
        </w:rPr>
        <w:t>(10)</w:t>
      </w:r>
    </w:p>
    <w:p w14:paraId="087F9CE5" w14:textId="77777777" w:rsidR="00D26B6F" w:rsidRPr="00D901B0" w:rsidRDefault="00D26B6F" w:rsidP="00D26B6F">
      <w:pPr>
        <w:spacing w:after="0" w:line="360" w:lineRule="auto"/>
        <w:jc w:val="both"/>
        <w:rPr>
          <w:rFonts w:ascii="Times New Roman" w:eastAsia="Times New Roman" w:hAnsi="Times New Roman" w:cs="Times New Roman"/>
          <w:color w:val="000000"/>
          <w:sz w:val="24"/>
          <w:szCs w:val="24"/>
          <w:vertAlign w:val="superscript"/>
          <w:lang w:eastAsia="es-ES"/>
        </w:rPr>
      </w:pPr>
      <w:r w:rsidRPr="00D901B0">
        <w:rPr>
          <w:rFonts w:ascii="Times New Roman" w:eastAsia="Times New Roman" w:hAnsi="Times New Roman" w:cs="Times New Roman"/>
          <w:color w:val="000000"/>
          <w:sz w:val="24"/>
          <w:szCs w:val="24"/>
          <w:lang w:eastAsia="es-ES"/>
        </w:rPr>
        <w:t xml:space="preserve">El infarto agudo de miocardio (IAM) con arterias coronarias sin obstrucciones significativas (MINOCA, por sus siglas en inglés), es un reto en la práctica clínica porque existen lagunas en su conocimiento. La frecuencia de MINOCA es elevada (11,7 % de los IAM). Los riesgos son similares. En este tipo de IAM, </w:t>
      </w:r>
      <w:r w:rsidRPr="00D901B0">
        <w:rPr>
          <w:rFonts w:ascii="Times New Roman" w:eastAsia="Times New Roman" w:hAnsi="Times New Roman" w:cs="Times New Roman"/>
          <w:color w:val="000000"/>
          <w:sz w:val="24"/>
          <w:szCs w:val="24"/>
          <w:lang w:eastAsia="es-ES"/>
        </w:rPr>
        <w:lastRenderedPageBreak/>
        <w:t>las alteraciones psicoconductuales y los estados proinflamatorios, pueden jugar un papel importante, pero se necesitan mayores estudios para confirmarlo.</w:t>
      </w:r>
      <w:r w:rsidRPr="00D901B0">
        <w:rPr>
          <w:rFonts w:ascii="Times New Roman" w:eastAsia="Times New Roman" w:hAnsi="Times New Roman" w:cs="Times New Roman"/>
          <w:color w:val="000000"/>
          <w:sz w:val="24"/>
          <w:szCs w:val="24"/>
          <w:vertAlign w:val="superscript"/>
          <w:lang w:eastAsia="es-ES"/>
        </w:rPr>
        <w:t>(11)</w:t>
      </w:r>
    </w:p>
    <w:p w14:paraId="22B2A14F" w14:textId="77777777" w:rsidR="00D26B6F" w:rsidRPr="00D901B0" w:rsidRDefault="00D26B6F" w:rsidP="00D26B6F">
      <w:pPr>
        <w:spacing w:after="0" w:line="360" w:lineRule="auto"/>
        <w:jc w:val="both"/>
        <w:rPr>
          <w:rFonts w:ascii="Times New Roman" w:hAnsi="Times New Roman" w:cs="Times New Roman"/>
          <w:color w:val="000000"/>
          <w:sz w:val="24"/>
          <w:szCs w:val="24"/>
        </w:rPr>
      </w:pPr>
      <w:r w:rsidRPr="00D901B0">
        <w:rPr>
          <w:rFonts w:ascii="Times New Roman" w:hAnsi="Times New Roman" w:cs="Times New Roman"/>
          <w:color w:val="000000"/>
          <w:sz w:val="24"/>
          <w:szCs w:val="24"/>
          <w:shd w:val="clear" w:color="auto" w:fill="FFFFFF"/>
        </w:rPr>
        <w:t xml:space="preserve">Una importante proporción de los pacientes con el diagnóstico de infarto agudo de miocardio no tienen estenosis significativas en la coronariografía (al considerar como tales &gt; 50 %). </w:t>
      </w:r>
    </w:p>
    <w:p w14:paraId="39E31C4E" w14:textId="77777777" w:rsidR="00D26B6F" w:rsidRPr="00D901B0" w:rsidRDefault="00D26B6F" w:rsidP="00D26B6F">
      <w:pPr>
        <w:spacing w:after="0" w:line="360" w:lineRule="auto"/>
        <w:jc w:val="both"/>
        <w:rPr>
          <w:rFonts w:ascii="Times New Roman" w:eastAsia="Times New Roman" w:hAnsi="Times New Roman" w:cs="Times New Roman"/>
          <w:color w:val="000000"/>
          <w:sz w:val="24"/>
          <w:szCs w:val="24"/>
          <w:lang w:eastAsia="es-ES"/>
        </w:rPr>
      </w:pPr>
      <w:r w:rsidRPr="00D901B0">
        <w:rPr>
          <w:rFonts w:ascii="Times New Roman" w:hAnsi="Times New Roman" w:cs="Times New Roman"/>
          <w:color w:val="000000"/>
          <w:sz w:val="24"/>
          <w:szCs w:val="24"/>
          <w:shd w:val="clear" w:color="auto" w:fill="FFFFFF"/>
        </w:rPr>
        <w:t>Se señala entre el 6 y el 12 % de los varones y entre el 7 al 32 % en mujeres. Los mecanismos de este problema no están del todo claros.</w:t>
      </w:r>
      <w:r w:rsidRPr="00D901B0">
        <w:rPr>
          <w:rFonts w:ascii="Times New Roman" w:hAnsi="Times New Roman" w:cs="Times New Roman"/>
          <w:color w:val="000000"/>
          <w:sz w:val="24"/>
          <w:szCs w:val="24"/>
          <w:shd w:val="clear" w:color="auto" w:fill="FFFFFF"/>
          <w:vertAlign w:val="superscript"/>
        </w:rPr>
        <w:t>(11,12)</w:t>
      </w:r>
    </w:p>
    <w:p w14:paraId="58C1B68C" w14:textId="77777777" w:rsidR="00D26B6F" w:rsidRPr="00D901B0" w:rsidRDefault="00D26B6F" w:rsidP="00D26B6F">
      <w:pPr>
        <w:spacing w:after="0" w:line="360" w:lineRule="auto"/>
        <w:jc w:val="both"/>
        <w:rPr>
          <w:rFonts w:ascii="Times New Roman" w:eastAsia="Times New Roman" w:hAnsi="Times New Roman" w:cs="Times New Roman"/>
          <w:color w:val="000000"/>
          <w:sz w:val="24"/>
          <w:szCs w:val="24"/>
          <w:lang w:eastAsia="es-ES"/>
        </w:rPr>
      </w:pPr>
      <w:r w:rsidRPr="00D901B0">
        <w:rPr>
          <w:rFonts w:ascii="Times New Roman" w:hAnsi="Times New Roman" w:cs="Times New Roman"/>
          <w:sz w:val="24"/>
          <w:szCs w:val="24"/>
        </w:rPr>
        <w:t>El objetivo de este trabajo es presentar como posible causa de insuficiencia renal aguda, transitoria, la administración de trombólisis con estreptoquinasa, en un enfermo con infarto miocárdico con elevación del ST (IMACEST) y coronariografía normal.</w:t>
      </w:r>
    </w:p>
    <w:p w14:paraId="1A850D60" w14:textId="77777777" w:rsidR="00D26B6F" w:rsidRPr="00D901B0" w:rsidRDefault="00D26B6F" w:rsidP="00D26B6F">
      <w:pPr>
        <w:shd w:val="clear" w:color="auto" w:fill="FFFFFF"/>
        <w:spacing w:after="0" w:line="360" w:lineRule="auto"/>
        <w:jc w:val="both"/>
        <w:rPr>
          <w:rFonts w:ascii="Times New Roman" w:hAnsi="Times New Roman" w:cs="Times New Roman"/>
          <w:sz w:val="24"/>
          <w:szCs w:val="24"/>
        </w:rPr>
      </w:pPr>
    </w:p>
    <w:p w14:paraId="7D5EE0A8" w14:textId="77777777" w:rsidR="00D26B6F" w:rsidRPr="00D901B0" w:rsidRDefault="00D26B6F" w:rsidP="00D26B6F">
      <w:pPr>
        <w:shd w:val="clear" w:color="auto" w:fill="FFFFFF"/>
        <w:spacing w:after="0" w:line="360" w:lineRule="auto"/>
        <w:jc w:val="center"/>
        <w:rPr>
          <w:rFonts w:ascii="Times New Roman" w:hAnsi="Times New Roman" w:cs="Times New Roman"/>
          <w:b/>
          <w:sz w:val="24"/>
          <w:szCs w:val="24"/>
        </w:rPr>
      </w:pPr>
    </w:p>
    <w:p w14:paraId="3BDD837E" w14:textId="77777777" w:rsidR="00D26B6F" w:rsidRPr="00D901B0" w:rsidRDefault="00D26B6F" w:rsidP="00D26B6F">
      <w:pPr>
        <w:shd w:val="clear" w:color="auto" w:fill="FFFFFF"/>
        <w:spacing w:after="0" w:line="360" w:lineRule="auto"/>
        <w:jc w:val="center"/>
        <w:rPr>
          <w:rFonts w:ascii="Times New Roman" w:hAnsi="Times New Roman" w:cs="Times New Roman"/>
          <w:sz w:val="32"/>
          <w:szCs w:val="32"/>
        </w:rPr>
      </w:pPr>
      <w:r w:rsidRPr="00D901B0">
        <w:rPr>
          <w:rFonts w:ascii="Times New Roman" w:hAnsi="Times New Roman" w:cs="Times New Roman"/>
          <w:b/>
          <w:sz w:val="32"/>
          <w:szCs w:val="32"/>
        </w:rPr>
        <w:t>CASO CLÍNICO</w:t>
      </w:r>
    </w:p>
    <w:p w14:paraId="3C0A595B"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rPr>
        <w:t>Paciente de 38 años de edad, blanco, solo con dislipidemia familiar y personal, 5 meses antes estuvo ingresado durante 5 días con dolor torácico atípico, se hizo electrocardiogramas seriados, ecocardiograma dópler y estudios hematológicos, que estuvieron dentro de límites normales (la creatinina fue 81 mg/ L y una prevalencia de LDL- c sobre la HDL-c); se mantuvo asintomático con electrocardiogramas normales y se le extendió el alta.</w:t>
      </w:r>
    </w:p>
    <w:p w14:paraId="7412D711"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rPr>
        <w:t>Ingresa en emergencia con dolor intenso, opresivo, retroesternal, con irradiación a ambos miembros superiores, sudoración profusa, sensación de muerte inminente, que no se alivia con reposo, ansiedad marcada. Luego siente sensación de estrangulación, disnea y polipnea.</w:t>
      </w:r>
    </w:p>
    <w:p w14:paraId="11D18D4E"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rPr>
        <w:t>Los cambios eléctricos fueron muy significativos en toda la cara anterior del corazón (de V1 a V6  tuvo en el trazo electrocardiográfico un marcada elevación del ST, el punto J en 5 mm por encima de la línea isoeléctrica, onda Q muy profunda y ancha y la T muy profunda, negativa y simétrica).</w:t>
      </w:r>
    </w:p>
    <w:p w14:paraId="2F26B2FE"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rPr>
        <w:t xml:space="preserve">Después de la trombólisis sufre mialgias intensas generalizadas, enrojecimiento, tos, sensación de ahogo por opresión en el cuello, vómitos profusos, fiebre de 38,8 °C, </w:t>
      </w:r>
      <w:r w:rsidRPr="00D901B0">
        <w:rPr>
          <w:rFonts w:ascii="Times New Roman" w:hAnsi="Times New Roman" w:cs="Times New Roman"/>
          <w:i/>
          <w:sz w:val="24"/>
          <w:szCs w:val="24"/>
        </w:rPr>
        <w:t>rash</w:t>
      </w:r>
      <w:r w:rsidRPr="00D901B0">
        <w:rPr>
          <w:rFonts w:ascii="Times New Roman" w:hAnsi="Times New Roman" w:cs="Times New Roman"/>
          <w:sz w:val="24"/>
          <w:szCs w:val="24"/>
        </w:rPr>
        <w:t xml:space="preserve"> urticariano generalizado, dolores lumbares intensos, cianosis, disnea y polipnea, taquicardia por encima de 160 latidos por minuto y hace </w:t>
      </w:r>
      <w:r w:rsidRPr="00D901B0">
        <w:rPr>
          <w:rFonts w:ascii="Times New Roman" w:hAnsi="Times New Roman" w:cs="Times New Roman"/>
          <w:sz w:val="24"/>
          <w:szCs w:val="24"/>
        </w:rPr>
        <w:lastRenderedPageBreak/>
        <w:t>fibrilación ventricular de corta duración. Se aplicó desfibrilación eléctrica con 200 J/cm</w:t>
      </w:r>
      <w:r w:rsidRPr="00D901B0">
        <w:rPr>
          <w:rFonts w:ascii="Times New Roman" w:hAnsi="Times New Roman" w:cs="Times New Roman"/>
          <w:sz w:val="24"/>
          <w:szCs w:val="24"/>
          <w:vertAlign w:val="superscript"/>
        </w:rPr>
        <w:t>2</w:t>
      </w:r>
      <w:r w:rsidRPr="00D901B0">
        <w:rPr>
          <w:rFonts w:ascii="Times New Roman" w:hAnsi="Times New Roman" w:cs="Times New Roman"/>
          <w:sz w:val="24"/>
          <w:szCs w:val="24"/>
        </w:rPr>
        <w:t xml:space="preserve"> en una ocasión, más amiodarona, 300 mg i.v.</w:t>
      </w:r>
    </w:p>
    <w:p w14:paraId="7AAD82F3"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rPr>
        <w:t xml:space="preserve">En exámenes complementarios: creatinina 840 mmol/L, CPKMB 858 mmol/L, eritrosedimentación 124 mm/h, oligoanuria marcada. En las 48 horas siguientes orinó 400 mL. La lumbalgia intensa se mantuvo junto a las mialgias y coluria verdosa. Luego mejoraron los valores de creatinina y la concentración urinaria. Fue trasladado al cardiocentro “Ernesto Che Guevara”, de Santa Clara, para estudio hemodinámico con coronariografía. </w:t>
      </w:r>
    </w:p>
    <w:p w14:paraId="6D85ABD2" w14:textId="77777777" w:rsidR="00D26B6F" w:rsidRPr="00D901B0" w:rsidRDefault="00D26B6F" w:rsidP="00D26B6F">
      <w:pPr>
        <w:spacing w:after="0" w:line="360" w:lineRule="auto"/>
        <w:jc w:val="both"/>
        <w:rPr>
          <w:rFonts w:ascii="Times New Roman" w:hAnsi="Times New Roman" w:cs="Times New Roman"/>
          <w:sz w:val="24"/>
          <w:szCs w:val="24"/>
        </w:rPr>
      </w:pPr>
      <w:r w:rsidRPr="00D901B0">
        <w:rPr>
          <w:rFonts w:ascii="Times New Roman" w:hAnsi="Times New Roman" w:cs="Times New Roman"/>
          <w:sz w:val="24"/>
          <w:szCs w:val="24"/>
        </w:rPr>
        <w:t>Las cifras de creatinina estaban en 116 mmol/L, con diuresis de 2500 mL/día, a los 20 días del IMACEST anterior extenso. Las coronarias (epicárdicas) resultaron normales</w:t>
      </w:r>
      <w:r w:rsidRPr="00D901B0">
        <w:rPr>
          <w:rFonts w:ascii="Times New Roman" w:eastAsia="Times New Roman" w:hAnsi="Times New Roman" w:cs="Times New Roman"/>
          <w:sz w:val="24"/>
          <w:szCs w:val="24"/>
          <w:lang w:eastAsia="es-ES"/>
        </w:rPr>
        <w:t>.</w:t>
      </w:r>
      <w:r w:rsidRPr="00D901B0">
        <w:rPr>
          <w:rFonts w:ascii="Times New Roman" w:hAnsi="Times New Roman" w:cs="Times New Roman"/>
          <w:sz w:val="24"/>
          <w:szCs w:val="24"/>
          <w:vertAlign w:val="superscript"/>
        </w:rPr>
        <w:t>(11,12)</w:t>
      </w:r>
    </w:p>
    <w:p w14:paraId="3C1D87C2" w14:textId="77777777" w:rsidR="00D26B6F" w:rsidRDefault="00D26B6F" w:rsidP="00D26B6F">
      <w:pPr>
        <w:spacing w:after="0" w:line="360" w:lineRule="auto"/>
        <w:jc w:val="both"/>
        <w:rPr>
          <w:rFonts w:ascii="Times New Roman" w:hAnsi="Times New Roman" w:cs="Times New Roman"/>
          <w:b/>
          <w:sz w:val="24"/>
          <w:szCs w:val="24"/>
        </w:rPr>
      </w:pPr>
    </w:p>
    <w:p w14:paraId="53EDE9AE" w14:textId="77777777" w:rsidR="00047969" w:rsidRPr="00D901B0" w:rsidRDefault="00047969" w:rsidP="00D26B6F">
      <w:pPr>
        <w:spacing w:after="0" w:line="360" w:lineRule="auto"/>
        <w:jc w:val="both"/>
        <w:rPr>
          <w:rFonts w:ascii="Times New Roman" w:hAnsi="Times New Roman" w:cs="Times New Roman"/>
          <w:b/>
          <w:sz w:val="24"/>
          <w:szCs w:val="24"/>
        </w:rPr>
      </w:pPr>
    </w:p>
    <w:p w14:paraId="692A87A2" w14:textId="77777777" w:rsidR="00D26B6F" w:rsidRPr="00D901B0" w:rsidRDefault="00D26B6F" w:rsidP="00D26B6F">
      <w:pPr>
        <w:spacing w:after="0" w:line="360" w:lineRule="auto"/>
        <w:jc w:val="center"/>
        <w:rPr>
          <w:rFonts w:ascii="Times New Roman" w:hAnsi="Times New Roman" w:cs="Times New Roman"/>
          <w:b/>
          <w:sz w:val="32"/>
          <w:szCs w:val="32"/>
        </w:rPr>
      </w:pPr>
      <w:r w:rsidRPr="00D901B0">
        <w:rPr>
          <w:rFonts w:ascii="Times New Roman" w:hAnsi="Times New Roman" w:cs="Times New Roman"/>
          <w:b/>
          <w:sz w:val="32"/>
          <w:szCs w:val="32"/>
        </w:rPr>
        <w:t>COMENTARIOS</w:t>
      </w:r>
    </w:p>
    <w:p w14:paraId="1FA24060" w14:textId="77777777" w:rsidR="00D26B6F" w:rsidRPr="00D901B0" w:rsidRDefault="00D26B6F" w:rsidP="00D26B6F">
      <w:pPr>
        <w:spacing w:after="0" w:line="360" w:lineRule="auto"/>
        <w:jc w:val="both"/>
        <w:rPr>
          <w:rFonts w:ascii="Times New Roman" w:hAnsi="Times New Roman" w:cs="Times New Roman"/>
          <w:sz w:val="24"/>
          <w:szCs w:val="24"/>
          <w:vertAlign w:val="superscript"/>
        </w:rPr>
      </w:pPr>
      <w:r w:rsidRPr="00D901B0">
        <w:rPr>
          <w:rFonts w:ascii="Times New Roman" w:hAnsi="Times New Roman" w:cs="Times New Roman"/>
          <w:sz w:val="24"/>
          <w:szCs w:val="24"/>
        </w:rPr>
        <w:t>Hubo una relación estrecha entre la administración de estreptoquinasa y la posterior aparición de fallo renal transitorio, con valores de creatina normales una semana antes. Dicho efecto adverso aparece en el prospecto cubano del fármaco. Se revisó la bibliografía planteándose mecanismos de rabdomiólisis, afectación del metabolismo de ATP y alteraciones inmunológicas, como posible causa de la insuficiencia renal transitoria, que están descritas en la literatura por separadas.</w:t>
      </w:r>
      <w:r w:rsidRPr="00D901B0">
        <w:rPr>
          <w:rFonts w:ascii="Times New Roman" w:hAnsi="Times New Roman" w:cs="Times New Roman"/>
          <w:sz w:val="24"/>
          <w:szCs w:val="24"/>
          <w:vertAlign w:val="superscript"/>
        </w:rPr>
        <w:t xml:space="preserve"> (6,7,8,9,10)</w:t>
      </w:r>
    </w:p>
    <w:p w14:paraId="2E8C5348" w14:textId="5465D73A" w:rsidR="00047969" w:rsidRPr="00D901B0" w:rsidRDefault="00D26B6F" w:rsidP="00D26B6F">
      <w:pPr>
        <w:spacing w:after="0" w:line="360" w:lineRule="auto"/>
        <w:jc w:val="both"/>
        <w:rPr>
          <w:rFonts w:ascii="Times New Roman" w:hAnsi="Times New Roman" w:cs="Times New Roman"/>
          <w:sz w:val="24"/>
          <w:szCs w:val="24"/>
          <w:vertAlign w:val="superscript"/>
        </w:rPr>
      </w:pPr>
      <w:r w:rsidRPr="00D901B0">
        <w:rPr>
          <w:rFonts w:ascii="Times New Roman" w:hAnsi="Times New Roman" w:cs="Times New Roman"/>
          <w:sz w:val="24"/>
          <w:szCs w:val="24"/>
        </w:rPr>
        <w:t>Es evidente que</w:t>
      </w:r>
      <w:r w:rsidR="00644AA7">
        <w:rPr>
          <w:rFonts w:ascii="Times New Roman" w:hAnsi="Times New Roman" w:cs="Times New Roman"/>
          <w:sz w:val="24"/>
          <w:szCs w:val="24"/>
        </w:rPr>
        <w:t xml:space="preserve"> el cuadro fue transitorio y pu</w:t>
      </w:r>
      <w:r w:rsidRPr="00D901B0">
        <w:rPr>
          <w:rFonts w:ascii="Times New Roman" w:hAnsi="Times New Roman" w:cs="Times New Roman"/>
          <w:sz w:val="24"/>
          <w:szCs w:val="24"/>
        </w:rPr>
        <w:t>do hacerse coronariografía que fue absolutamente normal a los 21 días. Tuvo una tomografía axial computarizada multicortes, contrastada, coronaria (angiotac) con afectación grave de la microcirculación coronaria que fue causa de infarto miocárdico, y arterias epicárdicas normales (Fig. 1</w:t>
      </w:r>
      <w:r w:rsidR="000F1D4B">
        <w:rPr>
          <w:rFonts w:ascii="Times New Roman" w:hAnsi="Times New Roman" w:cs="Times New Roman"/>
          <w:sz w:val="24"/>
          <w:szCs w:val="24"/>
        </w:rPr>
        <w:t>; en la Fig. 2 y Fig. 3 se muestran alteraciones ecocordiográficas</w:t>
      </w:r>
      <w:r w:rsidRPr="00D901B0">
        <w:rPr>
          <w:rFonts w:ascii="Times New Roman" w:hAnsi="Times New Roman" w:cs="Times New Roman"/>
          <w:sz w:val="24"/>
          <w:szCs w:val="24"/>
        </w:rPr>
        <w:t>). Esto apoya, junto a la alergia a la aspirina del enfermo, lo importante de la predisposición a reacciones inmunológicas.</w:t>
      </w:r>
      <w:r w:rsidRPr="00D901B0">
        <w:rPr>
          <w:rFonts w:ascii="Times New Roman" w:hAnsi="Times New Roman" w:cs="Times New Roman"/>
          <w:sz w:val="24"/>
          <w:szCs w:val="24"/>
          <w:vertAlign w:val="superscript"/>
        </w:rPr>
        <w:t xml:space="preserve">(13) </w:t>
      </w:r>
    </w:p>
    <w:p w14:paraId="5863B1AB" w14:textId="77777777" w:rsidR="00047969" w:rsidRDefault="00D26B6F" w:rsidP="00047969">
      <w:pPr>
        <w:spacing w:after="0" w:line="360" w:lineRule="auto"/>
        <w:jc w:val="both"/>
        <w:rPr>
          <w:rFonts w:ascii="Times New Roman" w:hAnsi="Times New Roman" w:cs="Times New Roman"/>
          <w:sz w:val="24"/>
          <w:szCs w:val="24"/>
          <w:vertAlign w:val="superscript"/>
        </w:rPr>
      </w:pPr>
      <w:r w:rsidRPr="00D901B0">
        <w:rPr>
          <w:rFonts w:ascii="Times New Roman" w:hAnsi="Times New Roman" w:cs="Times New Roman"/>
          <w:sz w:val="24"/>
          <w:szCs w:val="24"/>
        </w:rPr>
        <w:t xml:space="preserve">Se conoce que la afectación de microcirculación ocurre en múltiples órganos a la vez, lo cual puede contribuir al daño renal transitorio al igual que al cardíaco. Se asocian acardiomiopatía de Tako-tsubo, infarto del miocardio, síndrome antifosfolípido y vasoespasmo coronario. La disfunción endotelial, el aumento de homocisteina, la alteración del ciclo del ácido araquidónico, con estimulación de la sintetasa </w:t>
      </w:r>
      <w:r w:rsidRPr="00D901B0">
        <w:rPr>
          <w:rFonts w:ascii="Times New Roman" w:hAnsi="Times New Roman" w:cs="Times New Roman"/>
          <w:sz w:val="24"/>
          <w:szCs w:val="24"/>
        </w:rPr>
        <w:lastRenderedPageBreak/>
        <w:t>del tromboxano A</w:t>
      </w:r>
      <w:r w:rsidRPr="00D901B0">
        <w:rPr>
          <w:rFonts w:ascii="Times New Roman" w:hAnsi="Times New Roman" w:cs="Times New Roman"/>
          <w:sz w:val="24"/>
          <w:szCs w:val="24"/>
          <w:vertAlign w:val="subscript"/>
        </w:rPr>
        <w:t>2</w:t>
      </w:r>
      <w:r w:rsidRPr="00D901B0">
        <w:rPr>
          <w:rFonts w:ascii="Times New Roman" w:hAnsi="Times New Roman" w:cs="Times New Roman"/>
          <w:sz w:val="24"/>
          <w:szCs w:val="24"/>
        </w:rPr>
        <w:t>, y la inhibición de la sintetasa de la prostaciclina, la hipercoagulabilidad, los cambios hormonares en hombres y mujeres, la resistencia a la insulina y el nivel de hemoglobina glicolizada en diabéticos, las variables clínico-epidemiológicas asociadas como factores modificables y no modificables; son conocimientos actuales que hacen de esta entidad algo sistémico e importante.</w:t>
      </w:r>
      <w:r w:rsidRPr="00D901B0">
        <w:rPr>
          <w:rFonts w:ascii="Times New Roman" w:hAnsi="Times New Roman" w:cs="Times New Roman"/>
          <w:sz w:val="24"/>
          <w:szCs w:val="24"/>
          <w:vertAlign w:val="superscript"/>
        </w:rPr>
        <w:t>(13)</w:t>
      </w:r>
      <w:r w:rsidRPr="00D901B0">
        <w:rPr>
          <w:rFonts w:ascii="Times New Roman" w:hAnsi="Times New Roman" w:cs="Times New Roman"/>
          <w:sz w:val="24"/>
          <w:szCs w:val="24"/>
        </w:rPr>
        <w:t xml:space="preserve"> </w:t>
      </w:r>
      <w:r w:rsidR="00047969" w:rsidRPr="00D901B0">
        <w:rPr>
          <w:rFonts w:ascii="Times New Roman" w:hAnsi="Times New Roman" w:cs="Times New Roman"/>
          <w:sz w:val="24"/>
          <w:szCs w:val="24"/>
        </w:rPr>
        <w:t>Después de descartarse otras causas,</w:t>
      </w:r>
      <w:r w:rsidR="00047969" w:rsidRPr="00D901B0">
        <w:rPr>
          <w:rFonts w:ascii="Times New Roman" w:hAnsi="Times New Roman" w:cs="Times New Roman"/>
          <w:sz w:val="24"/>
          <w:szCs w:val="24"/>
          <w:vertAlign w:val="superscript"/>
        </w:rPr>
        <w:t>(1,2,3,4,5)</w:t>
      </w:r>
      <w:r w:rsidR="00047969" w:rsidRPr="00D901B0">
        <w:rPr>
          <w:rFonts w:ascii="Times New Roman" w:hAnsi="Times New Roman" w:cs="Times New Roman"/>
          <w:sz w:val="24"/>
          <w:szCs w:val="24"/>
        </w:rPr>
        <w:t xml:space="preserve"> se consideró que la insuficiencia renal transitoria ocurrió como fenómeno multicausal raro tras administración de estreptoquinasa.</w:t>
      </w:r>
      <w:r w:rsidR="00047969" w:rsidRPr="00D901B0">
        <w:rPr>
          <w:rFonts w:ascii="Times New Roman" w:hAnsi="Times New Roman" w:cs="Times New Roman"/>
          <w:sz w:val="24"/>
          <w:szCs w:val="24"/>
          <w:vertAlign w:val="superscript"/>
        </w:rPr>
        <w:t>(6,7,8,9,10)</w:t>
      </w:r>
    </w:p>
    <w:p w14:paraId="03A3D606" w14:textId="77777777" w:rsidR="00047969" w:rsidRDefault="00047969" w:rsidP="00047969">
      <w:pPr>
        <w:spacing w:after="0" w:line="360" w:lineRule="auto"/>
        <w:jc w:val="both"/>
        <w:rPr>
          <w:rFonts w:ascii="Times New Roman" w:hAnsi="Times New Roman" w:cs="Times New Roman"/>
          <w:sz w:val="24"/>
          <w:szCs w:val="24"/>
          <w:vertAlign w:val="superscript"/>
        </w:rPr>
      </w:pPr>
    </w:p>
    <w:p w14:paraId="3F56630B" w14:textId="77777777" w:rsidR="00047969" w:rsidRDefault="00047969" w:rsidP="00047969">
      <w:pPr>
        <w:spacing w:after="0" w:line="360" w:lineRule="auto"/>
        <w:jc w:val="both"/>
        <w:rPr>
          <w:rFonts w:ascii="Times New Roman" w:hAnsi="Times New Roman" w:cs="Times New Roman"/>
          <w:sz w:val="24"/>
          <w:szCs w:val="24"/>
          <w:vertAlign w:val="superscript"/>
        </w:rPr>
      </w:pPr>
    </w:p>
    <w:p w14:paraId="7022860B" w14:textId="77777777" w:rsidR="00047969" w:rsidRPr="00D901B0" w:rsidRDefault="00047969" w:rsidP="0004796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6B09AD44" wp14:editId="6D48F73F">
            <wp:extent cx="3336290" cy="3325316"/>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01_460.jpg"/>
                    <pic:cNvPicPr/>
                  </pic:nvPicPr>
                  <pic:blipFill>
                    <a:blip r:embed="rId7">
                      <a:extLst>
                        <a:ext uri="{28A0092B-C50C-407E-A947-70E740481C1C}">
                          <a14:useLocalDpi xmlns:a14="http://schemas.microsoft.com/office/drawing/2010/main" val="0"/>
                        </a:ext>
                      </a:extLst>
                    </a:blip>
                    <a:stretch>
                      <a:fillRect/>
                    </a:stretch>
                  </pic:blipFill>
                  <pic:spPr>
                    <a:xfrm>
                      <a:off x="0" y="0"/>
                      <a:ext cx="3341095" cy="3330106"/>
                    </a:xfrm>
                    <a:prstGeom prst="rect">
                      <a:avLst/>
                    </a:prstGeom>
                  </pic:spPr>
                </pic:pic>
              </a:graphicData>
            </a:graphic>
          </wp:inline>
        </w:drawing>
      </w:r>
    </w:p>
    <w:p w14:paraId="777D4728" w14:textId="77777777" w:rsidR="00047969" w:rsidRPr="00D6726F" w:rsidRDefault="00047969" w:rsidP="00047969">
      <w:pPr>
        <w:tabs>
          <w:tab w:val="left" w:pos="6330"/>
        </w:tabs>
        <w:spacing w:after="0" w:line="360" w:lineRule="auto"/>
        <w:jc w:val="center"/>
        <w:rPr>
          <w:rFonts w:ascii="Times New Roman" w:hAnsi="Times New Roman" w:cs="Times New Roman"/>
          <w:sz w:val="24"/>
          <w:szCs w:val="24"/>
        </w:rPr>
      </w:pPr>
      <w:r w:rsidRPr="00D901B0">
        <w:rPr>
          <w:rFonts w:ascii="Times New Roman" w:hAnsi="Times New Roman" w:cs="Times New Roman"/>
          <w:b/>
        </w:rPr>
        <w:t>Fig. 1</w:t>
      </w:r>
      <w:r w:rsidRPr="00D901B0">
        <w:rPr>
          <w:rFonts w:ascii="Times New Roman" w:hAnsi="Times New Roman" w:cs="Times New Roman"/>
        </w:rPr>
        <w:t xml:space="preserve"> </w:t>
      </w:r>
      <w:r w:rsidRPr="00D901B0">
        <w:rPr>
          <w:rFonts w:ascii="Symbol" w:eastAsia="Symbol" w:hAnsi="Symbol" w:cs="Symbol"/>
        </w:rPr>
        <w:t></w:t>
      </w:r>
      <w:r w:rsidRPr="00D901B0">
        <w:rPr>
          <w:rFonts w:ascii="Times New Roman" w:hAnsi="Times New Roman" w:cs="Times New Roman"/>
        </w:rPr>
        <w:t xml:space="preserve"> Angiotac, muestra las lesiones graves de diagonales y otros vasos de microcirculación coronaria, con remodelación de ventrículo izquierdo. Las arterias epicárdicas absolutamente normales.</w:t>
      </w:r>
    </w:p>
    <w:p w14:paraId="1C1FD0C8" w14:textId="77777777" w:rsidR="00047969" w:rsidRPr="00D901B0" w:rsidRDefault="00047969" w:rsidP="00047969">
      <w:pPr>
        <w:spacing w:after="0" w:line="360" w:lineRule="auto"/>
        <w:jc w:val="center"/>
        <w:rPr>
          <w:rFonts w:ascii="Times New Roman" w:hAnsi="Times New Roman" w:cs="Times New Roman"/>
        </w:rPr>
      </w:pPr>
      <w:r>
        <w:rPr>
          <w:rFonts w:ascii="Times New Roman" w:hAnsi="Times New Roman" w:cs="Times New Roman"/>
          <w:noProof/>
          <w:sz w:val="24"/>
          <w:szCs w:val="24"/>
          <w:lang w:eastAsia="es-ES"/>
        </w:rPr>
        <w:lastRenderedPageBreak/>
        <w:drawing>
          <wp:inline distT="0" distB="0" distL="0" distR="0" wp14:anchorId="23421B4F" wp14:editId="3A1E5D12">
            <wp:extent cx="3333750" cy="247798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02_460.jpg"/>
                    <pic:cNvPicPr/>
                  </pic:nvPicPr>
                  <pic:blipFill>
                    <a:blip r:embed="rId8">
                      <a:extLst>
                        <a:ext uri="{28A0092B-C50C-407E-A947-70E740481C1C}">
                          <a14:useLocalDpi xmlns:a14="http://schemas.microsoft.com/office/drawing/2010/main" val="0"/>
                        </a:ext>
                      </a:extLst>
                    </a:blip>
                    <a:stretch>
                      <a:fillRect/>
                    </a:stretch>
                  </pic:blipFill>
                  <pic:spPr>
                    <a:xfrm>
                      <a:off x="0" y="0"/>
                      <a:ext cx="3335412" cy="2479223"/>
                    </a:xfrm>
                    <a:prstGeom prst="rect">
                      <a:avLst/>
                    </a:prstGeom>
                  </pic:spPr>
                </pic:pic>
              </a:graphicData>
            </a:graphic>
          </wp:inline>
        </w:drawing>
      </w:r>
    </w:p>
    <w:p w14:paraId="0B9936E4" w14:textId="77777777" w:rsidR="00047969" w:rsidRDefault="00047969" w:rsidP="00047969">
      <w:pPr>
        <w:spacing w:after="0" w:line="360" w:lineRule="auto"/>
        <w:jc w:val="center"/>
        <w:rPr>
          <w:rFonts w:ascii="Times New Roman" w:hAnsi="Times New Roman" w:cs="Times New Roman"/>
          <w:sz w:val="24"/>
          <w:szCs w:val="24"/>
        </w:rPr>
      </w:pPr>
      <w:r w:rsidRPr="00D901B0">
        <w:rPr>
          <w:rFonts w:ascii="Times New Roman" w:hAnsi="Times New Roman" w:cs="Times New Roman"/>
          <w:b/>
          <w:sz w:val="24"/>
          <w:szCs w:val="24"/>
        </w:rPr>
        <w:t>Fig.</w:t>
      </w:r>
      <w:r w:rsidRPr="00D901B0">
        <w:rPr>
          <w:rFonts w:ascii="Times New Roman" w:hAnsi="Times New Roman" w:cs="Times New Roman"/>
          <w:b/>
          <w:color w:val="FF0000"/>
          <w:sz w:val="24"/>
          <w:szCs w:val="24"/>
        </w:rPr>
        <w:t xml:space="preserve"> </w:t>
      </w:r>
      <w:r w:rsidRPr="00D901B0">
        <w:rPr>
          <w:rFonts w:ascii="Times New Roman" w:hAnsi="Times New Roman" w:cs="Times New Roman"/>
          <w:b/>
          <w:sz w:val="24"/>
          <w:szCs w:val="24"/>
        </w:rPr>
        <w:t xml:space="preserve">2 </w:t>
      </w:r>
      <w:r w:rsidRPr="00D901B0">
        <w:rPr>
          <w:rFonts w:ascii="Symbol" w:eastAsia="Symbol" w:hAnsi="Symbol" w:cs="Symbol"/>
          <w:sz w:val="24"/>
          <w:szCs w:val="24"/>
        </w:rPr>
        <w:t></w:t>
      </w:r>
      <w:r w:rsidRPr="00D901B0">
        <w:rPr>
          <w:rFonts w:ascii="Times New Roman" w:hAnsi="Times New Roman" w:cs="Times New Roman"/>
          <w:sz w:val="24"/>
          <w:szCs w:val="24"/>
        </w:rPr>
        <w:t xml:space="preserve"> El estudio de TDI (según siglas en inglés) nuestra isquemia tisular por doppler.</w:t>
      </w:r>
    </w:p>
    <w:p w14:paraId="0FDB7F14" w14:textId="77777777" w:rsidR="00047969" w:rsidRPr="00D901B0" w:rsidRDefault="00047969" w:rsidP="00047969">
      <w:pPr>
        <w:spacing w:after="0" w:line="360" w:lineRule="auto"/>
        <w:jc w:val="center"/>
        <w:rPr>
          <w:rFonts w:ascii="Times New Roman" w:hAnsi="Times New Roman" w:cs="Times New Roman"/>
          <w:sz w:val="24"/>
          <w:szCs w:val="24"/>
        </w:rPr>
      </w:pPr>
    </w:p>
    <w:p w14:paraId="72A6E938" w14:textId="77777777" w:rsidR="00047969" w:rsidRPr="00D901B0" w:rsidRDefault="00047969" w:rsidP="00047969">
      <w:pPr>
        <w:spacing w:after="0" w:line="360" w:lineRule="auto"/>
        <w:jc w:val="center"/>
        <w:rPr>
          <w:rFonts w:ascii="Times New Roman" w:hAnsi="Times New Roman" w:cs="Times New Roman"/>
          <w:sz w:val="24"/>
          <w:szCs w:val="24"/>
        </w:rPr>
      </w:pPr>
      <w:r>
        <w:rPr>
          <w:rFonts w:ascii="Times New Roman" w:hAnsi="Times New Roman" w:cs="Times New Roman"/>
          <w:b/>
          <w:noProof/>
          <w:sz w:val="24"/>
          <w:szCs w:val="24"/>
          <w:lang w:eastAsia="es-ES"/>
        </w:rPr>
        <w:drawing>
          <wp:inline distT="0" distB="0" distL="0" distR="0" wp14:anchorId="39E55E4C" wp14:editId="2F5F4C86">
            <wp:extent cx="3333750" cy="250216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03_460.jpg"/>
                    <pic:cNvPicPr/>
                  </pic:nvPicPr>
                  <pic:blipFill>
                    <a:blip r:embed="rId9">
                      <a:extLst>
                        <a:ext uri="{28A0092B-C50C-407E-A947-70E740481C1C}">
                          <a14:useLocalDpi xmlns:a14="http://schemas.microsoft.com/office/drawing/2010/main" val="0"/>
                        </a:ext>
                      </a:extLst>
                    </a:blip>
                    <a:stretch>
                      <a:fillRect/>
                    </a:stretch>
                  </pic:blipFill>
                  <pic:spPr>
                    <a:xfrm>
                      <a:off x="0" y="0"/>
                      <a:ext cx="3340667" cy="2507361"/>
                    </a:xfrm>
                    <a:prstGeom prst="rect">
                      <a:avLst/>
                    </a:prstGeom>
                  </pic:spPr>
                </pic:pic>
              </a:graphicData>
            </a:graphic>
          </wp:inline>
        </w:drawing>
      </w:r>
    </w:p>
    <w:p w14:paraId="084E0A13" w14:textId="77777777" w:rsidR="00047969" w:rsidRPr="00D901B0" w:rsidRDefault="00047969" w:rsidP="00047969">
      <w:pPr>
        <w:spacing w:after="0" w:line="360" w:lineRule="auto"/>
        <w:jc w:val="center"/>
        <w:rPr>
          <w:rFonts w:ascii="Times New Roman" w:hAnsi="Times New Roman" w:cs="Times New Roman"/>
          <w:sz w:val="24"/>
          <w:szCs w:val="24"/>
          <w:vertAlign w:val="superscript"/>
        </w:rPr>
      </w:pPr>
      <w:r w:rsidRPr="00D901B0">
        <w:rPr>
          <w:rFonts w:ascii="Times New Roman" w:hAnsi="Times New Roman" w:cs="Times New Roman"/>
          <w:b/>
          <w:sz w:val="24"/>
          <w:szCs w:val="24"/>
        </w:rPr>
        <w:t>Fig.</w:t>
      </w:r>
      <w:r w:rsidRPr="00D901B0">
        <w:rPr>
          <w:rFonts w:ascii="Times New Roman" w:hAnsi="Times New Roman" w:cs="Times New Roman"/>
          <w:b/>
          <w:color w:val="FF0000"/>
          <w:sz w:val="24"/>
          <w:szCs w:val="24"/>
        </w:rPr>
        <w:t xml:space="preserve"> </w:t>
      </w:r>
      <w:r w:rsidRPr="00D901B0">
        <w:rPr>
          <w:rFonts w:ascii="Times New Roman" w:hAnsi="Times New Roman" w:cs="Times New Roman"/>
          <w:b/>
          <w:sz w:val="24"/>
          <w:szCs w:val="24"/>
        </w:rPr>
        <w:t>3</w:t>
      </w:r>
      <w:r w:rsidRPr="00D901B0">
        <w:rPr>
          <w:rFonts w:ascii="Times New Roman" w:hAnsi="Times New Roman" w:cs="Times New Roman"/>
          <w:sz w:val="24"/>
          <w:szCs w:val="24"/>
        </w:rPr>
        <w:t xml:space="preserve"> </w:t>
      </w:r>
      <w:r w:rsidRPr="00D901B0">
        <w:rPr>
          <w:rFonts w:ascii="Symbol" w:eastAsia="Symbol" w:hAnsi="Symbol" w:cs="Symbol"/>
          <w:sz w:val="24"/>
          <w:szCs w:val="24"/>
        </w:rPr>
        <w:t></w:t>
      </w:r>
      <w:r w:rsidRPr="00D901B0">
        <w:rPr>
          <w:rFonts w:ascii="Times New Roman" w:hAnsi="Times New Roman" w:cs="Times New Roman"/>
          <w:sz w:val="24"/>
          <w:szCs w:val="24"/>
        </w:rPr>
        <w:t xml:space="preserve"> Por el método Área- Longitud (4 cámaras) la fracción de eyección del ventrículo izquierdo (FEVI) está afectada con un valor de 42,0 %.</w:t>
      </w:r>
    </w:p>
    <w:p w14:paraId="34E530C7" w14:textId="77777777" w:rsidR="00D26B6F" w:rsidRPr="00D901B0" w:rsidRDefault="00D26B6F" w:rsidP="00047969">
      <w:pPr>
        <w:spacing w:after="0" w:line="360" w:lineRule="auto"/>
        <w:jc w:val="both"/>
        <w:rPr>
          <w:rFonts w:ascii="Times New Roman" w:hAnsi="Times New Roman" w:cs="Times New Roman"/>
          <w:sz w:val="24"/>
          <w:szCs w:val="24"/>
        </w:rPr>
      </w:pPr>
    </w:p>
    <w:p w14:paraId="578D0CC5" w14:textId="77777777" w:rsidR="00D26B6F" w:rsidRPr="00D901B0" w:rsidRDefault="00D26B6F" w:rsidP="00D26B6F">
      <w:pPr>
        <w:spacing w:after="0" w:line="360" w:lineRule="auto"/>
        <w:jc w:val="center"/>
        <w:rPr>
          <w:rFonts w:ascii="Times New Roman" w:hAnsi="Times New Roman" w:cs="Times New Roman"/>
          <w:b/>
          <w:sz w:val="24"/>
          <w:szCs w:val="24"/>
        </w:rPr>
      </w:pPr>
    </w:p>
    <w:p w14:paraId="592FD089" w14:textId="77777777" w:rsidR="008B5A87" w:rsidRPr="008B5A87" w:rsidRDefault="008B5A87">
      <w:pPr>
        <w:spacing w:after="0" w:line="240" w:lineRule="auto"/>
        <w:rPr>
          <w:rFonts w:ascii="Times New Roman" w:hAnsi="Times New Roman" w:cs="Times New Roman"/>
          <w:b/>
          <w:sz w:val="32"/>
          <w:szCs w:val="32"/>
        </w:rPr>
      </w:pPr>
      <w:r w:rsidRPr="008B5A87">
        <w:rPr>
          <w:rFonts w:ascii="Times New Roman" w:hAnsi="Times New Roman" w:cs="Times New Roman"/>
          <w:b/>
          <w:sz w:val="32"/>
          <w:szCs w:val="32"/>
        </w:rPr>
        <w:br w:type="page"/>
      </w:r>
    </w:p>
    <w:p w14:paraId="1A5FF1FC" w14:textId="77777777" w:rsidR="00D26B6F" w:rsidRPr="00D901B0" w:rsidRDefault="00D26B6F" w:rsidP="00D26B6F">
      <w:pPr>
        <w:spacing w:after="0" w:line="360" w:lineRule="auto"/>
        <w:jc w:val="center"/>
        <w:rPr>
          <w:rFonts w:ascii="Times New Roman" w:hAnsi="Times New Roman" w:cs="Times New Roman"/>
          <w:color w:val="00B0F0"/>
          <w:sz w:val="32"/>
          <w:szCs w:val="32"/>
          <w:lang w:val="en-US"/>
        </w:rPr>
      </w:pPr>
      <w:r w:rsidRPr="00D901B0">
        <w:rPr>
          <w:rFonts w:ascii="Times New Roman" w:hAnsi="Times New Roman" w:cs="Times New Roman"/>
          <w:b/>
          <w:sz w:val="32"/>
          <w:szCs w:val="32"/>
          <w:lang w:val="en-US"/>
        </w:rPr>
        <w:lastRenderedPageBreak/>
        <w:t>REFERENCIAS BIBLIOGRÁFICAS</w:t>
      </w:r>
    </w:p>
    <w:p w14:paraId="6DD31EB2" w14:textId="77777777" w:rsidR="00D26B6F" w:rsidRPr="00D901B0" w:rsidRDefault="00D26B6F" w:rsidP="00D26B6F">
      <w:pPr>
        <w:pStyle w:val="HTMLconformatoprevio"/>
        <w:shd w:val="clear" w:color="auto" w:fill="FFFFFF"/>
        <w:spacing w:line="360" w:lineRule="auto"/>
        <w:jc w:val="both"/>
      </w:pPr>
      <w:r w:rsidRPr="00D901B0">
        <w:rPr>
          <w:rFonts w:ascii="Times New Roman" w:hAnsi="Times New Roman" w:cs="Times New Roman"/>
          <w:color w:val="222222"/>
          <w:sz w:val="24"/>
          <w:szCs w:val="24"/>
          <w:lang w:val="en-US"/>
        </w:rPr>
        <w:t>1.</w:t>
      </w:r>
      <w:r w:rsidRPr="00D901B0">
        <w:rPr>
          <w:rFonts w:ascii="Times New Roman" w:hAnsi="Times New Roman" w:cs="Times New Roman"/>
          <w:i/>
          <w:color w:val="222222"/>
          <w:sz w:val="24"/>
          <w:szCs w:val="24"/>
          <w:lang w:val="en-US"/>
        </w:rPr>
        <w:t xml:space="preserve"> </w:t>
      </w:r>
      <w:r w:rsidRPr="00D901B0">
        <w:rPr>
          <w:rFonts w:ascii="Times New Roman" w:hAnsi="Times New Roman" w:cs="Times New Roman"/>
          <w:color w:val="222222"/>
          <w:sz w:val="24"/>
          <w:szCs w:val="24"/>
          <w:lang w:val="en-US"/>
        </w:rPr>
        <w:t xml:space="preserve">Summachiwakij S, Sachmechi I. Rhabdomyolysis induced by nonstrenuous exercise in a patient with graves' disease. </w:t>
      </w:r>
      <w:r w:rsidRPr="00D901B0">
        <w:rPr>
          <w:rFonts w:ascii="Times New Roman" w:hAnsi="Times New Roman" w:cs="Times New Roman"/>
          <w:color w:val="222222"/>
          <w:sz w:val="24"/>
          <w:szCs w:val="24"/>
        </w:rPr>
        <w:t>Case Rep. Endocrinol. 201</w:t>
      </w:r>
      <w:r w:rsidR="00644AA7">
        <w:rPr>
          <w:rFonts w:ascii="Times New Roman" w:hAnsi="Times New Roman" w:cs="Times New Roman"/>
          <w:color w:val="222222"/>
          <w:sz w:val="24"/>
          <w:szCs w:val="24"/>
        </w:rPr>
        <w:t>4</w:t>
      </w:r>
      <w:r w:rsidRPr="00D901B0">
        <w:rPr>
          <w:rFonts w:ascii="Times New Roman" w:hAnsi="Times New Roman" w:cs="Times New Roman"/>
          <w:color w:val="222222"/>
          <w:sz w:val="24"/>
          <w:szCs w:val="24"/>
        </w:rPr>
        <w:t>[acceso: 04/04/2019]; 2014:286450</w:t>
      </w:r>
      <w:r w:rsidRPr="00D901B0">
        <w:rPr>
          <w:rFonts w:ascii="Times New Roman" w:hAnsi="Times New Roman" w:cs="Times New Roman"/>
          <w:sz w:val="24"/>
          <w:szCs w:val="24"/>
        </w:rPr>
        <w:t xml:space="preserve">. </w:t>
      </w:r>
      <w:r w:rsidRPr="00D901B0">
        <w:rPr>
          <w:rFonts w:ascii="Times New Roman" w:hAnsi="Times New Roman" w:cs="Times New Roman"/>
          <w:color w:val="000000"/>
          <w:sz w:val="24"/>
          <w:szCs w:val="24"/>
        </w:rPr>
        <w:t>Disponible en:</w:t>
      </w:r>
      <w:r w:rsidRPr="00D901B0">
        <w:rPr>
          <w:rFonts w:ascii="Times New Roman" w:hAnsi="Times New Roman" w:cs="Times New Roman"/>
          <w:b/>
          <w:color w:val="0000FF"/>
          <w:sz w:val="24"/>
          <w:szCs w:val="24"/>
        </w:rPr>
        <w:t xml:space="preserve"> </w:t>
      </w:r>
      <w:hyperlink r:id="rId10">
        <w:r w:rsidRPr="00D901B0">
          <w:rPr>
            <w:rStyle w:val="ListLabel28"/>
          </w:rPr>
          <w:t>https://www.hindawi.com/journals/crie/2014/286450/</w:t>
        </w:r>
      </w:hyperlink>
    </w:p>
    <w:p w14:paraId="574D7DCF" w14:textId="77777777" w:rsidR="00D26B6F" w:rsidRPr="00D901B0" w:rsidRDefault="00D26B6F" w:rsidP="00D26B6F">
      <w:pPr>
        <w:shd w:val="clear" w:color="auto" w:fill="FFFFFF"/>
        <w:spacing w:after="0" w:line="360" w:lineRule="auto"/>
      </w:pPr>
      <w:r w:rsidRPr="00D901B0">
        <w:rPr>
          <w:rFonts w:ascii="Times New Roman" w:eastAsia="Times New Roman" w:hAnsi="Times New Roman" w:cs="Times New Roman"/>
          <w:color w:val="222222"/>
          <w:sz w:val="24"/>
          <w:szCs w:val="24"/>
          <w:lang w:val="en-US" w:eastAsia="es-ES"/>
        </w:rPr>
        <w:t>2. Lee BJ, Zand L, Manek NJ, Hsiao LL, Babovic-Vuksanovic D, Wylam ME, et al. Physical therapy-induced rhabdomyolysis and acute kidney injury associated with reduced activity of muscle lactate dehydrogenase A. Arthritis Care Res (Hoboken). 2011 Dic. [acceso</w:t>
      </w:r>
      <w:r w:rsidRPr="00D901B0">
        <w:rPr>
          <w:rFonts w:ascii="Times New Roman" w:hAnsi="Times New Roman" w:cs="Times New Roman"/>
          <w:sz w:val="24"/>
          <w:szCs w:val="24"/>
          <w:lang w:val="en-US"/>
        </w:rPr>
        <w:t>:</w:t>
      </w:r>
      <w:r w:rsidRPr="00D901B0">
        <w:rPr>
          <w:rFonts w:ascii="Times New Roman" w:eastAsia="Times New Roman" w:hAnsi="Times New Roman" w:cs="Times New Roman"/>
          <w:color w:val="222222"/>
          <w:sz w:val="24"/>
          <w:szCs w:val="24"/>
          <w:lang w:val="en-US" w:eastAsia="es-ES"/>
        </w:rPr>
        <w:t xml:space="preserve"> 05/04/2019]; 63(12):1782-6. </w:t>
      </w:r>
      <w:r w:rsidRPr="00D901B0">
        <w:rPr>
          <w:rFonts w:ascii="Times New Roman" w:hAnsi="Times New Roman" w:cs="Times New Roman"/>
          <w:color w:val="000000"/>
          <w:sz w:val="24"/>
          <w:szCs w:val="24"/>
        </w:rPr>
        <w:t>Disponible en:</w:t>
      </w:r>
      <w:r w:rsidRPr="00D901B0">
        <w:rPr>
          <w:rFonts w:ascii="Times New Roman" w:hAnsi="Times New Roman" w:cs="Times New Roman"/>
          <w:sz w:val="24"/>
          <w:szCs w:val="24"/>
        </w:rPr>
        <w:t xml:space="preserve"> </w:t>
      </w:r>
      <w:hyperlink r:id="rId11">
        <w:r w:rsidRPr="00D901B0">
          <w:rPr>
            <w:rStyle w:val="ListLabel47"/>
          </w:rPr>
          <w:t>https://onlinelibrary.wiley. com/doi/full/10.1002/acr.20584</w:t>
        </w:r>
      </w:hyperlink>
    </w:p>
    <w:p w14:paraId="52E064CF" w14:textId="77777777" w:rsidR="00D26B6F" w:rsidRPr="005F4B6D" w:rsidRDefault="00D26B6F" w:rsidP="00D26B6F">
      <w:pPr>
        <w:shd w:val="clear" w:color="auto" w:fill="FFFFFF"/>
        <w:spacing w:after="0" w:line="360" w:lineRule="auto"/>
        <w:rPr>
          <w:rFonts w:ascii="Times New Roman" w:eastAsia="Times New Roman" w:hAnsi="Times New Roman" w:cs="Times New Roman"/>
          <w:color w:val="575757"/>
          <w:sz w:val="24"/>
          <w:szCs w:val="24"/>
          <w:lang w:val="en-US" w:eastAsia="es-ES"/>
        </w:rPr>
      </w:pPr>
      <w:r w:rsidRPr="00D901B0">
        <w:rPr>
          <w:rFonts w:ascii="Times New Roman" w:hAnsi="Times New Roman" w:cs="Times New Roman"/>
          <w:color w:val="000000"/>
          <w:sz w:val="24"/>
          <w:szCs w:val="24"/>
        </w:rPr>
        <w:t xml:space="preserve"> </w:t>
      </w:r>
      <w:r w:rsidRPr="00D901B0">
        <w:rPr>
          <w:rFonts w:ascii="Times New Roman" w:hAnsi="Times New Roman" w:cs="Times New Roman"/>
          <w:sz w:val="24"/>
          <w:szCs w:val="24"/>
          <w:lang w:eastAsia="es-ES"/>
        </w:rPr>
        <w:t xml:space="preserve">3. Luzardo L, Silvariño R, Boggia J, Noboa O, Gadola L. Rabdomiólisis por hipopotasemia severa. </w:t>
      </w:r>
      <w:r w:rsidRPr="00D901B0">
        <w:rPr>
          <w:rFonts w:ascii="Times New Roman" w:hAnsi="Times New Roman" w:cs="Times New Roman"/>
          <w:sz w:val="24"/>
          <w:szCs w:val="24"/>
          <w:lang w:val="en-US" w:eastAsia="es-ES"/>
        </w:rPr>
        <w:t xml:space="preserve">Rev Med Chile. 2014 May [acceso: 08/04/2019]; 142(5):651-5. </w:t>
      </w:r>
      <w:r w:rsidRPr="00D901B0">
        <w:rPr>
          <w:rFonts w:ascii="Times New Roman" w:hAnsi="Times New Roman" w:cs="Times New Roman"/>
          <w:sz w:val="24"/>
          <w:szCs w:val="24"/>
          <w:lang w:val="en-US"/>
        </w:rPr>
        <w:t>Disponible en:</w:t>
      </w:r>
      <w:r w:rsidR="00047969">
        <w:rPr>
          <w:rFonts w:ascii="Times New Roman" w:hAnsi="Times New Roman" w:cs="Times New Roman"/>
          <w:sz w:val="24"/>
          <w:szCs w:val="24"/>
          <w:lang w:val="en-US"/>
        </w:rPr>
        <w:t xml:space="preserve"> </w:t>
      </w:r>
      <w:hyperlink r:id="rId12">
        <w:r w:rsidRPr="00D901B0">
          <w:rPr>
            <w:rStyle w:val="ListLabel47"/>
            <w:lang w:val="en-US"/>
          </w:rPr>
          <w:t>https://scielo.conicyt.cl/scielo.php?script=sci_arttext&amp;pid=S0034-98872014000500015</w:t>
        </w:r>
      </w:hyperlink>
    </w:p>
    <w:p w14:paraId="058847A6" w14:textId="77777777" w:rsidR="00D26B6F" w:rsidRPr="00D901B0" w:rsidRDefault="00D26B6F" w:rsidP="00D26B6F">
      <w:pPr>
        <w:spacing w:after="0" w:line="360" w:lineRule="auto"/>
      </w:pPr>
      <w:r w:rsidRPr="00D901B0">
        <w:rPr>
          <w:rFonts w:ascii="Times New Roman" w:hAnsi="Times New Roman" w:cs="Times New Roman"/>
          <w:sz w:val="24"/>
          <w:szCs w:val="24"/>
          <w:lang w:val="en-US" w:eastAsia="es-ES"/>
        </w:rPr>
        <w:t xml:space="preserve">4. Oh RC, Arter JL, Tiglao SM, Larson SL. Exertional rhabdomyolysis: a case series of 30 hospitalized patients. </w:t>
      </w:r>
      <w:r w:rsidRPr="00D901B0">
        <w:rPr>
          <w:rFonts w:ascii="Times New Roman" w:hAnsi="Times New Roman" w:cs="Times New Roman"/>
          <w:sz w:val="24"/>
          <w:szCs w:val="24"/>
          <w:lang w:eastAsia="es-ES"/>
        </w:rPr>
        <w:t>Mil Med. Feb 2015 [a</w:t>
      </w:r>
      <w:r w:rsidRPr="00D901B0">
        <w:rPr>
          <w:rStyle w:val="ListLabel31"/>
          <w:rFonts w:eastAsiaTheme="minorHAnsi"/>
        </w:rPr>
        <w:t>cceso: 10/04/2019</w:t>
      </w:r>
      <w:r w:rsidRPr="00D901B0">
        <w:rPr>
          <w:rFonts w:ascii="Times New Roman" w:hAnsi="Times New Roman" w:cs="Times New Roman"/>
          <w:sz w:val="24"/>
          <w:szCs w:val="24"/>
          <w:lang w:eastAsia="es-ES"/>
        </w:rPr>
        <w:t xml:space="preserve">]; 180(2):201-7. </w:t>
      </w:r>
      <w:r w:rsidRPr="00D901B0">
        <w:rPr>
          <w:rFonts w:ascii="Times New Roman" w:hAnsi="Times New Roman" w:cs="Times New Roman"/>
          <w:color w:val="000000"/>
          <w:sz w:val="24"/>
          <w:szCs w:val="24"/>
        </w:rPr>
        <w:t>Disponible en</w:t>
      </w:r>
      <w:r w:rsidRPr="00D901B0">
        <w:rPr>
          <w:rFonts w:ascii="Times New Roman" w:eastAsia="DejaVu Sans" w:hAnsi="Times New Roman" w:cs="Times New Roman"/>
          <w:sz w:val="24"/>
          <w:szCs w:val="24"/>
          <w:lang w:bidi="en-US"/>
        </w:rPr>
        <w:t>:</w:t>
      </w:r>
      <w:r w:rsidRPr="00D901B0">
        <w:rPr>
          <w:rFonts w:ascii="Times New Roman" w:hAnsi="Times New Roman" w:cs="Times New Roman"/>
          <w:sz w:val="24"/>
          <w:szCs w:val="24"/>
        </w:rPr>
        <w:t xml:space="preserve"> </w:t>
      </w:r>
      <w:hyperlink r:id="rId13">
        <w:r w:rsidRPr="00D901B0">
          <w:rPr>
            <w:rStyle w:val="ListLabel47"/>
          </w:rPr>
          <w:t>https://academic.oup.com/milmed/article/180/2/201/4159997</w:t>
        </w:r>
      </w:hyperlink>
    </w:p>
    <w:p w14:paraId="583154BD" w14:textId="77777777" w:rsidR="00D26B6F" w:rsidRPr="00D901B0" w:rsidRDefault="00D26B6F" w:rsidP="00D26B6F">
      <w:pPr>
        <w:spacing w:after="0" w:line="360" w:lineRule="auto"/>
        <w:rPr>
          <w:rFonts w:ascii="Times New Roman" w:hAnsi="Times New Roman" w:cs="Times New Roman"/>
          <w:b/>
          <w:i/>
          <w:sz w:val="24"/>
          <w:szCs w:val="24"/>
        </w:rPr>
      </w:pPr>
      <w:r w:rsidRPr="00D901B0">
        <w:rPr>
          <w:rFonts w:ascii="Times New Roman" w:hAnsi="Times New Roman" w:cs="Times New Roman"/>
          <w:sz w:val="24"/>
          <w:szCs w:val="24"/>
        </w:rPr>
        <w:t xml:space="preserve">5. Cigales Reyes MJ. Dolor lumbar por estreptoquinasa recombinante. Presentación de un caso. </w:t>
      </w:r>
      <w:r w:rsidRPr="00D901B0">
        <w:rPr>
          <w:rFonts w:ascii="Times New Roman" w:hAnsi="Times New Roman" w:cs="Times New Roman"/>
          <w:sz w:val="24"/>
          <w:szCs w:val="24"/>
          <w:lang w:eastAsia="es-ES"/>
        </w:rPr>
        <w:t xml:space="preserve">Rev Cubana Farm. 2009 Mayo-Ago [acceso: 24/04/2019]; 43(2):1961. </w:t>
      </w:r>
    </w:p>
    <w:p w14:paraId="778CC1A8" w14:textId="77777777" w:rsidR="00D26B6F" w:rsidRPr="00D901B0" w:rsidRDefault="00D26B6F" w:rsidP="00D26B6F">
      <w:pPr>
        <w:spacing w:after="0" w:line="360" w:lineRule="auto"/>
      </w:pPr>
      <w:r w:rsidRPr="00D901B0">
        <w:rPr>
          <w:rFonts w:ascii="Times New Roman" w:hAnsi="Times New Roman" w:cs="Times New Roman"/>
          <w:sz w:val="24"/>
          <w:szCs w:val="24"/>
          <w:lang w:eastAsia="es-ES"/>
        </w:rPr>
        <w:t xml:space="preserve">Disponible en: </w:t>
      </w:r>
      <w:hyperlink r:id="rId14">
        <w:r w:rsidRPr="00D901B0">
          <w:rPr>
            <w:rStyle w:val="ListLabel47"/>
          </w:rPr>
          <w:t>http://scielo.sld.cu/scielo.php?script=sci_arttext&amp;pid=S00347515 2009 000200013</w:t>
        </w:r>
      </w:hyperlink>
    </w:p>
    <w:p w14:paraId="6DEE328E" w14:textId="77777777" w:rsidR="00D26B6F" w:rsidRPr="00D901B0" w:rsidRDefault="00D26B6F" w:rsidP="00D26B6F">
      <w:pPr>
        <w:spacing w:after="0" w:line="360" w:lineRule="auto"/>
      </w:pPr>
      <w:r w:rsidRPr="00D901B0">
        <w:rPr>
          <w:rFonts w:ascii="Times New Roman" w:hAnsi="Times New Roman" w:cs="Times New Roman"/>
          <w:sz w:val="24"/>
          <w:szCs w:val="24"/>
          <w:lang w:val="en-US"/>
        </w:rPr>
        <w:t xml:space="preserve">6. Fears R, Ferres H, Glasgow E, Standring R, Hogg K, Gemmill JD, et al. Monitoring of Streptokinase resistance titre in acute myocardial infarction patients up to 30 months after giving streptokinase or anistreplase and related studies to measure specific antistreptokinase Ig G. Br Heart J 1992[acceso: 06/05/2019]; 68(2): 167-70. </w:t>
      </w:r>
      <w:r w:rsidRPr="00D901B0">
        <w:rPr>
          <w:rFonts w:ascii="Times New Roman" w:hAnsi="Times New Roman" w:cs="Times New Roman"/>
          <w:color w:val="000000"/>
          <w:sz w:val="24"/>
          <w:szCs w:val="24"/>
        </w:rPr>
        <w:t>Disponible en:</w:t>
      </w:r>
      <w:r w:rsidRPr="00D901B0">
        <w:rPr>
          <w:rFonts w:ascii="Times New Roman" w:hAnsi="Times New Roman" w:cs="Times New Roman"/>
          <w:sz w:val="24"/>
          <w:szCs w:val="24"/>
        </w:rPr>
        <w:t xml:space="preserve"> </w:t>
      </w:r>
      <w:hyperlink r:id="rId15">
        <w:r w:rsidRPr="00D901B0">
          <w:rPr>
            <w:rStyle w:val="ListLabel47"/>
          </w:rPr>
          <w:t>https://www.ncbi.nlm.nih.gov/pmc/articles/PMC1025006/pdf/brheartj00032-0007.pdf</w:t>
        </w:r>
      </w:hyperlink>
    </w:p>
    <w:p w14:paraId="66165A69" w14:textId="77777777" w:rsidR="00D26B6F" w:rsidRPr="00D901B0" w:rsidRDefault="00D26B6F" w:rsidP="00D26B6F">
      <w:pPr>
        <w:spacing w:after="0" w:line="360" w:lineRule="auto"/>
        <w:rPr>
          <w:lang w:val="en-US"/>
        </w:rPr>
      </w:pPr>
      <w:r w:rsidRPr="00D901B0">
        <w:rPr>
          <w:rFonts w:ascii="Times New Roman" w:hAnsi="Times New Roman" w:cs="Times New Roman"/>
          <w:sz w:val="24"/>
          <w:szCs w:val="24"/>
          <w:lang w:val="en-US"/>
        </w:rPr>
        <w:t xml:space="preserve">7. Jalihal S, Morris GK. Antistreptokinase titres after intravenous streptokinase. Lancet 1990[acceso; 10/05/2019]; 8683(335): 184-5.  </w:t>
      </w:r>
      <w:r w:rsidRPr="00D901B0">
        <w:rPr>
          <w:rFonts w:ascii="Times New Roman" w:hAnsi="Times New Roman" w:cs="Times New Roman"/>
          <w:color w:val="000000"/>
          <w:sz w:val="24"/>
          <w:szCs w:val="24"/>
          <w:lang w:val="en-US"/>
        </w:rPr>
        <w:t xml:space="preserve">Disponible in: </w:t>
      </w:r>
      <w:hyperlink r:id="rId16">
        <w:r w:rsidRPr="00D901B0">
          <w:rPr>
            <w:rStyle w:val="ListLabel48"/>
          </w:rPr>
          <w:t>https://www.sciencedirect. com/science/article/pii/014067369090276B</w:t>
        </w:r>
      </w:hyperlink>
    </w:p>
    <w:p w14:paraId="02974C7C" w14:textId="77777777" w:rsidR="00D26B6F" w:rsidRPr="00D901B0" w:rsidRDefault="00D26B6F" w:rsidP="00D26B6F">
      <w:pPr>
        <w:spacing w:after="0" w:line="360" w:lineRule="auto"/>
        <w:rPr>
          <w:rFonts w:ascii="Times New Roman" w:hAnsi="Times New Roman" w:cs="Times New Roman"/>
          <w:color w:val="0000FF"/>
          <w:sz w:val="24"/>
          <w:szCs w:val="24"/>
          <w:lang w:val="en-US"/>
        </w:rPr>
      </w:pPr>
      <w:r w:rsidRPr="00D901B0">
        <w:rPr>
          <w:rFonts w:ascii="Times New Roman" w:hAnsi="Times New Roman" w:cs="Times New Roman"/>
          <w:sz w:val="24"/>
          <w:szCs w:val="24"/>
          <w:lang w:val="en-US"/>
        </w:rPr>
        <w:t xml:space="preserve">8. Garg S, Chandrashekhar YS, Nanda Kumar DM. Antistreptokinase Antibodies </w:t>
      </w:r>
    </w:p>
    <w:p w14:paraId="015DD877" w14:textId="77777777" w:rsidR="00D26B6F" w:rsidRPr="00D901B0" w:rsidRDefault="00D26B6F" w:rsidP="00D26B6F">
      <w:pPr>
        <w:spacing w:after="0" w:line="360" w:lineRule="auto"/>
        <w:rPr>
          <w:lang w:val="en-US"/>
        </w:rPr>
      </w:pPr>
      <w:r w:rsidRPr="00D901B0">
        <w:rPr>
          <w:rFonts w:ascii="Times New Roman" w:hAnsi="Times New Roman" w:cs="Times New Roman"/>
          <w:sz w:val="24"/>
          <w:szCs w:val="24"/>
          <w:lang w:val="en-US"/>
        </w:rPr>
        <w:lastRenderedPageBreak/>
        <w:t>Before and After Streptokinase Therapy in Patients with Acute Myocardial Infarction from Areas Endemic for Streptococcal Infection and Influence on Reperfusion Rates. Am J Cardiol 1994 [a</w:t>
      </w:r>
      <w:r w:rsidRPr="00D901B0">
        <w:rPr>
          <w:rFonts w:ascii="Times New Roman" w:hAnsi="Times New Roman" w:cs="Times New Roman"/>
          <w:spacing w:val="3"/>
          <w:sz w:val="24"/>
          <w:szCs w:val="24"/>
          <w:lang w:val="en-US" w:eastAsia="es-ES"/>
        </w:rPr>
        <w:t>cceso: 13/05/2019</w:t>
      </w:r>
      <w:r w:rsidRPr="00D901B0">
        <w:rPr>
          <w:rFonts w:ascii="Times New Roman" w:hAnsi="Times New Roman" w:cs="Times New Roman"/>
          <w:sz w:val="24"/>
          <w:szCs w:val="24"/>
          <w:lang w:val="en-US"/>
        </w:rPr>
        <w:t>]; 74(2): 187-9.</w:t>
      </w:r>
      <w:r w:rsidRPr="00D901B0">
        <w:rPr>
          <w:rFonts w:ascii="Times New Roman" w:hAnsi="Times New Roman" w:cs="Times New Roman"/>
          <w:color w:val="545454"/>
          <w:spacing w:val="3"/>
          <w:sz w:val="24"/>
          <w:szCs w:val="24"/>
          <w:lang w:val="en-US" w:eastAsia="es-ES"/>
        </w:rPr>
        <w:t xml:space="preserve"> </w:t>
      </w:r>
      <w:r w:rsidRPr="00D901B0">
        <w:rPr>
          <w:rFonts w:ascii="Times New Roman" w:hAnsi="Times New Roman" w:cs="Times New Roman"/>
          <w:color w:val="000000"/>
          <w:sz w:val="24"/>
          <w:szCs w:val="24"/>
          <w:lang w:val="en-US"/>
        </w:rPr>
        <w:t xml:space="preserve">Disponible en: </w:t>
      </w:r>
      <w:hyperlink r:id="rId17">
        <w:r w:rsidRPr="00D901B0">
          <w:rPr>
            <w:rStyle w:val="ListLabel48"/>
          </w:rPr>
          <w:t>https://www. ncbi. nlm.nih.gov/pmc/articles/PMC1025006/pdf/brheartj00032-0007.pdf</w:t>
        </w:r>
      </w:hyperlink>
    </w:p>
    <w:p w14:paraId="0845EF2E" w14:textId="77777777" w:rsidR="00D26B6F" w:rsidRPr="00D901B0" w:rsidRDefault="00D26B6F" w:rsidP="00D26B6F">
      <w:pPr>
        <w:spacing w:after="0" w:line="360" w:lineRule="auto"/>
      </w:pPr>
      <w:r w:rsidRPr="00D901B0">
        <w:rPr>
          <w:rFonts w:ascii="Times New Roman" w:hAnsi="Times New Roman" w:cs="Times New Roman"/>
          <w:sz w:val="24"/>
          <w:szCs w:val="24"/>
        </w:rPr>
        <w:t>9. Limón-Jiménez E, Pineda Flores SA, Rodríguez-Wong U. Aspectos farmacodinámicos y farmacocinéticos de la estreptoquinasa. Rev Hosp Jua Méx. 2014[acceso: 15/05/2019]; 81(3): 188-92. Disponible en</w:t>
      </w:r>
      <w:r w:rsidRPr="00D901B0">
        <w:rPr>
          <w:rFonts w:ascii="Times New Roman" w:hAnsi="Times New Roman" w:cs="Times New Roman"/>
          <w:color w:val="0070C0"/>
          <w:sz w:val="24"/>
          <w:szCs w:val="24"/>
        </w:rPr>
        <w:t>:</w:t>
      </w:r>
      <w:r w:rsidRPr="00D901B0">
        <w:rPr>
          <w:rFonts w:ascii="Times New Roman" w:hAnsi="Times New Roman" w:cs="Times New Roman"/>
          <w:sz w:val="24"/>
          <w:szCs w:val="24"/>
        </w:rPr>
        <w:t xml:space="preserve"> </w:t>
      </w:r>
      <w:hyperlink r:id="rId18">
        <w:r w:rsidRPr="00D901B0">
          <w:rPr>
            <w:rStyle w:val="ListLabel47"/>
          </w:rPr>
          <w:t>https://www.medigraphic. com/pdfs/juarez/ju-2014/ju143i.pdf</w:t>
        </w:r>
      </w:hyperlink>
    </w:p>
    <w:p w14:paraId="7DF566AF" w14:textId="77777777" w:rsidR="00D26B6F" w:rsidRPr="00D901B0" w:rsidRDefault="00D26B6F" w:rsidP="00D26B6F">
      <w:pPr>
        <w:spacing w:after="0" w:line="360" w:lineRule="auto"/>
      </w:pPr>
      <w:r w:rsidRPr="00207D14">
        <w:rPr>
          <w:rStyle w:val="InternetLink"/>
          <w:rFonts w:ascii="Times New Roman" w:eastAsia="Times New Roman" w:hAnsi="Times New Roman" w:cs="Times New Roman"/>
          <w:color w:val="00000A"/>
          <w:spacing w:val="3"/>
          <w:sz w:val="24"/>
          <w:szCs w:val="24"/>
          <w:u w:val="none"/>
          <w:lang w:eastAsia="es-ES"/>
        </w:rPr>
        <w:t xml:space="preserve">10. </w:t>
      </w:r>
      <w:r w:rsidRPr="00207D14">
        <w:rPr>
          <w:rFonts w:ascii="Times New Roman" w:hAnsi="Times New Roman" w:cs="Times New Roman"/>
          <w:sz w:val="24"/>
          <w:szCs w:val="24"/>
        </w:rPr>
        <w:t>Blas</w:t>
      </w:r>
      <w:r w:rsidRPr="00D901B0">
        <w:rPr>
          <w:rFonts w:ascii="Times New Roman" w:hAnsi="Times New Roman" w:cs="Times New Roman"/>
          <w:sz w:val="24"/>
          <w:szCs w:val="24"/>
        </w:rPr>
        <w:t xml:space="preserve"> Betancourt Y, Marrero Miragaya M, Jiménez López G, Valenzuela Silva C, García Iglesias E, Hernández Bernal F, et al. Programa farmacovigilancia para controlar las reacciones adversas de la estreptoquinasa recombinante en el infarto agudo de Miocardio. </w:t>
      </w:r>
      <w:r w:rsidRPr="00D901B0">
        <w:rPr>
          <w:rFonts w:ascii="Times New Roman" w:hAnsi="Times New Roman" w:cs="Times New Roman"/>
          <w:bCs/>
          <w:sz w:val="24"/>
          <w:szCs w:val="24"/>
        </w:rPr>
        <w:t>BMC Clinical Pharmacology, 2005[a</w:t>
      </w:r>
      <w:r w:rsidRPr="00D901B0">
        <w:rPr>
          <w:rFonts w:ascii="Times New Roman" w:hAnsi="Times New Roman" w:cs="Times New Roman"/>
          <w:sz w:val="24"/>
          <w:szCs w:val="24"/>
        </w:rPr>
        <w:t>cceso: 31/05/2019</w:t>
      </w:r>
      <w:r w:rsidRPr="00D901B0">
        <w:rPr>
          <w:rFonts w:ascii="Times New Roman" w:hAnsi="Times New Roman" w:cs="Times New Roman"/>
          <w:bCs/>
          <w:sz w:val="24"/>
          <w:szCs w:val="24"/>
        </w:rPr>
        <w:t>]; 5: 5-5</w:t>
      </w:r>
      <w:r w:rsidRPr="00D901B0">
        <w:rPr>
          <w:rFonts w:ascii="Times New Roman" w:hAnsi="Times New Roman" w:cs="Times New Roman"/>
          <w:sz w:val="24"/>
          <w:szCs w:val="24"/>
        </w:rPr>
        <w:t xml:space="preserve">.  Disponible en: </w:t>
      </w:r>
      <w:hyperlink r:id="rId19">
        <w:r w:rsidRPr="00D901B0">
          <w:rPr>
            <w:rStyle w:val="ListLabel28"/>
            <w:color w:val="00000A"/>
          </w:rPr>
          <w:t>http://viaclinica.com/article.php?pmc_id=1291362</w:t>
        </w:r>
      </w:hyperlink>
    </w:p>
    <w:p w14:paraId="4A713061" w14:textId="79D76EBC" w:rsidR="00D26B6F" w:rsidRPr="00D901B0" w:rsidRDefault="00D26B6F" w:rsidP="00D26B6F">
      <w:pPr>
        <w:spacing w:after="0" w:line="360" w:lineRule="auto"/>
      </w:pPr>
      <w:r w:rsidRPr="00D901B0">
        <w:rPr>
          <w:rFonts w:ascii="Times New Roman" w:hAnsi="Times New Roman" w:cs="Times New Roman"/>
          <w:sz w:val="24"/>
          <w:szCs w:val="24"/>
          <w:lang w:eastAsia="es-ES"/>
        </w:rPr>
        <w:t>11. León Jiménez J, Camacho Freire S, Gutiérrez Barrio A, Gamaza Chulián S, Sánchez MA, Agarrado Luna A, et al. Infarto agudo de miocardio sin lesiones angiográficas: lo que la coronariografía no revela.</w:t>
      </w:r>
      <w:r w:rsidRPr="00D901B0">
        <w:rPr>
          <w:rFonts w:ascii="Times New Roman" w:hAnsi="Times New Roman" w:cs="Times New Roman"/>
          <w:sz w:val="24"/>
          <w:szCs w:val="24"/>
        </w:rPr>
        <w:t xml:space="preserve"> </w:t>
      </w:r>
      <w:hyperlink r:id="rId20">
        <w:r w:rsidRPr="00D901B0">
          <w:rPr>
            <w:rStyle w:val="ListLabel34"/>
            <w:rFonts w:eastAsiaTheme="minorHAnsi"/>
            <w:color w:val="00000A"/>
          </w:rPr>
          <w:t>Archivos de Cardiología de México</w:t>
        </w:r>
      </w:hyperlink>
      <w:r w:rsidRPr="00D901B0">
        <w:rPr>
          <w:rFonts w:ascii="Times New Roman" w:hAnsi="Times New Roman" w:cs="Times New Roman"/>
          <w:sz w:val="24"/>
          <w:szCs w:val="24"/>
          <w:lang w:eastAsia="es-ES"/>
        </w:rPr>
        <w:t>. 2015</w:t>
      </w:r>
      <w:r w:rsidRPr="00D901B0">
        <w:rPr>
          <w:rFonts w:ascii="Times New Roman" w:hAnsi="Times New Roman" w:cs="Times New Roman"/>
          <w:sz w:val="24"/>
          <w:szCs w:val="24"/>
        </w:rPr>
        <w:t xml:space="preserve"> [a</w:t>
      </w:r>
      <w:r w:rsidRPr="00D901B0">
        <w:rPr>
          <w:rFonts w:ascii="Times New Roman" w:hAnsi="Times New Roman" w:cs="Times New Roman"/>
          <w:iCs/>
          <w:sz w:val="24"/>
          <w:szCs w:val="24"/>
          <w:lang w:eastAsia="es-ES"/>
        </w:rPr>
        <w:t>cceso: 01/06/2019</w:t>
      </w:r>
      <w:r w:rsidRPr="00D901B0">
        <w:rPr>
          <w:rFonts w:ascii="Times New Roman" w:hAnsi="Times New Roman" w:cs="Times New Roman"/>
          <w:sz w:val="24"/>
          <w:szCs w:val="24"/>
        </w:rPr>
        <w:t>]</w:t>
      </w:r>
      <w:hyperlink r:id="rId21">
        <w:r w:rsidRPr="00D901B0">
          <w:rPr>
            <w:rStyle w:val="ListLabel35"/>
            <w:rFonts w:eastAsiaTheme="minorHAnsi"/>
          </w:rPr>
          <w:t>; 85(2):</w:t>
        </w:r>
      </w:hyperlink>
      <w:r w:rsidRPr="00D901B0">
        <w:rPr>
          <w:rFonts w:ascii="Times New Roman" w:hAnsi="Times New Roman" w:cs="Times New Roman"/>
          <w:sz w:val="24"/>
          <w:szCs w:val="24"/>
          <w:lang w:eastAsia="es-ES"/>
        </w:rPr>
        <w:t>93-170. </w:t>
      </w:r>
      <w:r w:rsidRPr="00D901B0">
        <w:rPr>
          <w:rFonts w:ascii="Times New Roman" w:hAnsi="Times New Roman" w:cs="Times New Roman"/>
          <w:iCs/>
          <w:sz w:val="24"/>
          <w:szCs w:val="24"/>
          <w:lang w:eastAsia="es-ES"/>
        </w:rPr>
        <w:t>Disponible en:</w:t>
      </w:r>
      <w:r w:rsidRPr="00D901B0">
        <w:rPr>
          <w:rFonts w:ascii="Times New Roman" w:hAnsi="Times New Roman" w:cs="Times New Roman"/>
          <w:sz w:val="24"/>
          <w:szCs w:val="24"/>
        </w:rPr>
        <w:t xml:space="preserve"> </w:t>
      </w:r>
      <w:hyperlink r:id="rId22">
        <w:r w:rsidRPr="00D901B0">
          <w:rPr>
            <w:rStyle w:val="ListLabel52"/>
          </w:rPr>
          <w:t>https://www.elsevier.es/es-revista-archivos-cardiologia-mexico-293-pdf-S1405994014001335</w:t>
        </w:r>
      </w:hyperlink>
      <w:r w:rsidR="00207D14">
        <w:rPr>
          <w:rStyle w:val="ListLabel52"/>
        </w:rPr>
        <w:t xml:space="preserve"> </w:t>
      </w:r>
    </w:p>
    <w:p w14:paraId="7359DF5D" w14:textId="77777777" w:rsidR="00D26B6F" w:rsidRPr="00D901B0" w:rsidRDefault="00D26B6F" w:rsidP="00D26B6F">
      <w:pPr>
        <w:spacing w:after="0" w:line="360" w:lineRule="auto"/>
      </w:pPr>
      <w:r w:rsidRPr="00D901B0">
        <w:rPr>
          <w:rFonts w:ascii="Times New Roman" w:hAnsi="Times New Roman" w:cs="Times New Roman"/>
          <w:sz w:val="24"/>
          <w:szCs w:val="24"/>
          <w:lang w:eastAsia="es-ES"/>
        </w:rPr>
        <w:t>12</w:t>
      </w:r>
      <w:r w:rsidRPr="00D901B0">
        <w:rPr>
          <w:rFonts w:ascii="Times New Roman" w:hAnsi="Times New Roman" w:cs="Times New Roman"/>
          <w:i/>
          <w:sz w:val="24"/>
          <w:szCs w:val="24"/>
          <w:lang w:eastAsia="es-ES"/>
        </w:rPr>
        <w:t>.</w:t>
      </w:r>
      <w:r w:rsidRPr="00D901B0">
        <w:rPr>
          <w:rFonts w:ascii="Times New Roman" w:hAnsi="Times New Roman" w:cs="Times New Roman"/>
          <w:sz w:val="24"/>
          <w:szCs w:val="24"/>
          <w:lang w:eastAsia="es-ES"/>
        </w:rPr>
        <w:t xml:space="preserve"> </w:t>
      </w:r>
      <w:r w:rsidRPr="00D901B0">
        <w:rPr>
          <w:rFonts w:ascii="Times New Roman" w:hAnsi="Times New Roman" w:cs="Times New Roman"/>
          <w:iCs/>
          <w:sz w:val="24"/>
          <w:szCs w:val="24"/>
          <w:lang w:eastAsia="es-ES"/>
        </w:rPr>
        <w:t>Berry C</w:t>
      </w:r>
      <w:r w:rsidRPr="00D901B0">
        <w:rPr>
          <w:rFonts w:ascii="Times New Roman" w:hAnsi="Times New Roman" w:cs="Times New Roman"/>
          <w:i/>
          <w:iCs/>
          <w:color w:val="333333"/>
          <w:sz w:val="24"/>
          <w:szCs w:val="24"/>
          <w:lang w:eastAsia="es-ES"/>
        </w:rPr>
        <w:t>.</w:t>
      </w:r>
      <w:r w:rsidRPr="00D901B0">
        <w:rPr>
          <w:rFonts w:ascii="Times New Roman" w:hAnsi="Times New Roman" w:cs="Times New Roman"/>
          <w:sz w:val="24"/>
          <w:szCs w:val="24"/>
          <w:lang w:eastAsia="es-ES"/>
        </w:rPr>
        <w:t xml:space="preserve"> El enigma de la angina sin obstrucciones coronarias.</w:t>
      </w:r>
      <w:r w:rsidRPr="00D901B0">
        <w:rPr>
          <w:rFonts w:ascii="Times New Roman" w:hAnsi="Times New Roman" w:cs="Times New Roman"/>
          <w:color w:val="0066CC"/>
          <w:sz w:val="24"/>
          <w:szCs w:val="24"/>
          <w:lang w:eastAsia="es-ES"/>
        </w:rPr>
        <w:t xml:space="preserve"> </w:t>
      </w:r>
      <w:r w:rsidRPr="00D901B0">
        <w:rPr>
          <w:rFonts w:ascii="Times New Roman" w:hAnsi="Times New Roman" w:cs="Times New Roman"/>
          <w:bCs/>
          <w:kern w:val="2"/>
          <w:sz w:val="24"/>
          <w:szCs w:val="24"/>
          <w:lang w:val="en-US" w:eastAsia="es-ES"/>
        </w:rPr>
        <w:t>Síndromes coronarios estables: ¿Qué son INOCA y MINOCA?.</w:t>
      </w:r>
      <w:r w:rsidRPr="00D901B0">
        <w:rPr>
          <w:rFonts w:ascii="Times New Roman" w:hAnsi="Times New Roman" w:cs="Times New Roman"/>
          <w:iCs/>
          <w:sz w:val="24"/>
          <w:szCs w:val="24"/>
          <w:lang w:val="en-US" w:eastAsia="es-ES"/>
        </w:rPr>
        <w:t> </w:t>
      </w:r>
      <w:hyperlink r:id="rId23" w:tgtFrame="_blank">
        <w:r w:rsidRPr="00D901B0">
          <w:rPr>
            <w:rStyle w:val="ListLabel36"/>
            <w:rFonts w:eastAsiaTheme="minorHAnsi"/>
          </w:rPr>
          <w:t>Stable Coronary Syndromes: The Case for Consolidating the Nomenclature of Stable Ischemic Heart Disease</w:t>
        </w:r>
      </w:hyperlink>
      <w:r w:rsidRPr="00D901B0">
        <w:rPr>
          <w:rFonts w:ascii="Times New Roman" w:hAnsi="Times New Roman" w:cs="Times New Roman"/>
          <w:iCs/>
          <w:sz w:val="24"/>
          <w:szCs w:val="24"/>
          <w:lang w:val="en-US" w:eastAsia="es-ES"/>
        </w:rPr>
        <w:t xml:space="preserve">. </w:t>
      </w:r>
      <w:r w:rsidRPr="00D901B0">
        <w:rPr>
          <w:rFonts w:ascii="Times New Roman" w:hAnsi="Times New Roman" w:cs="Times New Roman"/>
          <w:iCs/>
          <w:sz w:val="24"/>
          <w:szCs w:val="24"/>
          <w:lang w:eastAsia="es-ES"/>
        </w:rPr>
        <w:t xml:space="preserve">Circulation. 2017[Acceso: 01/06/2019]; 136:437-39. </w:t>
      </w:r>
      <w:r w:rsidRPr="00D901B0">
        <w:rPr>
          <w:rFonts w:ascii="Times New Roman" w:hAnsi="Times New Roman" w:cs="Times New Roman"/>
          <w:sz w:val="24"/>
          <w:szCs w:val="24"/>
          <w:lang w:eastAsia="es-ES"/>
        </w:rPr>
        <w:t>Disponible en:</w:t>
      </w:r>
      <w:r w:rsidRPr="00D901B0">
        <w:rPr>
          <w:rFonts w:ascii="Times New Roman" w:hAnsi="Times New Roman" w:cs="Times New Roman"/>
          <w:i/>
          <w:iCs/>
          <w:color w:val="0070C0"/>
          <w:sz w:val="24"/>
          <w:szCs w:val="24"/>
          <w:lang w:eastAsia="es-ES"/>
        </w:rPr>
        <w:t xml:space="preserve"> </w:t>
      </w:r>
      <w:hyperlink r:id="rId24">
        <w:bookmarkStart w:id="0" w:name="__DdeLink__1120_1117625256"/>
        <w:r w:rsidRPr="00D901B0">
          <w:rPr>
            <w:rStyle w:val="ListLabel28"/>
          </w:rPr>
          <w:t>https://www.intramed.net/ contenidover.asp?contenidoid=92899</w:t>
        </w:r>
      </w:hyperlink>
      <w:bookmarkEnd w:id="0"/>
    </w:p>
    <w:p w14:paraId="59DAE2BA" w14:textId="77777777" w:rsidR="00D26B6F" w:rsidRPr="00D901B0" w:rsidRDefault="00D26B6F" w:rsidP="00D26B6F">
      <w:pPr>
        <w:spacing w:after="0" w:line="360" w:lineRule="auto"/>
      </w:pPr>
      <w:r w:rsidRPr="00D901B0">
        <w:rPr>
          <w:rFonts w:ascii="Times New Roman" w:hAnsi="Times New Roman" w:cs="Times New Roman"/>
          <w:sz w:val="24"/>
          <w:szCs w:val="24"/>
        </w:rPr>
        <w:t xml:space="preserve">13. Zuluaga Quintero C, Cano Granda C. Infarto agudo de miocardio sin enfermedad coronaria ateroesclerótica obstructiva. Iatreia. 2018 Oct-Dic </w:t>
      </w:r>
      <w:r w:rsidRPr="00D901B0">
        <w:rPr>
          <w:rFonts w:ascii="Times New Roman" w:hAnsi="Times New Roman" w:cs="Times New Roman"/>
          <w:sz w:val="24"/>
          <w:szCs w:val="24"/>
          <w:lang w:eastAsia="es-ES"/>
        </w:rPr>
        <w:t>[acceso</w:t>
      </w:r>
      <w:r w:rsidRPr="00D901B0">
        <w:rPr>
          <w:rFonts w:ascii="Times New Roman" w:hAnsi="Times New Roman" w:cs="Times New Roman"/>
          <w:sz w:val="24"/>
          <w:szCs w:val="24"/>
        </w:rPr>
        <w:t>:</w:t>
      </w:r>
      <w:r w:rsidRPr="00D901B0">
        <w:rPr>
          <w:rFonts w:ascii="Times New Roman" w:hAnsi="Times New Roman" w:cs="Times New Roman"/>
          <w:sz w:val="24"/>
          <w:szCs w:val="24"/>
          <w:lang w:eastAsia="es-ES"/>
        </w:rPr>
        <w:t xml:space="preserve"> 05/04/2019];</w:t>
      </w:r>
      <w:r w:rsidRPr="00D901B0">
        <w:rPr>
          <w:rFonts w:ascii="Times New Roman" w:hAnsi="Times New Roman" w:cs="Times New Roman"/>
          <w:sz w:val="24"/>
          <w:szCs w:val="24"/>
        </w:rPr>
        <w:t xml:space="preserve"> 31(4): 371-9. Disponible en: </w:t>
      </w:r>
      <w:hyperlink r:id="rId25">
        <w:r w:rsidRPr="00D901B0">
          <w:rPr>
            <w:rStyle w:val="EnlacedeInternet"/>
            <w:rFonts w:ascii="Times New Roman" w:hAnsi="Times New Roman" w:cs="Times New Roman"/>
            <w:sz w:val="24"/>
            <w:szCs w:val="24"/>
          </w:rPr>
          <w:t>http://www.scielo.org.co/pdf/iat/v31n4/0121-0793-iat-31-04-00371.pdf</w:t>
        </w:r>
      </w:hyperlink>
    </w:p>
    <w:p w14:paraId="3D38E1CC" w14:textId="77777777" w:rsidR="00D26B6F" w:rsidRPr="00D901B0" w:rsidRDefault="00D26B6F" w:rsidP="00D26B6F">
      <w:pPr>
        <w:rPr>
          <w:lang w:eastAsia="es-ES"/>
        </w:rPr>
      </w:pPr>
    </w:p>
    <w:p w14:paraId="4A3B1BFC" w14:textId="77777777" w:rsidR="00D26B6F" w:rsidRPr="00D901B0" w:rsidRDefault="00D26B6F" w:rsidP="00D26B6F">
      <w:pPr>
        <w:rPr>
          <w:rFonts w:ascii="Times New Roman" w:hAnsi="Times New Roman" w:cs="Times New Roman"/>
          <w:sz w:val="24"/>
          <w:szCs w:val="24"/>
          <w:lang w:eastAsia="es-ES"/>
        </w:rPr>
      </w:pPr>
    </w:p>
    <w:p w14:paraId="58AD7A52" w14:textId="77777777" w:rsidR="00D26B6F" w:rsidRPr="00D901B0" w:rsidRDefault="00D26B6F" w:rsidP="00D26B6F">
      <w:pPr>
        <w:jc w:val="center"/>
        <w:rPr>
          <w:rFonts w:ascii="Times New Roman" w:hAnsi="Times New Roman" w:cs="Times New Roman"/>
          <w:b/>
          <w:sz w:val="24"/>
          <w:szCs w:val="24"/>
          <w:lang w:eastAsia="es-ES"/>
        </w:rPr>
      </w:pPr>
      <w:r>
        <w:rPr>
          <w:rFonts w:ascii="Times New Roman" w:hAnsi="Times New Roman" w:cs="Times New Roman"/>
          <w:b/>
          <w:sz w:val="24"/>
          <w:szCs w:val="24"/>
          <w:lang w:eastAsia="es-ES"/>
        </w:rPr>
        <w:t>Conflictos de interés</w:t>
      </w:r>
    </w:p>
    <w:p w14:paraId="123A8B96" w14:textId="10AEF4B7" w:rsidR="00675476" w:rsidRPr="008B5A87" w:rsidRDefault="00D26B6F" w:rsidP="00391509">
      <w:pPr>
        <w:rPr>
          <w:rFonts w:ascii="Times New Roman" w:hAnsi="Times New Roman" w:cs="Times New Roman"/>
          <w:sz w:val="24"/>
          <w:szCs w:val="24"/>
          <w:lang w:eastAsia="es-ES"/>
        </w:rPr>
      </w:pPr>
      <w:r w:rsidRPr="00D901B0">
        <w:rPr>
          <w:rFonts w:ascii="Times New Roman" w:hAnsi="Times New Roman" w:cs="Times New Roman"/>
          <w:sz w:val="24"/>
          <w:szCs w:val="24"/>
          <w:lang w:eastAsia="es-ES"/>
        </w:rPr>
        <w:t xml:space="preserve">El autor </w:t>
      </w:r>
      <w:r w:rsidR="00624531">
        <w:rPr>
          <w:rFonts w:ascii="Times New Roman" w:hAnsi="Times New Roman" w:cs="Times New Roman"/>
          <w:sz w:val="24"/>
          <w:szCs w:val="24"/>
          <w:lang w:eastAsia="es-ES"/>
        </w:rPr>
        <w:t>declara</w:t>
      </w:r>
      <w:r w:rsidRPr="00D901B0">
        <w:rPr>
          <w:rFonts w:ascii="Times New Roman" w:hAnsi="Times New Roman" w:cs="Times New Roman"/>
          <w:sz w:val="24"/>
          <w:szCs w:val="24"/>
          <w:lang w:eastAsia="es-ES"/>
        </w:rPr>
        <w:t xml:space="preserve"> que no</w:t>
      </w:r>
      <w:r>
        <w:rPr>
          <w:rFonts w:ascii="Times New Roman" w:hAnsi="Times New Roman" w:cs="Times New Roman"/>
          <w:sz w:val="24"/>
          <w:szCs w:val="24"/>
          <w:lang w:eastAsia="es-ES"/>
        </w:rPr>
        <w:t xml:space="preserve"> existen conflictos de interés</w:t>
      </w:r>
      <w:r w:rsidRPr="00D901B0">
        <w:rPr>
          <w:rFonts w:ascii="Times New Roman" w:hAnsi="Times New Roman" w:cs="Times New Roman"/>
          <w:sz w:val="24"/>
          <w:szCs w:val="24"/>
          <w:lang w:eastAsia="es-ES"/>
        </w:rPr>
        <w:t>.</w:t>
      </w:r>
    </w:p>
    <w:sectPr w:rsidR="00675476" w:rsidRPr="008B5A87" w:rsidSect="000F3690">
      <w:headerReference w:type="default" r:id="rId26"/>
      <w:footerReference w:type="even" r:id="rId27"/>
      <w:footerReference w:type="default" r:id="rId28"/>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55115" w14:textId="77777777" w:rsidR="001721DA" w:rsidRDefault="001721DA">
      <w:r>
        <w:separator/>
      </w:r>
    </w:p>
  </w:endnote>
  <w:endnote w:type="continuationSeparator" w:id="0">
    <w:p w14:paraId="24809A48" w14:textId="77777777" w:rsidR="001721DA" w:rsidRDefault="0017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152D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854501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3EA47"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0804B0A6" wp14:editId="36F981C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C315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14:paraId="7A6F9B81" w14:textId="77777777" w:rsidR="00675476" w:rsidRPr="00231707" w:rsidRDefault="001721DA" w:rsidP="00231707">
    <w:pPr>
      <w:pStyle w:val="Piedepgina"/>
      <w:spacing w:after="0"/>
      <w:ind w:right="357"/>
      <w:rPr>
        <w:rFonts w:ascii="Times New Roman" w:hAnsi="Times New Roman" w:cs="Times New Roman"/>
      </w:rPr>
    </w:pPr>
    <w:hyperlink r:id="rId1" w:history="1">
      <w:r w:rsidR="00391509" w:rsidRPr="00231707">
        <w:rPr>
          <w:rStyle w:val="Hipervnculo"/>
          <w:rFonts w:ascii="Times New Roman" w:hAnsi="Times New Roman" w:cs="Times New Roman"/>
        </w:rPr>
        <w:t>http://scielo.sld.cu</w:t>
      </w:r>
    </w:hyperlink>
  </w:p>
  <w:p w14:paraId="26AD8B7E" w14:textId="77777777" w:rsidR="00391509" w:rsidRPr="00231707" w:rsidRDefault="001721DA" w:rsidP="00231707">
    <w:pPr>
      <w:pStyle w:val="Piedepgina"/>
      <w:tabs>
        <w:tab w:val="clear" w:pos="4252"/>
        <w:tab w:val="left" w:pos="8504"/>
      </w:tabs>
      <w:spacing w:after="0"/>
      <w:ind w:right="357"/>
      <w:rPr>
        <w:rFonts w:ascii="Times New Roman" w:hAnsi="Times New Roman" w:cs="Times New Roman"/>
      </w:rPr>
    </w:pPr>
    <w:hyperlink r:id="rId2" w:history="1">
      <w:r w:rsidR="00391509" w:rsidRPr="00231707">
        <w:rPr>
          <w:rStyle w:val="Hipervnculo"/>
          <w:rFonts w:ascii="Times New Roman" w:hAnsi="Times New Roman" w:cs="Times New Roman"/>
        </w:rPr>
        <w:t>http://www.revmedmilitar.sld.cu</w:t>
      </w:r>
    </w:hyperlink>
    <w:r w:rsidR="00391509" w:rsidRPr="00231707">
      <w:rPr>
        <w:rFonts w:ascii="Times New Roman" w:hAnsi="Times New Roman" w:cs="Times New Roman"/>
      </w:rPr>
      <w:t xml:space="preserve"> </w:t>
    </w:r>
    <w:r w:rsidR="00AE044C" w:rsidRPr="00231707">
      <w:rPr>
        <w:rFonts w:ascii="Times New Roman" w:hAnsi="Times New Roman" w:cs="Times New Roman"/>
      </w:rPr>
      <w:tab/>
    </w:r>
  </w:p>
  <w:p w14:paraId="6ACD1C57" w14:textId="77777777" w:rsidR="00180CE9" w:rsidRPr="00231707" w:rsidRDefault="00180CE9" w:rsidP="00231707">
    <w:pPr>
      <w:pStyle w:val="Piedepgina"/>
      <w:spacing w:after="0"/>
      <w:ind w:right="357"/>
      <w:jc w:val="center"/>
      <w:rPr>
        <w:rFonts w:ascii="Times New Roman" w:hAnsi="Times New Roman" w:cs="Times New Roman"/>
        <w:sz w:val="18"/>
        <w:szCs w:val="18"/>
      </w:rPr>
    </w:pPr>
    <w:r w:rsidRPr="00231707">
      <w:rPr>
        <w:rFonts w:ascii="Times New Roman" w:hAnsi="Times New Roman" w:cs="Times New Roman"/>
      </w:rPr>
      <w:t>Bajo licencia Creative Commons</w:t>
    </w:r>
    <w:r w:rsidRPr="00231707">
      <w:rPr>
        <w:rFonts w:ascii="Times New Roman" w:hAnsi="Times New Roman" w:cs="Times New Roman"/>
        <w:sz w:val="18"/>
        <w:szCs w:val="18"/>
      </w:rPr>
      <w:t xml:space="preserve"> </w:t>
    </w:r>
    <w:r w:rsidRPr="00231707">
      <w:rPr>
        <w:rFonts w:ascii="Times New Roman" w:hAnsi="Times New Roman" w:cs="Times New Roman"/>
        <w:noProof/>
        <w:sz w:val="18"/>
        <w:szCs w:val="18"/>
        <w:lang w:eastAsia="es-ES"/>
      </w:rPr>
      <w:drawing>
        <wp:inline distT="0" distB="0" distL="0" distR="0" wp14:anchorId="1CF3C4D3" wp14:editId="4ED281DB">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634FE" w14:textId="77777777" w:rsidR="001721DA" w:rsidRDefault="001721DA">
      <w:r>
        <w:separator/>
      </w:r>
    </w:p>
  </w:footnote>
  <w:footnote w:type="continuationSeparator" w:id="0">
    <w:p w14:paraId="5833D198" w14:textId="77777777" w:rsidR="001721DA" w:rsidRDefault="00172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990E6" w14:textId="77777777" w:rsidR="00CC376A" w:rsidRPr="00231707" w:rsidRDefault="00B31971" w:rsidP="00180CE9">
    <w:pPr>
      <w:pStyle w:val="Encabezado"/>
      <w:tabs>
        <w:tab w:val="left" w:pos="420"/>
      </w:tabs>
      <w:jc w:val="center"/>
      <w:rPr>
        <w:rFonts w:ascii="Times New Roman" w:hAnsi="Times New Roman" w:cs="Times New Roman"/>
      </w:rPr>
    </w:pPr>
    <w:r w:rsidRPr="00231707">
      <w:rPr>
        <w:rFonts w:ascii="Times New Roman" w:hAnsi="Times New Roman" w:cs="Times New Roman"/>
        <w:b/>
        <w:noProof/>
        <w:color w:val="00FFFF"/>
        <w:lang w:eastAsia="es-ES"/>
      </w:rPr>
      <w:drawing>
        <wp:anchor distT="0" distB="0" distL="114300" distR="114300" simplePos="0" relativeHeight="251662336" behindDoc="0" locked="0" layoutInCell="1" allowOverlap="1" wp14:anchorId="38F8367E" wp14:editId="254F46BC">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231707">
      <w:rPr>
        <w:rFonts w:ascii="Times New Roman" w:hAnsi="Times New Roman" w:cs="Times New Roman"/>
      </w:rPr>
      <w:t xml:space="preserve">Revista </w:t>
    </w:r>
    <w:r w:rsidR="00380D64" w:rsidRPr="00231707">
      <w:rPr>
        <w:rFonts w:ascii="Times New Roman" w:hAnsi="Times New Roman" w:cs="Times New Roman"/>
      </w:rPr>
      <w:t>Cubana de Medicina Militar.</w:t>
    </w:r>
    <w:r w:rsidR="00D85951" w:rsidRPr="00231707">
      <w:rPr>
        <w:rFonts w:ascii="Times New Roman" w:hAnsi="Times New Roman" w:cs="Times New Roman"/>
      </w:rPr>
      <w:t xml:space="preserve"> </w:t>
    </w:r>
    <w:r w:rsidR="00231707">
      <w:rPr>
        <w:rFonts w:ascii="Times New Roman" w:hAnsi="Times New Roman" w:cs="Times New Roman"/>
      </w:rPr>
      <w:t>2021</w:t>
    </w:r>
    <w:r w:rsidR="003E03D5" w:rsidRPr="00231707">
      <w:rPr>
        <w:rFonts w:ascii="Times New Roman" w:hAnsi="Times New Roman" w:cs="Times New Roman"/>
      </w:rPr>
      <w:t>;</w:t>
    </w:r>
    <w:r w:rsidR="00231707">
      <w:rPr>
        <w:rFonts w:ascii="Times New Roman" w:hAnsi="Times New Roman" w:cs="Times New Roman"/>
      </w:rPr>
      <w:t>50</w:t>
    </w:r>
    <w:r w:rsidR="00493701" w:rsidRPr="00231707">
      <w:rPr>
        <w:rFonts w:ascii="Times New Roman" w:hAnsi="Times New Roman" w:cs="Times New Roman"/>
      </w:rPr>
      <w:t>(</w:t>
    </w:r>
    <w:r w:rsidR="00231707">
      <w:rPr>
        <w:rFonts w:ascii="Times New Roman" w:hAnsi="Times New Roman" w:cs="Times New Roman"/>
      </w:rPr>
      <w:t>2</w:t>
    </w:r>
    <w:r w:rsidR="00493701" w:rsidRPr="00231707">
      <w:rPr>
        <w:rFonts w:ascii="Times New Roman" w:hAnsi="Times New Roman" w:cs="Times New Roman"/>
      </w:rPr>
      <w:t>)</w:t>
    </w:r>
    <w:r w:rsidR="00391509" w:rsidRPr="00231707">
      <w:rPr>
        <w:rFonts w:ascii="Times New Roman" w:hAnsi="Times New Roman" w:cs="Times New Roman"/>
      </w:rPr>
      <w:t>:</w:t>
    </w:r>
    <w:r w:rsidR="00231707">
      <w:rPr>
        <w:rFonts w:ascii="Times New Roman" w:hAnsi="Times New Roman" w:cs="Times New Roman"/>
      </w:rPr>
      <w:t>e0210460</w:t>
    </w:r>
  </w:p>
  <w:p w14:paraId="09486E39"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6D594E4B" wp14:editId="161D95B3">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FEDAA"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B6F"/>
    <w:rsid w:val="00047969"/>
    <w:rsid w:val="000F1D4B"/>
    <w:rsid w:val="000F3690"/>
    <w:rsid w:val="001221D1"/>
    <w:rsid w:val="001721DA"/>
    <w:rsid w:val="00180CE9"/>
    <w:rsid w:val="00207D14"/>
    <w:rsid w:val="00230DD5"/>
    <w:rsid w:val="00231707"/>
    <w:rsid w:val="00380D64"/>
    <w:rsid w:val="00391509"/>
    <w:rsid w:val="003E03D5"/>
    <w:rsid w:val="00493701"/>
    <w:rsid w:val="004E2065"/>
    <w:rsid w:val="005508A2"/>
    <w:rsid w:val="00566F71"/>
    <w:rsid w:val="00624531"/>
    <w:rsid w:val="00644AA7"/>
    <w:rsid w:val="00654CDE"/>
    <w:rsid w:val="00675476"/>
    <w:rsid w:val="007C430F"/>
    <w:rsid w:val="007D614D"/>
    <w:rsid w:val="008B5A87"/>
    <w:rsid w:val="00960D6A"/>
    <w:rsid w:val="009A0560"/>
    <w:rsid w:val="009B0917"/>
    <w:rsid w:val="009E75C6"/>
    <w:rsid w:val="00A23C0C"/>
    <w:rsid w:val="00A477DE"/>
    <w:rsid w:val="00A71E65"/>
    <w:rsid w:val="00AE044C"/>
    <w:rsid w:val="00B31971"/>
    <w:rsid w:val="00B4380A"/>
    <w:rsid w:val="00B66ECB"/>
    <w:rsid w:val="00C7523A"/>
    <w:rsid w:val="00CC1B6E"/>
    <w:rsid w:val="00CC376A"/>
    <w:rsid w:val="00CC48A1"/>
    <w:rsid w:val="00D26B6F"/>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17A604"/>
  <w15:docId w15:val="{16A9576F-4FA0-4220-A3AC-8BE7C711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6B6F"/>
    <w:pPr>
      <w:spacing w:after="200" w:line="276"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InternetLink">
    <w:name w:val="Internet Link"/>
    <w:basedOn w:val="Fuentedeprrafopredeter"/>
    <w:uiPriority w:val="99"/>
    <w:semiHidden/>
    <w:unhideWhenUsed/>
    <w:qFormat/>
    <w:rsid w:val="00D26B6F"/>
    <w:rPr>
      <w:color w:val="0000FF"/>
      <w:u w:val="single"/>
    </w:rPr>
  </w:style>
  <w:style w:type="character" w:customStyle="1" w:styleId="ListLabel28">
    <w:name w:val="ListLabel 28"/>
    <w:qFormat/>
    <w:rsid w:val="00D26B6F"/>
    <w:rPr>
      <w:rFonts w:ascii="Times New Roman" w:hAnsi="Times New Roman" w:cs="Times New Roman"/>
      <w:color w:val="0000FF"/>
      <w:sz w:val="24"/>
      <w:szCs w:val="24"/>
      <w:u w:val="single"/>
    </w:rPr>
  </w:style>
  <w:style w:type="character" w:customStyle="1" w:styleId="ListLabel31">
    <w:name w:val="ListLabel 31"/>
    <w:qFormat/>
    <w:rsid w:val="00D26B6F"/>
    <w:rPr>
      <w:rFonts w:ascii="Times New Roman" w:eastAsia="Times New Roman" w:hAnsi="Times New Roman" w:cs="Times New Roman"/>
      <w:sz w:val="24"/>
      <w:szCs w:val="24"/>
      <w:lang w:eastAsia="es-ES"/>
    </w:rPr>
  </w:style>
  <w:style w:type="character" w:customStyle="1" w:styleId="ListLabel34">
    <w:name w:val="ListLabel 34"/>
    <w:qFormat/>
    <w:rsid w:val="00D26B6F"/>
    <w:rPr>
      <w:rFonts w:ascii="Times New Roman" w:eastAsia="Times New Roman" w:hAnsi="Times New Roman" w:cs="Times New Roman"/>
      <w:color w:val="323232"/>
      <w:sz w:val="24"/>
      <w:szCs w:val="24"/>
      <w:lang w:eastAsia="es-ES"/>
    </w:rPr>
  </w:style>
  <w:style w:type="character" w:customStyle="1" w:styleId="ListLabel35">
    <w:name w:val="ListLabel 35"/>
    <w:qFormat/>
    <w:rsid w:val="00D26B6F"/>
    <w:rPr>
      <w:rFonts w:ascii="Times New Roman" w:eastAsia="Times New Roman" w:hAnsi="Times New Roman" w:cs="Times New Roman"/>
      <w:sz w:val="24"/>
      <w:szCs w:val="24"/>
      <w:lang w:eastAsia="es-ES"/>
    </w:rPr>
  </w:style>
  <w:style w:type="character" w:customStyle="1" w:styleId="ListLabel36">
    <w:name w:val="ListLabel 36"/>
    <w:qFormat/>
    <w:rsid w:val="00D26B6F"/>
    <w:rPr>
      <w:rFonts w:ascii="Times New Roman" w:eastAsia="Times New Roman" w:hAnsi="Times New Roman" w:cs="Times New Roman"/>
      <w:iCs/>
      <w:sz w:val="24"/>
      <w:szCs w:val="24"/>
      <w:lang w:val="en-US" w:eastAsia="es-ES"/>
    </w:rPr>
  </w:style>
  <w:style w:type="character" w:customStyle="1" w:styleId="EnlacedeInternet">
    <w:name w:val="Enlace de Internet"/>
    <w:basedOn w:val="Fuentedeprrafopredeter"/>
    <w:uiPriority w:val="99"/>
    <w:semiHidden/>
    <w:unhideWhenUsed/>
    <w:rsid w:val="00D26B6F"/>
    <w:rPr>
      <w:color w:val="0000FF"/>
      <w:u w:val="single"/>
    </w:rPr>
  </w:style>
  <w:style w:type="character" w:customStyle="1" w:styleId="HTMLconformatoprevioCar">
    <w:name w:val="HTML con formato previo Car"/>
    <w:basedOn w:val="Fuentedeprrafopredeter"/>
    <w:link w:val="HTMLconformatoprevio"/>
    <w:uiPriority w:val="99"/>
    <w:qFormat/>
    <w:rsid w:val="00D26B6F"/>
    <w:rPr>
      <w:rFonts w:ascii="Consolas" w:hAnsi="Consolas" w:cs="Consolas"/>
    </w:rPr>
  </w:style>
  <w:style w:type="character" w:customStyle="1" w:styleId="ListLabel47">
    <w:name w:val="ListLabel 47"/>
    <w:qFormat/>
    <w:rsid w:val="00D26B6F"/>
    <w:rPr>
      <w:rFonts w:ascii="Times New Roman" w:hAnsi="Times New Roman" w:cs="Times New Roman"/>
      <w:color w:val="0000FF"/>
      <w:sz w:val="24"/>
      <w:szCs w:val="24"/>
      <w:u w:val="single"/>
    </w:rPr>
  </w:style>
  <w:style w:type="character" w:customStyle="1" w:styleId="ListLabel48">
    <w:name w:val="ListLabel 48"/>
    <w:qFormat/>
    <w:rsid w:val="00D26B6F"/>
    <w:rPr>
      <w:rFonts w:ascii="Times New Roman" w:hAnsi="Times New Roman" w:cs="Times New Roman"/>
      <w:color w:val="0000FF"/>
      <w:sz w:val="24"/>
      <w:szCs w:val="24"/>
      <w:u w:val="single"/>
      <w:lang w:val="en-US"/>
    </w:rPr>
  </w:style>
  <w:style w:type="character" w:customStyle="1" w:styleId="ListLabel52">
    <w:name w:val="ListLabel 52"/>
    <w:qFormat/>
    <w:rsid w:val="00D26B6F"/>
    <w:rPr>
      <w:rFonts w:ascii="Times New Roman" w:hAnsi="Times New Roman" w:cs="Times New Roman"/>
      <w:sz w:val="24"/>
      <w:szCs w:val="24"/>
      <w:u w:val="single"/>
    </w:rPr>
  </w:style>
  <w:style w:type="paragraph" w:styleId="HTMLconformatoprevio">
    <w:name w:val="HTML Preformatted"/>
    <w:basedOn w:val="Normal"/>
    <w:link w:val="HTMLconformatoprevioCar"/>
    <w:uiPriority w:val="99"/>
    <w:unhideWhenUsed/>
    <w:qFormat/>
    <w:rsid w:val="00D26B6F"/>
    <w:pPr>
      <w:spacing w:after="0" w:line="240" w:lineRule="auto"/>
    </w:pPr>
    <w:rPr>
      <w:rFonts w:ascii="Consolas" w:eastAsia="Times New Roman" w:hAnsi="Consolas" w:cs="Consolas"/>
      <w:sz w:val="20"/>
      <w:szCs w:val="20"/>
      <w:lang w:eastAsia="es-ES"/>
    </w:rPr>
  </w:style>
  <w:style w:type="character" w:customStyle="1" w:styleId="HTMLconformatoprevioCar1">
    <w:name w:val="HTML con formato previo Car1"/>
    <w:basedOn w:val="Fuentedeprrafopredeter"/>
    <w:semiHidden/>
    <w:rsid w:val="00D26B6F"/>
    <w:rPr>
      <w:rFonts w:ascii="Consolas" w:eastAsiaTheme="minorHAnsi" w:hAnsi="Consolas" w:cs="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academic.oup.com/milmed/article/180/2/201/4159997" TargetMode="External"/><Relationship Id="rId18" Type="http://schemas.openxmlformats.org/officeDocument/2006/relationships/hyperlink" Target="https://www.medigraphic.com/pdfs/juarez/ju-2014/ju143i.pdf"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www.elsevier.es/es-revista-archivos-cardiologia-mexico-293-sumario-vol-85-num-2-S1405994015X00036" TargetMode="External"/><Relationship Id="rId7" Type="http://schemas.openxmlformats.org/officeDocument/2006/relationships/image" Target="media/image1.jpg"/><Relationship Id="rId12" Type="http://schemas.openxmlformats.org/officeDocument/2006/relationships/hyperlink" Target="https://scielo.conicyt.cl/scielo.php?script=sci_arttext&amp;pid=S0034-98872014000500015" TargetMode="External"/><Relationship Id="rId17" Type="http://schemas.openxmlformats.org/officeDocument/2006/relationships/hyperlink" Target="https://www.ncbi.nlm.nih.gov/pmc/articles/PMC1025006/pdf/brheartj00032-0007.pdf" TargetMode="External"/><Relationship Id="rId25" Type="http://schemas.openxmlformats.org/officeDocument/2006/relationships/hyperlink" Target="http://www.scielo.org.co/pdf/iat/v31n4/0121-0793-iat-31-04-00371.pdf" TargetMode="External"/><Relationship Id="rId2" Type="http://schemas.openxmlformats.org/officeDocument/2006/relationships/settings" Target="settings.xml"/><Relationship Id="rId16" Type="http://schemas.openxmlformats.org/officeDocument/2006/relationships/hyperlink" Target="https://www.sciencedirect.com/science/article/pii/014067369090276B" TargetMode="External"/><Relationship Id="rId20" Type="http://schemas.openxmlformats.org/officeDocument/2006/relationships/hyperlink" Target="https://www.elsevier.es/es-revista-archivos-cardiologia-mexico-293"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rvc_50@infomed.sld.cu" TargetMode="External"/><Relationship Id="rId11" Type="http://schemas.openxmlformats.org/officeDocument/2006/relationships/hyperlink" Target="https://onlinelibrary.wiley.com/doi/full/10.1002/acr.20584" TargetMode="External"/><Relationship Id="rId24" Type="http://schemas.openxmlformats.org/officeDocument/2006/relationships/hyperlink" Target="https://www.intramed.net/contenidover.asp?contenidoid=92899" TargetMode="External"/><Relationship Id="rId5" Type="http://schemas.openxmlformats.org/officeDocument/2006/relationships/endnotes" Target="endnotes.xml"/><Relationship Id="rId15" Type="http://schemas.openxmlformats.org/officeDocument/2006/relationships/hyperlink" Target="https://www.ncbi.nlm.nih.gov/pmc/articles/PMC1025006/pdf/brheartj00032-0007.pdf" TargetMode="External"/><Relationship Id="rId23" Type="http://schemas.openxmlformats.org/officeDocument/2006/relationships/hyperlink" Target="https://www.ahajournals.org/doi/full/10.1161/circulationaha.117.028991?keytype=ref&amp;ijkey=1kfO6erK0CJyMah" TargetMode="External"/><Relationship Id="rId28" Type="http://schemas.openxmlformats.org/officeDocument/2006/relationships/footer" Target="footer2.xml"/><Relationship Id="rId10" Type="http://schemas.openxmlformats.org/officeDocument/2006/relationships/hyperlink" Target="https://www.hindawi.com/journals/crie/2014/286450/" TargetMode="External"/><Relationship Id="rId19" Type="http://schemas.openxmlformats.org/officeDocument/2006/relationships/hyperlink" Target="http://viaclinica.com/article.php?pmc_id=1291362" TargetMode="Externa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yperlink" Target="http://scielo.sld.cu/scielo.php?script=sci_arttext&amp;pid=S0034-75152009000200013" TargetMode="External"/><Relationship Id="rId22" Type="http://schemas.openxmlformats.org/officeDocument/2006/relationships/hyperlink" Target="https://www.elsevier.es/es-revista-archivos-cardiologia-mexico-293-pdf-S1405994014001335"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28</TotalTime>
  <Pages>9</Pages>
  <Words>2599</Words>
  <Characters>14300</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16866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 Talía Castillo Carratala</dc:creator>
  <cp:lastModifiedBy>SG</cp:lastModifiedBy>
  <cp:revision>9</cp:revision>
  <cp:lastPrinted>2021-03-29T17:54:00Z</cp:lastPrinted>
  <dcterms:created xsi:type="dcterms:W3CDTF">2021-03-24T20:32:00Z</dcterms:created>
  <dcterms:modified xsi:type="dcterms:W3CDTF">2021-04-01T16:02:00Z</dcterms:modified>
</cp:coreProperties>
</file>