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5C4C9E6" w14:textId="77777777" w:rsidR="002C547A" w:rsidRPr="002C547A" w:rsidRDefault="002C547A" w:rsidP="002C547A">
      <w:pPr>
        <w:spacing w:line="360" w:lineRule="auto"/>
        <w:ind w:right="140"/>
        <w:rPr>
          <w:rFonts w:eastAsia="Calibri"/>
          <w:lang w:val="es-ES" w:eastAsia="es-ES"/>
        </w:rPr>
      </w:pPr>
    </w:p>
    <w:p w14:paraId="4982599E" w14:textId="77777777" w:rsidR="002C547A" w:rsidRPr="002C547A" w:rsidRDefault="002C547A" w:rsidP="002C547A">
      <w:pPr>
        <w:spacing w:line="360" w:lineRule="auto"/>
        <w:ind w:right="140"/>
        <w:jc w:val="right"/>
        <w:rPr>
          <w:rFonts w:eastAsia="Calibri"/>
          <w:sz w:val="20"/>
          <w:szCs w:val="20"/>
          <w:lang w:val="es-ES" w:eastAsia="es-ES"/>
        </w:rPr>
      </w:pPr>
      <w:r w:rsidRPr="002C547A">
        <w:rPr>
          <w:rFonts w:eastAsia="Calibri"/>
          <w:sz w:val="20"/>
          <w:szCs w:val="20"/>
          <w:lang w:val="es-ES" w:eastAsia="es-ES"/>
        </w:rPr>
        <w:t>Artículo de revisión</w:t>
      </w:r>
    </w:p>
    <w:p w14:paraId="28B4CCCE" w14:textId="77777777" w:rsidR="002C547A" w:rsidRPr="002C547A" w:rsidRDefault="002C547A" w:rsidP="002C547A">
      <w:pPr>
        <w:spacing w:line="360" w:lineRule="auto"/>
        <w:ind w:right="140"/>
        <w:jc w:val="center"/>
        <w:rPr>
          <w:rFonts w:eastAsia="Calibri"/>
          <w:b/>
          <w:lang w:val="es-ES" w:eastAsia="es-ES"/>
        </w:rPr>
      </w:pPr>
    </w:p>
    <w:p w14:paraId="3B21BC79" w14:textId="77777777" w:rsidR="002C547A" w:rsidRPr="002C547A" w:rsidRDefault="002C547A" w:rsidP="002C547A">
      <w:pPr>
        <w:spacing w:line="360" w:lineRule="auto"/>
        <w:ind w:right="140"/>
        <w:jc w:val="center"/>
        <w:rPr>
          <w:rFonts w:eastAsia="Calibri"/>
          <w:b/>
          <w:sz w:val="28"/>
          <w:szCs w:val="28"/>
          <w:lang w:val="es-ES" w:eastAsia="es-ES"/>
        </w:rPr>
      </w:pPr>
      <w:r w:rsidRPr="002C547A">
        <w:rPr>
          <w:rFonts w:eastAsia="Calibri"/>
          <w:b/>
          <w:sz w:val="28"/>
          <w:szCs w:val="28"/>
          <w:lang w:val="es-ES" w:eastAsia="es-ES"/>
        </w:rPr>
        <w:t>Aproximación al estado del arte de los comités de monitoreo de datos en ensayos clínicos</w:t>
      </w:r>
    </w:p>
    <w:p w14:paraId="18484C4B" w14:textId="77777777" w:rsidR="002C547A" w:rsidRPr="002C547A" w:rsidRDefault="002C547A" w:rsidP="002C547A">
      <w:pPr>
        <w:spacing w:line="360" w:lineRule="auto"/>
        <w:ind w:right="140"/>
        <w:jc w:val="center"/>
        <w:rPr>
          <w:rFonts w:eastAsia="Calibri"/>
          <w:sz w:val="28"/>
          <w:szCs w:val="28"/>
          <w:lang w:val="en-US" w:eastAsia="es-ES"/>
        </w:rPr>
      </w:pPr>
      <w:r w:rsidRPr="002C547A">
        <w:rPr>
          <w:rFonts w:eastAsia="Calibri"/>
          <w:sz w:val="28"/>
          <w:szCs w:val="28"/>
          <w:lang w:val="en-US" w:eastAsia="es-ES"/>
        </w:rPr>
        <w:t>Approach to the state of the art of data monitoring committees in clinical trials</w:t>
      </w:r>
    </w:p>
    <w:p w14:paraId="28A3A706" w14:textId="77777777" w:rsidR="002C547A" w:rsidRPr="002C547A" w:rsidRDefault="002C547A" w:rsidP="002C547A">
      <w:pPr>
        <w:spacing w:line="360" w:lineRule="auto"/>
        <w:ind w:right="140"/>
        <w:jc w:val="both"/>
        <w:rPr>
          <w:rFonts w:eastAsia="Calibri"/>
          <w:lang w:val="en-US" w:eastAsia="es-ES"/>
        </w:rPr>
      </w:pPr>
    </w:p>
    <w:p w14:paraId="294B597D" w14:textId="77777777" w:rsidR="002C547A" w:rsidRPr="002C547A" w:rsidRDefault="002C547A" w:rsidP="002C547A">
      <w:pPr>
        <w:spacing w:line="360" w:lineRule="auto"/>
        <w:ind w:right="140"/>
        <w:jc w:val="both"/>
        <w:rPr>
          <w:rFonts w:eastAsia="Calibri"/>
          <w:lang w:val="es-ES" w:eastAsia="es-ES"/>
        </w:rPr>
      </w:pPr>
      <w:r w:rsidRPr="002C547A">
        <w:rPr>
          <w:rFonts w:eastAsia="Calibri"/>
          <w:lang w:val="es-ES" w:eastAsia="es-ES"/>
        </w:rPr>
        <w:t>Sonia Pérez Rodríguez</w:t>
      </w:r>
      <w:r w:rsidRPr="002C547A">
        <w:rPr>
          <w:rFonts w:eastAsia="Calibri"/>
          <w:vertAlign w:val="superscript"/>
          <w:lang w:val="es-ES" w:eastAsia="es-ES"/>
        </w:rPr>
        <w:t>1</w:t>
      </w:r>
      <w:r w:rsidRPr="002C547A">
        <w:rPr>
          <w:rFonts w:eastAsia="Calibri"/>
          <w:lang w:val="es-ES" w:eastAsia="es-ES"/>
        </w:rPr>
        <w:t xml:space="preserve">* </w:t>
      </w:r>
      <w:hyperlink r:id="rId7" w:history="1">
        <w:r w:rsidRPr="002C547A">
          <w:rPr>
            <w:color w:val="0000FF"/>
            <w:u w:val="single"/>
            <w:lang w:val="es-ES" w:eastAsia="es-ES"/>
          </w:rPr>
          <w:t>http</w:t>
        </w:r>
        <w:r w:rsidRPr="002C547A">
          <w:rPr>
            <w:rFonts w:eastAsia="Calibri"/>
            <w:color w:val="0000FF"/>
            <w:u w:val="single"/>
            <w:lang w:val="es-ES" w:eastAsia="es-ES"/>
          </w:rPr>
          <w:t>s</w:t>
        </w:r>
        <w:r w:rsidRPr="002C547A">
          <w:rPr>
            <w:color w:val="0000FF"/>
            <w:u w:val="single"/>
            <w:lang w:val="es-ES" w:eastAsia="es-ES"/>
          </w:rPr>
          <w:t>://orcid.org/0000-0002-0755-6373</w:t>
        </w:r>
      </w:hyperlink>
    </w:p>
    <w:p w14:paraId="4AB4CEC0" w14:textId="77777777" w:rsidR="002C547A" w:rsidRPr="002C547A" w:rsidRDefault="002C547A" w:rsidP="002C547A">
      <w:pPr>
        <w:spacing w:line="360" w:lineRule="auto"/>
        <w:ind w:right="140"/>
        <w:jc w:val="both"/>
        <w:rPr>
          <w:rFonts w:eastAsia="Calibri"/>
          <w:lang w:val="es-ES" w:eastAsia="es-ES"/>
        </w:rPr>
      </w:pPr>
      <w:r w:rsidRPr="002C547A">
        <w:rPr>
          <w:rFonts w:eastAsia="Calibri"/>
          <w:lang w:val="es-ES" w:eastAsia="es-ES"/>
        </w:rPr>
        <w:t>Héctor Lázaro Lara Fernández</w:t>
      </w:r>
      <w:r w:rsidRPr="002C547A">
        <w:rPr>
          <w:rFonts w:eastAsia="Calibri"/>
          <w:vertAlign w:val="superscript"/>
          <w:lang w:val="es-ES" w:eastAsia="es-ES"/>
        </w:rPr>
        <w:t xml:space="preserve">2 </w:t>
      </w:r>
      <w:hyperlink r:id="rId8" w:history="1">
        <w:r w:rsidRPr="002C547A">
          <w:rPr>
            <w:color w:val="0000FF"/>
            <w:u w:val="single"/>
            <w:lang w:val="es-ES" w:eastAsia="es-ES"/>
          </w:rPr>
          <w:t>http</w:t>
        </w:r>
        <w:r w:rsidRPr="002C547A">
          <w:rPr>
            <w:rFonts w:eastAsia="Calibri"/>
            <w:color w:val="0000FF"/>
            <w:u w:val="single"/>
            <w:lang w:val="es-ES" w:eastAsia="es-ES"/>
          </w:rPr>
          <w:t>s</w:t>
        </w:r>
        <w:r w:rsidRPr="002C547A">
          <w:rPr>
            <w:color w:val="0000FF"/>
            <w:u w:val="single"/>
            <w:lang w:val="es-ES" w:eastAsia="es-ES"/>
          </w:rPr>
          <w:t>://orcid.org/0000-0002-6111-3880</w:t>
        </w:r>
      </w:hyperlink>
    </w:p>
    <w:p w14:paraId="156C7A63" w14:textId="77777777" w:rsidR="002C547A" w:rsidRPr="002C547A" w:rsidRDefault="002C547A" w:rsidP="002C547A">
      <w:pPr>
        <w:spacing w:line="360" w:lineRule="auto"/>
        <w:ind w:right="140"/>
        <w:jc w:val="both"/>
        <w:rPr>
          <w:rFonts w:eastAsia="Calibri"/>
          <w:lang w:val="es-ES" w:eastAsia="es-ES"/>
        </w:rPr>
      </w:pPr>
      <w:r w:rsidRPr="002C547A">
        <w:rPr>
          <w:rFonts w:eastAsia="Calibri"/>
          <w:lang w:val="es-ES" w:eastAsia="es-ES"/>
        </w:rPr>
        <w:t>Selma Arteaga Cantón</w:t>
      </w:r>
      <w:r w:rsidRPr="002C547A">
        <w:rPr>
          <w:rFonts w:eastAsia="Calibri"/>
          <w:vertAlign w:val="superscript"/>
          <w:lang w:val="es-ES" w:eastAsia="es-ES"/>
        </w:rPr>
        <w:t xml:space="preserve">2 </w:t>
      </w:r>
      <w:hyperlink r:id="rId9" w:history="1">
        <w:r w:rsidRPr="002C547A">
          <w:rPr>
            <w:color w:val="0000FF"/>
            <w:u w:val="single"/>
            <w:lang w:val="es-ES" w:eastAsia="es-ES"/>
          </w:rPr>
          <w:t>http</w:t>
        </w:r>
        <w:r w:rsidRPr="002C547A">
          <w:rPr>
            <w:rFonts w:eastAsia="Calibri"/>
            <w:color w:val="0000FF"/>
            <w:u w:val="single"/>
            <w:lang w:val="es-ES" w:eastAsia="es-ES"/>
          </w:rPr>
          <w:t>s</w:t>
        </w:r>
        <w:r w:rsidRPr="002C547A">
          <w:rPr>
            <w:color w:val="0000FF"/>
            <w:u w:val="single"/>
            <w:lang w:val="es-ES" w:eastAsia="es-ES"/>
          </w:rPr>
          <w:t>://orcid.org/0000-0002-0314-4865</w:t>
        </w:r>
      </w:hyperlink>
    </w:p>
    <w:p w14:paraId="7D9FEB3F" w14:textId="77777777" w:rsidR="002C547A" w:rsidRPr="002C547A" w:rsidRDefault="002C547A" w:rsidP="002C547A">
      <w:pPr>
        <w:spacing w:line="360" w:lineRule="auto"/>
        <w:ind w:right="140"/>
        <w:jc w:val="both"/>
        <w:rPr>
          <w:rFonts w:eastAsia="Calibri"/>
          <w:lang w:val="es-ES" w:eastAsia="es-ES"/>
        </w:rPr>
      </w:pPr>
      <w:proofErr w:type="spellStart"/>
      <w:r w:rsidRPr="002C547A">
        <w:rPr>
          <w:rFonts w:eastAsia="Calibri"/>
          <w:lang w:val="es-ES" w:eastAsia="es-ES"/>
        </w:rPr>
        <w:t>Meiby</w:t>
      </w:r>
      <w:proofErr w:type="spellEnd"/>
      <w:r w:rsidRPr="002C547A">
        <w:rPr>
          <w:rFonts w:eastAsia="Calibri"/>
          <w:lang w:val="es-ES" w:eastAsia="es-ES"/>
        </w:rPr>
        <w:t xml:space="preserve"> de la Caridad Rodríguez González</w:t>
      </w:r>
      <w:r w:rsidRPr="002C547A">
        <w:rPr>
          <w:rFonts w:eastAsia="Calibri"/>
          <w:vertAlign w:val="superscript"/>
          <w:lang w:val="es-ES" w:eastAsia="es-ES"/>
        </w:rPr>
        <w:t xml:space="preserve">3 </w:t>
      </w:r>
      <w:hyperlink r:id="rId10" w:history="1">
        <w:r w:rsidRPr="002C547A">
          <w:rPr>
            <w:color w:val="0000FF"/>
            <w:u w:val="single"/>
            <w:lang w:val="es-ES" w:eastAsia="es-ES"/>
          </w:rPr>
          <w:t>http</w:t>
        </w:r>
        <w:r w:rsidRPr="002C547A">
          <w:rPr>
            <w:rFonts w:eastAsia="Calibri"/>
            <w:color w:val="0000FF"/>
            <w:u w:val="single"/>
            <w:lang w:val="es-ES" w:eastAsia="es-ES"/>
          </w:rPr>
          <w:t>s</w:t>
        </w:r>
        <w:r w:rsidRPr="002C547A">
          <w:rPr>
            <w:color w:val="0000FF"/>
            <w:u w:val="single"/>
            <w:lang w:val="es-ES" w:eastAsia="es-ES"/>
          </w:rPr>
          <w:t>://orcid.org/0000-0002-4205-0415</w:t>
        </w:r>
      </w:hyperlink>
    </w:p>
    <w:p w14:paraId="7B10D46E" w14:textId="77777777" w:rsidR="002C547A" w:rsidRPr="002C547A" w:rsidRDefault="002C547A" w:rsidP="002C547A">
      <w:pPr>
        <w:spacing w:line="360" w:lineRule="auto"/>
        <w:ind w:right="140"/>
        <w:jc w:val="both"/>
        <w:rPr>
          <w:rFonts w:eastAsia="Calibri"/>
          <w:lang w:val="es-ES" w:eastAsia="es-ES"/>
        </w:rPr>
      </w:pPr>
      <w:r w:rsidRPr="002C547A">
        <w:rPr>
          <w:rFonts w:eastAsia="Calibri"/>
          <w:lang w:val="es-ES" w:eastAsia="es-ES"/>
        </w:rPr>
        <w:t>Maura Tamayo Rodríguez</w:t>
      </w:r>
      <w:r w:rsidRPr="002C547A">
        <w:rPr>
          <w:rFonts w:eastAsia="Calibri"/>
          <w:vertAlign w:val="superscript"/>
          <w:lang w:val="es-ES" w:eastAsia="es-ES"/>
        </w:rPr>
        <w:t xml:space="preserve">1 </w:t>
      </w:r>
      <w:hyperlink r:id="rId11" w:history="1">
        <w:r w:rsidRPr="002C547A">
          <w:rPr>
            <w:color w:val="0000FF"/>
            <w:u w:val="single"/>
            <w:lang w:val="es-ES" w:eastAsia="es-ES"/>
          </w:rPr>
          <w:t>http</w:t>
        </w:r>
        <w:r w:rsidRPr="002C547A">
          <w:rPr>
            <w:rFonts w:eastAsia="Calibri"/>
            <w:color w:val="0000FF"/>
            <w:u w:val="single"/>
            <w:lang w:val="es-ES" w:eastAsia="es-ES"/>
          </w:rPr>
          <w:t>s</w:t>
        </w:r>
        <w:r w:rsidRPr="002C547A">
          <w:rPr>
            <w:color w:val="0000FF"/>
            <w:u w:val="single"/>
            <w:lang w:val="es-ES" w:eastAsia="es-ES"/>
          </w:rPr>
          <w:t>://orcid.org/0000-0003-0907-8288</w:t>
        </w:r>
      </w:hyperlink>
    </w:p>
    <w:p w14:paraId="4FB28C9A" w14:textId="77777777" w:rsidR="002C547A" w:rsidRPr="002C547A" w:rsidRDefault="002C547A" w:rsidP="002C547A">
      <w:pPr>
        <w:spacing w:line="360" w:lineRule="auto"/>
        <w:ind w:right="140"/>
        <w:jc w:val="both"/>
        <w:rPr>
          <w:rFonts w:eastAsia="Calibri"/>
          <w:lang w:val="es-ES" w:eastAsia="es-ES"/>
        </w:rPr>
      </w:pPr>
    </w:p>
    <w:p w14:paraId="0FC8C78A" w14:textId="77777777" w:rsidR="002C547A" w:rsidRPr="002C547A" w:rsidRDefault="002C547A" w:rsidP="002C547A">
      <w:pPr>
        <w:spacing w:line="360" w:lineRule="auto"/>
        <w:ind w:right="140"/>
        <w:jc w:val="both"/>
        <w:rPr>
          <w:rFonts w:eastAsia="Calibri"/>
          <w:lang w:val="es-ES" w:eastAsia="es-ES"/>
        </w:rPr>
      </w:pPr>
      <w:r w:rsidRPr="002C547A">
        <w:rPr>
          <w:rFonts w:eastAsia="Calibri"/>
          <w:vertAlign w:val="superscript"/>
          <w:lang w:val="es-ES" w:eastAsia="es-ES"/>
        </w:rPr>
        <w:t>1</w:t>
      </w:r>
      <w:r w:rsidRPr="002C547A">
        <w:rPr>
          <w:rFonts w:eastAsia="Calibri"/>
          <w:lang w:val="es-ES" w:eastAsia="es-ES"/>
        </w:rPr>
        <w:t>Centro Nacional de Toxicología. La Habana, Cuba.</w:t>
      </w:r>
    </w:p>
    <w:p w14:paraId="249BB993" w14:textId="77777777" w:rsidR="002C547A" w:rsidRPr="002C547A" w:rsidRDefault="002C547A" w:rsidP="002C547A">
      <w:pPr>
        <w:spacing w:line="360" w:lineRule="auto"/>
        <w:ind w:right="140"/>
        <w:jc w:val="both"/>
        <w:rPr>
          <w:rFonts w:eastAsia="Calibri"/>
          <w:lang w:val="es-ES" w:eastAsia="es-ES"/>
        </w:rPr>
      </w:pPr>
      <w:r w:rsidRPr="002C547A">
        <w:rPr>
          <w:rFonts w:eastAsia="Calibri"/>
          <w:vertAlign w:val="superscript"/>
          <w:lang w:val="es-ES" w:eastAsia="es-ES"/>
        </w:rPr>
        <w:t>2</w:t>
      </w:r>
      <w:r w:rsidRPr="002C547A">
        <w:rPr>
          <w:rFonts w:eastAsia="Calibri"/>
          <w:lang w:val="es-ES" w:eastAsia="es-ES"/>
        </w:rPr>
        <w:t>Centro Nacional Coordinador de Ensayos Clínicos. La Habana, Cuba.</w:t>
      </w:r>
    </w:p>
    <w:p w14:paraId="052AF7F9" w14:textId="77777777" w:rsidR="002C547A" w:rsidRPr="002C547A" w:rsidRDefault="002C547A" w:rsidP="002C547A">
      <w:pPr>
        <w:spacing w:line="360" w:lineRule="auto"/>
        <w:ind w:right="140"/>
        <w:jc w:val="both"/>
        <w:rPr>
          <w:rFonts w:eastAsia="Calibri"/>
          <w:lang w:val="es-ES" w:eastAsia="es-ES"/>
        </w:rPr>
      </w:pPr>
      <w:r w:rsidRPr="002C547A">
        <w:rPr>
          <w:rFonts w:eastAsia="Calibri"/>
          <w:vertAlign w:val="superscript"/>
          <w:lang w:val="es-ES" w:eastAsia="es-ES"/>
        </w:rPr>
        <w:t>3</w:t>
      </w:r>
      <w:r w:rsidRPr="002C547A">
        <w:rPr>
          <w:rFonts w:eastAsia="Calibri"/>
          <w:lang w:val="es-ES" w:eastAsia="es-ES"/>
        </w:rPr>
        <w:t xml:space="preserve">Instituto </w:t>
      </w:r>
      <w:proofErr w:type="spellStart"/>
      <w:r w:rsidRPr="002C547A">
        <w:rPr>
          <w:rFonts w:eastAsia="Calibri"/>
          <w:lang w:val="es-ES" w:eastAsia="es-ES"/>
        </w:rPr>
        <w:t>Finlay</w:t>
      </w:r>
      <w:proofErr w:type="spellEnd"/>
      <w:r w:rsidRPr="002C547A">
        <w:rPr>
          <w:rFonts w:eastAsia="Calibri"/>
          <w:lang w:val="es-ES" w:eastAsia="es-ES"/>
        </w:rPr>
        <w:t xml:space="preserve"> de Vacunas. La Habana, Cuba.</w:t>
      </w:r>
    </w:p>
    <w:p w14:paraId="5C77CE71" w14:textId="77777777" w:rsidR="002C547A" w:rsidRPr="002C547A" w:rsidRDefault="002C547A" w:rsidP="002C547A">
      <w:pPr>
        <w:spacing w:line="360" w:lineRule="auto"/>
        <w:ind w:right="140"/>
        <w:jc w:val="both"/>
        <w:rPr>
          <w:rFonts w:eastAsia="Calibri"/>
          <w:lang w:val="es-ES" w:eastAsia="es-ES"/>
        </w:rPr>
      </w:pPr>
      <w:r w:rsidRPr="002C547A">
        <w:rPr>
          <w:rFonts w:eastAsia="Calibri"/>
          <w:lang w:val="es-ES" w:eastAsia="es-ES"/>
        </w:rPr>
        <w:t xml:space="preserve">*Autor para la correspondencia. Correo electrónico: </w:t>
      </w:r>
      <w:hyperlink r:id="rId12" w:history="1">
        <w:r w:rsidRPr="002C547A">
          <w:rPr>
            <w:rFonts w:eastAsia="Calibri"/>
            <w:color w:val="0000FF"/>
            <w:u w:val="single"/>
            <w:lang w:val="es-ES" w:eastAsia="es-ES"/>
          </w:rPr>
          <w:t>soniapr@infomed.sld.cu</w:t>
        </w:r>
      </w:hyperlink>
    </w:p>
    <w:p w14:paraId="7B37ADB9" w14:textId="77777777" w:rsidR="002C547A" w:rsidRPr="002C547A" w:rsidRDefault="002C547A" w:rsidP="002C547A">
      <w:pPr>
        <w:spacing w:line="360" w:lineRule="auto"/>
        <w:ind w:right="140"/>
        <w:jc w:val="both"/>
        <w:rPr>
          <w:rFonts w:eastAsia="Calibri"/>
          <w:b/>
          <w:lang w:val="es-ES" w:eastAsia="es-ES"/>
        </w:rPr>
      </w:pPr>
    </w:p>
    <w:p w14:paraId="221088E5" w14:textId="77777777" w:rsidR="002C547A" w:rsidRPr="002C547A" w:rsidRDefault="002C547A" w:rsidP="002C547A">
      <w:pPr>
        <w:spacing w:line="360" w:lineRule="auto"/>
        <w:ind w:right="140"/>
        <w:jc w:val="both"/>
        <w:rPr>
          <w:rFonts w:eastAsia="Calibri"/>
          <w:b/>
          <w:lang w:val="es-ES" w:eastAsia="es-ES"/>
        </w:rPr>
      </w:pPr>
      <w:r w:rsidRPr="002C547A">
        <w:rPr>
          <w:rFonts w:eastAsia="Calibri"/>
          <w:b/>
          <w:lang w:val="es-ES" w:eastAsia="es-ES"/>
        </w:rPr>
        <w:t>RESUMEN</w:t>
      </w:r>
    </w:p>
    <w:p w14:paraId="6F60883D" w14:textId="77777777" w:rsidR="002C547A" w:rsidRPr="002C547A" w:rsidRDefault="002C547A" w:rsidP="002C547A">
      <w:pPr>
        <w:spacing w:line="360" w:lineRule="auto"/>
        <w:ind w:right="140"/>
        <w:jc w:val="both"/>
        <w:rPr>
          <w:rFonts w:eastAsia="Calibri"/>
          <w:lang w:val="es-ES" w:eastAsia="es-ES"/>
        </w:rPr>
      </w:pPr>
      <w:r w:rsidRPr="002C547A">
        <w:rPr>
          <w:rFonts w:eastAsia="Calibri"/>
          <w:b/>
          <w:lang w:val="es-ES" w:eastAsia="es-ES"/>
        </w:rPr>
        <w:t xml:space="preserve">Introducción: </w:t>
      </w:r>
      <w:r w:rsidRPr="002C547A">
        <w:rPr>
          <w:rFonts w:eastAsia="Calibri"/>
          <w:lang w:val="es-ES" w:eastAsia="es-ES"/>
        </w:rPr>
        <w:t>En 1967</w:t>
      </w:r>
      <w:r w:rsidRPr="002C547A">
        <w:rPr>
          <w:rFonts w:eastAsia="Calibri"/>
          <w:b/>
          <w:lang w:val="es-ES" w:eastAsia="es-ES"/>
        </w:rPr>
        <w:t xml:space="preserve"> </w:t>
      </w:r>
      <w:r w:rsidRPr="002C547A">
        <w:rPr>
          <w:rFonts w:eastAsia="Calibri"/>
          <w:lang w:val="es-ES" w:eastAsia="es-ES"/>
        </w:rPr>
        <w:t>se estableció, por primera vez, un</w:t>
      </w:r>
      <w:r w:rsidRPr="002C547A">
        <w:rPr>
          <w:lang w:val="es-ES" w:eastAsia="es-ES"/>
        </w:rPr>
        <w:t xml:space="preserve"> comité de monitoreo de datos, en un estudio de mortalidad cardiovascular; desde entonces su uso se ha incrementado debido a su valor para garantizar la seguridad de los sujetos participantes en ensayos clínicos y la validez e integridad de los datos. </w:t>
      </w:r>
      <w:r w:rsidRPr="002C547A">
        <w:rPr>
          <w:rFonts w:eastAsia="Calibri"/>
          <w:lang w:val="es-ES" w:eastAsia="es-ES"/>
        </w:rPr>
        <w:t xml:space="preserve">Se realizó una exploración documental de los últimos 20 años, sobre aspectos relacionados con los requisitos de creación y funcionamiento de los </w:t>
      </w:r>
      <w:r w:rsidRPr="002C547A">
        <w:rPr>
          <w:lang w:val="es-ES" w:eastAsia="es-ES"/>
        </w:rPr>
        <w:t xml:space="preserve">comités de monitoreo de datos </w:t>
      </w:r>
      <w:r w:rsidRPr="002C547A">
        <w:rPr>
          <w:rFonts w:eastAsia="Calibri"/>
          <w:lang w:val="es-ES" w:eastAsia="es-ES"/>
        </w:rPr>
        <w:t xml:space="preserve">a nivel mundial, con los </w:t>
      </w:r>
      <w:r w:rsidRPr="002C547A">
        <w:rPr>
          <w:lang w:val="es-ES" w:eastAsia="es-ES"/>
        </w:rPr>
        <w:t>objetivos de mostrar el desarrollo alcanzado en el establecimiento de los comités de monitoreo de datos e identificar sus características fundamentales.</w:t>
      </w:r>
    </w:p>
    <w:p w14:paraId="65577E33" w14:textId="77777777" w:rsidR="002C547A" w:rsidRPr="002C547A" w:rsidRDefault="002C547A" w:rsidP="002C547A">
      <w:pPr>
        <w:spacing w:line="360" w:lineRule="auto"/>
        <w:ind w:right="140"/>
        <w:jc w:val="both"/>
        <w:rPr>
          <w:lang w:val="es-ES" w:eastAsia="es-ES"/>
        </w:rPr>
      </w:pPr>
      <w:r w:rsidRPr="002C547A">
        <w:rPr>
          <w:rFonts w:eastAsia="Calibri"/>
          <w:b/>
          <w:lang w:val="es-ES" w:eastAsia="es-ES"/>
        </w:rPr>
        <w:t xml:space="preserve">Desarrollo: </w:t>
      </w:r>
      <w:r w:rsidRPr="002C547A">
        <w:rPr>
          <w:rFonts w:eastAsia="Calibri"/>
          <w:lang w:val="es-ES" w:eastAsia="es-ES"/>
        </w:rPr>
        <w:t xml:space="preserve">Existe un incremento en la producción documental sobre los </w:t>
      </w:r>
      <w:r w:rsidRPr="002C547A">
        <w:rPr>
          <w:lang w:val="es-ES" w:eastAsia="es-ES"/>
        </w:rPr>
        <w:t>comités de monitoreo de datos</w:t>
      </w:r>
      <w:r w:rsidRPr="002C547A">
        <w:rPr>
          <w:rFonts w:eastAsia="Calibri"/>
          <w:lang w:val="es-ES" w:eastAsia="es-ES"/>
        </w:rPr>
        <w:t xml:space="preserve">, liderado por angloparlantes de países desarrollados, con franco aumento de publicaciones sobre el tema en el último quinquenio, superior en 50 % a los 15 años anteriores. Este fenómeno lo provoca </w:t>
      </w:r>
      <w:r w:rsidRPr="002C547A">
        <w:rPr>
          <w:rFonts w:eastAsia="Calibri"/>
          <w:lang w:val="es-ES" w:eastAsia="es-ES"/>
        </w:rPr>
        <w:lastRenderedPageBreak/>
        <w:t>el auge de la industria farmacéutica y biotecnológica, los altos costos de investigación y desarrollo de medicamentos, la necesidad de introducir nuevos fármacos y el incremento de las exigencias regulatorias. Se describen las características estructurales, requisitos clínicos y metodológicos para el establecimiento de los comités.</w:t>
      </w:r>
    </w:p>
    <w:p w14:paraId="6891560C" w14:textId="77777777" w:rsidR="002C547A" w:rsidRPr="002C547A" w:rsidRDefault="002C547A" w:rsidP="002C547A">
      <w:pPr>
        <w:spacing w:line="360" w:lineRule="auto"/>
        <w:ind w:right="140"/>
        <w:jc w:val="both"/>
        <w:rPr>
          <w:rFonts w:eastAsia="Calibri"/>
          <w:lang w:val="es-ES" w:eastAsia="es-ES"/>
        </w:rPr>
      </w:pPr>
      <w:r w:rsidRPr="002C547A">
        <w:rPr>
          <w:rFonts w:eastAsia="Calibri"/>
          <w:b/>
          <w:lang w:val="es-ES" w:eastAsia="es-ES"/>
        </w:rPr>
        <w:t xml:space="preserve">Conclusiones: </w:t>
      </w:r>
      <w:r w:rsidRPr="002C547A">
        <w:rPr>
          <w:rFonts w:eastAsia="Calibri"/>
          <w:lang w:val="es-ES" w:eastAsia="es-ES"/>
        </w:rPr>
        <w:t xml:space="preserve">Existe alto desarrollo de los </w:t>
      </w:r>
      <w:r w:rsidRPr="002C547A">
        <w:rPr>
          <w:lang w:val="es-ES" w:eastAsia="es-ES"/>
        </w:rPr>
        <w:t>comités de monitoreo de datos</w:t>
      </w:r>
      <w:r w:rsidRPr="002C547A">
        <w:rPr>
          <w:rFonts w:eastAsia="Calibri"/>
          <w:lang w:val="es-ES" w:eastAsia="es-ES"/>
        </w:rPr>
        <w:t xml:space="preserve"> en los ensayos clínicos, con tendencia al incremento de su uso en los últimos años. Los </w:t>
      </w:r>
      <w:r w:rsidRPr="002C547A">
        <w:rPr>
          <w:lang w:val="es-ES" w:eastAsia="es-ES"/>
        </w:rPr>
        <w:t>comités de monitoreo de datos</w:t>
      </w:r>
      <w:r w:rsidRPr="002C547A">
        <w:rPr>
          <w:rFonts w:eastAsia="Calibri"/>
          <w:lang w:val="es-ES" w:eastAsia="es-ES"/>
        </w:rPr>
        <w:t xml:space="preserve"> se caracterizan por requerimientos clínicos y metodológicos para su establecimiento. </w:t>
      </w:r>
    </w:p>
    <w:p w14:paraId="2A9EFD4D" w14:textId="77777777" w:rsidR="002C547A" w:rsidRPr="002C547A" w:rsidRDefault="002C547A" w:rsidP="002C547A">
      <w:pPr>
        <w:spacing w:line="360" w:lineRule="auto"/>
        <w:ind w:right="140"/>
        <w:jc w:val="both"/>
        <w:rPr>
          <w:lang w:val="es-ES" w:eastAsia="es-ES"/>
        </w:rPr>
      </w:pPr>
      <w:r w:rsidRPr="002C547A">
        <w:rPr>
          <w:b/>
          <w:lang w:val="es-ES" w:eastAsia="es-ES"/>
        </w:rPr>
        <w:t>Palabras clave:</w:t>
      </w:r>
      <w:r w:rsidRPr="002C547A">
        <w:rPr>
          <w:lang w:val="es-ES" w:eastAsia="es-ES"/>
        </w:rPr>
        <w:t xml:space="preserve"> comité de monitoreo de datos; ensayo clínico; buenas prácticas clínicas.</w:t>
      </w:r>
    </w:p>
    <w:p w14:paraId="30683EE0" w14:textId="77777777" w:rsidR="002C547A" w:rsidRPr="002C547A" w:rsidRDefault="002C547A" w:rsidP="002C547A">
      <w:pPr>
        <w:spacing w:line="360" w:lineRule="auto"/>
        <w:ind w:right="140"/>
        <w:jc w:val="both"/>
        <w:rPr>
          <w:lang w:val="es-ES" w:eastAsia="es-ES"/>
        </w:rPr>
      </w:pPr>
    </w:p>
    <w:p w14:paraId="2A40F14A" w14:textId="77777777" w:rsidR="002C547A" w:rsidRPr="002C547A" w:rsidRDefault="002C547A" w:rsidP="002C547A">
      <w:pPr>
        <w:spacing w:line="360" w:lineRule="auto"/>
        <w:ind w:right="140"/>
        <w:jc w:val="both"/>
        <w:rPr>
          <w:rFonts w:eastAsia="Calibri"/>
          <w:b/>
          <w:lang w:val="en-US" w:eastAsia="es-ES"/>
        </w:rPr>
      </w:pPr>
      <w:r w:rsidRPr="002C547A">
        <w:rPr>
          <w:rFonts w:eastAsia="Calibri"/>
          <w:b/>
          <w:lang w:val="en-US" w:eastAsia="es-ES"/>
        </w:rPr>
        <w:t>ABSTRACT</w:t>
      </w:r>
    </w:p>
    <w:p w14:paraId="18757C87" w14:textId="77777777" w:rsidR="002C547A" w:rsidRPr="002C547A" w:rsidRDefault="002C547A" w:rsidP="002C547A">
      <w:pPr>
        <w:spacing w:line="360" w:lineRule="auto"/>
        <w:ind w:right="140"/>
        <w:jc w:val="both"/>
        <w:rPr>
          <w:rFonts w:eastAsia="Calibri"/>
          <w:lang w:val="en-US" w:eastAsia="es-ES"/>
        </w:rPr>
      </w:pPr>
      <w:r w:rsidRPr="002C547A">
        <w:rPr>
          <w:rFonts w:eastAsia="Calibri"/>
          <w:b/>
          <w:lang w:val="en-US" w:eastAsia="es-ES"/>
        </w:rPr>
        <w:t xml:space="preserve">Introduction: </w:t>
      </w:r>
      <w:r w:rsidRPr="002C547A">
        <w:rPr>
          <w:rFonts w:eastAsia="Calibri"/>
          <w:lang w:val="en-US" w:eastAsia="es-ES"/>
        </w:rPr>
        <w:t xml:space="preserve">For the first time, in 1967, a data monitoring committee was established in a study of cardiovascular mortality. Since </w:t>
      </w:r>
      <w:proofErr w:type="gramStart"/>
      <w:r w:rsidRPr="002C547A">
        <w:rPr>
          <w:rFonts w:eastAsia="Calibri"/>
          <w:lang w:val="en-US" w:eastAsia="es-ES"/>
        </w:rPr>
        <w:t>then</w:t>
      </w:r>
      <w:proofErr w:type="gramEnd"/>
      <w:r w:rsidRPr="002C547A">
        <w:rPr>
          <w:rFonts w:eastAsia="Calibri"/>
          <w:lang w:val="en-US" w:eastAsia="es-ES"/>
        </w:rPr>
        <w:t xml:space="preserve"> its use has increased, due to its value to guarantee the safety of subjects participating in clinical trials, the validity and integrity of the data. A documentary exploration of the last 20 years was carried out, on aspects related to the requirements for the creation and operation of data monitoring committees worldwide, with the aim of showing the development achieved in the establishment of data monitoring committees and identify its fundamental characteristics.</w:t>
      </w:r>
    </w:p>
    <w:p w14:paraId="6E36F5F2" w14:textId="77777777" w:rsidR="002C547A" w:rsidRPr="002C547A" w:rsidRDefault="002C547A" w:rsidP="002C547A">
      <w:pPr>
        <w:spacing w:line="360" w:lineRule="auto"/>
        <w:ind w:right="140"/>
        <w:jc w:val="both"/>
        <w:rPr>
          <w:rFonts w:eastAsia="Calibri"/>
          <w:lang w:val="en-US" w:eastAsia="es-ES"/>
        </w:rPr>
      </w:pPr>
      <w:r w:rsidRPr="002C547A">
        <w:rPr>
          <w:rFonts w:eastAsia="Calibri"/>
          <w:b/>
          <w:lang w:val="en-US" w:eastAsia="es-ES"/>
        </w:rPr>
        <w:t xml:space="preserve">Development: </w:t>
      </w:r>
      <w:r w:rsidRPr="002C547A">
        <w:rPr>
          <w:rFonts w:eastAsia="Calibri"/>
          <w:lang w:val="en-US" w:eastAsia="es-ES"/>
        </w:rPr>
        <w:t>There is an increase in documentary production on data monitoring committees, led by English speakers from developed countries, with a clear increase in publications on the subject, in the last five-year period, 50% higher than in the previous 15 years. This phenomenon is caused by the rise of the pharmaceutical and biotechnology industry, the high costs of drug research and development, the need to introduce new drugs and the increase in regulatory requirements. The structural characteristics, clinical and methodological requirements for the establishment of the committees are described.</w:t>
      </w:r>
    </w:p>
    <w:p w14:paraId="4D8639E0" w14:textId="77777777" w:rsidR="002C547A" w:rsidRPr="002C547A" w:rsidRDefault="002C547A" w:rsidP="002C547A">
      <w:pPr>
        <w:spacing w:line="360" w:lineRule="auto"/>
        <w:ind w:right="140"/>
        <w:jc w:val="both"/>
        <w:rPr>
          <w:rFonts w:eastAsia="Calibri"/>
          <w:lang w:val="en-US" w:eastAsia="es-ES"/>
        </w:rPr>
      </w:pPr>
      <w:r w:rsidRPr="002C547A">
        <w:rPr>
          <w:rFonts w:eastAsia="Calibri"/>
          <w:b/>
          <w:lang w:val="en-US" w:eastAsia="es-ES"/>
        </w:rPr>
        <w:t xml:space="preserve">Conclusions: </w:t>
      </w:r>
      <w:r w:rsidRPr="002C547A">
        <w:rPr>
          <w:rFonts w:eastAsia="Calibri"/>
          <w:lang w:val="en-US" w:eastAsia="es-ES"/>
        </w:rPr>
        <w:t>There is a high development of data monitoring committees in clinical trials, with a tendency to increase their use in recent years. Data monitoring committees are characterized by clinical and methodological requirements for their establishment.</w:t>
      </w:r>
    </w:p>
    <w:p w14:paraId="3167350C" w14:textId="77777777" w:rsidR="002C547A" w:rsidRPr="002C547A" w:rsidRDefault="002C547A" w:rsidP="002C547A">
      <w:pPr>
        <w:spacing w:line="360" w:lineRule="auto"/>
        <w:ind w:right="140"/>
        <w:jc w:val="both"/>
        <w:rPr>
          <w:lang w:val="en-US" w:eastAsia="es-ES"/>
        </w:rPr>
      </w:pPr>
      <w:r w:rsidRPr="002C547A">
        <w:rPr>
          <w:rFonts w:eastAsia="Calibri"/>
          <w:b/>
          <w:lang w:val="en-US" w:eastAsia="es-ES"/>
        </w:rPr>
        <w:t>Keywords:</w:t>
      </w:r>
      <w:r w:rsidRPr="002C547A">
        <w:rPr>
          <w:rFonts w:eastAsia="Calibri"/>
          <w:lang w:val="en-US" w:eastAsia="es-ES"/>
        </w:rPr>
        <w:t xml:space="preserve"> data monitoring committee; clinical trial; good clinical practices.</w:t>
      </w:r>
    </w:p>
    <w:p w14:paraId="5F6ACBB3" w14:textId="77777777" w:rsidR="002C547A" w:rsidRPr="002C547A" w:rsidRDefault="002C547A" w:rsidP="002C547A">
      <w:pPr>
        <w:spacing w:line="360" w:lineRule="auto"/>
        <w:ind w:right="140"/>
        <w:rPr>
          <w:lang w:val="en-US" w:eastAsia="es-ES"/>
        </w:rPr>
      </w:pPr>
    </w:p>
    <w:p w14:paraId="1F1570AA" w14:textId="77777777" w:rsidR="002C547A" w:rsidRPr="002C547A" w:rsidRDefault="002C547A" w:rsidP="002C547A">
      <w:pPr>
        <w:spacing w:line="360" w:lineRule="auto"/>
        <w:rPr>
          <w:lang w:val="en-US" w:eastAsia="es-ES"/>
        </w:rPr>
      </w:pPr>
    </w:p>
    <w:p w14:paraId="67ED09DD" w14:textId="77777777" w:rsidR="00275423" w:rsidRDefault="00275423">
      <w:pPr>
        <w:rPr>
          <w:lang w:val="es-ES" w:eastAsia="es-ES"/>
        </w:rPr>
      </w:pPr>
      <w:r>
        <w:rPr>
          <w:lang w:val="es-ES" w:eastAsia="es-ES"/>
        </w:rPr>
        <w:br w:type="page"/>
      </w:r>
    </w:p>
    <w:p w14:paraId="148FED0C" w14:textId="177112DB" w:rsidR="002C547A" w:rsidRPr="002C547A" w:rsidRDefault="002C547A" w:rsidP="002C547A">
      <w:pPr>
        <w:spacing w:line="360" w:lineRule="auto"/>
        <w:rPr>
          <w:lang w:val="es-ES" w:eastAsia="es-ES"/>
        </w:rPr>
      </w:pPr>
      <w:r w:rsidRPr="002C547A">
        <w:rPr>
          <w:lang w:val="es-ES" w:eastAsia="es-ES"/>
        </w:rPr>
        <w:lastRenderedPageBreak/>
        <w:t>Recibido: 04/10/2019</w:t>
      </w:r>
    </w:p>
    <w:p w14:paraId="70859D2E" w14:textId="77777777" w:rsidR="002C547A" w:rsidRPr="002C547A" w:rsidRDefault="002C547A" w:rsidP="002C547A">
      <w:pPr>
        <w:spacing w:line="360" w:lineRule="auto"/>
        <w:rPr>
          <w:lang w:val="es-ES" w:eastAsia="es-ES"/>
        </w:rPr>
      </w:pPr>
      <w:r w:rsidRPr="002C547A">
        <w:rPr>
          <w:lang w:val="es-ES" w:eastAsia="es-ES"/>
        </w:rPr>
        <w:t>Aprobado: 21/09/2020</w:t>
      </w:r>
    </w:p>
    <w:p w14:paraId="50EBD3EA" w14:textId="77777777" w:rsidR="002C547A" w:rsidRPr="002C547A" w:rsidRDefault="002C547A" w:rsidP="002C547A">
      <w:pPr>
        <w:spacing w:line="360" w:lineRule="auto"/>
        <w:rPr>
          <w:lang w:val="es-ES" w:eastAsia="es-ES"/>
        </w:rPr>
      </w:pPr>
    </w:p>
    <w:p w14:paraId="022D888F" w14:textId="77777777" w:rsidR="002C547A" w:rsidRPr="002C547A" w:rsidRDefault="002C547A" w:rsidP="002C547A">
      <w:pPr>
        <w:spacing w:line="360" w:lineRule="auto"/>
        <w:rPr>
          <w:lang w:val="es-ES" w:eastAsia="es-ES"/>
        </w:rPr>
      </w:pPr>
    </w:p>
    <w:p w14:paraId="27DC938B" w14:textId="77777777" w:rsidR="002C547A" w:rsidRPr="002C547A" w:rsidRDefault="002C547A" w:rsidP="002C547A">
      <w:pPr>
        <w:spacing w:line="360" w:lineRule="auto"/>
        <w:ind w:right="140"/>
        <w:jc w:val="center"/>
        <w:rPr>
          <w:b/>
          <w:sz w:val="32"/>
          <w:szCs w:val="32"/>
          <w:lang w:val="es-ES" w:eastAsia="es-ES"/>
        </w:rPr>
      </w:pPr>
      <w:r w:rsidRPr="002C547A">
        <w:rPr>
          <w:b/>
          <w:sz w:val="32"/>
          <w:szCs w:val="32"/>
          <w:lang w:val="es-ES" w:eastAsia="es-ES"/>
        </w:rPr>
        <w:t>INTRODUCCIÓN</w:t>
      </w:r>
    </w:p>
    <w:p w14:paraId="5414FAD0" w14:textId="77777777" w:rsidR="002C547A" w:rsidRPr="002C547A" w:rsidRDefault="002C547A" w:rsidP="002C547A">
      <w:pPr>
        <w:spacing w:line="360" w:lineRule="auto"/>
        <w:ind w:right="140"/>
        <w:jc w:val="both"/>
        <w:rPr>
          <w:lang w:val="es-ES" w:eastAsia="es-ES"/>
        </w:rPr>
      </w:pPr>
      <w:r w:rsidRPr="002C547A">
        <w:rPr>
          <w:lang w:val="es-ES" w:eastAsia="es-ES"/>
        </w:rPr>
        <w:t>El análisis de la producción documental sobre los comités de monitoreo de datos (CMD) en los ensayos clínicos, promueve el tema desde los investigadores del Centro Nacional de Toxicología (</w:t>
      </w:r>
      <w:proofErr w:type="spellStart"/>
      <w:r w:rsidRPr="002C547A">
        <w:rPr>
          <w:lang w:val="es-ES" w:eastAsia="es-ES"/>
        </w:rPr>
        <w:t>Cenatox</w:t>
      </w:r>
      <w:proofErr w:type="spellEnd"/>
      <w:r w:rsidRPr="002C547A">
        <w:rPr>
          <w:lang w:val="es-ES" w:eastAsia="es-ES"/>
        </w:rPr>
        <w:t>), de los promotores de ensayos clínicos y del Centro Nacional Coordinador de Ensayos Clínicos (</w:t>
      </w:r>
      <w:proofErr w:type="spellStart"/>
      <w:r w:rsidRPr="002C547A">
        <w:rPr>
          <w:lang w:val="es-ES" w:eastAsia="es-ES"/>
        </w:rPr>
        <w:t>Cencec</w:t>
      </w:r>
      <w:proofErr w:type="spellEnd"/>
      <w:r w:rsidRPr="002C547A">
        <w:rPr>
          <w:lang w:val="es-ES" w:eastAsia="es-ES"/>
        </w:rPr>
        <w:t>) de Cuba.</w:t>
      </w:r>
    </w:p>
    <w:p w14:paraId="43E6DAB3" w14:textId="77777777" w:rsidR="002C547A" w:rsidRPr="002C547A" w:rsidRDefault="002C547A" w:rsidP="002C547A">
      <w:pPr>
        <w:spacing w:line="360" w:lineRule="auto"/>
        <w:ind w:right="140"/>
        <w:jc w:val="both"/>
        <w:rPr>
          <w:lang w:val="es-ES" w:eastAsia="es-ES"/>
        </w:rPr>
      </w:pPr>
      <w:r w:rsidRPr="002C547A">
        <w:rPr>
          <w:lang w:val="es-ES" w:eastAsia="es-ES"/>
        </w:rPr>
        <w:t>En el acápite de responsabilidades del patrocinador, las normas de buenas prácticas clínicas establecen que “…el promotor puede / debe considerar establecer un comité de monitoreo de datos con la finalidad de que analice periódicamente los datos de seguridad y las variables críticas de eficacia y le asesore sobre la conveniencia de continuar, modificar o detener el ensayo clínico”.</w:t>
      </w:r>
      <w:r w:rsidRPr="002C547A">
        <w:rPr>
          <w:vertAlign w:val="superscript"/>
          <w:lang w:val="es-ES" w:eastAsia="es-ES"/>
        </w:rPr>
        <w:t>(1,2,3)</w:t>
      </w:r>
      <w:r w:rsidRPr="002C547A">
        <w:rPr>
          <w:lang w:val="es-ES" w:eastAsia="es-ES"/>
        </w:rPr>
        <w:t>A pesar de las ventajas que ofrece el establecimiento del comité en una investigación, algunos promotores cubanos no hacen una práctica sistemática de su nombramiento.</w:t>
      </w:r>
    </w:p>
    <w:p w14:paraId="0A60D667" w14:textId="77777777" w:rsidR="002C547A" w:rsidRPr="002C547A" w:rsidRDefault="002C547A" w:rsidP="002C547A">
      <w:pPr>
        <w:spacing w:line="360" w:lineRule="auto"/>
        <w:ind w:right="140"/>
        <w:jc w:val="both"/>
        <w:rPr>
          <w:lang w:val="es-ES" w:eastAsia="es-ES"/>
        </w:rPr>
      </w:pPr>
      <w:r w:rsidRPr="002C547A">
        <w:rPr>
          <w:lang w:val="es-ES" w:eastAsia="es-ES"/>
        </w:rPr>
        <w:t>En Latinoamérica y Cuba, no existe evidencia de un uso extendido por los promotores de ensayos clínicos. Esta revisión es útil para investigadores y promotores de ensayos clínicos del país y la región. Su aporte se considera parte del proceso de construcción de conocimientos, para contribuir a mejorar la teoría y la práctica del tema en los ensayos clínicos.</w:t>
      </w:r>
    </w:p>
    <w:p w14:paraId="400DEAEF" w14:textId="15808171" w:rsidR="002C547A" w:rsidRPr="002C547A" w:rsidRDefault="002C547A" w:rsidP="002C547A">
      <w:pPr>
        <w:spacing w:line="360" w:lineRule="auto"/>
        <w:ind w:right="140"/>
        <w:jc w:val="both"/>
        <w:rPr>
          <w:lang w:val="es-ES" w:eastAsia="es-ES"/>
        </w:rPr>
      </w:pPr>
      <w:r w:rsidRPr="002C547A">
        <w:rPr>
          <w:lang w:val="es-ES" w:eastAsia="es-ES"/>
        </w:rPr>
        <w:t xml:space="preserve">La comunidad científica internacional coincide en la realización de ensayos clínicos a nuevos productos necesarios para solucionar problemas de salud. Se buscan alternativas que acorten los tiempos de investigación y desarrollo de </w:t>
      </w:r>
      <w:r w:rsidR="00275423" w:rsidRPr="002C547A">
        <w:rPr>
          <w:lang w:val="es-ES" w:eastAsia="es-ES"/>
        </w:rPr>
        <w:t>medicamentos y abaraten</w:t>
      </w:r>
      <w:r w:rsidRPr="002C547A">
        <w:rPr>
          <w:lang w:val="es-ES" w:eastAsia="es-ES"/>
        </w:rPr>
        <w:t xml:space="preserve"> los costos, con estrategias de investigaciones flexibles y empleo de novedosos diseños, en los cuales los CMD tienen un rol apreciable.</w:t>
      </w:r>
    </w:p>
    <w:p w14:paraId="70FAB188" w14:textId="77777777" w:rsidR="002C547A" w:rsidRPr="002C547A" w:rsidRDefault="002C547A" w:rsidP="002C547A">
      <w:pPr>
        <w:spacing w:line="360" w:lineRule="auto"/>
        <w:ind w:right="140"/>
        <w:jc w:val="both"/>
        <w:rPr>
          <w:lang w:val="es-ES" w:eastAsia="es-ES"/>
        </w:rPr>
      </w:pPr>
      <w:r w:rsidRPr="002C547A">
        <w:rPr>
          <w:lang w:val="es-ES" w:eastAsia="es-ES"/>
        </w:rPr>
        <w:t>Se realizó una revisión bibliográfica sobre las tendencias, las características y los requisitos de uso de los CMD, debido a la necesidad de fomentar su utilización como herramienta que garantice la seguridad de los sujetos enrolados y la validez e integridad de los datos en los ensayos clínicos.</w:t>
      </w:r>
    </w:p>
    <w:p w14:paraId="5C799F06" w14:textId="77777777" w:rsidR="002C547A" w:rsidRPr="002C547A" w:rsidRDefault="002C547A" w:rsidP="002C547A">
      <w:pPr>
        <w:spacing w:line="360" w:lineRule="auto"/>
        <w:ind w:right="140"/>
        <w:jc w:val="both"/>
        <w:rPr>
          <w:lang w:val="es-ES" w:eastAsia="es-ES"/>
        </w:rPr>
      </w:pPr>
      <w:r w:rsidRPr="002C547A">
        <w:rPr>
          <w:rFonts w:eastAsia="Calibri"/>
          <w:lang w:val="es-ES" w:eastAsia="es-ES"/>
        </w:rPr>
        <w:t xml:space="preserve">Los criterios de selección </w:t>
      </w:r>
      <w:r w:rsidRPr="002C547A">
        <w:rPr>
          <w:lang w:val="es-ES" w:eastAsia="es-ES"/>
        </w:rPr>
        <w:t xml:space="preserve">de las publicaciones fueron tres, basados en su contenido: las características de los CMD, guías y procedimiento normalizado o estandarizado de trabajo (PNO), el análisis de los </w:t>
      </w:r>
      <w:r w:rsidRPr="002C547A">
        <w:rPr>
          <w:lang w:val="es-ES" w:eastAsia="es-ES"/>
        </w:rPr>
        <w:lastRenderedPageBreak/>
        <w:t>datos, requisitos para establecerlos: clí</w:t>
      </w:r>
      <w:r w:rsidRPr="002C547A">
        <w:rPr>
          <w:rFonts w:eastAsia="Calibri"/>
          <w:lang w:val="es-ES" w:eastAsia="es-ES"/>
        </w:rPr>
        <w:t>n</w:t>
      </w:r>
      <w:r w:rsidRPr="002C547A">
        <w:rPr>
          <w:lang w:val="es-ES" w:eastAsia="es-ES"/>
        </w:rPr>
        <w:t>icos y met</w:t>
      </w:r>
      <w:r w:rsidRPr="002C547A">
        <w:rPr>
          <w:rFonts w:eastAsia="Calibri"/>
          <w:lang w:val="es-ES" w:eastAsia="es-ES"/>
        </w:rPr>
        <w:t>o</w:t>
      </w:r>
      <w:r w:rsidRPr="002C547A">
        <w:rPr>
          <w:lang w:val="es-ES" w:eastAsia="es-ES"/>
        </w:rPr>
        <w:t>d</w:t>
      </w:r>
      <w:r w:rsidRPr="002C547A">
        <w:rPr>
          <w:rFonts w:eastAsia="Calibri"/>
          <w:lang w:val="es-ES" w:eastAsia="es-ES"/>
        </w:rPr>
        <w:t>o</w:t>
      </w:r>
      <w:r w:rsidRPr="002C547A">
        <w:rPr>
          <w:lang w:val="es-ES" w:eastAsia="es-ES"/>
        </w:rPr>
        <w:t>lógi</w:t>
      </w:r>
      <w:r w:rsidRPr="002C547A">
        <w:rPr>
          <w:rFonts w:eastAsia="Calibri"/>
          <w:lang w:val="es-ES" w:eastAsia="es-ES"/>
        </w:rPr>
        <w:t>c</w:t>
      </w:r>
      <w:r w:rsidRPr="002C547A">
        <w:rPr>
          <w:lang w:val="es-ES" w:eastAsia="es-ES"/>
        </w:rPr>
        <w:t xml:space="preserve">os; la </w:t>
      </w:r>
      <w:r w:rsidRPr="002C547A">
        <w:rPr>
          <w:rFonts w:eastAsia="Calibri"/>
          <w:lang w:val="es-ES" w:eastAsia="es-ES"/>
        </w:rPr>
        <w:t>fecha de publicación: entre los años 2000 y 2019; y e</w:t>
      </w:r>
      <w:r w:rsidRPr="002C547A">
        <w:rPr>
          <w:lang w:val="es-ES" w:eastAsia="es-ES"/>
        </w:rPr>
        <w:t xml:space="preserve">n </w:t>
      </w:r>
      <w:r w:rsidRPr="002C547A">
        <w:rPr>
          <w:rFonts w:eastAsia="Calibri"/>
          <w:lang w:val="es-ES" w:eastAsia="es-ES"/>
        </w:rPr>
        <w:t>los idiomas de la producción documental: inglés y español.</w:t>
      </w:r>
    </w:p>
    <w:p w14:paraId="40D68352" w14:textId="77777777" w:rsidR="002C547A" w:rsidRPr="002C547A" w:rsidRDefault="002C547A" w:rsidP="002C547A">
      <w:pPr>
        <w:spacing w:line="360" w:lineRule="auto"/>
        <w:ind w:right="140"/>
        <w:jc w:val="both"/>
        <w:rPr>
          <w:rFonts w:eastAsia="Calibri"/>
          <w:lang w:val="es-ES" w:eastAsia="es-ES"/>
        </w:rPr>
      </w:pPr>
      <w:r w:rsidRPr="002C547A">
        <w:rPr>
          <w:rFonts w:eastAsia="Calibri"/>
          <w:lang w:val="es-ES" w:eastAsia="es-ES"/>
        </w:rPr>
        <w:t xml:space="preserve">Se utilizaron las fuentes de información de PubMed, MEDLINE, Scielo y EBSCO y las palabras clave </w:t>
      </w:r>
      <w:r w:rsidRPr="002C547A">
        <w:rPr>
          <w:lang w:val="es-ES" w:eastAsia="es-ES"/>
        </w:rPr>
        <w:t>comité de monitoreo de datos, ensayo clínico, buenas prácticas clínicas</w:t>
      </w:r>
      <w:r w:rsidRPr="002C547A">
        <w:rPr>
          <w:rFonts w:eastAsia="Calibri"/>
          <w:lang w:val="es-ES" w:eastAsia="es-ES"/>
        </w:rPr>
        <w:t>.</w:t>
      </w:r>
    </w:p>
    <w:p w14:paraId="0078A7FA" w14:textId="77777777" w:rsidR="002C547A" w:rsidRPr="002C547A" w:rsidRDefault="002C547A" w:rsidP="002C547A">
      <w:pPr>
        <w:spacing w:line="360" w:lineRule="auto"/>
        <w:ind w:right="140"/>
        <w:jc w:val="both"/>
        <w:rPr>
          <w:rFonts w:eastAsia="Calibri"/>
          <w:lang w:val="es-ES" w:eastAsia="es-ES"/>
        </w:rPr>
      </w:pPr>
      <w:r w:rsidRPr="002C547A">
        <w:rPr>
          <w:lang w:val="es-ES" w:eastAsia="es-ES"/>
        </w:rPr>
        <w:t xml:space="preserve">Fueron identificados </w:t>
      </w:r>
      <w:r w:rsidRPr="002C547A">
        <w:rPr>
          <w:rFonts w:eastAsia="Calibri"/>
          <w:lang w:val="es-ES" w:eastAsia="es-ES"/>
        </w:rPr>
        <w:t xml:space="preserve">210 documentos que cumplieron con los criterios de selección. </w:t>
      </w:r>
    </w:p>
    <w:p w14:paraId="2FD0C45D" w14:textId="77777777" w:rsidR="002C547A" w:rsidRPr="002C547A" w:rsidRDefault="002C547A" w:rsidP="002C547A">
      <w:pPr>
        <w:spacing w:line="360" w:lineRule="auto"/>
        <w:ind w:right="140"/>
        <w:jc w:val="both"/>
        <w:rPr>
          <w:lang w:val="es-ES" w:eastAsia="es-ES"/>
        </w:rPr>
      </w:pPr>
      <w:r w:rsidRPr="002C547A">
        <w:rPr>
          <w:lang w:val="es-ES" w:eastAsia="es-ES"/>
        </w:rPr>
        <w:t xml:space="preserve">Los objetivos de esta revisión son mostrar el desarrollo alcanzado en el uso de los CMD e identificar sus características fundamentales. </w:t>
      </w:r>
    </w:p>
    <w:p w14:paraId="7709F382" w14:textId="77777777" w:rsidR="002C547A" w:rsidRPr="002C547A" w:rsidRDefault="002C547A" w:rsidP="002C547A">
      <w:pPr>
        <w:spacing w:line="360" w:lineRule="auto"/>
        <w:ind w:right="140"/>
        <w:jc w:val="both"/>
        <w:rPr>
          <w:lang w:val="es-ES" w:eastAsia="es-ES"/>
        </w:rPr>
      </w:pPr>
    </w:p>
    <w:p w14:paraId="53CFB1C2" w14:textId="77777777" w:rsidR="002C547A" w:rsidRPr="002C547A" w:rsidRDefault="002C547A" w:rsidP="002C547A">
      <w:pPr>
        <w:spacing w:line="360" w:lineRule="auto"/>
        <w:ind w:right="140"/>
        <w:jc w:val="both"/>
        <w:rPr>
          <w:lang w:val="es-ES" w:eastAsia="es-ES"/>
        </w:rPr>
      </w:pPr>
    </w:p>
    <w:p w14:paraId="61E33485" w14:textId="77777777" w:rsidR="002C547A" w:rsidRPr="002C547A" w:rsidRDefault="002C547A" w:rsidP="002C547A">
      <w:pPr>
        <w:spacing w:line="360" w:lineRule="auto"/>
        <w:ind w:right="140"/>
        <w:jc w:val="center"/>
        <w:rPr>
          <w:b/>
          <w:sz w:val="32"/>
          <w:szCs w:val="32"/>
          <w:lang w:val="es-ES" w:eastAsia="es-ES"/>
        </w:rPr>
      </w:pPr>
      <w:r w:rsidRPr="002C547A">
        <w:rPr>
          <w:b/>
          <w:sz w:val="32"/>
          <w:szCs w:val="32"/>
          <w:lang w:val="es-ES" w:eastAsia="es-ES"/>
        </w:rPr>
        <w:t>DESARROLLO</w:t>
      </w:r>
    </w:p>
    <w:p w14:paraId="6462B25F" w14:textId="77777777" w:rsidR="002C547A" w:rsidRPr="002C547A" w:rsidRDefault="002C547A" w:rsidP="002C547A">
      <w:pPr>
        <w:spacing w:line="360" w:lineRule="auto"/>
        <w:ind w:right="140"/>
        <w:jc w:val="both"/>
        <w:rPr>
          <w:lang w:val="es-ES" w:eastAsia="es-ES"/>
        </w:rPr>
      </w:pPr>
      <w:r w:rsidRPr="002C547A">
        <w:rPr>
          <w:lang w:val="es-ES" w:eastAsia="es-ES"/>
        </w:rPr>
        <w:t xml:space="preserve">Con el auge de la industria farmacéutica, el promotor, responsable del inicio, dirección y/o financiación de un ensayo clínico, busca el apoyo de expertos externos que garanticen la calidad de sus estudios y con ello la validez en sus resultados. El equipo multidisciplinario que nombra el promotor para estos fines, es el CMD, también denominado comité independiente, externo o de </w:t>
      </w:r>
      <w:proofErr w:type="gramStart"/>
      <w:r w:rsidRPr="002C547A">
        <w:rPr>
          <w:lang w:val="es-ES" w:eastAsia="es-ES"/>
        </w:rPr>
        <w:t>seguridad.</w:t>
      </w:r>
      <w:r w:rsidRPr="002C547A">
        <w:rPr>
          <w:vertAlign w:val="superscript"/>
          <w:lang w:val="es-ES" w:eastAsia="es-ES"/>
        </w:rPr>
        <w:t>(</w:t>
      </w:r>
      <w:proofErr w:type="gramEnd"/>
      <w:r w:rsidRPr="002C547A">
        <w:rPr>
          <w:vertAlign w:val="superscript"/>
          <w:lang w:val="es-ES" w:eastAsia="es-ES"/>
        </w:rPr>
        <w:t>4,5)</w:t>
      </w:r>
    </w:p>
    <w:p w14:paraId="3961E178" w14:textId="77777777" w:rsidR="002C547A" w:rsidRPr="002C547A" w:rsidRDefault="002C547A" w:rsidP="002C547A">
      <w:pPr>
        <w:spacing w:line="360" w:lineRule="auto"/>
        <w:ind w:right="140"/>
        <w:jc w:val="both"/>
        <w:rPr>
          <w:lang w:val="es-ES" w:eastAsia="es-ES"/>
        </w:rPr>
      </w:pPr>
      <w:r w:rsidRPr="002C547A">
        <w:rPr>
          <w:lang w:val="es-ES" w:eastAsia="es-ES"/>
        </w:rPr>
        <w:t>Se observa un marcado incremento de publicaciones del tema en los últimos cinco años (2015-2019), en los cuales están publicados más de la mitad de los artículos revisados (tabla 1).</w:t>
      </w:r>
    </w:p>
    <w:p w14:paraId="7B139534" w14:textId="77777777" w:rsidR="002C547A" w:rsidRPr="002C547A" w:rsidRDefault="002C547A" w:rsidP="002C547A">
      <w:pPr>
        <w:spacing w:line="360" w:lineRule="auto"/>
        <w:ind w:right="140"/>
        <w:jc w:val="both"/>
        <w:rPr>
          <w:lang w:val="es-ES" w:eastAsia="es-ES"/>
        </w:rPr>
      </w:pPr>
    </w:p>
    <w:p w14:paraId="394FD936" w14:textId="77777777" w:rsidR="002C547A" w:rsidRPr="002C547A" w:rsidRDefault="002C547A" w:rsidP="002C547A">
      <w:pPr>
        <w:spacing w:line="360" w:lineRule="auto"/>
        <w:ind w:right="140"/>
        <w:jc w:val="center"/>
        <w:rPr>
          <w:sz w:val="22"/>
          <w:szCs w:val="22"/>
          <w:lang w:val="es-ES" w:eastAsia="es-ES"/>
        </w:rPr>
      </w:pPr>
      <w:r w:rsidRPr="002C547A">
        <w:rPr>
          <w:b/>
          <w:sz w:val="22"/>
          <w:szCs w:val="22"/>
          <w:lang w:val="es-ES" w:eastAsia="es-ES"/>
        </w:rPr>
        <w:t>Tabla 1 -</w:t>
      </w:r>
      <w:r w:rsidRPr="002C547A">
        <w:rPr>
          <w:sz w:val="22"/>
          <w:szCs w:val="22"/>
          <w:lang w:val="es-ES" w:eastAsia="es-ES"/>
        </w:rPr>
        <w:t>Artículos sobre CMD por años e idioma (2000 - 2019)</w:t>
      </w:r>
    </w:p>
    <w:p w14:paraId="474CC70E" w14:textId="7245F07C" w:rsidR="002C547A" w:rsidRPr="002C547A" w:rsidRDefault="002C547A" w:rsidP="002C547A">
      <w:pPr>
        <w:spacing w:line="360" w:lineRule="auto"/>
        <w:ind w:right="140"/>
        <w:jc w:val="center"/>
        <w:rPr>
          <w:lang w:val="es-ES" w:eastAsia="es-ES"/>
        </w:rPr>
      </w:pPr>
      <w:r w:rsidRPr="002C547A">
        <w:rPr>
          <w:noProof/>
          <w:lang w:val="es-ES" w:eastAsia="es-ES"/>
        </w:rPr>
        <w:drawing>
          <wp:inline distT="0" distB="0" distL="0" distR="0" wp14:anchorId="52E90133" wp14:editId="7298FD9A">
            <wp:extent cx="4838700" cy="1752600"/>
            <wp:effectExtent l="0" t="0" r="0" b="0"/>
            <wp:docPr id="10"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838700" cy="1752600"/>
                    </a:xfrm>
                    <a:prstGeom prst="rect">
                      <a:avLst/>
                    </a:prstGeom>
                    <a:noFill/>
                    <a:ln>
                      <a:noFill/>
                    </a:ln>
                  </pic:spPr>
                </pic:pic>
              </a:graphicData>
            </a:graphic>
          </wp:inline>
        </w:drawing>
      </w:r>
    </w:p>
    <w:p w14:paraId="677D4724" w14:textId="77777777" w:rsidR="002C547A" w:rsidRPr="002C547A" w:rsidRDefault="002C547A" w:rsidP="002C547A">
      <w:pPr>
        <w:spacing w:line="360" w:lineRule="auto"/>
        <w:ind w:right="140"/>
        <w:jc w:val="center"/>
        <w:rPr>
          <w:lang w:val="es-ES" w:eastAsia="es-ES"/>
        </w:rPr>
      </w:pPr>
    </w:p>
    <w:p w14:paraId="4C1F0EDD" w14:textId="77777777" w:rsidR="002C547A" w:rsidRPr="002C547A" w:rsidRDefault="002C547A" w:rsidP="002C547A">
      <w:pPr>
        <w:spacing w:line="360" w:lineRule="auto"/>
        <w:ind w:right="140"/>
        <w:jc w:val="both"/>
        <w:rPr>
          <w:lang w:val="es-ES" w:eastAsia="es-ES"/>
        </w:rPr>
      </w:pPr>
      <w:r w:rsidRPr="002C547A">
        <w:rPr>
          <w:lang w:val="es-ES" w:eastAsia="es-ES"/>
        </w:rPr>
        <w:t>El hallazgo de predominio de publicaciones sobre monitoreo de los comités independientes en el último quinquenio, se debe a:</w:t>
      </w:r>
      <w:r w:rsidRPr="002C547A">
        <w:rPr>
          <w:vertAlign w:val="superscript"/>
          <w:lang w:val="es-ES" w:eastAsia="es-ES"/>
        </w:rPr>
        <w:t>(6,7)</w:t>
      </w:r>
    </w:p>
    <w:p w14:paraId="5E8A0582" w14:textId="77777777" w:rsidR="002C547A" w:rsidRPr="002C547A" w:rsidRDefault="002C547A" w:rsidP="002C547A">
      <w:pPr>
        <w:spacing w:line="360" w:lineRule="auto"/>
        <w:ind w:right="140"/>
        <w:jc w:val="both"/>
        <w:rPr>
          <w:lang w:val="es-ES" w:eastAsia="es-ES"/>
        </w:rPr>
      </w:pPr>
    </w:p>
    <w:p w14:paraId="7002222B" w14:textId="77777777" w:rsidR="002C547A" w:rsidRPr="002C547A" w:rsidRDefault="002C547A" w:rsidP="002C547A">
      <w:pPr>
        <w:numPr>
          <w:ilvl w:val="0"/>
          <w:numId w:val="6"/>
        </w:numPr>
        <w:spacing w:after="200" w:line="360" w:lineRule="auto"/>
        <w:ind w:right="140"/>
        <w:contextualSpacing/>
        <w:jc w:val="both"/>
        <w:rPr>
          <w:vertAlign w:val="superscript"/>
          <w:lang w:val="es-ES" w:eastAsia="es-ES"/>
        </w:rPr>
      </w:pPr>
      <w:r w:rsidRPr="002C547A">
        <w:rPr>
          <w:lang w:val="es-ES" w:eastAsia="es-ES"/>
        </w:rPr>
        <w:lastRenderedPageBreak/>
        <w:t>El incremento mundial del uso de los CMD.</w:t>
      </w:r>
    </w:p>
    <w:p w14:paraId="1CE5B293" w14:textId="77777777" w:rsidR="002C547A" w:rsidRPr="002C547A" w:rsidRDefault="002C547A" w:rsidP="002C547A">
      <w:pPr>
        <w:numPr>
          <w:ilvl w:val="0"/>
          <w:numId w:val="6"/>
        </w:numPr>
        <w:spacing w:after="200" w:line="360" w:lineRule="auto"/>
        <w:ind w:right="140"/>
        <w:contextualSpacing/>
        <w:jc w:val="both"/>
        <w:rPr>
          <w:vertAlign w:val="superscript"/>
          <w:lang w:val="es-ES" w:eastAsia="es-ES"/>
        </w:rPr>
      </w:pPr>
      <w:r w:rsidRPr="002C547A">
        <w:rPr>
          <w:lang w:val="es-ES" w:eastAsia="es-ES"/>
        </w:rPr>
        <w:t>La introducción de guías sobre su creación y funcionamiento, por la Organización Mundial de la Salud (OMS) y las agencias reguladoras de países desarrollados.</w:t>
      </w:r>
    </w:p>
    <w:p w14:paraId="33007B0F" w14:textId="77777777" w:rsidR="002C547A" w:rsidRPr="002C547A" w:rsidRDefault="002C547A" w:rsidP="002C547A">
      <w:pPr>
        <w:numPr>
          <w:ilvl w:val="0"/>
          <w:numId w:val="6"/>
        </w:numPr>
        <w:spacing w:after="200" w:line="360" w:lineRule="auto"/>
        <w:ind w:right="140"/>
        <w:contextualSpacing/>
        <w:jc w:val="both"/>
        <w:rPr>
          <w:vertAlign w:val="superscript"/>
          <w:lang w:val="es-ES" w:eastAsia="es-ES"/>
        </w:rPr>
      </w:pPr>
      <w:r w:rsidRPr="002C547A">
        <w:rPr>
          <w:lang w:val="es-ES" w:eastAsia="es-ES"/>
        </w:rPr>
        <w:t>Reconocimiento de su valor científico, ético, económico y social.</w:t>
      </w:r>
    </w:p>
    <w:p w14:paraId="347DB721" w14:textId="77777777" w:rsidR="002C547A" w:rsidRPr="002C547A" w:rsidRDefault="002C547A" w:rsidP="002C547A">
      <w:pPr>
        <w:numPr>
          <w:ilvl w:val="0"/>
          <w:numId w:val="6"/>
        </w:numPr>
        <w:spacing w:after="200" w:line="360" w:lineRule="auto"/>
        <w:ind w:right="140"/>
        <w:contextualSpacing/>
        <w:jc w:val="both"/>
        <w:rPr>
          <w:vertAlign w:val="superscript"/>
          <w:lang w:val="es-ES" w:eastAsia="es-ES"/>
        </w:rPr>
      </w:pPr>
      <w:r w:rsidRPr="002C547A">
        <w:rPr>
          <w:lang w:val="es-ES" w:eastAsia="es-ES"/>
        </w:rPr>
        <w:t>Avance vertiginoso de la industria biotecnológica y químico farmacéutica.</w:t>
      </w:r>
    </w:p>
    <w:p w14:paraId="55E74E2B" w14:textId="77777777" w:rsidR="002C547A" w:rsidRPr="002C547A" w:rsidRDefault="002C547A" w:rsidP="002C547A">
      <w:pPr>
        <w:spacing w:line="360" w:lineRule="auto"/>
        <w:ind w:right="140"/>
        <w:jc w:val="both"/>
        <w:rPr>
          <w:lang w:val="es-ES" w:eastAsia="es-ES"/>
        </w:rPr>
      </w:pPr>
    </w:p>
    <w:p w14:paraId="25AEB804" w14:textId="77777777" w:rsidR="002C547A" w:rsidRPr="002C547A" w:rsidRDefault="002C547A" w:rsidP="002C547A">
      <w:pPr>
        <w:spacing w:line="360" w:lineRule="auto"/>
        <w:ind w:right="140"/>
        <w:jc w:val="both"/>
        <w:rPr>
          <w:lang w:val="es-ES" w:eastAsia="es-ES"/>
        </w:rPr>
      </w:pPr>
      <w:r w:rsidRPr="002C547A">
        <w:rPr>
          <w:lang w:val="es-ES" w:eastAsia="es-ES"/>
        </w:rPr>
        <w:t xml:space="preserve">Un estudio realizado en 2015, comparó el establecimiento de los CMD en ensayos clínicos controlados aleatorizados conducidos en el año 2000, </w:t>
      </w:r>
      <w:r w:rsidRPr="002C547A">
        <w:rPr>
          <w:i/>
          <w:lang w:val="es-ES" w:eastAsia="es-ES"/>
        </w:rPr>
        <w:t>versus</w:t>
      </w:r>
      <w:r w:rsidRPr="002C547A">
        <w:rPr>
          <w:lang w:val="es-ES" w:eastAsia="es-ES"/>
        </w:rPr>
        <w:t xml:space="preserve"> los conducidos en el 2010, según los reportes de revistas de alto impacto. Se encontró </w:t>
      </w:r>
      <w:proofErr w:type="gramStart"/>
      <w:r w:rsidRPr="002C547A">
        <w:rPr>
          <w:lang w:val="es-ES" w:eastAsia="es-ES"/>
        </w:rPr>
        <w:t>que</w:t>
      </w:r>
      <w:proofErr w:type="gramEnd"/>
      <w:r w:rsidRPr="002C547A">
        <w:rPr>
          <w:lang w:val="es-ES" w:eastAsia="es-ES"/>
        </w:rPr>
        <w:t xml:space="preserve"> en el año 2000, el 25 % de los ensayos clínicos establecieron los CMD. Se observó un incremento de hasta 69 % en el año </w:t>
      </w:r>
      <w:proofErr w:type="gramStart"/>
      <w:r w:rsidRPr="002C547A">
        <w:rPr>
          <w:lang w:val="es-ES" w:eastAsia="es-ES"/>
        </w:rPr>
        <w:t>2010.</w:t>
      </w:r>
      <w:r w:rsidRPr="002C547A">
        <w:rPr>
          <w:vertAlign w:val="superscript"/>
          <w:lang w:val="es-ES" w:eastAsia="es-ES"/>
        </w:rPr>
        <w:t>(</w:t>
      </w:r>
      <w:proofErr w:type="gramEnd"/>
      <w:r w:rsidRPr="002C547A">
        <w:rPr>
          <w:vertAlign w:val="superscript"/>
          <w:lang w:val="es-ES" w:eastAsia="es-ES"/>
        </w:rPr>
        <w:t>8)</w:t>
      </w:r>
    </w:p>
    <w:p w14:paraId="3AD6369D" w14:textId="77777777" w:rsidR="002C547A" w:rsidRPr="002C547A" w:rsidRDefault="002C547A" w:rsidP="002C547A">
      <w:pPr>
        <w:spacing w:line="360" w:lineRule="auto"/>
        <w:ind w:right="140"/>
        <w:jc w:val="both"/>
        <w:rPr>
          <w:lang w:val="es-ES" w:eastAsia="es-ES"/>
        </w:rPr>
      </w:pPr>
      <w:r w:rsidRPr="002C547A">
        <w:rPr>
          <w:lang w:val="es-ES" w:eastAsia="es-ES"/>
        </w:rPr>
        <w:t xml:space="preserve">El establecimiento de estos comités en los ensayos clínicos, está vinculado a la creciente necesidad de implementar nuevos diseños con vistas a disminuir los tiempos y costos en investigación y desarrollo de nuevos medicamentos. Los CMD resultan útiles para asesorar y recomendar qué hacer con la continuidad de los ensayos clínicos en los cuales se </w:t>
      </w:r>
      <w:proofErr w:type="gramStart"/>
      <w:r w:rsidRPr="002C547A">
        <w:rPr>
          <w:lang w:val="es-ES" w:eastAsia="es-ES"/>
        </w:rPr>
        <w:t>conforman.</w:t>
      </w:r>
      <w:r w:rsidRPr="002C547A">
        <w:rPr>
          <w:vertAlign w:val="superscript"/>
          <w:lang w:val="es-ES" w:eastAsia="es-ES"/>
        </w:rPr>
        <w:t>(</w:t>
      </w:r>
      <w:proofErr w:type="gramEnd"/>
      <w:r w:rsidRPr="002C547A">
        <w:rPr>
          <w:vertAlign w:val="superscript"/>
          <w:lang w:val="es-ES" w:eastAsia="es-ES"/>
        </w:rPr>
        <w:t>9,10,11)</w:t>
      </w:r>
    </w:p>
    <w:p w14:paraId="46F9F19D" w14:textId="77777777" w:rsidR="002C547A" w:rsidRPr="002C547A" w:rsidRDefault="002C547A" w:rsidP="002C547A">
      <w:pPr>
        <w:spacing w:line="360" w:lineRule="auto"/>
        <w:ind w:right="140"/>
        <w:jc w:val="both"/>
        <w:rPr>
          <w:lang w:val="es-ES" w:eastAsia="es-ES"/>
        </w:rPr>
      </w:pPr>
      <w:r w:rsidRPr="002C547A">
        <w:rPr>
          <w:lang w:val="es-ES" w:eastAsia="es-ES"/>
        </w:rPr>
        <w:t>Casi la totalidad de los artículos revisados, están publicados en inglés y solo un pequeño porcentaje (6,2 %) está en español.</w:t>
      </w:r>
    </w:p>
    <w:p w14:paraId="7DB6DFEF" w14:textId="77777777" w:rsidR="002C547A" w:rsidRPr="002C547A" w:rsidRDefault="002C547A" w:rsidP="002C547A">
      <w:pPr>
        <w:spacing w:line="360" w:lineRule="auto"/>
        <w:ind w:right="140"/>
        <w:jc w:val="both"/>
        <w:rPr>
          <w:lang w:val="es-ES" w:eastAsia="es-ES"/>
        </w:rPr>
      </w:pPr>
      <w:r w:rsidRPr="002C547A">
        <w:rPr>
          <w:lang w:val="es-ES" w:eastAsia="es-ES"/>
        </w:rPr>
        <w:t xml:space="preserve">Los países que más se destacan son EE.UU., Reino Unido y Australia (tabla 2), que sustentan el 82,4 % de la literatura revisada. Latinoamérica estuvo representada por Colombia, Chile y Argentina. No se encontraron documentos producidos por autores de otros </w:t>
      </w:r>
      <w:r w:rsidRPr="002C547A">
        <w:rPr>
          <w:color w:val="000000"/>
          <w:lang w:val="es-ES" w:eastAsia="es-ES"/>
        </w:rPr>
        <w:t>países</w:t>
      </w:r>
      <w:r w:rsidRPr="002C547A">
        <w:rPr>
          <w:lang w:val="es-ES" w:eastAsia="es-ES"/>
        </w:rPr>
        <w:t xml:space="preserve"> de la región, lo cual denota poco uso o poca divulgación de los CMD. Ningún artículo es de autores cubanos.</w:t>
      </w:r>
    </w:p>
    <w:p w14:paraId="6BB9D419" w14:textId="77777777" w:rsidR="002C547A" w:rsidRPr="002C547A" w:rsidRDefault="002C547A" w:rsidP="002C547A">
      <w:pPr>
        <w:spacing w:line="360" w:lineRule="auto"/>
        <w:ind w:right="140"/>
        <w:jc w:val="both"/>
        <w:rPr>
          <w:lang w:val="es-ES" w:eastAsia="es-ES"/>
        </w:rPr>
      </w:pPr>
    </w:p>
    <w:p w14:paraId="019659E7" w14:textId="77777777" w:rsidR="00AC4A50" w:rsidRDefault="00AC4A50">
      <w:pPr>
        <w:rPr>
          <w:b/>
          <w:sz w:val="22"/>
          <w:szCs w:val="22"/>
          <w:lang w:val="es-ES" w:eastAsia="es-ES"/>
        </w:rPr>
      </w:pPr>
      <w:r>
        <w:rPr>
          <w:b/>
          <w:sz w:val="22"/>
          <w:szCs w:val="22"/>
          <w:lang w:val="es-ES" w:eastAsia="es-ES"/>
        </w:rPr>
        <w:br w:type="page"/>
      </w:r>
    </w:p>
    <w:p w14:paraId="530AC216" w14:textId="6B143732" w:rsidR="002C547A" w:rsidRPr="002C547A" w:rsidRDefault="002C547A" w:rsidP="002C547A">
      <w:pPr>
        <w:spacing w:line="360" w:lineRule="auto"/>
        <w:ind w:right="140"/>
        <w:jc w:val="center"/>
        <w:rPr>
          <w:sz w:val="22"/>
          <w:szCs w:val="22"/>
          <w:lang w:val="es-ES" w:eastAsia="es-ES"/>
        </w:rPr>
      </w:pPr>
      <w:r w:rsidRPr="002C547A">
        <w:rPr>
          <w:b/>
          <w:sz w:val="22"/>
          <w:szCs w:val="22"/>
          <w:lang w:val="es-ES" w:eastAsia="es-ES"/>
        </w:rPr>
        <w:lastRenderedPageBreak/>
        <w:t>Tabla 2 -</w:t>
      </w:r>
      <w:r w:rsidRPr="002C547A">
        <w:rPr>
          <w:sz w:val="22"/>
          <w:szCs w:val="22"/>
          <w:lang w:val="es-ES" w:eastAsia="es-ES"/>
        </w:rPr>
        <w:t xml:space="preserve"> Artículos sobre CMD por países o regiones (2000– 2019)</w:t>
      </w:r>
    </w:p>
    <w:p w14:paraId="5EC49B55" w14:textId="627BEAAA" w:rsidR="002C547A" w:rsidRPr="002C547A" w:rsidRDefault="00AC4A50" w:rsidP="002C547A">
      <w:pPr>
        <w:spacing w:line="360" w:lineRule="auto"/>
        <w:ind w:right="140"/>
        <w:jc w:val="center"/>
        <w:rPr>
          <w:lang w:val="es-ES" w:eastAsia="es-ES"/>
        </w:rPr>
      </w:pPr>
      <w:r>
        <w:rPr>
          <w:noProof/>
          <w:lang w:val="es-ES" w:eastAsia="es-ES"/>
        </w:rPr>
        <w:drawing>
          <wp:inline distT="0" distB="0" distL="0" distR="0" wp14:anchorId="46E6572C" wp14:editId="29EA03D9">
            <wp:extent cx="5724525" cy="1895475"/>
            <wp:effectExtent l="0" t="0" r="9525" b="9525"/>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Imagen 11"/>
                    <pic:cNvPicPr/>
                  </pic:nvPicPr>
                  <pic:blipFill>
                    <a:blip r:embed="rId14">
                      <a:extLst>
                        <a:ext uri="{28A0092B-C50C-407E-A947-70E740481C1C}">
                          <a14:useLocalDpi xmlns:a14="http://schemas.microsoft.com/office/drawing/2010/main" val="0"/>
                        </a:ext>
                      </a:extLst>
                    </a:blip>
                    <a:stretch>
                      <a:fillRect/>
                    </a:stretch>
                  </pic:blipFill>
                  <pic:spPr>
                    <a:xfrm>
                      <a:off x="0" y="0"/>
                      <a:ext cx="5724525" cy="1895475"/>
                    </a:xfrm>
                    <a:prstGeom prst="rect">
                      <a:avLst/>
                    </a:prstGeom>
                  </pic:spPr>
                </pic:pic>
              </a:graphicData>
            </a:graphic>
          </wp:inline>
        </w:drawing>
      </w:r>
    </w:p>
    <w:p w14:paraId="378807D0" w14:textId="77777777" w:rsidR="002C547A" w:rsidRPr="002C547A" w:rsidRDefault="002C547A" w:rsidP="002C547A">
      <w:pPr>
        <w:spacing w:line="360" w:lineRule="auto"/>
        <w:ind w:right="140"/>
        <w:jc w:val="center"/>
        <w:rPr>
          <w:lang w:val="es-ES" w:eastAsia="es-ES"/>
        </w:rPr>
      </w:pPr>
    </w:p>
    <w:p w14:paraId="78A07AAB" w14:textId="77777777" w:rsidR="002C547A" w:rsidRPr="002C547A" w:rsidRDefault="002C547A" w:rsidP="002C547A">
      <w:pPr>
        <w:spacing w:line="360" w:lineRule="auto"/>
        <w:ind w:right="140"/>
        <w:jc w:val="both"/>
        <w:rPr>
          <w:vertAlign w:val="superscript"/>
          <w:lang w:val="es-ES" w:eastAsia="es-ES"/>
        </w:rPr>
      </w:pPr>
      <w:r w:rsidRPr="002C547A">
        <w:rPr>
          <w:lang w:val="es-ES" w:eastAsia="es-ES"/>
        </w:rPr>
        <w:t xml:space="preserve">Los EE.UU. lideran los ensayos clínicos con establecimiento de CMD, desde su surgimiento en Carolina del Norte. Esto traduce largos años de experiencia en el desarrollo de investigaciones bajo este concepto y posibilidades de perfeccionamiento continuo. Los principales líderes de opinión en el tema son norteamericanos, sobre todo bioestadísticos, con empeño en perfeccionar la actividad de las investigaciones </w:t>
      </w:r>
      <w:proofErr w:type="gramStart"/>
      <w:r w:rsidRPr="002C547A">
        <w:rPr>
          <w:lang w:val="es-ES" w:eastAsia="es-ES"/>
        </w:rPr>
        <w:t>clínicas.</w:t>
      </w:r>
      <w:r w:rsidRPr="002C547A">
        <w:rPr>
          <w:vertAlign w:val="superscript"/>
          <w:lang w:val="es-ES" w:eastAsia="es-ES"/>
        </w:rPr>
        <w:t>(</w:t>
      </w:r>
      <w:proofErr w:type="gramEnd"/>
      <w:r w:rsidRPr="002C547A">
        <w:rPr>
          <w:vertAlign w:val="superscript"/>
          <w:lang w:val="es-ES" w:eastAsia="es-ES"/>
        </w:rPr>
        <w:t>12)</w:t>
      </w:r>
    </w:p>
    <w:p w14:paraId="3F8EF698" w14:textId="77777777" w:rsidR="002C547A" w:rsidRPr="002C547A" w:rsidRDefault="002C547A" w:rsidP="002C547A">
      <w:pPr>
        <w:spacing w:line="360" w:lineRule="auto"/>
        <w:ind w:right="140"/>
        <w:jc w:val="both"/>
        <w:rPr>
          <w:lang w:val="es-ES"/>
        </w:rPr>
      </w:pPr>
      <w:r w:rsidRPr="002C547A">
        <w:rPr>
          <w:lang w:val="es-ES" w:eastAsia="es-ES"/>
        </w:rPr>
        <w:t xml:space="preserve">Hasta el año 2016, el registro de ensayos clínicos a nivel mundial, tenía mayor participación de América del Norte (43,07 %) y Europa (28,01 %), mientras que América Latina solo tenía el 5,60 % de subscripción. Sin embargo, en los últimos años, el número de ensayos clínicos en países en desarrollo se ha incrementado. </w:t>
      </w:r>
      <w:r w:rsidRPr="002C547A">
        <w:rPr>
          <w:lang w:val="es-ES"/>
        </w:rPr>
        <w:t xml:space="preserve">La industria farmacéutica y de dispositivos, observa un ahorro sustancial de costos con la realización de ensayos clínicos en países en desarrollo, cada vez más se conducen estudios fase II y III en Asia y América </w:t>
      </w:r>
      <w:proofErr w:type="gramStart"/>
      <w:r w:rsidRPr="002C547A">
        <w:rPr>
          <w:lang w:val="es-ES"/>
        </w:rPr>
        <w:t>Latina.</w:t>
      </w:r>
      <w:r w:rsidRPr="002C547A">
        <w:rPr>
          <w:vertAlign w:val="superscript"/>
          <w:lang w:val="es-ES"/>
        </w:rPr>
        <w:t>(</w:t>
      </w:r>
      <w:proofErr w:type="gramEnd"/>
      <w:r w:rsidRPr="002C547A">
        <w:rPr>
          <w:vertAlign w:val="superscript"/>
          <w:lang w:val="es-ES"/>
        </w:rPr>
        <w:t>13)</w:t>
      </w:r>
    </w:p>
    <w:p w14:paraId="6A970473" w14:textId="77777777" w:rsidR="002C547A" w:rsidRPr="002C547A" w:rsidRDefault="002C547A" w:rsidP="002C547A">
      <w:pPr>
        <w:spacing w:line="360" w:lineRule="auto"/>
        <w:ind w:right="140"/>
        <w:jc w:val="both"/>
        <w:rPr>
          <w:lang w:val="es-ES"/>
        </w:rPr>
      </w:pPr>
      <w:r w:rsidRPr="002C547A">
        <w:rPr>
          <w:lang w:val="es-ES"/>
        </w:rPr>
        <w:t xml:space="preserve">El pronóstico para el 2020 indica que 66,80 % de los estudios clínicos serán conducidos en países desarrollados —en contraste con el 76 % actual— y que 25,20 % se conducirán en países emergentes —en contraste con 15,70 % actual. En esta misma investigación, se acotan las razones que justifican la tendencia al descenso de ensayos clínicos en los EE.UU.: el alto costo financiero, largos plazos aprobatorios, dificultades en el reclutamiento y retención de los participantes, entre </w:t>
      </w:r>
      <w:proofErr w:type="gramStart"/>
      <w:r w:rsidRPr="002C547A">
        <w:rPr>
          <w:lang w:val="es-ES"/>
        </w:rPr>
        <w:t>otras.</w:t>
      </w:r>
      <w:r w:rsidRPr="002C547A">
        <w:rPr>
          <w:vertAlign w:val="superscript"/>
          <w:lang w:val="es-ES"/>
        </w:rPr>
        <w:t>(</w:t>
      </w:r>
      <w:proofErr w:type="gramEnd"/>
      <w:r w:rsidRPr="002C547A">
        <w:rPr>
          <w:vertAlign w:val="superscript"/>
          <w:lang w:val="es-ES"/>
        </w:rPr>
        <w:t>13)</w:t>
      </w:r>
    </w:p>
    <w:p w14:paraId="3E92AACF" w14:textId="77777777" w:rsidR="002C547A" w:rsidRPr="002C547A" w:rsidRDefault="002C547A" w:rsidP="002C547A">
      <w:pPr>
        <w:spacing w:line="360" w:lineRule="auto"/>
        <w:ind w:right="140"/>
        <w:jc w:val="both"/>
        <w:rPr>
          <w:lang w:val="es-ES"/>
        </w:rPr>
      </w:pPr>
      <w:r w:rsidRPr="002C547A">
        <w:rPr>
          <w:lang w:val="es-ES" w:eastAsia="es-ES"/>
        </w:rPr>
        <w:t xml:space="preserve">En este sentido, se une la comunidad científica en la realización de </w:t>
      </w:r>
      <w:r w:rsidRPr="002C547A">
        <w:rPr>
          <w:lang w:val="es-ES"/>
        </w:rPr>
        <w:t xml:space="preserve">investigaciones biomédicas, esenciales para enfrentar los retos del futuro, con resultados que producen nuevos conocimientos y mejores formas de prevenir y tratar las enfermedades. En la actualidad, aparecen cambios sociales vertiginosos con grandes desafíos para la ciencia, como la globalización, el cambio climático, el </w:t>
      </w:r>
      <w:r w:rsidRPr="002C547A">
        <w:rPr>
          <w:lang w:val="es-ES"/>
        </w:rPr>
        <w:lastRenderedPageBreak/>
        <w:t>incremento de la población anciana con aumento de la prevalencia de las enfermedades crónicas, y la aparición de enfermedades emergentes y reemergentes.</w:t>
      </w:r>
    </w:p>
    <w:p w14:paraId="1BAFAAC8" w14:textId="77777777" w:rsidR="002C547A" w:rsidRPr="002C547A" w:rsidRDefault="002C547A" w:rsidP="002C547A">
      <w:pPr>
        <w:spacing w:line="360" w:lineRule="auto"/>
        <w:ind w:right="140"/>
        <w:jc w:val="both"/>
        <w:rPr>
          <w:lang w:val="es-ES" w:eastAsia="es-ES"/>
        </w:rPr>
      </w:pPr>
      <w:r w:rsidRPr="002C547A">
        <w:rPr>
          <w:lang w:val="es-ES" w:eastAsia="es-ES"/>
        </w:rPr>
        <w:t>Con relación a la temática de la información (tabla 3), fue más común la relacionada con las características de los comités, con 93 artículos (44,3 %), seguida de las guías y procedimientos con 49 artículos (23,3 %). Los referidos al análisis de los datos y a otros aspectos, como históricos, regulatorios, monitoreo de riesgo y costos, fueron menos comunes.</w:t>
      </w:r>
    </w:p>
    <w:p w14:paraId="3D377D7E" w14:textId="77777777" w:rsidR="002C547A" w:rsidRPr="002C547A" w:rsidRDefault="002C547A" w:rsidP="002C547A">
      <w:pPr>
        <w:spacing w:line="360" w:lineRule="auto"/>
        <w:ind w:right="140"/>
        <w:jc w:val="both"/>
        <w:rPr>
          <w:lang w:val="es-ES" w:eastAsia="es-ES"/>
        </w:rPr>
      </w:pPr>
    </w:p>
    <w:p w14:paraId="14D62584" w14:textId="77777777" w:rsidR="002C547A" w:rsidRPr="002C547A" w:rsidRDefault="002C547A" w:rsidP="002C547A">
      <w:pPr>
        <w:spacing w:line="360" w:lineRule="auto"/>
        <w:ind w:right="140"/>
        <w:jc w:val="center"/>
        <w:rPr>
          <w:sz w:val="22"/>
          <w:szCs w:val="22"/>
          <w:lang w:val="es-ES" w:eastAsia="es-ES"/>
        </w:rPr>
      </w:pPr>
      <w:r w:rsidRPr="002C547A">
        <w:rPr>
          <w:b/>
          <w:sz w:val="22"/>
          <w:szCs w:val="22"/>
          <w:lang w:val="es-ES" w:eastAsia="es-ES"/>
        </w:rPr>
        <w:t>Tabla 3 -</w:t>
      </w:r>
      <w:r w:rsidRPr="002C547A">
        <w:rPr>
          <w:sz w:val="22"/>
          <w:szCs w:val="22"/>
          <w:lang w:val="es-ES" w:eastAsia="es-ES"/>
        </w:rPr>
        <w:t xml:space="preserve"> Artículos sobre CMD, según la temática de la información (2000 – 2019)</w:t>
      </w:r>
    </w:p>
    <w:p w14:paraId="7669EB27" w14:textId="66398E4E" w:rsidR="002C547A" w:rsidRPr="002C547A" w:rsidRDefault="002C547A" w:rsidP="002C547A">
      <w:pPr>
        <w:spacing w:line="360" w:lineRule="auto"/>
        <w:ind w:right="140"/>
        <w:jc w:val="center"/>
        <w:rPr>
          <w:rFonts w:eastAsia="Calibri"/>
          <w:lang w:val="es-ES" w:eastAsia="es-ES"/>
        </w:rPr>
      </w:pPr>
      <w:r w:rsidRPr="002C547A">
        <w:rPr>
          <w:rFonts w:eastAsia="Calibri"/>
          <w:noProof/>
          <w:lang w:val="es-ES" w:eastAsia="es-ES"/>
        </w:rPr>
        <w:drawing>
          <wp:inline distT="0" distB="0" distL="0" distR="0" wp14:anchorId="21DEA456" wp14:editId="4E6A7C90">
            <wp:extent cx="5400675" cy="2143125"/>
            <wp:effectExtent l="0" t="0" r="0" b="0"/>
            <wp:docPr id="8"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400675" cy="2143125"/>
                    </a:xfrm>
                    <a:prstGeom prst="rect">
                      <a:avLst/>
                    </a:prstGeom>
                    <a:noFill/>
                    <a:ln>
                      <a:noFill/>
                    </a:ln>
                  </pic:spPr>
                </pic:pic>
              </a:graphicData>
            </a:graphic>
          </wp:inline>
        </w:drawing>
      </w:r>
    </w:p>
    <w:p w14:paraId="586F2BD5" w14:textId="77777777" w:rsidR="002C547A" w:rsidRPr="002C547A" w:rsidRDefault="002C547A" w:rsidP="002C547A">
      <w:pPr>
        <w:spacing w:line="360" w:lineRule="auto"/>
        <w:ind w:right="140"/>
        <w:jc w:val="center"/>
        <w:rPr>
          <w:rFonts w:eastAsia="Calibri"/>
          <w:lang w:val="es-ES" w:eastAsia="es-ES"/>
        </w:rPr>
      </w:pPr>
    </w:p>
    <w:p w14:paraId="3BF15D2D" w14:textId="77777777" w:rsidR="002C547A" w:rsidRPr="002C547A" w:rsidRDefault="002C547A" w:rsidP="002C547A">
      <w:pPr>
        <w:spacing w:line="360" w:lineRule="auto"/>
        <w:ind w:right="140"/>
        <w:jc w:val="both"/>
        <w:rPr>
          <w:rFonts w:eastAsia="Calibri"/>
          <w:lang w:val="es-ES" w:eastAsia="es-ES"/>
        </w:rPr>
      </w:pPr>
      <w:r w:rsidRPr="002C547A">
        <w:rPr>
          <w:rFonts w:eastAsia="Calibri"/>
          <w:lang w:val="es-ES" w:eastAsia="es-ES"/>
        </w:rPr>
        <w:t>Con respecto a las características de los comités, existe acuerdo en relación con su estructura y composición, que se describen de manera similar en las guías de los CMD, emitidas por las autoridades reguladoras de diferentes países. Como regla general, se plantea que los comités deben estar conformados por 1 - 20 miembros, con una media de 3 - </w:t>
      </w:r>
      <w:proofErr w:type="gramStart"/>
      <w:r w:rsidRPr="002C547A">
        <w:rPr>
          <w:rFonts w:eastAsia="Calibri"/>
          <w:lang w:val="es-ES" w:eastAsia="es-ES"/>
        </w:rPr>
        <w:t>15.</w:t>
      </w:r>
      <w:r w:rsidRPr="002C547A">
        <w:rPr>
          <w:rFonts w:eastAsia="Calibri"/>
          <w:vertAlign w:val="superscript"/>
          <w:lang w:val="es-ES" w:eastAsia="es-ES"/>
        </w:rPr>
        <w:t>(</w:t>
      </w:r>
      <w:proofErr w:type="gramEnd"/>
      <w:r w:rsidRPr="002C547A">
        <w:rPr>
          <w:rFonts w:eastAsia="Calibri"/>
          <w:vertAlign w:val="superscript"/>
          <w:lang w:val="es-ES" w:eastAsia="es-ES"/>
        </w:rPr>
        <w:t>6,14)</w:t>
      </w:r>
    </w:p>
    <w:p w14:paraId="3590562C" w14:textId="77777777" w:rsidR="002C547A" w:rsidRPr="002C547A" w:rsidRDefault="002C547A" w:rsidP="002C547A">
      <w:pPr>
        <w:spacing w:line="360" w:lineRule="auto"/>
        <w:ind w:right="140"/>
        <w:jc w:val="both"/>
        <w:rPr>
          <w:vertAlign w:val="superscript"/>
          <w:lang w:val="es-ES"/>
        </w:rPr>
      </w:pPr>
      <w:r w:rsidRPr="002C547A">
        <w:rPr>
          <w:lang w:val="es-ES" w:eastAsia="es-ES"/>
        </w:rPr>
        <w:t xml:space="preserve">En relación con la composición del comité, varios grupos de estudio de los CMD, tanto de EE.UU. como del Reino Unido, declaran que debe estar conformado por clínicos con experiencia en el área médica que se estudia, bioestadísticos entrenados en ensayos clínicos y en monitoreo de datos, </w:t>
      </w:r>
      <w:proofErr w:type="spellStart"/>
      <w:r w:rsidRPr="002C547A">
        <w:rPr>
          <w:lang w:val="es-ES" w:eastAsia="es-ES"/>
        </w:rPr>
        <w:t>bioeticistas</w:t>
      </w:r>
      <w:proofErr w:type="spellEnd"/>
      <w:r w:rsidRPr="002C547A">
        <w:rPr>
          <w:lang w:val="es-ES" w:eastAsia="es-ES"/>
        </w:rPr>
        <w:t xml:space="preserve"> y por otros profesionales, como farmacólogos y toxicólogos, todos con experiencia en investigaciones </w:t>
      </w:r>
      <w:proofErr w:type="gramStart"/>
      <w:r w:rsidRPr="002C547A">
        <w:rPr>
          <w:lang w:val="es-ES" w:eastAsia="es-ES"/>
        </w:rPr>
        <w:t>clínicas.</w:t>
      </w:r>
      <w:r w:rsidRPr="002C547A">
        <w:rPr>
          <w:vertAlign w:val="superscript"/>
          <w:lang w:val="es-ES" w:eastAsia="es-ES"/>
        </w:rPr>
        <w:t>(</w:t>
      </w:r>
      <w:proofErr w:type="gramEnd"/>
      <w:r w:rsidRPr="002C547A">
        <w:rPr>
          <w:vertAlign w:val="superscript"/>
          <w:lang w:val="es-ES" w:eastAsia="es-ES"/>
        </w:rPr>
        <w:t>14,15,16)</w:t>
      </w:r>
    </w:p>
    <w:p w14:paraId="7D46B31E" w14:textId="77777777" w:rsidR="002C547A" w:rsidRPr="002C547A" w:rsidRDefault="002C547A" w:rsidP="002C547A">
      <w:pPr>
        <w:spacing w:line="360" w:lineRule="auto"/>
        <w:ind w:right="140"/>
        <w:jc w:val="both"/>
        <w:rPr>
          <w:rFonts w:eastAsia="Calibri"/>
          <w:vertAlign w:val="superscript"/>
          <w:lang w:val="es-ES" w:eastAsia="es-ES"/>
        </w:rPr>
      </w:pPr>
      <w:r w:rsidRPr="002C547A">
        <w:rPr>
          <w:rFonts w:eastAsia="Calibri"/>
          <w:lang w:val="es-ES" w:eastAsia="es-ES"/>
        </w:rPr>
        <w:t xml:space="preserve">Acerca del funcionamiento y organización de los comités, consideran que se necesita crear una infraestructura de recursos materiales y humanos, que garanticen el buen desempeño del comité. Entre los recursos materiales importantes se debe garantizar privacidad, medios de comunicación en buen </w:t>
      </w:r>
      <w:r w:rsidRPr="002C547A">
        <w:rPr>
          <w:rFonts w:eastAsia="Calibri"/>
          <w:lang w:val="es-ES" w:eastAsia="es-ES"/>
        </w:rPr>
        <w:lastRenderedPageBreak/>
        <w:t xml:space="preserve">estado funcional y procedimientos para la comunicación expedita con el promotor, que permitan asegurar el funcionamiento en condiciones </w:t>
      </w:r>
      <w:proofErr w:type="gramStart"/>
      <w:r w:rsidRPr="002C547A">
        <w:rPr>
          <w:rFonts w:eastAsia="Calibri"/>
          <w:lang w:val="es-ES" w:eastAsia="es-ES"/>
        </w:rPr>
        <w:t>óptimas.</w:t>
      </w:r>
      <w:r w:rsidRPr="002C547A">
        <w:rPr>
          <w:rFonts w:eastAsia="Calibri"/>
          <w:vertAlign w:val="superscript"/>
          <w:lang w:val="es-ES" w:eastAsia="es-ES"/>
        </w:rPr>
        <w:t>(</w:t>
      </w:r>
      <w:proofErr w:type="gramEnd"/>
      <w:r w:rsidRPr="002C547A">
        <w:rPr>
          <w:rFonts w:eastAsia="Calibri"/>
          <w:vertAlign w:val="superscript"/>
          <w:lang w:val="es-ES" w:eastAsia="es-ES"/>
        </w:rPr>
        <w:t>15,16)</w:t>
      </w:r>
    </w:p>
    <w:p w14:paraId="1C527DA3" w14:textId="77777777" w:rsidR="002C547A" w:rsidRPr="002C547A" w:rsidRDefault="002C547A" w:rsidP="002C547A">
      <w:pPr>
        <w:spacing w:line="360" w:lineRule="auto"/>
        <w:ind w:right="140"/>
        <w:jc w:val="both"/>
        <w:rPr>
          <w:vertAlign w:val="superscript"/>
          <w:lang w:val="es-ES"/>
        </w:rPr>
      </w:pPr>
      <w:r w:rsidRPr="002C547A">
        <w:rPr>
          <w:rFonts w:eastAsia="Calibri"/>
          <w:lang w:val="es-ES" w:eastAsia="es-ES"/>
        </w:rPr>
        <w:t xml:space="preserve">También se debe asegurar el completamiento de la documentación necesaria en la carpeta del comité, que incluye una copia del de la última versión del protocolo, el plan de monitoreo, los registros de las actividades del equipo, las actas de reuniones abiertas y cerradas, procedimientos, guías y el currículo actualizado de los miembros, donde conste su formación y </w:t>
      </w:r>
      <w:proofErr w:type="gramStart"/>
      <w:r w:rsidRPr="002C547A">
        <w:rPr>
          <w:rFonts w:eastAsia="Calibri"/>
          <w:lang w:val="es-ES" w:eastAsia="es-ES"/>
        </w:rPr>
        <w:t>capacitación.</w:t>
      </w:r>
      <w:r w:rsidRPr="002C547A">
        <w:rPr>
          <w:rFonts w:eastAsia="Calibri"/>
          <w:vertAlign w:val="superscript"/>
          <w:lang w:val="es-ES" w:eastAsia="es-ES"/>
        </w:rPr>
        <w:t>(</w:t>
      </w:r>
      <w:proofErr w:type="gramEnd"/>
      <w:r w:rsidRPr="002C547A">
        <w:rPr>
          <w:rFonts w:eastAsia="Calibri"/>
          <w:vertAlign w:val="superscript"/>
          <w:lang w:val="es-ES" w:eastAsia="es-ES"/>
        </w:rPr>
        <w:t>16,17)</w:t>
      </w:r>
    </w:p>
    <w:p w14:paraId="23AA93E2" w14:textId="77777777" w:rsidR="002C547A" w:rsidRPr="002C547A" w:rsidRDefault="002C547A" w:rsidP="002C547A">
      <w:pPr>
        <w:spacing w:line="360" w:lineRule="auto"/>
        <w:ind w:right="140"/>
        <w:jc w:val="both"/>
        <w:rPr>
          <w:lang w:val="es-ES"/>
        </w:rPr>
      </w:pPr>
      <w:r w:rsidRPr="002C547A">
        <w:rPr>
          <w:lang w:val="es-ES"/>
        </w:rPr>
        <w:t xml:space="preserve">El surgimiento de novedosos tipos de diseño de ensayos clínicos, impone nuevas demandas, desafíos y limitaciones al funcionamiento de los CMD. Existe un amplio consenso en varios principios y procedimientos relacionados con su funcionamiento, pero también importantes aspectos en los cuales actualmente no hay uniformidad de criterios, por ejemplo, en ensayos donde existen conflictos </w:t>
      </w:r>
      <w:proofErr w:type="gramStart"/>
      <w:r w:rsidRPr="002C547A">
        <w:rPr>
          <w:lang w:val="es-ES"/>
        </w:rPr>
        <w:t>éticos.</w:t>
      </w:r>
      <w:r w:rsidRPr="002C547A">
        <w:rPr>
          <w:vertAlign w:val="superscript"/>
          <w:lang w:val="es-ES"/>
        </w:rPr>
        <w:t>(</w:t>
      </w:r>
      <w:proofErr w:type="gramEnd"/>
      <w:r w:rsidRPr="002C547A">
        <w:rPr>
          <w:vertAlign w:val="superscript"/>
          <w:lang w:val="es-ES"/>
        </w:rPr>
        <w:t>12)</w:t>
      </w:r>
    </w:p>
    <w:p w14:paraId="61F80B62" w14:textId="77777777" w:rsidR="002C547A" w:rsidRPr="002C547A" w:rsidRDefault="002C547A" w:rsidP="002C547A">
      <w:pPr>
        <w:spacing w:line="360" w:lineRule="auto"/>
        <w:ind w:right="140"/>
        <w:jc w:val="both"/>
        <w:rPr>
          <w:color w:val="FF0000"/>
          <w:lang w:val="es-ES" w:eastAsia="es-ES"/>
        </w:rPr>
      </w:pPr>
      <w:r w:rsidRPr="002C547A">
        <w:rPr>
          <w:lang w:val="es-ES" w:eastAsia="es-ES"/>
        </w:rPr>
        <w:t xml:space="preserve">En el año 2013, el </w:t>
      </w:r>
      <w:r w:rsidRPr="002C547A">
        <w:rPr>
          <w:i/>
          <w:lang w:val="es-ES" w:eastAsia="es-ES"/>
        </w:rPr>
        <w:t xml:space="preserve">Multi-Regional </w:t>
      </w:r>
      <w:proofErr w:type="spellStart"/>
      <w:r w:rsidRPr="002C547A">
        <w:rPr>
          <w:i/>
          <w:lang w:val="es-ES" w:eastAsia="es-ES"/>
        </w:rPr>
        <w:t>Clinical</w:t>
      </w:r>
      <w:proofErr w:type="spellEnd"/>
      <w:r w:rsidRPr="002C547A">
        <w:rPr>
          <w:i/>
          <w:lang w:val="es-ES" w:eastAsia="es-ES"/>
        </w:rPr>
        <w:t xml:space="preserve"> </w:t>
      </w:r>
      <w:proofErr w:type="spellStart"/>
      <w:r w:rsidRPr="002C547A">
        <w:rPr>
          <w:i/>
          <w:lang w:val="es-ES" w:eastAsia="es-ES"/>
        </w:rPr>
        <w:t>Trials</w:t>
      </w:r>
      <w:proofErr w:type="spellEnd"/>
      <w:r w:rsidRPr="002C547A">
        <w:rPr>
          <w:i/>
          <w:lang w:val="es-ES" w:eastAsia="es-ES"/>
        </w:rPr>
        <w:t xml:space="preserve"> Center</w:t>
      </w:r>
      <w:r w:rsidRPr="002C547A">
        <w:rPr>
          <w:lang w:val="es-ES" w:eastAsia="es-ES"/>
        </w:rPr>
        <w:t xml:space="preserve"> (</w:t>
      </w:r>
      <w:r w:rsidRPr="002C547A">
        <w:rPr>
          <w:i/>
          <w:lang w:val="es-ES" w:eastAsia="es-ES"/>
        </w:rPr>
        <w:t>MRCT Center</w:t>
      </w:r>
      <w:r w:rsidRPr="002C547A">
        <w:rPr>
          <w:lang w:val="es-ES" w:eastAsia="es-ES"/>
        </w:rPr>
        <w:t>) comenzó un programa internacional con la participación de varios expertos, que trata, entre otros, aspectos regulatorios y relacionados con los principios del funcionamiento de los CMD, con particular atención a los países en desarrollo.</w:t>
      </w:r>
      <w:r w:rsidRPr="002C547A">
        <w:rPr>
          <w:vertAlign w:val="superscript"/>
          <w:lang w:val="es-ES" w:eastAsia="es-ES"/>
        </w:rPr>
        <w:t xml:space="preserve">(14) </w:t>
      </w:r>
      <w:r w:rsidRPr="002C547A">
        <w:rPr>
          <w:lang w:val="es-ES" w:eastAsia="es-ES"/>
        </w:rPr>
        <w:t>Robustecer los CMD en los ensayos clínicos, desde todos los puntos de vista, y reconocer su valor, son fortalezas para las investigaciones, en tanto se garantiza la seguridad de los sujetos participantes y la validez e integridad de los datos.</w:t>
      </w:r>
      <w:r w:rsidRPr="002C547A">
        <w:rPr>
          <w:vertAlign w:val="superscript"/>
          <w:lang w:val="es-ES" w:eastAsia="es-ES"/>
        </w:rPr>
        <w:t>(17,18,19)</w:t>
      </w:r>
    </w:p>
    <w:p w14:paraId="03D996FB" w14:textId="77777777" w:rsidR="002C547A" w:rsidRPr="002C547A" w:rsidRDefault="002C547A" w:rsidP="002C547A">
      <w:pPr>
        <w:spacing w:line="360" w:lineRule="auto"/>
        <w:ind w:right="140"/>
        <w:jc w:val="both"/>
        <w:rPr>
          <w:lang w:val="es-ES" w:eastAsia="es-ES"/>
        </w:rPr>
      </w:pPr>
      <w:r w:rsidRPr="002C547A">
        <w:rPr>
          <w:lang w:val="es-ES" w:eastAsia="es-ES"/>
        </w:rPr>
        <w:t>En función de la uniformidad en los procedimientos de los CMD, las agencias reguladoras de países y regiones, como EE.UU., la Unión Europea, Japón, Australia, entre otros, poseen guías para la creación, organización y funcionamiento de los CMD;</w:t>
      </w:r>
      <w:r w:rsidRPr="002C547A">
        <w:rPr>
          <w:vertAlign w:val="superscript"/>
          <w:lang w:val="es-ES" w:eastAsia="es-ES"/>
        </w:rPr>
        <w:t xml:space="preserve">(20,21,22,23,24,25) </w:t>
      </w:r>
      <w:r w:rsidRPr="002C547A">
        <w:rPr>
          <w:lang w:val="es-ES" w:eastAsia="es-ES"/>
        </w:rPr>
        <w:t xml:space="preserve">van destinadas a promotores de ensayos clínicos y aportan beneficios, al estandarizar la labor de los comités desde la perspectiva regulatoria. Esto constituye una garantía de los resultados, beneficio para la comunidad científica internacional y de los investigadores, que se favorecen con su uso.  </w:t>
      </w:r>
    </w:p>
    <w:p w14:paraId="4D81CFA2" w14:textId="77777777" w:rsidR="002C547A" w:rsidRPr="002C547A" w:rsidRDefault="002C547A" w:rsidP="002C547A">
      <w:pPr>
        <w:spacing w:line="360" w:lineRule="auto"/>
        <w:ind w:right="140"/>
        <w:jc w:val="both"/>
        <w:rPr>
          <w:rFonts w:eastAsia="Calibri"/>
          <w:lang w:val="es-ES" w:eastAsia="es-ES"/>
        </w:rPr>
      </w:pPr>
      <w:r w:rsidRPr="002C547A">
        <w:rPr>
          <w:rFonts w:eastAsia="Calibri"/>
          <w:lang w:val="es-ES" w:eastAsia="es-ES"/>
        </w:rPr>
        <w:t xml:space="preserve">Otra característica de los comités, son los requisitos para crearlos. Al respecto, se plantean criterios clínicos y metodológicos que deben </w:t>
      </w:r>
      <w:proofErr w:type="gramStart"/>
      <w:r w:rsidRPr="002C547A">
        <w:rPr>
          <w:rFonts w:eastAsia="Calibri"/>
          <w:lang w:val="es-ES" w:eastAsia="es-ES"/>
        </w:rPr>
        <w:t>cumplirse.</w:t>
      </w:r>
      <w:r w:rsidRPr="002C547A">
        <w:rPr>
          <w:rFonts w:eastAsia="Calibri"/>
          <w:vertAlign w:val="superscript"/>
          <w:lang w:val="es-ES" w:eastAsia="es-ES"/>
        </w:rPr>
        <w:t>(</w:t>
      </w:r>
      <w:proofErr w:type="gramEnd"/>
      <w:r w:rsidRPr="002C547A">
        <w:rPr>
          <w:rFonts w:eastAsia="Calibri"/>
          <w:vertAlign w:val="superscript"/>
          <w:lang w:val="es-ES" w:eastAsia="es-ES"/>
        </w:rPr>
        <w:t>26)</w:t>
      </w:r>
    </w:p>
    <w:p w14:paraId="08075964" w14:textId="77777777" w:rsidR="002C547A" w:rsidRPr="002C547A" w:rsidRDefault="002C547A" w:rsidP="002C547A">
      <w:pPr>
        <w:spacing w:line="360" w:lineRule="auto"/>
        <w:ind w:right="140"/>
        <w:jc w:val="both"/>
        <w:rPr>
          <w:rFonts w:eastAsia="Calibri"/>
          <w:lang w:val="es-ES" w:eastAsia="es-ES"/>
        </w:rPr>
      </w:pPr>
      <w:r w:rsidRPr="002C547A">
        <w:rPr>
          <w:rFonts w:eastAsia="Calibri"/>
          <w:lang w:val="es-ES" w:eastAsia="es-ES"/>
        </w:rPr>
        <w:t>Son criterios clínicos:</w:t>
      </w:r>
    </w:p>
    <w:p w14:paraId="1CFCF525" w14:textId="77777777" w:rsidR="002C547A" w:rsidRPr="002C547A" w:rsidRDefault="002C547A" w:rsidP="002C547A">
      <w:pPr>
        <w:spacing w:line="360" w:lineRule="auto"/>
        <w:ind w:right="140"/>
        <w:jc w:val="both"/>
        <w:rPr>
          <w:rFonts w:eastAsia="Calibri"/>
          <w:lang w:val="es-ES" w:eastAsia="es-ES"/>
        </w:rPr>
      </w:pPr>
    </w:p>
    <w:p w14:paraId="2F555F8A" w14:textId="77777777" w:rsidR="002C547A" w:rsidRPr="002C547A" w:rsidRDefault="002C547A" w:rsidP="002C547A">
      <w:pPr>
        <w:numPr>
          <w:ilvl w:val="0"/>
          <w:numId w:val="7"/>
        </w:numPr>
        <w:spacing w:after="200" w:line="360" w:lineRule="auto"/>
        <w:ind w:right="140"/>
        <w:contextualSpacing/>
        <w:jc w:val="both"/>
        <w:rPr>
          <w:rFonts w:eastAsia="Calibri"/>
          <w:lang w:val="es-ES" w:eastAsia="es-ES"/>
        </w:rPr>
      </w:pPr>
      <w:r w:rsidRPr="002C547A">
        <w:rPr>
          <w:rFonts w:eastAsia="Calibri"/>
          <w:lang w:val="es-ES" w:eastAsia="es-ES"/>
        </w:rPr>
        <w:t xml:space="preserve">Se establece que el comité se nombra en ensayos clínicos con pocos datos disponibles sobre seguridad, o cuando hay información previa que sugiere la posibilidad de toxicidad del producto innovador, lo cual puede generar preocupaciones inusualmente altas. También, si hay razones a </w:t>
      </w:r>
      <w:r w:rsidRPr="002C547A">
        <w:rPr>
          <w:rFonts w:eastAsia="Calibri"/>
          <w:lang w:val="es-ES" w:eastAsia="es-ES"/>
        </w:rPr>
        <w:lastRenderedPageBreak/>
        <w:t>priori para una preocupación de seguridad particular, como cuando el procedimiento para administrar el tratamiento, es particularmente invasivo.</w:t>
      </w:r>
    </w:p>
    <w:p w14:paraId="793EF577" w14:textId="77777777" w:rsidR="002C547A" w:rsidRPr="002C547A" w:rsidRDefault="002C547A" w:rsidP="002C547A">
      <w:pPr>
        <w:numPr>
          <w:ilvl w:val="0"/>
          <w:numId w:val="7"/>
        </w:numPr>
        <w:spacing w:after="200" w:line="360" w:lineRule="auto"/>
        <w:ind w:right="140"/>
        <w:contextualSpacing/>
        <w:jc w:val="both"/>
        <w:rPr>
          <w:rFonts w:eastAsia="Calibri"/>
          <w:vertAlign w:val="superscript"/>
          <w:lang w:val="es-ES" w:eastAsia="es-ES"/>
        </w:rPr>
      </w:pPr>
      <w:r w:rsidRPr="002C547A">
        <w:rPr>
          <w:rFonts w:eastAsia="Calibri"/>
          <w:lang w:val="es-ES" w:eastAsia="es-ES"/>
        </w:rPr>
        <w:t>La investiga</w:t>
      </w:r>
      <w:r w:rsidRPr="002C547A">
        <w:rPr>
          <w:lang w:val="es-ES" w:eastAsia="es-ES"/>
        </w:rPr>
        <w:t xml:space="preserve">ción </w:t>
      </w:r>
      <w:r w:rsidRPr="002C547A">
        <w:rPr>
          <w:rFonts w:eastAsia="Calibri"/>
          <w:lang w:val="es-ES" w:eastAsia="es-ES"/>
        </w:rPr>
        <w:t xml:space="preserve">es la variable principal de la mortalidad o morbilidad mayor, bien porque se evalúen los tratamientos destinados a prolongar la vida o para reducir el riesgo de un resultado de salud adverso importante, como un evento cardiovascular, sida, ictus, recurrencia de cáncer o progresión de un </w:t>
      </w:r>
      <w:proofErr w:type="gramStart"/>
      <w:r w:rsidRPr="002C547A">
        <w:rPr>
          <w:rFonts w:eastAsia="Calibri"/>
          <w:lang w:val="es-ES" w:eastAsia="es-ES"/>
        </w:rPr>
        <w:t>tumor.</w:t>
      </w:r>
      <w:r w:rsidRPr="002C547A">
        <w:rPr>
          <w:rFonts w:eastAsia="Calibri"/>
          <w:vertAlign w:val="superscript"/>
          <w:lang w:val="es-ES" w:eastAsia="es-ES"/>
        </w:rPr>
        <w:t>(</w:t>
      </w:r>
      <w:proofErr w:type="gramEnd"/>
      <w:r w:rsidRPr="002C547A">
        <w:rPr>
          <w:rFonts w:eastAsia="Calibri"/>
          <w:vertAlign w:val="superscript"/>
          <w:lang w:val="es-ES" w:eastAsia="es-ES"/>
        </w:rPr>
        <w:t>15,26,27)</w:t>
      </w:r>
    </w:p>
    <w:p w14:paraId="7F5BC93E" w14:textId="77777777" w:rsidR="002C547A" w:rsidRPr="002C547A" w:rsidRDefault="002C547A" w:rsidP="002C547A">
      <w:pPr>
        <w:numPr>
          <w:ilvl w:val="0"/>
          <w:numId w:val="7"/>
        </w:numPr>
        <w:spacing w:after="200" w:line="360" w:lineRule="auto"/>
        <w:ind w:right="140"/>
        <w:contextualSpacing/>
        <w:jc w:val="both"/>
        <w:rPr>
          <w:rFonts w:eastAsia="Calibri"/>
          <w:vertAlign w:val="superscript"/>
          <w:lang w:val="es-ES" w:eastAsia="es-ES"/>
        </w:rPr>
      </w:pPr>
      <w:r w:rsidRPr="002C547A">
        <w:rPr>
          <w:rFonts w:eastAsia="Calibri"/>
          <w:lang w:val="es-ES" w:eastAsia="es-ES"/>
        </w:rPr>
        <w:t xml:space="preserve">Si los estudios se realizan en población de alto riesgo de muerte u otra enfermedad con resultados serios, aunque el objetivo del estudio se dirija a un punto final menor, como el alivio de un síntoma. También se establecen los CMD cuando el estudio se realiza en poblaciones potencialmente frágiles, como niños, embarazadas, analfabetos, ancianos u otras poblaciones vulnerables, como enfermedad terminal o capacidad mental </w:t>
      </w:r>
      <w:proofErr w:type="gramStart"/>
      <w:r w:rsidRPr="002C547A">
        <w:rPr>
          <w:rFonts w:eastAsia="Calibri"/>
          <w:lang w:val="es-ES" w:eastAsia="es-ES"/>
        </w:rPr>
        <w:t>disminuida.</w:t>
      </w:r>
      <w:r w:rsidRPr="002C547A">
        <w:rPr>
          <w:rFonts w:eastAsia="Calibri"/>
          <w:vertAlign w:val="superscript"/>
          <w:lang w:val="es-ES" w:eastAsia="es-ES"/>
        </w:rPr>
        <w:t>(</w:t>
      </w:r>
      <w:proofErr w:type="gramEnd"/>
      <w:r w:rsidRPr="002C547A">
        <w:rPr>
          <w:rFonts w:eastAsia="Calibri"/>
          <w:vertAlign w:val="superscript"/>
          <w:lang w:val="es-ES" w:eastAsia="es-ES"/>
        </w:rPr>
        <w:t>5,27,28)</w:t>
      </w:r>
    </w:p>
    <w:p w14:paraId="7F4448D4" w14:textId="77777777" w:rsidR="002C547A" w:rsidRPr="002C547A" w:rsidRDefault="002C547A" w:rsidP="002C547A">
      <w:pPr>
        <w:spacing w:line="360" w:lineRule="auto"/>
        <w:jc w:val="both"/>
        <w:rPr>
          <w:rFonts w:eastAsia="Calibri"/>
          <w:lang w:val="es-ES" w:eastAsia="es-ES"/>
        </w:rPr>
      </w:pPr>
    </w:p>
    <w:p w14:paraId="79AAF036" w14:textId="77777777" w:rsidR="002C547A" w:rsidRPr="002C547A" w:rsidRDefault="002C547A" w:rsidP="002C547A">
      <w:pPr>
        <w:spacing w:line="360" w:lineRule="auto"/>
        <w:jc w:val="both"/>
        <w:rPr>
          <w:rFonts w:eastAsia="Calibri"/>
          <w:lang w:val="es-ES" w:eastAsia="es-ES"/>
        </w:rPr>
      </w:pPr>
      <w:r w:rsidRPr="002C547A">
        <w:rPr>
          <w:rFonts w:eastAsia="Calibri"/>
          <w:lang w:val="es-ES" w:eastAsia="es-ES"/>
        </w:rPr>
        <w:t>Como criterios metodológicos se establecen:</w:t>
      </w:r>
    </w:p>
    <w:p w14:paraId="2DCE49EB" w14:textId="77777777" w:rsidR="002C547A" w:rsidRPr="002C547A" w:rsidRDefault="002C547A" w:rsidP="002C547A">
      <w:pPr>
        <w:spacing w:line="360" w:lineRule="auto"/>
        <w:jc w:val="both"/>
        <w:rPr>
          <w:rFonts w:eastAsia="Calibri"/>
          <w:lang w:val="es-ES" w:eastAsia="es-ES"/>
        </w:rPr>
      </w:pPr>
    </w:p>
    <w:p w14:paraId="5DF6916A" w14:textId="77777777" w:rsidR="002C547A" w:rsidRPr="002C547A" w:rsidRDefault="002C547A" w:rsidP="002C547A">
      <w:pPr>
        <w:numPr>
          <w:ilvl w:val="0"/>
          <w:numId w:val="8"/>
        </w:numPr>
        <w:spacing w:after="200" w:line="360" w:lineRule="auto"/>
        <w:contextualSpacing/>
        <w:jc w:val="both"/>
        <w:rPr>
          <w:rFonts w:eastAsia="Calibri"/>
          <w:lang w:val="es-ES" w:eastAsia="es-ES"/>
        </w:rPr>
      </w:pPr>
      <w:r w:rsidRPr="002C547A">
        <w:rPr>
          <w:rFonts w:eastAsia="Calibri"/>
          <w:lang w:val="es-ES" w:eastAsia="es-ES"/>
        </w:rPr>
        <w:t xml:space="preserve">La necesidad de conformación del CMD para los ensayos en los cuales se planea, en el análisis interino, la posibilidad de detención temprana o antes de la fecha prevista; en estudios en los que el punto final es tal que un resultado altamente favorable o desfavorable, o incluso un hallazgo de futilidad, pueda requerir éticamente la terminación del ensayo antes de su finalización </w:t>
      </w:r>
      <w:proofErr w:type="gramStart"/>
      <w:r w:rsidRPr="002C547A">
        <w:rPr>
          <w:rFonts w:eastAsia="Calibri"/>
          <w:lang w:val="es-ES" w:eastAsia="es-ES"/>
        </w:rPr>
        <w:t>planificada.</w:t>
      </w:r>
      <w:r w:rsidRPr="002C547A">
        <w:rPr>
          <w:rFonts w:eastAsia="Calibri"/>
          <w:vertAlign w:val="superscript"/>
          <w:lang w:val="es-ES" w:eastAsia="es-ES"/>
        </w:rPr>
        <w:t>(</w:t>
      </w:r>
      <w:proofErr w:type="gramEnd"/>
      <w:r w:rsidRPr="002C547A">
        <w:rPr>
          <w:rFonts w:eastAsia="Calibri"/>
          <w:vertAlign w:val="superscript"/>
          <w:lang w:val="es-ES" w:eastAsia="es-ES"/>
        </w:rPr>
        <w:t>29,30)</w:t>
      </w:r>
    </w:p>
    <w:p w14:paraId="57356F91" w14:textId="77777777" w:rsidR="002C547A" w:rsidRPr="002C547A" w:rsidRDefault="002C547A" w:rsidP="002C547A">
      <w:pPr>
        <w:numPr>
          <w:ilvl w:val="0"/>
          <w:numId w:val="8"/>
        </w:numPr>
        <w:spacing w:after="200" w:line="360" w:lineRule="auto"/>
        <w:contextualSpacing/>
        <w:jc w:val="both"/>
        <w:rPr>
          <w:rFonts w:eastAsia="Calibri"/>
          <w:vertAlign w:val="superscript"/>
          <w:lang w:val="es-ES" w:eastAsia="es-ES"/>
        </w:rPr>
      </w:pPr>
      <w:r w:rsidRPr="002C547A">
        <w:rPr>
          <w:rFonts w:eastAsia="Calibri"/>
          <w:lang w:val="es-ES" w:eastAsia="es-ES"/>
        </w:rPr>
        <w:t xml:space="preserve">Los estudios extensos, multicéntricos, multinacionales e intercontinentales, en los cuales se espera involucrar gran cantidad de voluntarios; en los ensayos con diseños flexibles, como los estudios </w:t>
      </w:r>
      <w:r w:rsidRPr="002C547A">
        <w:rPr>
          <w:rFonts w:eastAsia="Calibri"/>
          <w:bCs/>
          <w:lang w:val="es-ES" w:eastAsia="es-ES"/>
        </w:rPr>
        <w:t>adaptativos, secuenciales, bayesianos, con diseños enriquecidos; en la fusión de protocolos exploratorios y confirmatorios; en las alternativas a los ensayos clínicos controlados paralelos</w:t>
      </w:r>
      <w:r w:rsidRPr="002C547A">
        <w:rPr>
          <w:rFonts w:eastAsia="Calibri"/>
          <w:lang w:val="es-ES" w:eastAsia="es-ES"/>
        </w:rPr>
        <w:t xml:space="preserve"> y también en los estudios de larga </w:t>
      </w:r>
      <w:proofErr w:type="gramStart"/>
      <w:r w:rsidRPr="002C547A">
        <w:rPr>
          <w:rFonts w:eastAsia="Calibri"/>
          <w:lang w:val="es-ES" w:eastAsia="es-ES"/>
        </w:rPr>
        <w:t>duración.</w:t>
      </w:r>
      <w:r w:rsidRPr="002C547A">
        <w:rPr>
          <w:rFonts w:eastAsia="Calibri"/>
          <w:vertAlign w:val="superscript"/>
          <w:lang w:val="es-ES" w:eastAsia="es-ES"/>
        </w:rPr>
        <w:t>(</w:t>
      </w:r>
      <w:proofErr w:type="gramEnd"/>
      <w:r w:rsidRPr="002C547A">
        <w:rPr>
          <w:rFonts w:eastAsia="Calibri"/>
          <w:vertAlign w:val="superscript"/>
          <w:lang w:val="es-ES" w:eastAsia="es-ES"/>
        </w:rPr>
        <w:t>5)</w:t>
      </w:r>
    </w:p>
    <w:p w14:paraId="3805E245" w14:textId="77777777" w:rsidR="002C547A" w:rsidRPr="002C547A" w:rsidRDefault="002C547A" w:rsidP="002C547A">
      <w:pPr>
        <w:spacing w:line="360" w:lineRule="auto"/>
        <w:ind w:right="140"/>
        <w:jc w:val="both"/>
        <w:rPr>
          <w:lang w:val="es-ES" w:eastAsia="es-ES"/>
        </w:rPr>
      </w:pPr>
    </w:p>
    <w:p w14:paraId="54C64DAD" w14:textId="77777777" w:rsidR="002C547A" w:rsidRPr="002C547A" w:rsidRDefault="002C547A" w:rsidP="002C547A">
      <w:pPr>
        <w:spacing w:line="360" w:lineRule="auto"/>
        <w:ind w:right="140"/>
        <w:jc w:val="both"/>
        <w:rPr>
          <w:lang w:val="es-ES" w:eastAsia="es-ES"/>
        </w:rPr>
      </w:pPr>
      <w:r w:rsidRPr="002C547A">
        <w:rPr>
          <w:lang w:val="es-ES" w:eastAsia="es-ES"/>
        </w:rPr>
        <w:t xml:space="preserve">Las nominaciones o invitaciones para formar un CMD, deben considerarse desde el principio, en el período de organización y planificación del ensayo, o al menos, tan pronto como sea posible, incluso después de que se haya otorgado la autorización por la agencia reguladora, pero siempre debe ser antes del inicio del proceso de reclutamiento. </w:t>
      </w:r>
    </w:p>
    <w:p w14:paraId="569ED32B" w14:textId="77777777" w:rsidR="002C547A" w:rsidRPr="002C547A" w:rsidRDefault="002C547A" w:rsidP="002C547A">
      <w:pPr>
        <w:spacing w:line="360" w:lineRule="auto"/>
        <w:ind w:right="140"/>
        <w:jc w:val="both"/>
        <w:rPr>
          <w:lang w:val="es-ES" w:eastAsia="es-ES"/>
        </w:rPr>
      </w:pPr>
      <w:r w:rsidRPr="002C547A">
        <w:rPr>
          <w:lang w:val="es-ES" w:eastAsia="es-ES"/>
        </w:rPr>
        <w:lastRenderedPageBreak/>
        <w:t>En su desempeño como equipo de monitoreo, el CMD se crea, organiza y funciona, de acuerdo a una guía nacional o internacional, aprobada por la agencia reguladora de medicamentos del país en que se efectúa la investigación, o al menos, por un PNO y un plan de monitoreo, que se incluye o adjunta al protocolo del estudio, en el cual se declara el trabajo del comité dentro de ese ensayo clínico.</w:t>
      </w:r>
    </w:p>
    <w:p w14:paraId="2617F2FD" w14:textId="2FC176C4" w:rsidR="002C547A" w:rsidRPr="002C547A" w:rsidRDefault="002C547A" w:rsidP="002C547A">
      <w:pPr>
        <w:spacing w:line="360" w:lineRule="auto"/>
        <w:ind w:right="140"/>
        <w:jc w:val="both"/>
        <w:rPr>
          <w:rFonts w:eastAsia="Calibri"/>
          <w:color w:val="5F5F5F"/>
          <w:u w:val="single"/>
          <w:lang w:val="es-ES" w:eastAsia="es-ES"/>
        </w:rPr>
      </w:pPr>
      <w:r w:rsidRPr="002C547A">
        <w:rPr>
          <w:lang w:val="es-ES" w:eastAsia="es-ES"/>
        </w:rPr>
        <w:t xml:space="preserve">Algunos autores resaltan por su contribución en el tema, con aportes de alto valor científico que es literatura de consulta obligada para los interesados en este asunto. Entre los más relevantes destaca </w:t>
      </w:r>
      <w:r w:rsidRPr="002C547A">
        <w:rPr>
          <w:i/>
          <w:lang w:val="es-ES" w:eastAsia="es-ES"/>
        </w:rPr>
        <w:t xml:space="preserve">Susan </w:t>
      </w:r>
      <w:proofErr w:type="spellStart"/>
      <w:r w:rsidRPr="002C547A">
        <w:rPr>
          <w:i/>
          <w:lang w:val="es-ES" w:eastAsia="es-ES"/>
        </w:rPr>
        <w:t>Ellenberg</w:t>
      </w:r>
      <w:proofErr w:type="spellEnd"/>
      <w:r w:rsidRPr="002C547A">
        <w:rPr>
          <w:i/>
          <w:lang w:val="es-ES" w:eastAsia="es-ES"/>
        </w:rPr>
        <w:t xml:space="preserve"> </w:t>
      </w:r>
      <w:r w:rsidRPr="002C547A">
        <w:rPr>
          <w:lang w:val="es-ES" w:eastAsia="es-ES"/>
        </w:rPr>
        <w:t xml:space="preserve">de la universidad de Pensilvania, coautora junto a </w:t>
      </w:r>
      <w:r w:rsidRPr="002C547A">
        <w:rPr>
          <w:rFonts w:eastAsia="Calibri"/>
          <w:i/>
          <w:lang w:val="es-ES" w:eastAsia="es-ES"/>
        </w:rPr>
        <w:t xml:space="preserve">Thomas R. Fleming </w:t>
      </w:r>
      <w:r w:rsidRPr="002C547A">
        <w:rPr>
          <w:rFonts w:eastAsia="Calibri"/>
          <w:lang w:val="es-ES" w:eastAsia="es-ES"/>
        </w:rPr>
        <w:t xml:space="preserve">y </w:t>
      </w:r>
      <w:r w:rsidRPr="002C547A">
        <w:rPr>
          <w:rFonts w:eastAsia="Calibri"/>
          <w:i/>
          <w:lang w:val="es-ES" w:eastAsia="es-ES"/>
        </w:rPr>
        <w:t xml:space="preserve">David L. de Mets </w:t>
      </w:r>
      <w:r w:rsidRPr="002C547A">
        <w:rPr>
          <w:rFonts w:eastAsia="Calibri"/>
          <w:lang w:val="es-ES" w:eastAsia="es-ES"/>
        </w:rPr>
        <w:t xml:space="preserve">del libro </w:t>
      </w:r>
      <w:r w:rsidRPr="002C547A">
        <w:rPr>
          <w:rFonts w:eastAsia="Calibri"/>
          <w:i/>
          <w:lang w:val="es-ES" w:eastAsia="es-ES"/>
        </w:rPr>
        <w:t xml:space="preserve">Data </w:t>
      </w:r>
      <w:proofErr w:type="spellStart"/>
      <w:r w:rsidRPr="002C547A">
        <w:rPr>
          <w:rFonts w:eastAsia="Calibri"/>
          <w:i/>
          <w:lang w:val="es-ES" w:eastAsia="es-ES"/>
        </w:rPr>
        <w:t>monitoring</w:t>
      </w:r>
      <w:proofErr w:type="spellEnd"/>
      <w:r w:rsidRPr="002C547A">
        <w:rPr>
          <w:rFonts w:eastAsia="Calibri"/>
          <w:i/>
          <w:lang w:val="es-ES" w:eastAsia="es-ES"/>
        </w:rPr>
        <w:t xml:space="preserve"> </w:t>
      </w:r>
      <w:proofErr w:type="spellStart"/>
      <w:r w:rsidRPr="002C547A">
        <w:rPr>
          <w:rFonts w:eastAsia="Calibri"/>
          <w:i/>
          <w:lang w:val="es-ES" w:eastAsia="es-ES"/>
        </w:rPr>
        <w:t>committees</w:t>
      </w:r>
      <w:proofErr w:type="spellEnd"/>
      <w:r w:rsidRPr="002C547A">
        <w:rPr>
          <w:rFonts w:eastAsia="Calibri"/>
          <w:i/>
          <w:lang w:val="es-ES" w:eastAsia="es-ES"/>
        </w:rPr>
        <w:t xml:space="preserve"> in </w:t>
      </w:r>
      <w:proofErr w:type="spellStart"/>
      <w:r w:rsidRPr="002C547A">
        <w:rPr>
          <w:rFonts w:eastAsia="Calibri"/>
          <w:i/>
          <w:lang w:val="es-ES" w:eastAsia="es-ES"/>
        </w:rPr>
        <w:t>clinical</w:t>
      </w:r>
      <w:proofErr w:type="spellEnd"/>
      <w:r w:rsidRPr="002C547A">
        <w:rPr>
          <w:rFonts w:eastAsia="Calibri"/>
          <w:i/>
          <w:lang w:val="es-ES" w:eastAsia="es-ES"/>
        </w:rPr>
        <w:t xml:space="preserve"> </w:t>
      </w:r>
      <w:proofErr w:type="spellStart"/>
      <w:r w:rsidRPr="002C547A">
        <w:rPr>
          <w:rFonts w:eastAsia="Calibri"/>
          <w:i/>
          <w:lang w:val="es-ES" w:eastAsia="es-ES"/>
        </w:rPr>
        <w:t>trials</w:t>
      </w:r>
      <w:proofErr w:type="spellEnd"/>
      <w:r w:rsidRPr="002C547A">
        <w:rPr>
          <w:rFonts w:eastAsia="Calibri"/>
          <w:i/>
          <w:lang w:val="es-ES" w:eastAsia="es-ES"/>
        </w:rPr>
        <w:t xml:space="preserve">: a </w:t>
      </w:r>
      <w:proofErr w:type="spellStart"/>
      <w:r w:rsidRPr="002C547A">
        <w:rPr>
          <w:rFonts w:eastAsia="Calibri"/>
          <w:i/>
          <w:lang w:val="es-ES" w:eastAsia="es-ES"/>
        </w:rPr>
        <w:t>practical</w:t>
      </w:r>
      <w:proofErr w:type="spellEnd"/>
      <w:r w:rsidR="00AC4A50">
        <w:rPr>
          <w:rFonts w:eastAsia="Calibri"/>
          <w:i/>
          <w:lang w:val="es-ES" w:eastAsia="es-ES"/>
        </w:rPr>
        <w:t xml:space="preserve"> </w:t>
      </w:r>
      <w:proofErr w:type="spellStart"/>
      <w:r w:rsidRPr="002C547A">
        <w:rPr>
          <w:rFonts w:eastAsia="Calibri"/>
          <w:i/>
          <w:lang w:val="es-ES" w:eastAsia="es-ES"/>
        </w:rPr>
        <w:t>perspective</w:t>
      </w:r>
      <w:proofErr w:type="spellEnd"/>
      <w:r w:rsidRPr="002C547A">
        <w:rPr>
          <w:rFonts w:eastAsia="Calibri"/>
          <w:lang w:val="es-ES" w:eastAsia="es-ES"/>
        </w:rPr>
        <w:t>,</w:t>
      </w:r>
      <w:r w:rsidRPr="002C547A">
        <w:rPr>
          <w:rFonts w:eastAsia="Calibri"/>
          <w:i/>
          <w:lang w:val="es-ES" w:eastAsia="es-ES"/>
        </w:rPr>
        <w:t xml:space="preserve"> </w:t>
      </w:r>
      <w:r w:rsidRPr="002C547A">
        <w:rPr>
          <w:rFonts w:eastAsia="Calibri"/>
          <w:lang w:val="es-ES" w:eastAsia="es-ES"/>
        </w:rPr>
        <w:t xml:space="preserve">en su segunda </w:t>
      </w:r>
      <w:proofErr w:type="gramStart"/>
      <w:r w:rsidRPr="002C547A">
        <w:rPr>
          <w:rFonts w:eastAsia="Calibri"/>
          <w:lang w:val="es-ES" w:eastAsia="es-ES"/>
        </w:rPr>
        <w:t>edición.</w:t>
      </w:r>
      <w:r w:rsidRPr="002C547A">
        <w:rPr>
          <w:rFonts w:eastAsia="Calibri"/>
          <w:vertAlign w:val="superscript"/>
          <w:lang w:val="es-ES" w:eastAsia="es-ES"/>
        </w:rPr>
        <w:t>(</w:t>
      </w:r>
      <w:proofErr w:type="gramEnd"/>
      <w:r w:rsidRPr="002C547A">
        <w:rPr>
          <w:rFonts w:eastAsia="Calibri"/>
          <w:vertAlign w:val="superscript"/>
          <w:lang w:val="es-ES" w:eastAsia="es-ES"/>
        </w:rPr>
        <w:t>12)</w:t>
      </w:r>
    </w:p>
    <w:p w14:paraId="7FD189A1" w14:textId="77777777" w:rsidR="002C547A" w:rsidRPr="002C547A" w:rsidRDefault="002C547A" w:rsidP="002C547A">
      <w:pPr>
        <w:spacing w:line="360" w:lineRule="auto"/>
        <w:ind w:right="140"/>
        <w:jc w:val="both"/>
        <w:rPr>
          <w:rFonts w:eastAsia="Calibri"/>
          <w:lang w:val="es-ES" w:eastAsia="es-ES"/>
        </w:rPr>
      </w:pPr>
      <w:r w:rsidRPr="002C547A">
        <w:rPr>
          <w:rFonts w:eastAsia="Calibri"/>
          <w:lang w:val="es-ES" w:eastAsia="es-ES"/>
        </w:rPr>
        <w:t>El libro aborda los antecedentes de los CMD, desde su surgimiento en 1967, en el Instituto Nacional de Salud de EE.UU., en un ensayo clínico de mortalidad cardiovascular, hasta su fortalecimiento con investigaciones en otras enfermedades, como cáncer, sida y en poblaciones vulnerables. También detalla los principios por los cuales se rigen los investigadores en la conformación, organización y funcionamiento de los comités, especialmente las responsabilidades, composición, conflictos de intereses y confidencialidad de la información.</w:t>
      </w:r>
    </w:p>
    <w:p w14:paraId="2499EEC2" w14:textId="77777777" w:rsidR="002C547A" w:rsidRPr="002C547A" w:rsidRDefault="002C547A" w:rsidP="002C547A">
      <w:pPr>
        <w:spacing w:line="360" w:lineRule="auto"/>
        <w:ind w:right="140"/>
        <w:jc w:val="both"/>
        <w:rPr>
          <w:rFonts w:eastAsia="Calibri"/>
          <w:lang w:val="es-ES" w:eastAsia="es-ES"/>
        </w:rPr>
      </w:pPr>
      <w:r w:rsidRPr="002C547A">
        <w:rPr>
          <w:rFonts w:eastAsia="Calibri"/>
          <w:lang w:val="es-ES" w:eastAsia="es-ES"/>
        </w:rPr>
        <w:t xml:space="preserve">En la nueva edición de 2019, se añade información actualizada sobre las operaciones del CMD, experiencias de publicaciones recientes, decisiones relevantes sugeridas al curso del ensayo clínico y recomendaciones especiales relacionadas con el monitoreo del comité en ensayos clínicos, con diseños nuevos o emergentes. También se agrega un capítulo enfocado al asunto legal, en relación con los miembros del comité, motivado por el incremento de litigios en las investigaciones clínicas en </w:t>
      </w:r>
      <w:proofErr w:type="gramStart"/>
      <w:r w:rsidRPr="002C547A">
        <w:rPr>
          <w:rFonts w:eastAsia="Calibri"/>
          <w:lang w:val="es-ES" w:eastAsia="es-ES"/>
        </w:rPr>
        <w:t>general.</w:t>
      </w:r>
      <w:r w:rsidRPr="002C547A">
        <w:rPr>
          <w:rFonts w:eastAsia="Calibri"/>
          <w:vertAlign w:val="superscript"/>
          <w:lang w:val="es-ES" w:eastAsia="es-ES"/>
        </w:rPr>
        <w:t>(</w:t>
      </w:r>
      <w:proofErr w:type="gramEnd"/>
      <w:r w:rsidRPr="002C547A">
        <w:rPr>
          <w:rFonts w:eastAsia="Calibri"/>
          <w:vertAlign w:val="superscript"/>
          <w:lang w:val="es-ES" w:eastAsia="es-ES"/>
        </w:rPr>
        <w:t>12)</w:t>
      </w:r>
    </w:p>
    <w:p w14:paraId="40695953" w14:textId="77777777" w:rsidR="002C547A" w:rsidRPr="002C547A" w:rsidRDefault="002C547A" w:rsidP="002C547A">
      <w:pPr>
        <w:spacing w:line="360" w:lineRule="auto"/>
        <w:ind w:right="140"/>
        <w:jc w:val="both"/>
        <w:rPr>
          <w:rFonts w:eastAsia="Calibri"/>
          <w:lang w:val="es-ES" w:eastAsia="es-ES"/>
        </w:rPr>
      </w:pPr>
      <w:r w:rsidRPr="002C547A">
        <w:rPr>
          <w:rFonts w:eastAsia="Calibri"/>
          <w:lang w:val="es-ES" w:eastAsia="es-ES"/>
        </w:rPr>
        <w:t xml:space="preserve">Igualmente resulta útil la lectura del texto </w:t>
      </w:r>
      <w:r w:rsidRPr="002C547A">
        <w:rPr>
          <w:rFonts w:eastAsia="Calibri"/>
          <w:i/>
          <w:lang w:val="es-ES" w:eastAsia="es-ES"/>
        </w:rPr>
        <w:t xml:space="preserve">DSMB Training Manual </w:t>
      </w:r>
      <w:r w:rsidRPr="002C547A">
        <w:rPr>
          <w:rFonts w:eastAsia="Calibri"/>
          <w:lang w:val="es-ES" w:eastAsia="es-ES"/>
        </w:rPr>
        <w:t xml:space="preserve">de 2018, actualizado en casi una decena de capítulos. Aborda aspectos de la organización y el funcionamiento de los comités de seguridad y monitoreo de datos, con especial énfasis en el monitoreo basado en riesgo, aspecto que cobra auge en la </w:t>
      </w:r>
      <w:proofErr w:type="gramStart"/>
      <w:r w:rsidRPr="002C547A">
        <w:rPr>
          <w:rFonts w:eastAsia="Calibri"/>
          <w:lang w:val="es-ES" w:eastAsia="es-ES"/>
        </w:rPr>
        <w:t>actualidad.</w:t>
      </w:r>
      <w:r w:rsidRPr="002C547A">
        <w:rPr>
          <w:rFonts w:eastAsia="Calibri"/>
          <w:vertAlign w:val="superscript"/>
          <w:lang w:val="es-ES" w:eastAsia="es-ES"/>
        </w:rPr>
        <w:t>(</w:t>
      </w:r>
      <w:proofErr w:type="gramEnd"/>
      <w:r w:rsidRPr="002C547A">
        <w:rPr>
          <w:rFonts w:eastAsia="Calibri"/>
          <w:vertAlign w:val="superscript"/>
          <w:lang w:val="es-ES" w:eastAsia="es-ES"/>
        </w:rPr>
        <w:t>31)</w:t>
      </w:r>
    </w:p>
    <w:p w14:paraId="24949E9E" w14:textId="77777777" w:rsidR="002C547A" w:rsidRPr="002C547A" w:rsidRDefault="002C547A" w:rsidP="002C547A">
      <w:pPr>
        <w:spacing w:line="360" w:lineRule="auto"/>
        <w:ind w:right="140"/>
        <w:jc w:val="both"/>
        <w:rPr>
          <w:rFonts w:eastAsia="Calibri"/>
          <w:lang w:val="es-ES" w:eastAsia="es-ES"/>
        </w:rPr>
      </w:pPr>
      <w:r w:rsidRPr="002C547A">
        <w:rPr>
          <w:rFonts w:eastAsia="Calibri"/>
          <w:lang w:val="es-ES" w:eastAsia="es-ES"/>
        </w:rPr>
        <w:t xml:space="preserve">Se advierte en este manual, que en ocasiones un ensayo se debe garantizar con observadores externos e independientes, con experiencia adicional en manejo de datos. Para estudios extensos o con elevado riesgo, se requiere un CMD para determinar la conducta en términos de seguridad y efectividad; recomendar la modificación o sugerir la terminación temprana cuando el beneficio es significativo o se desarrollan riesgos; o apuntar si el ensayo puede concluir </w:t>
      </w:r>
      <w:proofErr w:type="gramStart"/>
      <w:r w:rsidRPr="002C547A">
        <w:rPr>
          <w:rFonts w:eastAsia="Calibri"/>
          <w:lang w:val="es-ES" w:eastAsia="es-ES"/>
        </w:rPr>
        <w:t>satisfactoriamente.</w:t>
      </w:r>
      <w:r w:rsidRPr="002C547A">
        <w:rPr>
          <w:rFonts w:eastAsia="Calibri"/>
          <w:vertAlign w:val="superscript"/>
          <w:lang w:val="es-ES" w:eastAsia="es-ES"/>
        </w:rPr>
        <w:t>(</w:t>
      </w:r>
      <w:proofErr w:type="gramEnd"/>
      <w:r w:rsidRPr="002C547A">
        <w:rPr>
          <w:rFonts w:eastAsia="Calibri"/>
          <w:vertAlign w:val="superscript"/>
          <w:lang w:val="es-ES" w:eastAsia="es-ES"/>
        </w:rPr>
        <w:t>31)</w:t>
      </w:r>
    </w:p>
    <w:p w14:paraId="7495E897" w14:textId="77777777" w:rsidR="002C547A" w:rsidRPr="002C547A" w:rsidRDefault="002C547A" w:rsidP="002C547A">
      <w:pPr>
        <w:spacing w:line="360" w:lineRule="auto"/>
        <w:ind w:right="140"/>
        <w:jc w:val="both"/>
        <w:rPr>
          <w:lang w:val="es-ES" w:eastAsia="es-ES"/>
        </w:rPr>
      </w:pPr>
      <w:r w:rsidRPr="002C547A">
        <w:rPr>
          <w:rFonts w:eastAsia="Calibri"/>
          <w:lang w:val="es-ES" w:eastAsia="es-ES"/>
        </w:rPr>
        <w:lastRenderedPageBreak/>
        <w:t xml:space="preserve">La agencia reguladora de los EE.UU. se pronuncia a favor de la declaración necesaria y oportuna de los CMD en los ensayos clínicos que lo requieran. Esto se debe a la intercesión de </w:t>
      </w:r>
      <w:r w:rsidRPr="002C547A">
        <w:rPr>
          <w:rFonts w:eastAsia="Calibri"/>
          <w:i/>
          <w:lang w:val="es-ES" w:eastAsia="es-ES"/>
        </w:rPr>
        <w:t xml:space="preserve">Karim A. </w:t>
      </w:r>
      <w:proofErr w:type="spellStart"/>
      <w:r w:rsidRPr="002C547A">
        <w:rPr>
          <w:rFonts w:eastAsia="Calibri"/>
          <w:i/>
          <w:lang w:val="es-ES" w:eastAsia="es-ES"/>
        </w:rPr>
        <w:t>Calis</w:t>
      </w:r>
      <w:proofErr w:type="spellEnd"/>
      <w:r w:rsidRPr="002C547A">
        <w:rPr>
          <w:rFonts w:eastAsia="Calibri"/>
          <w:lang w:val="es-ES" w:eastAsia="es-ES"/>
        </w:rPr>
        <w:t xml:space="preserve">, quien junto a otros investigadores, lidera el grupo de trabajo </w:t>
      </w:r>
      <w:r w:rsidRPr="002C547A">
        <w:rPr>
          <w:lang w:val="es-ES" w:eastAsia="es-ES"/>
        </w:rPr>
        <w:t xml:space="preserve">“Ensayos clínicos: iniciativa transformadora” (CTTI, por sus siglas en inglés) en cuyas reuniones de expertos, tratan los aspectos metodológicos, regulatorios y sus recomendaciones; y advierten sobre la importancia de la preparación de la nueva generación de miembros del </w:t>
      </w:r>
      <w:proofErr w:type="gramStart"/>
      <w:r w:rsidRPr="002C547A">
        <w:rPr>
          <w:lang w:val="es-ES" w:eastAsia="es-ES"/>
        </w:rPr>
        <w:t>comité.</w:t>
      </w:r>
      <w:r w:rsidRPr="002C547A">
        <w:rPr>
          <w:vertAlign w:val="superscript"/>
          <w:lang w:val="es-ES" w:eastAsia="es-ES"/>
        </w:rPr>
        <w:t>(</w:t>
      </w:r>
      <w:proofErr w:type="gramEnd"/>
      <w:r w:rsidRPr="002C547A">
        <w:rPr>
          <w:vertAlign w:val="superscript"/>
          <w:lang w:val="es-ES" w:eastAsia="es-ES"/>
        </w:rPr>
        <w:t>32)</w:t>
      </w:r>
    </w:p>
    <w:p w14:paraId="3608D6DA" w14:textId="77777777" w:rsidR="002C547A" w:rsidRPr="002C547A" w:rsidRDefault="002C547A" w:rsidP="002C547A">
      <w:pPr>
        <w:spacing w:line="360" w:lineRule="auto"/>
        <w:ind w:right="140"/>
        <w:jc w:val="both"/>
        <w:rPr>
          <w:rFonts w:eastAsia="Calibri"/>
          <w:lang w:val="es-ES" w:eastAsia="es-ES"/>
        </w:rPr>
      </w:pPr>
      <w:r w:rsidRPr="002C547A">
        <w:rPr>
          <w:rFonts w:eastAsia="Calibri"/>
          <w:lang w:val="es-ES" w:eastAsia="es-ES"/>
        </w:rPr>
        <w:t>En el Reino Unido se fundó el grupo de estudio DAMOCLES (</w:t>
      </w:r>
      <w:r w:rsidRPr="002C547A">
        <w:rPr>
          <w:rFonts w:eastAsia="Calibri"/>
          <w:i/>
          <w:lang w:val="es-ES" w:eastAsia="es-ES"/>
        </w:rPr>
        <w:t xml:space="preserve">Data </w:t>
      </w:r>
      <w:proofErr w:type="spellStart"/>
      <w:r w:rsidRPr="002C547A">
        <w:rPr>
          <w:rFonts w:eastAsia="Calibri"/>
          <w:i/>
          <w:lang w:val="es-ES" w:eastAsia="es-ES"/>
        </w:rPr>
        <w:t>Monitoring</w:t>
      </w:r>
      <w:proofErr w:type="spellEnd"/>
      <w:r w:rsidRPr="002C547A">
        <w:rPr>
          <w:rFonts w:eastAsia="Calibri"/>
          <w:i/>
          <w:lang w:val="es-ES" w:eastAsia="es-ES"/>
        </w:rPr>
        <w:t xml:space="preserve"> </w:t>
      </w:r>
      <w:proofErr w:type="spellStart"/>
      <w:r w:rsidRPr="002C547A">
        <w:rPr>
          <w:rFonts w:eastAsia="Calibri"/>
          <w:i/>
          <w:lang w:val="es-ES" w:eastAsia="es-ES"/>
        </w:rPr>
        <w:t>Comittee</w:t>
      </w:r>
      <w:proofErr w:type="spellEnd"/>
      <w:r w:rsidRPr="002C547A">
        <w:rPr>
          <w:rFonts w:eastAsia="Calibri"/>
          <w:i/>
          <w:lang w:val="es-ES" w:eastAsia="es-ES"/>
        </w:rPr>
        <w:t xml:space="preserve"> </w:t>
      </w:r>
      <w:proofErr w:type="spellStart"/>
      <w:r w:rsidRPr="002C547A">
        <w:rPr>
          <w:rFonts w:eastAsia="Calibri"/>
          <w:i/>
          <w:lang w:val="es-ES" w:eastAsia="es-ES"/>
        </w:rPr>
        <w:t>Lesson</w:t>
      </w:r>
      <w:proofErr w:type="spellEnd"/>
      <w:r w:rsidRPr="002C547A">
        <w:rPr>
          <w:rFonts w:eastAsia="Calibri"/>
          <w:i/>
          <w:lang w:val="es-ES" w:eastAsia="es-ES"/>
        </w:rPr>
        <w:t xml:space="preserve"> </w:t>
      </w:r>
      <w:proofErr w:type="spellStart"/>
      <w:r w:rsidRPr="002C547A">
        <w:rPr>
          <w:rFonts w:eastAsia="Calibri"/>
          <w:i/>
          <w:lang w:val="es-ES" w:eastAsia="es-ES"/>
        </w:rPr>
        <w:t>Ethical</w:t>
      </w:r>
      <w:proofErr w:type="spellEnd"/>
      <w:r w:rsidRPr="002C547A">
        <w:rPr>
          <w:rFonts w:eastAsia="Calibri"/>
          <w:i/>
          <w:lang w:val="es-ES" w:eastAsia="es-ES"/>
        </w:rPr>
        <w:t xml:space="preserve"> </w:t>
      </w:r>
      <w:proofErr w:type="spellStart"/>
      <w:r w:rsidRPr="002C547A">
        <w:rPr>
          <w:rFonts w:eastAsia="Calibri"/>
          <w:i/>
          <w:lang w:val="es-ES" w:eastAsia="es-ES"/>
        </w:rPr>
        <w:t>Statistical</w:t>
      </w:r>
      <w:proofErr w:type="spellEnd"/>
      <w:r w:rsidRPr="002C547A">
        <w:rPr>
          <w:rFonts w:eastAsia="Calibri"/>
          <w:lang w:val="es-ES" w:eastAsia="es-ES"/>
        </w:rPr>
        <w:t xml:space="preserve">). El grupo sustenta las bases de la organización y funcionamiento de los CMD en el entorno europeo, cuándo y por qué establecerlo en determinados ensayos, su estructura, organización, funciones y responsabilidades, qué información se necesita para hacer los respectivos informes y los requisitos de la toma de decisiones finales, para hacer las sugerencias al promotor sobre la continuidad del </w:t>
      </w:r>
      <w:proofErr w:type="gramStart"/>
      <w:r w:rsidRPr="002C547A">
        <w:rPr>
          <w:rFonts w:eastAsia="Calibri"/>
          <w:lang w:val="es-ES" w:eastAsia="es-ES"/>
        </w:rPr>
        <w:t>estudio.</w:t>
      </w:r>
      <w:r w:rsidRPr="002C547A">
        <w:rPr>
          <w:rFonts w:eastAsia="Calibri"/>
          <w:vertAlign w:val="superscript"/>
          <w:lang w:val="es-ES" w:eastAsia="es-ES"/>
        </w:rPr>
        <w:t>(</w:t>
      </w:r>
      <w:proofErr w:type="gramEnd"/>
      <w:r w:rsidRPr="002C547A">
        <w:rPr>
          <w:rFonts w:eastAsia="Calibri"/>
          <w:vertAlign w:val="superscript"/>
          <w:lang w:val="es-ES" w:eastAsia="es-ES"/>
        </w:rPr>
        <w:t>16)</w:t>
      </w:r>
    </w:p>
    <w:p w14:paraId="0C27358D" w14:textId="77777777" w:rsidR="002C547A" w:rsidRPr="002C547A" w:rsidRDefault="002C547A" w:rsidP="002C547A">
      <w:pPr>
        <w:spacing w:line="360" w:lineRule="auto"/>
        <w:ind w:right="140"/>
        <w:jc w:val="both"/>
        <w:rPr>
          <w:color w:val="FF0000"/>
          <w:lang w:val="es-ES" w:eastAsia="es-ES"/>
        </w:rPr>
      </w:pPr>
      <w:r w:rsidRPr="002C547A">
        <w:rPr>
          <w:lang w:val="es-ES" w:eastAsia="es-ES"/>
        </w:rPr>
        <w:t>Como reto para Cuba, se</w:t>
      </w:r>
      <w:r w:rsidRPr="002C547A">
        <w:rPr>
          <w:rFonts w:eastAsia="Calibri"/>
          <w:lang w:val="es-ES" w:eastAsia="es-ES"/>
        </w:rPr>
        <w:t xml:space="preserve"> defiende el criterio de utilidad de los CMD en los ensayos clínicos confirmatorios, extensos, multicéntricos, realizados a medicamentos de los que se espera un impacto en la mortalidad. Se añade el beneficio económico por la reducción de los costos, debido al menor tiempo en investigación, con el ahorro por inversión. Los comités representan un alto beneficio para los enfermos que esperan la evaluación y llegada al mercado de los nuevos fármacos, con la oportuna y mejor terapia a su problema de salud.</w:t>
      </w:r>
    </w:p>
    <w:p w14:paraId="573E1938" w14:textId="77777777" w:rsidR="002C547A" w:rsidRPr="002C547A" w:rsidRDefault="002C547A" w:rsidP="002C547A">
      <w:pPr>
        <w:spacing w:line="360" w:lineRule="auto"/>
        <w:ind w:right="140"/>
        <w:jc w:val="both"/>
        <w:rPr>
          <w:lang w:val="es-ES" w:eastAsia="es-ES"/>
        </w:rPr>
      </w:pPr>
      <w:r w:rsidRPr="002C547A">
        <w:rPr>
          <w:lang w:val="es-ES" w:eastAsia="es-ES"/>
        </w:rPr>
        <w:t>Sistematizar el establecimiento de los CMD en Cuba, pondría al país a la altura del panorama internacional en el terreno de las investigaciones, se mejorarían los estándares de calidad de los sitos clínicos y por encima de todo, se aportaría a la prevención de enfermedades, a tratar a los enfermos con evidencias propias y no con datos importados, que a veces no se ajustan a las características sociodemográficas de Cuba.</w:t>
      </w:r>
    </w:p>
    <w:p w14:paraId="045A5FA0" w14:textId="77777777" w:rsidR="002C547A" w:rsidRPr="002C547A" w:rsidRDefault="002C547A" w:rsidP="002C547A">
      <w:pPr>
        <w:spacing w:line="360" w:lineRule="auto"/>
        <w:ind w:right="140"/>
        <w:jc w:val="both"/>
        <w:rPr>
          <w:rFonts w:eastAsia="Calibri"/>
          <w:lang w:val="es-ES" w:eastAsia="es-ES"/>
        </w:rPr>
      </w:pPr>
      <w:r w:rsidRPr="002C547A">
        <w:rPr>
          <w:rFonts w:eastAsia="Calibri"/>
          <w:lang w:val="es-ES" w:eastAsia="es-ES"/>
        </w:rPr>
        <w:t>En las fuentes revisadas, se evidencia una elevada utilizaci</w:t>
      </w:r>
      <w:r w:rsidRPr="002C547A">
        <w:rPr>
          <w:lang w:val="es-ES" w:eastAsia="es-ES"/>
        </w:rPr>
        <w:t>ón</w:t>
      </w:r>
      <w:r w:rsidRPr="002C547A">
        <w:rPr>
          <w:rFonts w:eastAsia="Calibri"/>
          <w:lang w:val="es-ES" w:eastAsia="es-ES"/>
        </w:rPr>
        <w:t xml:space="preserve"> de los CMD e</w:t>
      </w:r>
      <w:r w:rsidRPr="002C547A">
        <w:rPr>
          <w:lang w:val="es-ES" w:eastAsia="es-ES"/>
        </w:rPr>
        <w:t>n</w:t>
      </w:r>
      <w:r w:rsidRPr="002C547A">
        <w:rPr>
          <w:rFonts w:eastAsia="Calibri"/>
          <w:lang w:val="es-ES" w:eastAsia="es-ES"/>
        </w:rPr>
        <w:t xml:space="preserve"> los e</w:t>
      </w:r>
      <w:r w:rsidRPr="002C547A">
        <w:rPr>
          <w:lang w:val="es-ES" w:eastAsia="es-ES"/>
        </w:rPr>
        <w:t>n</w:t>
      </w:r>
      <w:r w:rsidRPr="002C547A">
        <w:rPr>
          <w:rFonts w:eastAsia="Calibri"/>
          <w:lang w:val="es-ES" w:eastAsia="es-ES"/>
        </w:rPr>
        <w:t>say</w:t>
      </w:r>
      <w:r w:rsidRPr="002C547A">
        <w:rPr>
          <w:lang w:val="es-ES" w:eastAsia="es-ES"/>
        </w:rPr>
        <w:t>o</w:t>
      </w:r>
      <w:r w:rsidRPr="002C547A">
        <w:rPr>
          <w:rFonts w:eastAsia="Calibri"/>
          <w:lang w:val="es-ES" w:eastAsia="es-ES"/>
        </w:rPr>
        <w:t>s clí</w:t>
      </w:r>
      <w:r w:rsidRPr="002C547A">
        <w:rPr>
          <w:lang w:val="es-ES" w:eastAsia="es-ES"/>
        </w:rPr>
        <w:t>n</w:t>
      </w:r>
      <w:r w:rsidRPr="002C547A">
        <w:rPr>
          <w:rFonts w:eastAsia="Calibri"/>
          <w:lang w:val="es-ES" w:eastAsia="es-ES"/>
        </w:rPr>
        <w:t>ic</w:t>
      </w:r>
      <w:r w:rsidRPr="002C547A">
        <w:rPr>
          <w:lang w:val="es-ES" w:eastAsia="es-ES"/>
        </w:rPr>
        <w:t>o</w:t>
      </w:r>
      <w:r w:rsidRPr="002C547A">
        <w:rPr>
          <w:rFonts w:eastAsia="Calibri"/>
          <w:lang w:val="es-ES" w:eastAsia="es-ES"/>
        </w:rPr>
        <w:t>s, c</w:t>
      </w:r>
      <w:r w:rsidRPr="002C547A">
        <w:rPr>
          <w:lang w:val="es-ES" w:eastAsia="es-ES"/>
        </w:rPr>
        <w:t xml:space="preserve">on </w:t>
      </w:r>
      <w:r w:rsidRPr="002C547A">
        <w:rPr>
          <w:rFonts w:eastAsia="Calibri"/>
          <w:lang w:val="es-ES" w:eastAsia="es-ES"/>
        </w:rPr>
        <w:t>tendencia al incremento de su uso e</w:t>
      </w:r>
      <w:r w:rsidRPr="002C547A">
        <w:rPr>
          <w:lang w:val="es-ES" w:eastAsia="es-ES"/>
        </w:rPr>
        <w:t>n</w:t>
      </w:r>
      <w:r w:rsidRPr="002C547A">
        <w:rPr>
          <w:rFonts w:eastAsia="Calibri"/>
          <w:lang w:val="es-ES" w:eastAsia="es-ES"/>
        </w:rPr>
        <w:t xml:space="preserve"> l</w:t>
      </w:r>
      <w:r w:rsidRPr="002C547A">
        <w:rPr>
          <w:lang w:val="es-ES" w:eastAsia="es-ES"/>
        </w:rPr>
        <w:t>o</w:t>
      </w:r>
      <w:r w:rsidRPr="002C547A">
        <w:rPr>
          <w:rFonts w:eastAsia="Calibri"/>
          <w:lang w:val="es-ES" w:eastAsia="es-ES"/>
        </w:rPr>
        <w:t>s últim</w:t>
      </w:r>
      <w:r w:rsidRPr="002C547A">
        <w:rPr>
          <w:lang w:val="es-ES" w:eastAsia="es-ES"/>
        </w:rPr>
        <w:t>o</w:t>
      </w:r>
      <w:r w:rsidRPr="002C547A">
        <w:rPr>
          <w:rFonts w:eastAsia="Calibri"/>
          <w:lang w:val="es-ES" w:eastAsia="es-ES"/>
        </w:rPr>
        <w:t>s añ</w:t>
      </w:r>
      <w:r w:rsidRPr="002C547A">
        <w:rPr>
          <w:lang w:val="es-ES" w:eastAsia="es-ES"/>
        </w:rPr>
        <w:t>o</w:t>
      </w:r>
      <w:r w:rsidRPr="002C547A">
        <w:rPr>
          <w:rFonts w:eastAsia="Calibri"/>
          <w:lang w:val="es-ES" w:eastAsia="es-ES"/>
        </w:rPr>
        <w:t>s a nivel mundial. Los CMD de e</w:t>
      </w:r>
      <w:r w:rsidRPr="002C547A">
        <w:rPr>
          <w:lang w:val="es-ES" w:eastAsia="es-ES"/>
        </w:rPr>
        <w:t>n</w:t>
      </w:r>
      <w:r w:rsidRPr="002C547A">
        <w:rPr>
          <w:rFonts w:eastAsia="Calibri"/>
          <w:lang w:val="es-ES" w:eastAsia="es-ES"/>
        </w:rPr>
        <w:t>say</w:t>
      </w:r>
      <w:r w:rsidRPr="002C547A">
        <w:rPr>
          <w:lang w:val="es-ES" w:eastAsia="es-ES"/>
        </w:rPr>
        <w:t>o</w:t>
      </w:r>
      <w:r w:rsidRPr="002C547A">
        <w:rPr>
          <w:rFonts w:eastAsia="Calibri"/>
          <w:lang w:val="es-ES" w:eastAsia="es-ES"/>
        </w:rPr>
        <w:t>s clí</w:t>
      </w:r>
      <w:r w:rsidRPr="002C547A">
        <w:rPr>
          <w:lang w:val="es-ES" w:eastAsia="es-ES"/>
        </w:rPr>
        <w:t>n</w:t>
      </w:r>
      <w:r w:rsidRPr="002C547A">
        <w:rPr>
          <w:rFonts w:eastAsia="Calibri"/>
          <w:lang w:val="es-ES" w:eastAsia="es-ES"/>
        </w:rPr>
        <w:t>ic</w:t>
      </w:r>
      <w:r w:rsidRPr="002C547A">
        <w:rPr>
          <w:lang w:val="es-ES" w:eastAsia="es-ES"/>
        </w:rPr>
        <w:t>o</w:t>
      </w:r>
      <w:r w:rsidRPr="002C547A">
        <w:rPr>
          <w:rFonts w:eastAsia="Calibri"/>
          <w:lang w:val="es-ES" w:eastAsia="es-ES"/>
        </w:rPr>
        <w:t>s tie</w:t>
      </w:r>
      <w:r w:rsidRPr="002C547A">
        <w:rPr>
          <w:lang w:val="es-ES" w:eastAsia="es-ES"/>
        </w:rPr>
        <w:t>n</w:t>
      </w:r>
      <w:r w:rsidRPr="002C547A">
        <w:rPr>
          <w:rFonts w:eastAsia="Calibri"/>
          <w:lang w:val="es-ES" w:eastAsia="es-ES"/>
        </w:rPr>
        <w:t>e</w:t>
      </w:r>
      <w:r w:rsidRPr="002C547A">
        <w:rPr>
          <w:lang w:val="es-ES" w:eastAsia="es-ES"/>
        </w:rPr>
        <w:t>n</w:t>
      </w:r>
      <w:r w:rsidRPr="002C547A">
        <w:rPr>
          <w:rFonts w:eastAsia="Calibri"/>
          <w:lang w:val="es-ES" w:eastAsia="es-ES"/>
        </w:rPr>
        <w:t xml:space="preserve"> u</w:t>
      </w:r>
      <w:r w:rsidRPr="002C547A">
        <w:rPr>
          <w:lang w:val="es-ES" w:eastAsia="es-ES"/>
        </w:rPr>
        <w:t>n</w:t>
      </w:r>
      <w:r w:rsidRPr="002C547A">
        <w:rPr>
          <w:rFonts w:eastAsia="Calibri"/>
          <w:lang w:val="es-ES" w:eastAsia="es-ES"/>
        </w:rPr>
        <w:t xml:space="preserve"> carácter multidiscipli</w:t>
      </w:r>
      <w:r w:rsidRPr="002C547A">
        <w:rPr>
          <w:lang w:val="es-ES" w:eastAsia="es-ES"/>
        </w:rPr>
        <w:t>n</w:t>
      </w:r>
      <w:r w:rsidRPr="002C547A">
        <w:rPr>
          <w:rFonts w:eastAsia="Calibri"/>
          <w:lang w:val="es-ES" w:eastAsia="es-ES"/>
        </w:rPr>
        <w:t>ario, se establece</w:t>
      </w:r>
      <w:r w:rsidRPr="002C547A">
        <w:rPr>
          <w:lang w:val="es-ES" w:eastAsia="es-ES"/>
        </w:rPr>
        <w:t>n a partir de criteri</w:t>
      </w:r>
      <w:r w:rsidRPr="002C547A">
        <w:rPr>
          <w:rFonts w:eastAsia="Calibri"/>
          <w:lang w:val="es-ES" w:eastAsia="es-ES"/>
        </w:rPr>
        <w:t>os clínicos y metodológicos y su fu</w:t>
      </w:r>
      <w:r w:rsidRPr="002C547A">
        <w:rPr>
          <w:lang w:val="es-ES" w:eastAsia="es-ES"/>
        </w:rPr>
        <w:t>n</w:t>
      </w:r>
      <w:r w:rsidRPr="002C547A">
        <w:rPr>
          <w:rFonts w:eastAsia="Calibri"/>
          <w:lang w:val="es-ES" w:eastAsia="es-ES"/>
        </w:rPr>
        <w:t>ci</w:t>
      </w:r>
      <w:r w:rsidRPr="002C547A">
        <w:rPr>
          <w:lang w:val="es-ES" w:eastAsia="es-ES"/>
        </w:rPr>
        <w:t>ón</w:t>
      </w:r>
      <w:r w:rsidRPr="002C547A">
        <w:rPr>
          <w:rFonts w:eastAsia="Calibri"/>
          <w:lang w:val="es-ES" w:eastAsia="es-ES"/>
        </w:rPr>
        <w:t xml:space="preserve"> es </w:t>
      </w:r>
      <w:r w:rsidRPr="002C547A">
        <w:rPr>
          <w:lang w:val="es-ES" w:eastAsia="es-ES"/>
        </w:rPr>
        <w:t>analizar periódicamente los datos de seguridad y las variables críticas de eficacia, para asesorar al pr</w:t>
      </w:r>
      <w:r w:rsidRPr="002C547A">
        <w:rPr>
          <w:rFonts w:eastAsia="Calibri"/>
          <w:lang w:val="es-ES" w:eastAsia="es-ES"/>
        </w:rPr>
        <w:t>o</w:t>
      </w:r>
      <w:r w:rsidRPr="002C547A">
        <w:rPr>
          <w:lang w:val="es-ES" w:eastAsia="es-ES"/>
        </w:rPr>
        <w:t>m</w:t>
      </w:r>
      <w:r w:rsidRPr="002C547A">
        <w:rPr>
          <w:rFonts w:eastAsia="Calibri"/>
          <w:lang w:val="es-ES" w:eastAsia="es-ES"/>
        </w:rPr>
        <w:t>o</w:t>
      </w:r>
      <w:r w:rsidRPr="002C547A">
        <w:rPr>
          <w:lang w:val="es-ES" w:eastAsia="es-ES"/>
        </w:rPr>
        <w:t>t</w:t>
      </w:r>
      <w:r w:rsidRPr="002C547A">
        <w:rPr>
          <w:rFonts w:eastAsia="Calibri"/>
          <w:lang w:val="es-ES" w:eastAsia="es-ES"/>
        </w:rPr>
        <w:t>o</w:t>
      </w:r>
      <w:r w:rsidRPr="002C547A">
        <w:rPr>
          <w:lang w:val="es-ES" w:eastAsia="es-ES"/>
        </w:rPr>
        <w:t>r sobre la conveniencia de continuar, modificar o detener la investigación.</w:t>
      </w:r>
    </w:p>
    <w:p w14:paraId="1A132E48" w14:textId="77777777" w:rsidR="002C547A" w:rsidRPr="002C547A" w:rsidRDefault="002C547A" w:rsidP="002C547A">
      <w:pPr>
        <w:spacing w:line="360" w:lineRule="auto"/>
        <w:jc w:val="both"/>
        <w:rPr>
          <w:lang w:val="es-ES" w:eastAsia="es-ES"/>
        </w:rPr>
      </w:pPr>
    </w:p>
    <w:p w14:paraId="6CE339A0" w14:textId="77777777" w:rsidR="002C547A" w:rsidRPr="002C547A" w:rsidRDefault="002C547A" w:rsidP="002C547A">
      <w:pPr>
        <w:spacing w:line="360" w:lineRule="auto"/>
        <w:jc w:val="both"/>
        <w:rPr>
          <w:rFonts w:eastAsia="Calibri"/>
          <w:lang w:val="es-ES" w:eastAsia="es-ES"/>
        </w:rPr>
      </w:pPr>
    </w:p>
    <w:p w14:paraId="6426952D" w14:textId="77777777" w:rsidR="002C547A" w:rsidRPr="002C547A" w:rsidRDefault="002C547A" w:rsidP="002C547A">
      <w:pPr>
        <w:spacing w:line="360" w:lineRule="auto"/>
        <w:ind w:right="140"/>
        <w:jc w:val="center"/>
        <w:rPr>
          <w:rFonts w:eastAsia="Calibri"/>
          <w:b/>
          <w:sz w:val="32"/>
          <w:szCs w:val="32"/>
          <w:lang w:val="es-ES" w:eastAsia="es-ES"/>
        </w:rPr>
      </w:pPr>
      <w:r w:rsidRPr="002C547A">
        <w:rPr>
          <w:rFonts w:eastAsia="Calibri"/>
          <w:b/>
          <w:sz w:val="32"/>
          <w:szCs w:val="32"/>
          <w:lang w:val="es-ES" w:eastAsia="es-ES"/>
        </w:rPr>
        <w:lastRenderedPageBreak/>
        <w:t>REFERENCIAS BIBLIOGRÁFICAS</w:t>
      </w:r>
    </w:p>
    <w:p w14:paraId="3735C879" w14:textId="77777777" w:rsidR="002C547A" w:rsidRPr="002C547A" w:rsidRDefault="002C547A" w:rsidP="002C547A">
      <w:pPr>
        <w:tabs>
          <w:tab w:val="left" w:pos="426"/>
        </w:tabs>
        <w:spacing w:line="360" w:lineRule="auto"/>
        <w:rPr>
          <w:rFonts w:eastAsia="Calibri"/>
          <w:lang w:val="es-ES" w:eastAsia="es-ES"/>
        </w:rPr>
      </w:pPr>
      <w:r w:rsidRPr="002C547A">
        <w:rPr>
          <w:rFonts w:eastAsia="Calibri"/>
          <w:lang w:val="es-ES" w:eastAsia="es-ES"/>
        </w:rPr>
        <w:t xml:space="preserve">1. Organización Panamericana para la Salud. BPC: documento de las Américas. Washington: OPS; </w:t>
      </w:r>
      <w:proofErr w:type="gramStart"/>
      <w:r w:rsidRPr="002C547A">
        <w:rPr>
          <w:rFonts w:eastAsia="Calibri"/>
          <w:lang w:val="es-ES" w:eastAsia="es-ES"/>
        </w:rPr>
        <w:t>2005.[</w:t>
      </w:r>
      <w:proofErr w:type="gramEnd"/>
      <w:r w:rsidRPr="002C547A">
        <w:rPr>
          <w:lang w:val="es-ES" w:eastAsia="es-ES"/>
        </w:rPr>
        <w:t xml:space="preserve">acceso: </w:t>
      </w:r>
      <w:r w:rsidRPr="002C547A">
        <w:rPr>
          <w:rFonts w:eastAsia="Calibri"/>
          <w:lang w:val="es-ES" w:eastAsia="es-ES"/>
        </w:rPr>
        <w:t xml:space="preserve">25/06/2018]. Disponible en: </w:t>
      </w:r>
      <w:hyperlink r:id="rId16" w:history="1">
        <w:r w:rsidRPr="002C547A">
          <w:rPr>
            <w:rFonts w:eastAsia="Calibri"/>
            <w:color w:val="0000FF"/>
            <w:u w:val="single"/>
            <w:lang w:val="es-ES" w:eastAsia="es-ES"/>
          </w:rPr>
          <w:t>https://apps.who.int/medicinedocs/documents/s18627es/s18627es.pdf</w:t>
        </w:r>
      </w:hyperlink>
    </w:p>
    <w:p w14:paraId="25589DBB" w14:textId="77777777" w:rsidR="002C547A" w:rsidRPr="002C547A" w:rsidRDefault="002C547A" w:rsidP="002C547A">
      <w:pPr>
        <w:tabs>
          <w:tab w:val="left" w:pos="426"/>
        </w:tabs>
        <w:spacing w:line="360" w:lineRule="auto"/>
        <w:rPr>
          <w:rFonts w:eastAsia="Calibri"/>
          <w:lang w:val="es-ES" w:eastAsia="es-ES"/>
        </w:rPr>
      </w:pPr>
      <w:r w:rsidRPr="002C547A">
        <w:rPr>
          <w:rFonts w:eastAsia="Calibri"/>
          <w:lang w:val="es-ES" w:eastAsia="es-ES"/>
        </w:rPr>
        <w:t xml:space="preserve">2. Centro para el Control Estatal de Medicamentos, Equipos y Dispositivos Médicos. Directrices sobre Buenas Prácticas Clínicas en Cuba. La Habana: CECMED; </w:t>
      </w:r>
      <w:proofErr w:type="gramStart"/>
      <w:r w:rsidRPr="002C547A">
        <w:rPr>
          <w:rFonts w:eastAsia="Calibri"/>
          <w:lang w:val="es-ES" w:eastAsia="es-ES"/>
        </w:rPr>
        <w:t>2000.[</w:t>
      </w:r>
      <w:proofErr w:type="gramEnd"/>
      <w:r w:rsidRPr="002C547A">
        <w:rPr>
          <w:lang w:val="es-ES" w:eastAsia="es-ES"/>
        </w:rPr>
        <w:t xml:space="preserve">acceso: </w:t>
      </w:r>
      <w:r w:rsidRPr="002C547A">
        <w:rPr>
          <w:rFonts w:eastAsia="Calibri"/>
          <w:lang w:val="es-ES" w:eastAsia="es-ES"/>
        </w:rPr>
        <w:t>25</w:t>
      </w:r>
      <w:r w:rsidRPr="002C547A">
        <w:rPr>
          <w:lang w:val="es-ES" w:eastAsia="es-ES"/>
        </w:rPr>
        <w:t>/06/2018</w:t>
      </w:r>
      <w:r w:rsidRPr="002C547A">
        <w:rPr>
          <w:rFonts w:eastAsia="Calibri"/>
          <w:lang w:val="es-ES" w:eastAsia="es-ES"/>
        </w:rPr>
        <w:t xml:space="preserve">]. Disponible en: </w:t>
      </w:r>
      <w:hyperlink r:id="rId17" w:history="1">
        <w:r w:rsidRPr="002C547A">
          <w:rPr>
            <w:rFonts w:eastAsia="Calibri"/>
            <w:color w:val="0000FF"/>
            <w:u w:val="single"/>
            <w:lang w:val="es-ES" w:eastAsia="es-ES"/>
          </w:rPr>
          <w:t>https://www.cecmed.cu/sites/default/files/adjuntos/Reglamentacion/Dir_BPC.pdf</w:t>
        </w:r>
      </w:hyperlink>
    </w:p>
    <w:p w14:paraId="53A7C541" w14:textId="77777777" w:rsidR="002C547A" w:rsidRPr="002C547A" w:rsidRDefault="002C547A" w:rsidP="002C547A">
      <w:pPr>
        <w:tabs>
          <w:tab w:val="left" w:pos="426"/>
        </w:tabs>
        <w:spacing w:line="360" w:lineRule="auto"/>
        <w:rPr>
          <w:rFonts w:eastAsia="Calibri"/>
          <w:lang w:val="es-ES" w:eastAsia="es-ES"/>
        </w:rPr>
      </w:pPr>
      <w:r w:rsidRPr="002C547A">
        <w:rPr>
          <w:rFonts w:eastAsia="Calibri"/>
          <w:lang w:val="en-US" w:eastAsia="es-ES"/>
        </w:rPr>
        <w:t xml:space="preserve">3. United States Department of Health and Human Services Food and Drug Administration. E6 (R2) Good Clinical Practice: Integrated Addendum to ICHE6 (R1) Guidance for Industry. </w:t>
      </w:r>
      <w:r w:rsidRPr="002C547A">
        <w:rPr>
          <w:rFonts w:eastAsia="Calibri"/>
          <w:lang w:val="es-ES" w:eastAsia="es-ES"/>
        </w:rPr>
        <w:t xml:space="preserve">Washington: FDA; </w:t>
      </w:r>
      <w:proofErr w:type="gramStart"/>
      <w:r w:rsidRPr="002C547A">
        <w:rPr>
          <w:rFonts w:eastAsia="Calibri"/>
          <w:lang w:val="es-ES" w:eastAsia="es-ES"/>
        </w:rPr>
        <w:t>2018.[</w:t>
      </w:r>
      <w:proofErr w:type="gramEnd"/>
      <w:r w:rsidRPr="002C547A">
        <w:rPr>
          <w:lang w:val="es-ES" w:eastAsia="es-ES"/>
        </w:rPr>
        <w:t xml:space="preserve">acceso: </w:t>
      </w:r>
      <w:r w:rsidRPr="002C547A">
        <w:rPr>
          <w:rFonts w:eastAsia="Calibri"/>
          <w:lang w:val="es-ES" w:eastAsia="es-ES"/>
        </w:rPr>
        <w:t xml:space="preserve">25/06/2018]. Disponible en: </w:t>
      </w:r>
      <w:hyperlink r:id="rId18" w:history="1">
        <w:r w:rsidRPr="002C547A">
          <w:rPr>
            <w:rFonts w:eastAsia="Calibri"/>
            <w:color w:val="0000FF"/>
            <w:u w:val="single"/>
            <w:lang w:val="es-ES" w:eastAsia="es-ES"/>
          </w:rPr>
          <w:t>https://www.fda.gov/downloads/Drugs/Guidances/UCM464506.pdf</w:t>
        </w:r>
      </w:hyperlink>
    </w:p>
    <w:p w14:paraId="664742E6" w14:textId="77777777" w:rsidR="002C547A" w:rsidRPr="002C547A" w:rsidRDefault="002C547A" w:rsidP="002C547A">
      <w:pPr>
        <w:tabs>
          <w:tab w:val="left" w:pos="426"/>
        </w:tabs>
        <w:spacing w:line="360" w:lineRule="auto"/>
        <w:rPr>
          <w:rFonts w:eastAsia="Calibri"/>
          <w:lang w:val="es-ES" w:eastAsia="es-ES"/>
        </w:rPr>
      </w:pPr>
      <w:r w:rsidRPr="002C547A">
        <w:rPr>
          <w:rFonts w:eastAsia="Calibri"/>
          <w:lang w:val="es-ES" w:eastAsia="es-ES"/>
        </w:rPr>
        <w:t>4. Laporte JR. Principios básicos de investigación clínica. Barcelona: AstraZeneca;</w:t>
      </w:r>
      <w:proofErr w:type="gramStart"/>
      <w:r w:rsidRPr="002C547A">
        <w:rPr>
          <w:rFonts w:eastAsia="Calibri"/>
          <w:lang w:val="es-ES" w:eastAsia="es-ES"/>
        </w:rPr>
        <w:t>2001.[</w:t>
      </w:r>
      <w:proofErr w:type="gramEnd"/>
      <w:r w:rsidRPr="002C547A">
        <w:rPr>
          <w:lang w:val="es-ES" w:eastAsia="es-ES"/>
        </w:rPr>
        <w:t xml:space="preserve">acceso: </w:t>
      </w:r>
      <w:r w:rsidRPr="002C547A">
        <w:rPr>
          <w:rFonts w:eastAsia="Calibri"/>
          <w:lang w:val="es-ES" w:eastAsia="es-ES"/>
        </w:rPr>
        <w:t xml:space="preserve">23/03/2018]. Disponible en: </w:t>
      </w:r>
      <w:hyperlink r:id="rId19" w:history="1">
        <w:r w:rsidRPr="002C547A">
          <w:rPr>
            <w:rFonts w:eastAsia="Calibri"/>
            <w:color w:val="0000FF"/>
            <w:u w:val="single"/>
            <w:lang w:val="es-ES" w:eastAsia="es-ES"/>
          </w:rPr>
          <w:t>http://files.sld.cu/cdfc/files/2010/02/principios_basicos_inv_clin.pdf</w:t>
        </w:r>
      </w:hyperlink>
    </w:p>
    <w:p w14:paraId="56DE6E29" w14:textId="77777777" w:rsidR="002C547A" w:rsidRPr="002C547A" w:rsidRDefault="002C547A" w:rsidP="002C547A">
      <w:pPr>
        <w:tabs>
          <w:tab w:val="left" w:pos="426"/>
        </w:tabs>
        <w:spacing w:line="360" w:lineRule="auto"/>
        <w:rPr>
          <w:rFonts w:eastAsia="Calibri"/>
          <w:lang w:val="en-US" w:eastAsia="es-ES"/>
        </w:rPr>
      </w:pPr>
      <w:r w:rsidRPr="002C547A">
        <w:rPr>
          <w:rFonts w:eastAsia="Calibri"/>
          <w:lang w:val="en-US" w:eastAsia="es-ES"/>
        </w:rPr>
        <w:t xml:space="preserve">5. </w:t>
      </w:r>
      <w:proofErr w:type="spellStart"/>
      <w:r w:rsidRPr="002C547A">
        <w:rPr>
          <w:rFonts w:eastAsia="Calibri"/>
          <w:lang w:val="en-US" w:eastAsia="es-ES"/>
        </w:rPr>
        <w:t>Ellenberg</w:t>
      </w:r>
      <w:proofErr w:type="spellEnd"/>
      <w:r w:rsidRPr="002C547A">
        <w:rPr>
          <w:rFonts w:eastAsia="Calibri"/>
          <w:lang w:val="en-US" w:eastAsia="es-ES"/>
        </w:rPr>
        <w:t xml:space="preserve"> S, Fernandes RM, </w:t>
      </w:r>
      <w:proofErr w:type="spellStart"/>
      <w:r w:rsidRPr="002C547A">
        <w:rPr>
          <w:rFonts w:eastAsia="Calibri"/>
          <w:lang w:val="en-US" w:eastAsia="es-ES"/>
        </w:rPr>
        <w:t>Saloojee</w:t>
      </w:r>
      <w:proofErr w:type="spellEnd"/>
      <w:r w:rsidRPr="002C547A">
        <w:rPr>
          <w:rFonts w:eastAsia="Calibri"/>
          <w:lang w:val="en-US" w:eastAsia="es-ES"/>
        </w:rPr>
        <w:t xml:space="preserve"> H, </w:t>
      </w:r>
      <w:proofErr w:type="spellStart"/>
      <w:r w:rsidRPr="002C547A">
        <w:rPr>
          <w:rFonts w:eastAsia="Calibri"/>
          <w:lang w:val="en-US" w:eastAsia="es-ES"/>
        </w:rPr>
        <w:t>Bassler</w:t>
      </w:r>
      <w:proofErr w:type="spellEnd"/>
      <w:r w:rsidRPr="002C547A">
        <w:rPr>
          <w:rFonts w:eastAsia="Calibri"/>
          <w:lang w:val="en-US" w:eastAsia="es-ES"/>
        </w:rPr>
        <w:t xml:space="preserve"> D, </w:t>
      </w:r>
      <w:proofErr w:type="spellStart"/>
      <w:r w:rsidRPr="002C547A">
        <w:rPr>
          <w:rFonts w:eastAsia="Calibri"/>
          <w:lang w:val="en-US" w:eastAsia="es-ES"/>
        </w:rPr>
        <w:t>Askie</w:t>
      </w:r>
      <w:proofErr w:type="spellEnd"/>
      <w:r w:rsidRPr="002C547A">
        <w:rPr>
          <w:rFonts w:eastAsia="Calibri"/>
          <w:lang w:val="en-US" w:eastAsia="es-ES"/>
        </w:rPr>
        <w:t xml:space="preserve"> L, </w:t>
      </w:r>
      <w:proofErr w:type="spellStart"/>
      <w:r w:rsidRPr="002C547A">
        <w:rPr>
          <w:rFonts w:eastAsia="Calibri"/>
          <w:lang w:val="en-US" w:eastAsia="es-ES"/>
        </w:rPr>
        <w:t>Vandermeer</w:t>
      </w:r>
      <w:proofErr w:type="spellEnd"/>
      <w:r w:rsidRPr="002C547A">
        <w:rPr>
          <w:rFonts w:eastAsia="Calibri"/>
          <w:lang w:val="en-US" w:eastAsia="es-ES"/>
        </w:rPr>
        <w:t xml:space="preserve"> B, et al. Data Monitoring Committees. Pediatrics. 2012 [</w:t>
      </w:r>
      <w:proofErr w:type="spellStart"/>
      <w:r w:rsidRPr="002C547A">
        <w:rPr>
          <w:rFonts w:eastAsia="Calibri"/>
          <w:lang w:val="en-US" w:eastAsia="es-ES"/>
        </w:rPr>
        <w:t>acceso</w:t>
      </w:r>
      <w:proofErr w:type="spellEnd"/>
      <w:r w:rsidRPr="002C547A">
        <w:rPr>
          <w:rFonts w:eastAsia="Calibri"/>
          <w:lang w:val="en-US" w:eastAsia="es-ES"/>
        </w:rPr>
        <w:t>: 16/11/2017];129(3</w:t>
      </w:r>
      <w:proofErr w:type="gramStart"/>
      <w:r w:rsidRPr="002C547A">
        <w:rPr>
          <w:rFonts w:eastAsia="Calibri"/>
          <w:lang w:val="en-US" w:eastAsia="es-ES"/>
        </w:rPr>
        <w:t>):[</w:t>
      </w:r>
      <w:proofErr w:type="spellStart"/>
      <w:proofErr w:type="gramEnd"/>
      <w:r w:rsidRPr="002C547A">
        <w:rPr>
          <w:rFonts w:eastAsia="Calibri"/>
          <w:lang w:val="en-US" w:eastAsia="es-ES"/>
        </w:rPr>
        <w:t>aprox</w:t>
      </w:r>
      <w:proofErr w:type="spellEnd"/>
      <w:r w:rsidRPr="002C547A">
        <w:rPr>
          <w:rFonts w:eastAsia="Calibri"/>
          <w:lang w:val="en-US" w:eastAsia="es-ES"/>
        </w:rPr>
        <w:t xml:space="preserve">. 4 p.]. Disponible </w:t>
      </w:r>
      <w:proofErr w:type="spellStart"/>
      <w:r w:rsidRPr="002C547A">
        <w:rPr>
          <w:rFonts w:eastAsia="Calibri"/>
          <w:lang w:val="en-US" w:eastAsia="es-ES"/>
        </w:rPr>
        <w:t>en</w:t>
      </w:r>
      <w:proofErr w:type="spellEnd"/>
      <w:r w:rsidRPr="002C547A">
        <w:rPr>
          <w:rFonts w:eastAsia="Calibri"/>
          <w:lang w:val="en-US" w:eastAsia="es-ES"/>
        </w:rPr>
        <w:t xml:space="preserve">: </w:t>
      </w:r>
      <w:hyperlink r:id="rId20" w:history="1">
        <w:r w:rsidRPr="002C547A">
          <w:rPr>
            <w:rFonts w:eastAsia="Calibri"/>
            <w:color w:val="0000FF"/>
            <w:u w:val="single"/>
            <w:lang w:val="en-US" w:eastAsia="es-ES"/>
          </w:rPr>
          <w:t>http://pediatrics.aappublications.org/content/129/Supplement_3/S132/</w:t>
        </w:r>
      </w:hyperlink>
    </w:p>
    <w:p w14:paraId="2E34F75C" w14:textId="77777777" w:rsidR="002C547A" w:rsidRPr="002C547A" w:rsidRDefault="002C547A" w:rsidP="002C547A">
      <w:pPr>
        <w:tabs>
          <w:tab w:val="left" w:pos="426"/>
        </w:tabs>
        <w:spacing w:line="360" w:lineRule="auto"/>
        <w:rPr>
          <w:rFonts w:eastAsia="Calibri"/>
          <w:lang w:val="es-ES" w:eastAsia="es-ES"/>
        </w:rPr>
      </w:pPr>
      <w:r w:rsidRPr="002C547A">
        <w:rPr>
          <w:rFonts w:eastAsia="Calibri"/>
          <w:lang w:val="en-US" w:eastAsia="es-ES"/>
        </w:rPr>
        <w:t xml:space="preserve">6. </w:t>
      </w:r>
      <w:proofErr w:type="spellStart"/>
      <w:r w:rsidRPr="002C547A">
        <w:rPr>
          <w:rFonts w:eastAsia="Calibri"/>
          <w:lang w:val="en-US" w:eastAsia="es-ES"/>
        </w:rPr>
        <w:t>Calis</w:t>
      </w:r>
      <w:proofErr w:type="spellEnd"/>
      <w:r w:rsidRPr="002C547A">
        <w:rPr>
          <w:rFonts w:eastAsia="Calibri"/>
          <w:lang w:val="en-US" w:eastAsia="es-ES"/>
        </w:rPr>
        <w:t xml:space="preserve"> KA, Archdeacon P, Bain RP, Forrest A, Perlmutter J, </w:t>
      </w:r>
      <w:proofErr w:type="spellStart"/>
      <w:r w:rsidRPr="002C547A">
        <w:rPr>
          <w:rFonts w:eastAsia="Calibri"/>
          <w:lang w:val="en-US" w:eastAsia="es-ES"/>
        </w:rPr>
        <w:t>DeMets</w:t>
      </w:r>
      <w:proofErr w:type="spellEnd"/>
      <w:r w:rsidRPr="002C547A">
        <w:rPr>
          <w:rFonts w:eastAsia="Calibri"/>
          <w:lang w:val="en-US" w:eastAsia="es-ES"/>
        </w:rPr>
        <w:t xml:space="preserve"> DL. Understanding the functions and operations of data monitoring committees: Survey and focus group findings. </w:t>
      </w:r>
      <w:proofErr w:type="spellStart"/>
      <w:r w:rsidRPr="002C547A">
        <w:rPr>
          <w:rFonts w:eastAsia="Calibri"/>
          <w:lang w:val="es-ES" w:eastAsia="es-ES"/>
        </w:rPr>
        <w:t>ClinicalTrials</w:t>
      </w:r>
      <w:proofErr w:type="spellEnd"/>
      <w:r w:rsidRPr="002C547A">
        <w:rPr>
          <w:rFonts w:eastAsia="Calibri"/>
          <w:lang w:val="es-ES" w:eastAsia="es-ES"/>
        </w:rPr>
        <w:t>. 2017 [acceso: 18/05/2018];14(1</w:t>
      </w:r>
      <w:proofErr w:type="gramStart"/>
      <w:r w:rsidRPr="002C547A">
        <w:rPr>
          <w:rFonts w:eastAsia="Calibri"/>
          <w:lang w:val="es-ES" w:eastAsia="es-ES"/>
        </w:rPr>
        <w:t>):[</w:t>
      </w:r>
      <w:proofErr w:type="gramEnd"/>
      <w:r w:rsidRPr="002C547A">
        <w:rPr>
          <w:rFonts w:eastAsia="Calibri"/>
          <w:lang w:val="es-ES" w:eastAsia="es-ES"/>
        </w:rPr>
        <w:t xml:space="preserve">aprox. 7 p.]. Disponible en: </w:t>
      </w:r>
      <w:hyperlink r:id="rId21" w:history="1">
        <w:r w:rsidRPr="002C547A">
          <w:rPr>
            <w:rFonts w:eastAsia="Calibri"/>
            <w:color w:val="0000FF"/>
            <w:u w:val="single"/>
            <w:lang w:val="es-ES" w:eastAsia="es-ES"/>
          </w:rPr>
          <w:t>https://www.researchgate.net/publication/310813158_Understanding_the_functions_and_operations_of_data_monitoring_committee_Survey_and_focus_group_findings/fulltext/5a185cffa6fdcc50ade7e13f/Understanding-the-functions-and-operations-of-data-monitoring-committee-Survey-and-focus-group-findings.pdf</w:t>
        </w:r>
      </w:hyperlink>
    </w:p>
    <w:p w14:paraId="41023D71" w14:textId="77777777" w:rsidR="002C547A" w:rsidRPr="002C547A" w:rsidRDefault="002C547A" w:rsidP="002C547A">
      <w:pPr>
        <w:tabs>
          <w:tab w:val="left" w:pos="426"/>
        </w:tabs>
        <w:spacing w:line="360" w:lineRule="auto"/>
        <w:rPr>
          <w:rFonts w:eastAsia="Calibri"/>
          <w:lang w:val="en-US" w:eastAsia="es-ES"/>
        </w:rPr>
      </w:pPr>
      <w:r w:rsidRPr="002C547A">
        <w:rPr>
          <w:rFonts w:eastAsia="Calibri"/>
          <w:lang w:val="en-US" w:eastAsia="es-ES"/>
        </w:rPr>
        <w:t>7. O’Neill RT. Regulatory perspectives on data monitoring. Statist Med. 2002 [</w:t>
      </w:r>
      <w:proofErr w:type="spellStart"/>
      <w:r w:rsidRPr="002C547A">
        <w:rPr>
          <w:rFonts w:eastAsia="Calibri"/>
          <w:lang w:val="en-US" w:eastAsia="es-ES"/>
        </w:rPr>
        <w:t>acceso</w:t>
      </w:r>
      <w:proofErr w:type="spellEnd"/>
      <w:r w:rsidRPr="002C547A">
        <w:rPr>
          <w:rFonts w:eastAsia="Calibri"/>
          <w:lang w:val="en-US" w:eastAsia="es-ES"/>
        </w:rPr>
        <w:t>: 25/06/2018];</w:t>
      </w:r>
      <w:proofErr w:type="gramStart"/>
      <w:r w:rsidRPr="002C547A">
        <w:rPr>
          <w:rFonts w:eastAsia="Calibri"/>
          <w:lang w:val="en-US" w:eastAsia="es-ES"/>
        </w:rPr>
        <w:t>21:[</w:t>
      </w:r>
      <w:proofErr w:type="spellStart"/>
      <w:proofErr w:type="gramEnd"/>
      <w:r w:rsidRPr="002C547A">
        <w:rPr>
          <w:rFonts w:eastAsia="Calibri"/>
          <w:lang w:val="en-US" w:eastAsia="es-ES"/>
        </w:rPr>
        <w:t>aprox</w:t>
      </w:r>
      <w:proofErr w:type="spellEnd"/>
      <w:r w:rsidRPr="002C547A">
        <w:rPr>
          <w:rFonts w:eastAsia="Calibri"/>
          <w:lang w:val="en-US" w:eastAsia="es-ES"/>
        </w:rPr>
        <w:t xml:space="preserve">. 5 p.]. Disponible </w:t>
      </w:r>
      <w:proofErr w:type="spellStart"/>
      <w:r w:rsidRPr="002C547A">
        <w:rPr>
          <w:rFonts w:eastAsia="Calibri"/>
          <w:lang w:val="en-US" w:eastAsia="es-ES"/>
        </w:rPr>
        <w:t>en</w:t>
      </w:r>
      <w:proofErr w:type="spellEnd"/>
      <w:r w:rsidRPr="002C547A">
        <w:rPr>
          <w:rFonts w:eastAsia="Calibri"/>
          <w:lang w:val="en-US" w:eastAsia="es-ES"/>
        </w:rPr>
        <w:t xml:space="preserve">: </w:t>
      </w:r>
      <w:hyperlink r:id="rId22" w:history="1">
        <w:r w:rsidRPr="002C547A">
          <w:rPr>
            <w:color w:val="0000FF"/>
            <w:u w:val="single"/>
            <w:lang w:val="en-US" w:eastAsia="es-ES"/>
          </w:rPr>
          <w:t>https://onlinelibrary.wiley.com/doi/epdf/10.1002/sim.1287</w:t>
        </w:r>
      </w:hyperlink>
    </w:p>
    <w:p w14:paraId="0DFBFAA9" w14:textId="77777777" w:rsidR="002C547A" w:rsidRPr="002C547A" w:rsidRDefault="002C547A" w:rsidP="002C547A">
      <w:pPr>
        <w:tabs>
          <w:tab w:val="left" w:pos="426"/>
        </w:tabs>
        <w:spacing w:line="360" w:lineRule="auto"/>
        <w:rPr>
          <w:rFonts w:eastAsia="Calibri"/>
          <w:lang w:val="en-US" w:eastAsia="es-ES"/>
        </w:rPr>
      </w:pPr>
      <w:r w:rsidRPr="002C547A">
        <w:rPr>
          <w:rFonts w:eastAsia="Calibri"/>
          <w:lang w:val="en-US" w:eastAsia="es-ES"/>
        </w:rPr>
        <w:t xml:space="preserve">8. Seltzer J. An estimate of the benefit-cost impact of the FDA guidance on Data Monitoring Committees. </w:t>
      </w:r>
      <w:proofErr w:type="spellStart"/>
      <w:r w:rsidRPr="002C547A">
        <w:rPr>
          <w:rFonts w:eastAsia="Calibri"/>
          <w:lang w:val="en-US" w:eastAsia="es-ES"/>
        </w:rPr>
        <w:t>Ther</w:t>
      </w:r>
      <w:proofErr w:type="spellEnd"/>
      <w:r w:rsidRPr="002C547A">
        <w:rPr>
          <w:rFonts w:eastAsia="Calibri"/>
          <w:lang w:val="en-US" w:eastAsia="es-ES"/>
        </w:rPr>
        <w:t xml:space="preserve"> </w:t>
      </w:r>
      <w:proofErr w:type="spellStart"/>
      <w:r w:rsidRPr="002C547A">
        <w:rPr>
          <w:rFonts w:eastAsia="Calibri"/>
          <w:lang w:val="en-US" w:eastAsia="es-ES"/>
        </w:rPr>
        <w:t>Innov</w:t>
      </w:r>
      <w:proofErr w:type="spellEnd"/>
      <w:r w:rsidRPr="002C547A">
        <w:rPr>
          <w:rFonts w:eastAsia="Calibri"/>
          <w:lang w:val="en-US" w:eastAsia="es-ES"/>
        </w:rPr>
        <w:t xml:space="preserve"> </w:t>
      </w:r>
      <w:proofErr w:type="spellStart"/>
      <w:r w:rsidRPr="002C547A">
        <w:rPr>
          <w:rFonts w:eastAsia="Calibri"/>
          <w:lang w:val="en-US" w:eastAsia="es-ES"/>
        </w:rPr>
        <w:t>Regul</w:t>
      </w:r>
      <w:proofErr w:type="spellEnd"/>
      <w:r w:rsidRPr="002C547A">
        <w:rPr>
          <w:rFonts w:eastAsia="Calibri"/>
          <w:lang w:val="en-US" w:eastAsia="es-ES"/>
        </w:rPr>
        <w:t xml:space="preserve"> Sci. 2015 [</w:t>
      </w:r>
      <w:proofErr w:type="spellStart"/>
      <w:r w:rsidRPr="002C547A">
        <w:rPr>
          <w:rFonts w:eastAsia="Calibri"/>
          <w:lang w:val="en-US" w:eastAsia="es-ES"/>
        </w:rPr>
        <w:t>acceso</w:t>
      </w:r>
      <w:proofErr w:type="spellEnd"/>
      <w:r w:rsidRPr="002C547A">
        <w:rPr>
          <w:rFonts w:eastAsia="Calibri"/>
          <w:lang w:val="en-US" w:eastAsia="es-ES"/>
        </w:rPr>
        <w:t>: 14/05/2018];49(5</w:t>
      </w:r>
      <w:proofErr w:type="gramStart"/>
      <w:r w:rsidRPr="002C547A">
        <w:rPr>
          <w:rFonts w:eastAsia="Calibri"/>
          <w:lang w:val="en-US" w:eastAsia="es-ES"/>
        </w:rPr>
        <w:t>):[</w:t>
      </w:r>
      <w:proofErr w:type="spellStart"/>
      <w:proofErr w:type="gramEnd"/>
      <w:r w:rsidRPr="002C547A">
        <w:rPr>
          <w:rFonts w:eastAsia="Calibri"/>
          <w:lang w:val="en-US" w:eastAsia="es-ES"/>
        </w:rPr>
        <w:t>aprox</w:t>
      </w:r>
      <w:proofErr w:type="spellEnd"/>
      <w:r w:rsidRPr="002C547A">
        <w:rPr>
          <w:rFonts w:eastAsia="Calibri"/>
          <w:lang w:val="en-US" w:eastAsia="es-ES"/>
        </w:rPr>
        <w:t xml:space="preserve"> 9 p.]. Disponible </w:t>
      </w:r>
      <w:proofErr w:type="spellStart"/>
      <w:r w:rsidRPr="002C547A">
        <w:rPr>
          <w:rFonts w:eastAsia="Calibri"/>
          <w:lang w:val="en-US" w:eastAsia="es-ES"/>
        </w:rPr>
        <w:t>en</w:t>
      </w:r>
      <w:proofErr w:type="spellEnd"/>
      <w:r w:rsidRPr="002C547A">
        <w:rPr>
          <w:rFonts w:eastAsia="Calibri"/>
          <w:lang w:val="en-US" w:eastAsia="es-ES"/>
        </w:rPr>
        <w:t xml:space="preserve">: </w:t>
      </w:r>
      <w:hyperlink r:id="rId23" w:history="1">
        <w:r w:rsidRPr="002C547A">
          <w:rPr>
            <w:rFonts w:eastAsia="Calibri"/>
            <w:color w:val="0000FF"/>
            <w:u w:val="single"/>
            <w:lang w:val="en-US" w:eastAsia="es-ES"/>
          </w:rPr>
          <w:t>https://journals.sagepub.com/doi/abs/10.1177/2168479015573586</w:t>
        </w:r>
      </w:hyperlink>
    </w:p>
    <w:p w14:paraId="16CBDA5F" w14:textId="77777777" w:rsidR="002C547A" w:rsidRPr="002C547A" w:rsidRDefault="002C547A" w:rsidP="002C547A">
      <w:pPr>
        <w:tabs>
          <w:tab w:val="left" w:pos="426"/>
        </w:tabs>
        <w:spacing w:line="360" w:lineRule="auto"/>
        <w:rPr>
          <w:rFonts w:eastAsia="Calibri"/>
          <w:lang w:val="en-US" w:eastAsia="es-ES"/>
        </w:rPr>
      </w:pPr>
      <w:r w:rsidRPr="002C547A">
        <w:rPr>
          <w:rFonts w:eastAsia="Calibri"/>
          <w:lang w:val="en-US" w:eastAsia="es-ES"/>
        </w:rPr>
        <w:lastRenderedPageBreak/>
        <w:t xml:space="preserve">9. Pinheiro J. Regulatory guidance documents on adaptive designs: an industry perspective. In: He W, Pinheiro J, </w:t>
      </w:r>
      <w:proofErr w:type="spellStart"/>
      <w:r w:rsidRPr="002C547A">
        <w:rPr>
          <w:rFonts w:eastAsia="Calibri"/>
          <w:lang w:val="en-US" w:eastAsia="es-ES"/>
        </w:rPr>
        <w:t>Kusnetsova</w:t>
      </w:r>
      <w:proofErr w:type="spellEnd"/>
      <w:r w:rsidRPr="002C547A">
        <w:rPr>
          <w:rFonts w:eastAsia="Calibri"/>
          <w:lang w:val="en-US" w:eastAsia="es-ES"/>
        </w:rPr>
        <w:t xml:space="preserve"> O (eds). Practical Considerations for Adaptative Trial Design and Implementation. Statistics for Biology and Health. Springer, New York, NY; 2014 [</w:t>
      </w:r>
      <w:proofErr w:type="spellStart"/>
      <w:r w:rsidRPr="002C547A">
        <w:rPr>
          <w:rFonts w:eastAsia="Calibri"/>
          <w:lang w:val="en-US" w:eastAsia="es-ES"/>
        </w:rPr>
        <w:t>acceso</w:t>
      </w:r>
      <w:proofErr w:type="spellEnd"/>
      <w:r w:rsidRPr="002C547A">
        <w:rPr>
          <w:rFonts w:eastAsia="Calibri"/>
          <w:lang w:val="en-US" w:eastAsia="es-ES"/>
        </w:rPr>
        <w:t>: 10/05/2018</w:t>
      </w:r>
      <w:proofErr w:type="gramStart"/>
      <w:r w:rsidRPr="002C547A">
        <w:rPr>
          <w:rFonts w:eastAsia="Calibri"/>
          <w:lang w:val="en-US" w:eastAsia="es-ES"/>
        </w:rPr>
        <w:t>].Disponible</w:t>
      </w:r>
      <w:proofErr w:type="gramEnd"/>
      <w:r w:rsidRPr="002C547A">
        <w:rPr>
          <w:rFonts w:eastAsia="Calibri"/>
          <w:lang w:val="en-US" w:eastAsia="es-ES"/>
        </w:rPr>
        <w:t xml:space="preserve"> </w:t>
      </w:r>
      <w:proofErr w:type="spellStart"/>
      <w:r w:rsidRPr="002C547A">
        <w:rPr>
          <w:rFonts w:eastAsia="Calibri"/>
          <w:lang w:val="en-US" w:eastAsia="es-ES"/>
        </w:rPr>
        <w:t>en</w:t>
      </w:r>
      <w:proofErr w:type="spellEnd"/>
      <w:r w:rsidRPr="002C547A">
        <w:rPr>
          <w:rFonts w:eastAsia="Calibri"/>
          <w:lang w:val="en-US" w:eastAsia="es-ES"/>
        </w:rPr>
        <w:t xml:space="preserve">: </w:t>
      </w:r>
      <w:hyperlink r:id="rId24" w:history="1">
        <w:r w:rsidRPr="002C547A">
          <w:rPr>
            <w:rFonts w:eastAsia="Calibri"/>
            <w:color w:val="0000FF"/>
            <w:u w:val="single"/>
            <w:lang w:val="en-US" w:eastAsia="es-ES"/>
          </w:rPr>
          <w:t>https://www.researchgate.net/publication/301951332_Regulatory_Guidance_Dcuments_on_Adaptative_Desigs_An_Industr_Perspective</w:t>
        </w:r>
      </w:hyperlink>
    </w:p>
    <w:p w14:paraId="25853219" w14:textId="77777777" w:rsidR="002C547A" w:rsidRPr="002C547A" w:rsidRDefault="002C547A" w:rsidP="002C547A">
      <w:pPr>
        <w:tabs>
          <w:tab w:val="left" w:pos="426"/>
        </w:tabs>
        <w:spacing w:line="360" w:lineRule="auto"/>
        <w:rPr>
          <w:rFonts w:eastAsia="Calibri"/>
          <w:lang w:val="en-US" w:eastAsia="es-ES"/>
        </w:rPr>
      </w:pPr>
      <w:r w:rsidRPr="002C547A">
        <w:rPr>
          <w:rFonts w:eastAsia="Calibri"/>
          <w:lang w:val="en-US" w:eastAsia="es-ES"/>
        </w:rPr>
        <w:t xml:space="preserve">10. Lewis RJ, </w:t>
      </w:r>
      <w:proofErr w:type="spellStart"/>
      <w:r w:rsidRPr="002C547A">
        <w:rPr>
          <w:rFonts w:eastAsia="Calibri"/>
          <w:lang w:val="en-US" w:eastAsia="es-ES"/>
        </w:rPr>
        <w:t>Calis</w:t>
      </w:r>
      <w:proofErr w:type="spellEnd"/>
      <w:r w:rsidRPr="002C547A">
        <w:rPr>
          <w:rFonts w:eastAsia="Calibri"/>
          <w:lang w:val="en-US" w:eastAsia="es-ES"/>
        </w:rPr>
        <w:t xml:space="preserve"> KA, </w:t>
      </w:r>
      <w:proofErr w:type="spellStart"/>
      <w:r w:rsidRPr="002C547A">
        <w:rPr>
          <w:rFonts w:eastAsia="Calibri"/>
          <w:lang w:val="en-US" w:eastAsia="es-ES"/>
        </w:rPr>
        <w:t>DeMets</w:t>
      </w:r>
      <w:proofErr w:type="spellEnd"/>
      <w:r w:rsidRPr="002C547A">
        <w:rPr>
          <w:rFonts w:eastAsia="Calibri"/>
          <w:lang w:val="en-US" w:eastAsia="es-ES"/>
        </w:rPr>
        <w:t xml:space="preserve"> DL. Enhancing the scientific integrity and safety of clinical trials. Recommendations for Data Monitoring Committees. JAMA. 2016 [</w:t>
      </w:r>
      <w:proofErr w:type="spellStart"/>
      <w:r w:rsidRPr="002C547A">
        <w:rPr>
          <w:rFonts w:eastAsia="Calibri"/>
          <w:lang w:val="en-US" w:eastAsia="es-ES"/>
        </w:rPr>
        <w:t>acceso</w:t>
      </w:r>
      <w:proofErr w:type="spellEnd"/>
      <w:r w:rsidRPr="002C547A">
        <w:rPr>
          <w:rFonts w:eastAsia="Calibri"/>
          <w:lang w:val="en-US" w:eastAsia="es-ES"/>
        </w:rPr>
        <w:t xml:space="preserve">: 16/11/2017];316(22):2359-60. Disponible </w:t>
      </w:r>
      <w:proofErr w:type="spellStart"/>
      <w:r w:rsidRPr="002C547A">
        <w:rPr>
          <w:rFonts w:eastAsia="Calibri"/>
          <w:lang w:val="en-US" w:eastAsia="es-ES"/>
        </w:rPr>
        <w:t>en</w:t>
      </w:r>
      <w:proofErr w:type="spellEnd"/>
      <w:r w:rsidRPr="002C547A">
        <w:rPr>
          <w:rFonts w:eastAsia="Calibri"/>
          <w:lang w:val="en-US" w:eastAsia="es-ES"/>
        </w:rPr>
        <w:t xml:space="preserve">: </w:t>
      </w:r>
      <w:hyperlink r:id="rId25" w:history="1">
        <w:r w:rsidRPr="002C547A">
          <w:rPr>
            <w:rFonts w:eastAsia="Calibri"/>
            <w:color w:val="0000FF"/>
            <w:u w:val="single"/>
            <w:lang w:val="en-US" w:eastAsia="es-ES"/>
          </w:rPr>
          <w:t>https://pubmed.ncbi.nlm.nih.gov/27960001/</w:t>
        </w:r>
      </w:hyperlink>
    </w:p>
    <w:p w14:paraId="01DFBCC8" w14:textId="77777777" w:rsidR="002C547A" w:rsidRPr="002C547A" w:rsidRDefault="002C547A" w:rsidP="002C547A">
      <w:pPr>
        <w:tabs>
          <w:tab w:val="left" w:pos="426"/>
        </w:tabs>
        <w:spacing w:line="360" w:lineRule="auto"/>
        <w:rPr>
          <w:rFonts w:eastAsia="Calibri"/>
          <w:lang w:val="es-ES" w:eastAsia="es-ES"/>
        </w:rPr>
      </w:pPr>
      <w:r w:rsidRPr="002C547A">
        <w:rPr>
          <w:rFonts w:eastAsia="Calibri"/>
          <w:lang w:val="es-ES" w:eastAsia="es-ES"/>
        </w:rPr>
        <w:t xml:space="preserve">11. Sánchez G. Investigación clínica en seres humanos en Colombia ¿Estamos en crisis? Acta </w:t>
      </w:r>
      <w:proofErr w:type="spellStart"/>
      <w:r w:rsidRPr="002C547A">
        <w:rPr>
          <w:rFonts w:eastAsia="Calibri"/>
          <w:lang w:val="es-ES" w:eastAsia="es-ES"/>
        </w:rPr>
        <w:t>Med</w:t>
      </w:r>
      <w:proofErr w:type="spellEnd"/>
      <w:r w:rsidRPr="002C547A">
        <w:rPr>
          <w:rFonts w:eastAsia="Calibri"/>
          <w:lang w:val="es-ES" w:eastAsia="es-ES"/>
        </w:rPr>
        <w:t xml:space="preserve"> </w:t>
      </w:r>
      <w:proofErr w:type="spellStart"/>
      <w:r w:rsidRPr="002C547A">
        <w:rPr>
          <w:rFonts w:eastAsia="Calibri"/>
          <w:lang w:val="es-ES" w:eastAsia="es-ES"/>
        </w:rPr>
        <w:t>Colomb</w:t>
      </w:r>
      <w:proofErr w:type="spellEnd"/>
      <w:r w:rsidRPr="002C547A">
        <w:rPr>
          <w:rFonts w:eastAsia="Calibri"/>
          <w:lang w:val="es-ES" w:eastAsia="es-ES"/>
        </w:rPr>
        <w:t>. 2017 [acceso: 24/04/2019];42(4</w:t>
      </w:r>
      <w:proofErr w:type="gramStart"/>
      <w:r w:rsidRPr="002C547A">
        <w:rPr>
          <w:rFonts w:eastAsia="Calibri"/>
          <w:lang w:val="es-ES" w:eastAsia="es-ES"/>
        </w:rPr>
        <w:t>):[</w:t>
      </w:r>
      <w:proofErr w:type="gramEnd"/>
      <w:r w:rsidRPr="002C547A">
        <w:rPr>
          <w:rFonts w:eastAsia="Calibri"/>
          <w:lang w:val="es-ES" w:eastAsia="es-ES"/>
        </w:rPr>
        <w:t xml:space="preserve">aprox. 5 p.]. Disponible en: </w:t>
      </w:r>
      <w:hyperlink r:id="rId26" w:history="1">
        <w:r w:rsidRPr="002C547A">
          <w:rPr>
            <w:rFonts w:eastAsia="Calibri"/>
            <w:color w:val="0000FF"/>
            <w:u w:val="single"/>
            <w:lang w:val="es-ES" w:eastAsia="es-ES"/>
          </w:rPr>
          <w:t>http://www.scielo.org.co/pdf/amc/v42n4/0120-2448-amc-42-04-00207.pdf</w:t>
        </w:r>
      </w:hyperlink>
    </w:p>
    <w:p w14:paraId="7F59F402" w14:textId="77777777" w:rsidR="002C547A" w:rsidRPr="002C547A" w:rsidRDefault="002C547A" w:rsidP="002C547A">
      <w:pPr>
        <w:spacing w:line="360" w:lineRule="auto"/>
        <w:rPr>
          <w:color w:val="0000FF"/>
          <w:u w:val="single"/>
          <w:lang w:val="en-US" w:eastAsia="es-ES"/>
        </w:rPr>
      </w:pPr>
      <w:r w:rsidRPr="002C547A">
        <w:rPr>
          <w:rFonts w:eastAsia="Calibri"/>
          <w:lang w:val="en-US" w:eastAsia="es-ES"/>
        </w:rPr>
        <w:t xml:space="preserve">12. </w:t>
      </w:r>
      <w:proofErr w:type="spellStart"/>
      <w:r w:rsidRPr="002C547A">
        <w:rPr>
          <w:rFonts w:eastAsia="Calibri"/>
          <w:lang w:val="en-US" w:eastAsia="es-ES"/>
        </w:rPr>
        <w:t>Ellenberg</w:t>
      </w:r>
      <w:proofErr w:type="spellEnd"/>
      <w:r w:rsidRPr="002C547A">
        <w:rPr>
          <w:rFonts w:eastAsia="Calibri"/>
          <w:lang w:val="en-US" w:eastAsia="es-ES"/>
        </w:rPr>
        <w:t xml:space="preserve"> SS, Fleming TR, </w:t>
      </w:r>
      <w:proofErr w:type="spellStart"/>
      <w:r w:rsidRPr="002C547A">
        <w:rPr>
          <w:rFonts w:eastAsia="Calibri"/>
          <w:lang w:val="en-US" w:eastAsia="es-ES"/>
        </w:rPr>
        <w:t>DeMets</w:t>
      </w:r>
      <w:proofErr w:type="spellEnd"/>
      <w:r w:rsidRPr="002C547A">
        <w:rPr>
          <w:rFonts w:eastAsia="Calibri"/>
          <w:lang w:val="en-US" w:eastAsia="es-ES"/>
        </w:rPr>
        <w:t xml:space="preserve"> DL. Data Monitoring Committees in clinical trials: a practical perspective. 2nd ed. Southern Gate (England): John Wiley &amp; Sons; 2019. [acceso:05/08/2019]. Disponible </w:t>
      </w:r>
      <w:proofErr w:type="spellStart"/>
      <w:r w:rsidRPr="002C547A">
        <w:rPr>
          <w:rFonts w:eastAsia="Calibri"/>
          <w:lang w:val="en-US" w:eastAsia="es-ES"/>
        </w:rPr>
        <w:t>en</w:t>
      </w:r>
      <w:proofErr w:type="spellEnd"/>
      <w:r w:rsidRPr="002C547A">
        <w:rPr>
          <w:rFonts w:eastAsia="Calibri"/>
          <w:lang w:val="en-US" w:eastAsia="es-ES"/>
        </w:rPr>
        <w:t xml:space="preserve">: </w:t>
      </w:r>
      <w:hyperlink r:id="rId27" w:history="1">
        <w:r w:rsidRPr="002C547A">
          <w:rPr>
            <w:color w:val="0000FF"/>
            <w:u w:val="single"/>
            <w:lang w:val="en-US" w:eastAsia="es-ES"/>
          </w:rPr>
          <w:t>http://93.174.95.29/_ads/B8971AC4CE00890D8EDD1CA1CF98DAFD</w:t>
        </w:r>
      </w:hyperlink>
    </w:p>
    <w:p w14:paraId="38F2E924" w14:textId="77777777" w:rsidR="002C547A" w:rsidRPr="002C547A" w:rsidRDefault="002C547A" w:rsidP="002C547A">
      <w:pPr>
        <w:tabs>
          <w:tab w:val="left" w:pos="426"/>
        </w:tabs>
        <w:spacing w:line="360" w:lineRule="auto"/>
        <w:rPr>
          <w:rFonts w:eastAsia="Calibri"/>
          <w:lang w:val="es-ES" w:eastAsia="es-ES"/>
        </w:rPr>
      </w:pPr>
      <w:r w:rsidRPr="002C547A">
        <w:rPr>
          <w:rFonts w:eastAsia="Calibri"/>
          <w:lang w:val="es-ES" w:eastAsia="es-ES"/>
        </w:rPr>
        <w:t>13.</w:t>
      </w:r>
      <w:r w:rsidRPr="002C547A">
        <w:rPr>
          <w:rFonts w:eastAsia="Calibri"/>
          <w:lang w:val="es-ES" w:eastAsia="es-ES"/>
        </w:rPr>
        <w:tab/>
        <w:t>Molina de Salazar DI, Botero SM, Giraldo Manizales GC. Investigación clínica y ensayos clínicos ¿En qué vamos? Acta Médica Colombiana. 2016 [acceso: 12/04/2019];42(4</w:t>
      </w:r>
      <w:proofErr w:type="gramStart"/>
      <w:r w:rsidRPr="002C547A">
        <w:rPr>
          <w:rFonts w:eastAsia="Calibri"/>
          <w:lang w:val="es-ES" w:eastAsia="es-ES"/>
        </w:rPr>
        <w:t>):[</w:t>
      </w:r>
      <w:proofErr w:type="gramEnd"/>
      <w:r w:rsidRPr="002C547A">
        <w:rPr>
          <w:rFonts w:eastAsia="Calibri"/>
          <w:lang w:val="es-ES" w:eastAsia="es-ES"/>
        </w:rPr>
        <w:t xml:space="preserve">aprox. 5 p.]. Disponible en: </w:t>
      </w:r>
      <w:hyperlink r:id="rId28" w:history="1">
        <w:r w:rsidRPr="002C547A">
          <w:rPr>
            <w:color w:val="0000FF"/>
            <w:u w:val="single"/>
            <w:lang w:val="es-ES" w:eastAsia="es-ES"/>
          </w:rPr>
          <w:t>https://www.scielo.org.co/pdf/amc/v42</w:t>
        </w:r>
        <w:r w:rsidRPr="002C547A">
          <w:rPr>
            <w:rFonts w:eastAsia="Calibri"/>
            <w:color w:val="0000FF"/>
            <w:u w:val="single"/>
            <w:lang w:val="es-ES" w:eastAsia="es-ES"/>
          </w:rPr>
          <w:t>n4/0120-2448-amc-42-04-00207.pdf</w:t>
        </w:r>
      </w:hyperlink>
    </w:p>
    <w:p w14:paraId="59E6D096" w14:textId="77777777" w:rsidR="002C547A" w:rsidRPr="002C547A" w:rsidRDefault="002C547A" w:rsidP="002C547A">
      <w:pPr>
        <w:tabs>
          <w:tab w:val="left" w:pos="426"/>
        </w:tabs>
        <w:spacing w:line="360" w:lineRule="auto"/>
        <w:rPr>
          <w:rFonts w:eastAsia="Calibri"/>
          <w:lang w:val="en-US" w:eastAsia="es-ES"/>
        </w:rPr>
      </w:pPr>
      <w:r w:rsidRPr="002C547A">
        <w:rPr>
          <w:rFonts w:eastAsia="Calibri"/>
          <w:lang w:val="en-US" w:eastAsia="es-ES"/>
        </w:rPr>
        <w:t xml:space="preserve">14. </w:t>
      </w:r>
      <w:proofErr w:type="spellStart"/>
      <w:r w:rsidRPr="002C547A">
        <w:rPr>
          <w:rFonts w:eastAsia="Calibri"/>
          <w:lang w:val="en-US" w:eastAsia="es-ES"/>
        </w:rPr>
        <w:t>Bierer</w:t>
      </w:r>
      <w:proofErr w:type="spellEnd"/>
      <w:r w:rsidRPr="002C547A">
        <w:rPr>
          <w:rFonts w:eastAsia="Calibri"/>
          <w:lang w:val="en-US" w:eastAsia="es-ES"/>
        </w:rPr>
        <w:t xml:space="preserve"> BE, Li R, Seltzer J, Sleeper LA, Frank E, </w:t>
      </w:r>
      <w:proofErr w:type="spellStart"/>
      <w:r w:rsidRPr="002C547A">
        <w:rPr>
          <w:rFonts w:eastAsia="Calibri"/>
          <w:lang w:val="en-US" w:eastAsia="es-ES"/>
        </w:rPr>
        <w:t>Knirsch</w:t>
      </w:r>
      <w:proofErr w:type="spellEnd"/>
      <w:r w:rsidRPr="002C547A">
        <w:rPr>
          <w:rFonts w:eastAsia="Calibri"/>
          <w:lang w:val="en-US" w:eastAsia="es-ES"/>
        </w:rPr>
        <w:t xml:space="preserve"> C, et al. Responsibilities of Data Monitoring Committees: consensus recommendations. </w:t>
      </w:r>
      <w:proofErr w:type="spellStart"/>
      <w:r w:rsidRPr="002C547A">
        <w:rPr>
          <w:rFonts w:eastAsia="Calibri"/>
          <w:lang w:val="en-US" w:eastAsia="es-ES"/>
        </w:rPr>
        <w:t>Ther</w:t>
      </w:r>
      <w:proofErr w:type="spellEnd"/>
      <w:r w:rsidRPr="002C547A">
        <w:rPr>
          <w:rFonts w:eastAsia="Calibri"/>
          <w:lang w:val="en-US" w:eastAsia="es-ES"/>
        </w:rPr>
        <w:t xml:space="preserve"> </w:t>
      </w:r>
      <w:proofErr w:type="spellStart"/>
      <w:r w:rsidRPr="002C547A">
        <w:rPr>
          <w:rFonts w:eastAsia="Calibri"/>
          <w:lang w:val="en-US" w:eastAsia="es-ES"/>
        </w:rPr>
        <w:t>Innov</w:t>
      </w:r>
      <w:proofErr w:type="spellEnd"/>
      <w:r w:rsidRPr="002C547A">
        <w:rPr>
          <w:rFonts w:eastAsia="Calibri"/>
          <w:lang w:val="en-US" w:eastAsia="es-ES"/>
        </w:rPr>
        <w:t xml:space="preserve"> </w:t>
      </w:r>
      <w:proofErr w:type="spellStart"/>
      <w:r w:rsidRPr="002C547A">
        <w:rPr>
          <w:rFonts w:eastAsia="Calibri"/>
          <w:lang w:val="en-US" w:eastAsia="es-ES"/>
        </w:rPr>
        <w:t>Regul</w:t>
      </w:r>
      <w:proofErr w:type="spellEnd"/>
      <w:r w:rsidRPr="002C547A">
        <w:rPr>
          <w:rFonts w:eastAsia="Calibri"/>
          <w:lang w:val="en-US" w:eastAsia="es-ES"/>
        </w:rPr>
        <w:t xml:space="preserve"> Sci. 2016[</w:t>
      </w:r>
      <w:proofErr w:type="spellStart"/>
      <w:r w:rsidRPr="002C547A">
        <w:rPr>
          <w:rFonts w:eastAsia="Calibri"/>
          <w:lang w:val="en-US" w:eastAsia="es-ES"/>
        </w:rPr>
        <w:t>acceso</w:t>
      </w:r>
      <w:proofErr w:type="spellEnd"/>
      <w:r w:rsidRPr="002C547A">
        <w:rPr>
          <w:rFonts w:eastAsia="Calibri"/>
          <w:lang w:val="en-US" w:eastAsia="es-ES"/>
        </w:rPr>
        <w:t xml:space="preserve">: 13/07/2018];50(5):648-659. DOI: 10.1177/2168479016646812 </w:t>
      </w:r>
    </w:p>
    <w:p w14:paraId="06DCE16A" w14:textId="77777777" w:rsidR="002C547A" w:rsidRPr="002C547A" w:rsidRDefault="002C547A" w:rsidP="002C547A">
      <w:pPr>
        <w:tabs>
          <w:tab w:val="left" w:pos="426"/>
        </w:tabs>
        <w:spacing w:line="360" w:lineRule="auto"/>
        <w:rPr>
          <w:rFonts w:eastAsia="Calibri"/>
          <w:lang w:val="es-ES" w:eastAsia="es-ES"/>
        </w:rPr>
      </w:pPr>
      <w:r w:rsidRPr="002C547A">
        <w:rPr>
          <w:rFonts w:eastAsia="Calibri"/>
          <w:lang w:val="en-US" w:eastAsia="es-ES"/>
        </w:rPr>
        <w:t>15.</w:t>
      </w:r>
      <w:r w:rsidRPr="002C547A">
        <w:rPr>
          <w:rFonts w:eastAsia="Calibri"/>
          <w:lang w:val="en-US" w:eastAsia="es-ES"/>
        </w:rPr>
        <w:tab/>
        <w:t xml:space="preserve">Canadian Cancer Trials Group. Policies for the Data Safety Monitoring Committee. </w:t>
      </w:r>
      <w:r w:rsidRPr="002C547A">
        <w:rPr>
          <w:rFonts w:eastAsia="Calibri"/>
          <w:lang w:val="es-ES" w:eastAsia="es-ES"/>
        </w:rPr>
        <w:t xml:space="preserve">Toronto: CCTG; 2017. [acceso 27/04/2019]. Disponible en: </w:t>
      </w:r>
      <w:hyperlink r:id="rId29" w:history="1">
        <w:r w:rsidRPr="002C547A">
          <w:rPr>
            <w:rFonts w:eastAsia="Calibri"/>
            <w:color w:val="0000FF"/>
            <w:u w:val="single"/>
            <w:lang w:val="es-ES" w:eastAsia="es-ES"/>
          </w:rPr>
          <w:t>https://www.ctg.queensu.ca/docs/public/committees/PoliciesfortheDataSafetyMonitoringCommittee.pdf</w:t>
        </w:r>
      </w:hyperlink>
    </w:p>
    <w:p w14:paraId="62C04798" w14:textId="77777777" w:rsidR="002C547A" w:rsidRPr="002C547A" w:rsidRDefault="002C547A" w:rsidP="002C547A">
      <w:pPr>
        <w:tabs>
          <w:tab w:val="left" w:pos="426"/>
        </w:tabs>
        <w:spacing w:line="360" w:lineRule="auto"/>
        <w:rPr>
          <w:rFonts w:eastAsia="Calibri"/>
          <w:lang w:val="es-CU" w:eastAsia="es-ES"/>
        </w:rPr>
      </w:pPr>
      <w:r w:rsidRPr="002C547A">
        <w:rPr>
          <w:rFonts w:eastAsia="Calibri"/>
          <w:lang w:val="en-US" w:eastAsia="es-ES"/>
        </w:rPr>
        <w:t xml:space="preserve">16. DEMOCLES Study Group. A proposed charter for clinical trial Data Monitoring Committees: helping them to do their job well. </w:t>
      </w:r>
      <w:r w:rsidRPr="002C547A">
        <w:rPr>
          <w:rFonts w:eastAsia="Calibri"/>
          <w:lang w:val="es-CU" w:eastAsia="es-ES"/>
        </w:rPr>
        <w:t xml:space="preserve">Lancet. 2005 [acceso: 25/06/2018];365(9460):711–22. Disponible en: </w:t>
      </w:r>
      <w:hyperlink r:id="rId30" w:history="1">
        <w:r w:rsidRPr="002C547A">
          <w:rPr>
            <w:color w:val="0000FF"/>
            <w:u w:val="single"/>
            <w:lang w:val="es-CU" w:eastAsia="es-ES"/>
          </w:rPr>
          <w:t>https://doi.org/10.1016/S0140-6736(05)17965-3</w:t>
        </w:r>
      </w:hyperlink>
    </w:p>
    <w:p w14:paraId="058772E1" w14:textId="77777777" w:rsidR="002C547A" w:rsidRPr="002C547A" w:rsidRDefault="002C547A" w:rsidP="002C547A">
      <w:pPr>
        <w:tabs>
          <w:tab w:val="left" w:pos="426"/>
        </w:tabs>
        <w:spacing w:line="360" w:lineRule="auto"/>
        <w:rPr>
          <w:rFonts w:eastAsia="Calibri"/>
          <w:lang w:val="es-ES" w:eastAsia="es-ES"/>
        </w:rPr>
      </w:pPr>
      <w:r w:rsidRPr="002C547A">
        <w:rPr>
          <w:rFonts w:eastAsia="Calibri"/>
          <w:lang w:val="es-CU" w:eastAsia="es-ES"/>
        </w:rPr>
        <w:t xml:space="preserve">17. </w:t>
      </w:r>
      <w:proofErr w:type="spellStart"/>
      <w:r w:rsidRPr="002C547A">
        <w:rPr>
          <w:rFonts w:eastAsia="Calibri"/>
          <w:lang w:val="es-CU" w:eastAsia="es-ES"/>
        </w:rPr>
        <w:t>Past</w:t>
      </w:r>
      <w:proofErr w:type="spellEnd"/>
      <w:r w:rsidRPr="002C547A">
        <w:rPr>
          <w:rFonts w:eastAsia="Calibri"/>
          <w:lang w:val="es-CU" w:eastAsia="es-ES"/>
        </w:rPr>
        <w:t xml:space="preserve"> SOCRA </w:t>
      </w:r>
      <w:proofErr w:type="spellStart"/>
      <w:r w:rsidRPr="002C547A">
        <w:rPr>
          <w:rFonts w:eastAsia="Calibri"/>
          <w:lang w:val="es-CU" w:eastAsia="es-ES"/>
        </w:rPr>
        <w:t>source</w:t>
      </w:r>
      <w:proofErr w:type="spellEnd"/>
      <w:r w:rsidRPr="002C547A">
        <w:rPr>
          <w:rFonts w:eastAsia="Calibri"/>
          <w:lang w:val="es-CU" w:eastAsia="es-ES"/>
        </w:rPr>
        <w:t xml:space="preserve"> </w:t>
      </w:r>
      <w:proofErr w:type="spellStart"/>
      <w:r w:rsidRPr="002C547A">
        <w:rPr>
          <w:rFonts w:eastAsia="Calibri"/>
          <w:lang w:val="es-CU" w:eastAsia="es-ES"/>
        </w:rPr>
        <w:t>articles</w:t>
      </w:r>
      <w:proofErr w:type="spellEnd"/>
      <w:r w:rsidRPr="002C547A">
        <w:rPr>
          <w:rFonts w:eastAsia="Calibri"/>
          <w:lang w:val="es-CU" w:eastAsia="es-ES"/>
        </w:rPr>
        <w:t xml:space="preserve">. Duke: SOCRA;2003 [actualizado: 2003; acceso: 18/05/2018]. </w:t>
      </w:r>
      <w:r w:rsidRPr="002C547A">
        <w:rPr>
          <w:rFonts w:eastAsia="Calibri"/>
          <w:lang w:val="en-US" w:eastAsia="es-ES"/>
        </w:rPr>
        <w:t xml:space="preserve">The role of Data Monitoring Committees and their impact on Clinical Research Associate </w:t>
      </w:r>
      <w:proofErr w:type="spellStart"/>
      <w:r w:rsidRPr="002C547A">
        <w:rPr>
          <w:rFonts w:eastAsia="Calibri"/>
          <w:lang w:val="en-US" w:eastAsia="es-ES"/>
        </w:rPr>
        <w:t>Responsabilities</w:t>
      </w:r>
      <w:proofErr w:type="spellEnd"/>
      <w:r w:rsidRPr="002C547A">
        <w:rPr>
          <w:rFonts w:eastAsia="Calibri"/>
          <w:lang w:val="en-US" w:eastAsia="es-ES"/>
        </w:rPr>
        <w:t xml:space="preserve"> </w:t>
      </w:r>
      <w:r w:rsidRPr="002C547A">
        <w:rPr>
          <w:rFonts w:eastAsia="Calibri"/>
          <w:lang w:val="en-US" w:eastAsia="es-ES"/>
        </w:rPr>
        <w:lastRenderedPageBreak/>
        <w:t>[</w:t>
      </w:r>
      <w:proofErr w:type="spellStart"/>
      <w:r w:rsidRPr="002C547A">
        <w:rPr>
          <w:rFonts w:eastAsia="Calibri"/>
          <w:lang w:val="en-US" w:eastAsia="es-ES"/>
        </w:rPr>
        <w:t>aprox</w:t>
      </w:r>
      <w:proofErr w:type="spellEnd"/>
      <w:r w:rsidRPr="002C547A">
        <w:rPr>
          <w:rFonts w:eastAsia="Calibri"/>
          <w:lang w:val="en-US" w:eastAsia="es-ES"/>
        </w:rPr>
        <w:t xml:space="preserve">. </w:t>
      </w:r>
      <w:r w:rsidRPr="002C547A">
        <w:rPr>
          <w:rFonts w:eastAsia="Calibri"/>
          <w:lang w:val="es-ES" w:eastAsia="es-ES"/>
        </w:rPr>
        <w:t xml:space="preserve">9 </w:t>
      </w:r>
      <w:proofErr w:type="spellStart"/>
      <w:r w:rsidRPr="002C547A">
        <w:rPr>
          <w:rFonts w:eastAsia="Calibri"/>
          <w:lang w:val="es-ES" w:eastAsia="es-ES"/>
        </w:rPr>
        <w:t>pant</w:t>
      </w:r>
      <w:proofErr w:type="spellEnd"/>
      <w:r w:rsidRPr="002C547A">
        <w:rPr>
          <w:rFonts w:eastAsia="Calibri"/>
          <w:lang w:val="es-ES" w:eastAsia="es-ES"/>
        </w:rPr>
        <w:t xml:space="preserve">.]. Disponible en: </w:t>
      </w:r>
      <w:hyperlink r:id="rId31" w:history="1">
        <w:r w:rsidRPr="002C547A">
          <w:rPr>
            <w:rFonts w:eastAsia="Calibri"/>
            <w:color w:val="0000FF"/>
            <w:u w:val="single"/>
            <w:lang w:val="es-ES" w:eastAsia="es-ES"/>
          </w:rPr>
          <w:t>http://www.socra.org/publications/past-socra-source-articles/the-role-of-data-monitoring-committees-and-their-impact-on-clinical-research-associate-responsabilities/</w:t>
        </w:r>
      </w:hyperlink>
    </w:p>
    <w:p w14:paraId="384EE15A" w14:textId="77777777" w:rsidR="002C547A" w:rsidRPr="002C547A" w:rsidRDefault="002C547A" w:rsidP="002C547A">
      <w:pPr>
        <w:tabs>
          <w:tab w:val="left" w:pos="426"/>
        </w:tabs>
        <w:spacing w:line="360" w:lineRule="auto"/>
        <w:rPr>
          <w:rFonts w:eastAsia="Calibri"/>
          <w:lang w:val="es-ES" w:eastAsia="es-ES"/>
        </w:rPr>
      </w:pPr>
      <w:r w:rsidRPr="002C547A">
        <w:rPr>
          <w:rFonts w:eastAsia="Calibri"/>
          <w:lang w:val="en-US" w:eastAsia="es-ES"/>
        </w:rPr>
        <w:t xml:space="preserve">18. Gates A, Caldwell P, Curtis S, Dans L, Fernandez RM, Hartling L, et al. Reporting of data monitoring committees and adverse events in pediatric trials: a descriptive analysis. </w:t>
      </w:r>
      <w:r w:rsidRPr="002C547A">
        <w:rPr>
          <w:rFonts w:eastAsia="Calibri"/>
          <w:lang w:val="es-CU" w:eastAsia="es-ES"/>
        </w:rPr>
        <w:t>BMJ. 2019 [acceso: 27/04/2019];</w:t>
      </w:r>
      <w:proofErr w:type="gramStart"/>
      <w:r w:rsidRPr="002C547A">
        <w:rPr>
          <w:rFonts w:eastAsia="Calibri"/>
          <w:lang w:val="es-CU" w:eastAsia="es-ES"/>
        </w:rPr>
        <w:t>3:[</w:t>
      </w:r>
      <w:proofErr w:type="gramEnd"/>
      <w:r w:rsidRPr="002C547A">
        <w:rPr>
          <w:rFonts w:eastAsia="Calibri"/>
          <w:lang w:val="es-CU" w:eastAsia="es-ES"/>
        </w:rPr>
        <w:t xml:space="preserve">aprox. </w:t>
      </w:r>
      <w:r w:rsidRPr="002C547A">
        <w:rPr>
          <w:rFonts w:eastAsia="Calibri"/>
          <w:lang w:val="es-ES" w:eastAsia="es-ES"/>
        </w:rPr>
        <w:t xml:space="preserve">8 p.]. Disponible en:  </w:t>
      </w:r>
      <w:hyperlink r:id="rId32" w:history="1">
        <w:r w:rsidRPr="002C547A">
          <w:rPr>
            <w:rFonts w:eastAsia="Calibri"/>
            <w:color w:val="0000FF"/>
            <w:u w:val="single"/>
            <w:lang w:val="es-ES" w:eastAsia="es-ES"/>
          </w:rPr>
          <w:t>https://bmjpaedsopen.bmj.com/content/bmjpo/3/1/e000426.full.pdf</w:t>
        </w:r>
      </w:hyperlink>
    </w:p>
    <w:p w14:paraId="45281BB4" w14:textId="77777777" w:rsidR="002C547A" w:rsidRPr="002C547A" w:rsidRDefault="002C547A" w:rsidP="002C547A">
      <w:pPr>
        <w:tabs>
          <w:tab w:val="left" w:pos="426"/>
        </w:tabs>
        <w:spacing w:line="360" w:lineRule="auto"/>
        <w:rPr>
          <w:rFonts w:eastAsia="Calibri"/>
          <w:lang w:val="es-CU" w:eastAsia="es-ES"/>
        </w:rPr>
      </w:pPr>
      <w:r w:rsidRPr="002C547A">
        <w:rPr>
          <w:rFonts w:eastAsia="Calibri"/>
          <w:lang w:val="en-US" w:eastAsia="es-ES"/>
        </w:rPr>
        <w:t xml:space="preserve">19. Borg-Debono V, </w:t>
      </w:r>
      <w:proofErr w:type="spellStart"/>
      <w:r w:rsidRPr="002C547A">
        <w:rPr>
          <w:rFonts w:eastAsia="Calibri"/>
          <w:lang w:val="en-US" w:eastAsia="es-ES"/>
        </w:rPr>
        <w:t>Mbuagbaw</w:t>
      </w:r>
      <w:proofErr w:type="spellEnd"/>
      <w:r w:rsidRPr="002C547A">
        <w:rPr>
          <w:rFonts w:eastAsia="Calibri"/>
          <w:lang w:val="en-US" w:eastAsia="es-ES"/>
        </w:rPr>
        <w:t xml:space="preserve"> L, Thabane L. Sharing interim trial results by the Data Safety Monitoring Board with those responsible for the trial’s conduct and progress: a narrative review. </w:t>
      </w:r>
      <w:proofErr w:type="spellStart"/>
      <w:r w:rsidRPr="002C547A">
        <w:rPr>
          <w:rFonts w:eastAsia="Calibri"/>
          <w:lang w:val="es-ES" w:eastAsia="es-ES"/>
        </w:rPr>
        <w:t>Canada</w:t>
      </w:r>
      <w:proofErr w:type="spellEnd"/>
      <w:r w:rsidRPr="002C547A">
        <w:rPr>
          <w:rFonts w:eastAsia="Calibri"/>
          <w:lang w:val="es-ES" w:eastAsia="es-ES"/>
        </w:rPr>
        <w:t xml:space="preserve"> </w:t>
      </w:r>
      <w:proofErr w:type="spellStart"/>
      <w:r w:rsidRPr="002C547A">
        <w:rPr>
          <w:rFonts w:eastAsia="Calibri"/>
          <w:lang w:val="es-ES" w:eastAsia="es-ES"/>
        </w:rPr>
        <w:t>Trials</w:t>
      </w:r>
      <w:proofErr w:type="spellEnd"/>
      <w:r w:rsidRPr="002C547A">
        <w:rPr>
          <w:rFonts w:eastAsia="Calibri"/>
          <w:lang w:val="es-ES" w:eastAsia="es-ES"/>
        </w:rPr>
        <w:t xml:space="preserve">. 2017 [acceso: 18/05/2018]; 18:120. [aprox. </w:t>
      </w:r>
      <w:r w:rsidRPr="002C547A">
        <w:rPr>
          <w:rFonts w:eastAsia="Calibri"/>
          <w:lang w:val="es-CU" w:eastAsia="es-ES"/>
        </w:rPr>
        <w:t>13 p.</w:t>
      </w:r>
      <w:proofErr w:type="gramStart"/>
      <w:r w:rsidRPr="002C547A">
        <w:rPr>
          <w:rFonts w:eastAsia="Calibri"/>
          <w:lang w:val="es-CU" w:eastAsia="es-ES"/>
        </w:rPr>
        <w:t>].Disponible</w:t>
      </w:r>
      <w:proofErr w:type="gramEnd"/>
      <w:r w:rsidRPr="002C547A">
        <w:rPr>
          <w:rFonts w:eastAsia="Calibri"/>
          <w:lang w:val="es-CU" w:eastAsia="es-ES"/>
        </w:rPr>
        <w:t xml:space="preserve"> en: </w:t>
      </w:r>
      <w:hyperlink r:id="rId33" w:history="1">
        <w:r w:rsidRPr="002C547A">
          <w:rPr>
            <w:color w:val="0000FF"/>
            <w:u w:val="single"/>
            <w:lang w:val="es-CU" w:eastAsia="es-ES"/>
          </w:rPr>
          <w:t>https://trialsjournal.biomedcentral.com/articles/10.1186/s13063-017-1858-y</w:t>
        </w:r>
      </w:hyperlink>
    </w:p>
    <w:p w14:paraId="2EBB9259" w14:textId="77777777" w:rsidR="002C547A" w:rsidRPr="002C547A" w:rsidRDefault="002C547A" w:rsidP="002C547A">
      <w:pPr>
        <w:tabs>
          <w:tab w:val="left" w:pos="426"/>
        </w:tabs>
        <w:spacing w:line="360" w:lineRule="auto"/>
        <w:rPr>
          <w:rFonts w:eastAsia="Calibri"/>
          <w:lang w:val="es-ES" w:eastAsia="es-ES"/>
        </w:rPr>
      </w:pPr>
      <w:r w:rsidRPr="002C547A">
        <w:rPr>
          <w:rFonts w:eastAsia="Calibri"/>
          <w:lang w:val="en-US" w:eastAsia="es-ES"/>
        </w:rPr>
        <w:t xml:space="preserve">20. Food and Drug Administration. Guidance for clinical trial sponsors: establishment and operation of clinical trial Data Monitoring Committees. </w:t>
      </w:r>
      <w:r w:rsidRPr="002C547A">
        <w:rPr>
          <w:rFonts w:eastAsia="Calibri"/>
          <w:lang w:val="es-ES" w:eastAsia="es-ES"/>
        </w:rPr>
        <w:t xml:space="preserve">Washington: FDA; 2006 [acceso: 18/05/2018]. Disponible en:  </w:t>
      </w:r>
      <w:hyperlink r:id="rId34" w:history="1">
        <w:r w:rsidRPr="002C547A">
          <w:rPr>
            <w:rFonts w:eastAsia="Calibri"/>
            <w:color w:val="0000FF"/>
            <w:u w:val="single"/>
            <w:lang w:val="es-ES" w:eastAsia="es-ES"/>
          </w:rPr>
          <w:t>http://www.gmp-compliace.org/guidemgr/files/clindatmon.pdf</w:t>
        </w:r>
      </w:hyperlink>
    </w:p>
    <w:p w14:paraId="6CEA1E85" w14:textId="77777777" w:rsidR="002C547A" w:rsidRPr="002C547A" w:rsidRDefault="002C547A" w:rsidP="002C547A">
      <w:pPr>
        <w:tabs>
          <w:tab w:val="left" w:pos="426"/>
        </w:tabs>
        <w:spacing w:line="360" w:lineRule="auto"/>
        <w:rPr>
          <w:rFonts w:eastAsia="Calibri"/>
          <w:lang w:val="es-ES" w:eastAsia="es-ES"/>
        </w:rPr>
      </w:pPr>
      <w:r w:rsidRPr="002C547A">
        <w:rPr>
          <w:rFonts w:eastAsia="Calibri"/>
          <w:lang w:val="en-US" w:eastAsia="es-ES"/>
        </w:rPr>
        <w:t>21. European Medicines Agency. Guideline on data monitoring committees. In:  Committee for medicinal products for human use. London: EMA; 2005[</w:t>
      </w:r>
      <w:proofErr w:type="spellStart"/>
      <w:r w:rsidRPr="002C547A">
        <w:rPr>
          <w:rFonts w:eastAsia="Calibri"/>
          <w:lang w:val="en-US" w:eastAsia="es-ES"/>
        </w:rPr>
        <w:t>acceso</w:t>
      </w:r>
      <w:proofErr w:type="spellEnd"/>
      <w:r w:rsidRPr="002C547A">
        <w:rPr>
          <w:rFonts w:eastAsia="Calibri"/>
          <w:lang w:val="en-US" w:eastAsia="es-ES"/>
        </w:rPr>
        <w:t xml:space="preserve">: 17/01/2018]. </w:t>
      </w:r>
      <w:r w:rsidRPr="002C547A">
        <w:rPr>
          <w:rFonts w:eastAsia="Calibri"/>
          <w:lang w:val="es-ES" w:eastAsia="es-ES"/>
        </w:rPr>
        <w:t xml:space="preserve">Disponible en: </w:t>
      </w:r>
      <w:hyperlink r:id="rId35" w:history="1">
        <w:r w:rsidRPr="002C547A">
          <w:rPr>
            <w:rFonts w:eastAsia="Calibri"/>
            <w:color w:val="0000FF"/>
            <w:u w:val="single"/>
            <w:lang w:val="es-ES" w:eastAsia="es-ES"/>
          </w:rPr>
          <w:t>https://www.ema.europa.eu/en/documents/scientific-guideline/guideline-data-monitoring-committees_en.pdf</w:t>
        </w:r>
      </w:hyperlink>
    </w:p>
    <w:p w14:paraId="6CA1CB60" w14:textId="77777777" w:rsidR="002C547A" w:rsidRPr="002C547A" w:rsidRDefault="002C547A" w:rsidP="002C547A">
      <w:pPr>
        <w:spacing w:line="360" w:lineRule="auto"/>
        <w:rPr>
          <w:rFonts w:eastAsia="Calibri"/>
          <w:lang w:val="en-US" w:eastAsia="es-ES"/>
        </w:rPr>
      </w:pPr>
      <w:r w:rsidRPr="002C547A">
        <w:rPr>
          <w:rFonts w:eastAsia="Calibri"/>
          <w:lang w:val="en-US" w:eastAsia="es-ES"/>
        </w:rPr>
        <w:t>22. National Health and Medical Research Council. Data Safety Monitoring Boards (DSMBs</w:t>
      </w:r>
      <w:proofErr w:type="gramStart"/>
      <w:r w:rsidRPr="002C547A">
        <w:rPr>
          <w:rFonts w:eastAsia="Calibri"/>
          <w:lang w:val="en-US" w:eastAsia="es-ES"/>
        </w:rPr>
        <w:t>).Sidney</w:t>
      </w:r>
      <w:proofErr w:type="gramEnd"/>
      <w:r w:rsidRPr="002C547A">
        <w:rPr>
          <w:rFonts w:eastAsia="Calibri"/>
          <w:lang w:val="en-US" w:eastAsia="es-ES"/>
        </w:rPr>
        <w:t>: NHMRC; 2018 [</w:t>
      </w:r>
      <w:proofErr w:type="spellStart"/>
      <w:r w:rsidRPr="002C547A">
        <w:rPr>
          <w:rFonts w:eastAsia="Calibri"/>
          <w:lang w:val="en-US" w:eastAsia="es-ES"/>
        </w:rPr>
        <w:t>acceso</w:t>
      </w:r>
      <w:proofErr w:type="spellEnd"/>
      <w:r w:rsidRPr="002C547A">
        <w:rPr>
          <w:rFonts w:eastAsia="Calibri"/>
          <w:lang w:val="en-US" w:eastAsia="es-ES"/>
        </w:rPr>
        <w:t xml:space="preserve">: 25/06/2018]. Disponible </w:t>
      </w:r>
      <w:proofErr w:type="spellStart"/>
      <w:r w:rsidRPr="002C547A">
        <w:rPr>
          <w:rFonts w:eastAsia="Calibri"/>
          <w:lang w:val="en-US" w:eastAsia="es-ES"/>
        </w:rPr>
        <w:t>en</w:t>
      </w:r>
      <w:proofErr w:type="spellEnd"/>
      <w:r w:rsidRPr="002C547A">
        <w:rPr>
          <w:rFonts w:eastAsia="Calibri"/>
          <w:lang w:val="en-US" w:eastAsia="es-ES"/>
        </w:rPr>
        <w:t xml:space="preserve">: </w:t>
      </w:r>
      <w:hyperlink r:id="rId36" w:history="1">
        <w:r w:rsidRPr="002C547A">
          <w:rPr>
            <w:rFonts w:eastAsia="Calibri"/>
            <w:color w:val="0000FF"/>
            <w:u w:val="single"/>
            <w:lang w:val="en-US" w:eastAsia="es-ES"/>
          </w:rPr>
          <w:t>https://www.australia</w:t>
        </w:r>
        <w:r w:rsidRPr="002C547A">
          <w:rPr>
            <w:color w:val="0000FF"/>
            <w:u w:val="single"/>
            <w:lang w:val="en-US" w:eastAsia="es-ES"/>
          </w:rPr>
          <w:t>n</w:t>
        </w:r>
        <w:r w:rsidRPr="002C547A">
          <w:rPr>
            <w:rFonts w:eastAsia="Calibri"/>
            <w:color w:val="0000FF"/>
            <w:u w:val="single"/>
            <w:lang w:val="en-US" w:eastAsia="es-ES"/>
          </w:rPr>
          <w:t>cli</w:t>
        </w:r>
        <w:r w:rsidRPr="002C547A">
          <w:rPr>
            <w:color w:val="0000FF"/>
            <w:u w:val="single"/>
            <w:lang w:val="en-US" w:eastAsia="es-ES"/>
          </w:rPr>
          <w:t>n</w:t>
        </w:r>
        <w:r w:rsidRPr="002C547A">
          <w:rPr>
            <w:rFonts w:eastAsia="Calibri"/>
            <w:color w:val="0000FF"/>
            <w:u w:val="single"/>
            <w:lang w:val="en-US" w:eastAsia="es-ES"/>
          </w:rPr>
          <w:t>icaltrials.gov.au/sites/default/file/conte</w:t>
        </w:r>
        <w:r w:rsidRPr="002C547A">
          <w:rPr>
            <w:color w:val="0000FF"/>
            <w:u w:val="single"/>
            <w:lang w:val="en-US" w:eastAsia="es-ES"/>
          </w:rPr>
          <w:t>nt</w:t>
        </w:r>
        <w:r w:rsidRPr="002C547A">
          <w:rPr>
            <w:rFonts w:eastAsia="Calibri"/>
            <w:color w:val="0000FF"/>
            <w:u w:val="single"/>
            <w:lang w:val="en-US" w:eastAsia="es-ES"/>
          </w:rPr>
          <w:t>/for research/data_safety_monitoring_boards_1.pdf</w:t>
        </w:r>
      </w:hyperlink>
    </w:p>
    <w:p w14:paraId="160413D8" w14:textId="77777777" w:rsidR="002C547A" w:rsidRPr="002C547A" w:rsidRDefault="002C547A" w:rsidP="002C547A">
      <w:pPr>
        <w:tabs>
          <w:tab w:val="left" w:pos="426"/>
        </w:tabs>
        <w:spacing w:line="360" w:lineRule="auto"/>
        <w:rPr>
          <w:rFonts w:eastAsia="Calibri"/>
          <w:lang w:val="es-ES" w:eastAsia="es-ES"/>
        </w:rPr>
      </w:pPr>
      <w:r w:rsidRPr="002C547A">
        <w:rPr>
          <w:rFonts w:eastAsia="Calibri"/>
          <w:lang w:val="en-US" w:eastAsia="es-ES"/>
        </w:rPr>
        <w:t xml:space="preserve">23. Ando Y. Guidance on Data Monitoring Committee: regulatory perspective in Japan. </w:t>
      </w:r>
      <w:proofErr w:type="spellStart"/>
      <w:r w:rsidRPr="002C547A">
        <w:rPr>
          <w:rFonts w:eastAsia="Calibri"/>
          <w:lang w:val="en-US" w:eastAsia="es-ES"/>
        </w:rPr>
        <w:t>En</w:t>
      </w:r>
      <w:proofErr w:type="spellEnd"/>
      <w:r w:rsidRPr="002C547A">
        <w:rPr>
          <w:rFonts w:eastAsia="Calibri"/>
          <w:lang w:val="en-US" w:eastAsia="es-ES"/>
        </w:rPr>
        <w:t xml:space="preserve">: Austria-Japan Joint Statistics Workshop. Data monitoring committees in clinical trials. </w:t>
      </w:r>
      <w:r w:rsidRPr="002C547A">
        <w:rPr>
          <w:rFonts w:eastAsia="Calibri"/>
          <w:lang w:val="es-ES" w:eastAsia="es-ES"/>
        </w:rPr>
        <w:t>Viena; 25/03/</w:t>
      </w:r>
      <w:proofErr w:type="gramStart"/>
      <w:r w:rsidRPr="002C547A">
        <w:rPr>
          <w:rFonts w:eastAsia="Calibri"/>
          <w:lang w:val="es-ES" w:eastAsia="es-ES"/>
        </w:rPr>
        <w:t>2015.[</w:t>
      </w:r>
      <w:proofErr w:type="gramEnd"/>
      <w:r w:rsidRPr="002C547A">
        <w:rPr>
          <w:rFonts w:eastAsia="Calibri"/>
          <w:lang w:val="es-ES" w:eastAsia="es-ES"/>
        </w:rPr>
        <w:t xml:space="preserve">acceso 13/07/2018]. Disponible en: </w:t>
      </w:r>
      <w:hyperlink r:id="rId37" w:history="1">
        <w:r w:rsidRPr="002C547A">
          <w:rPr>
            <w:rFonts w:eastAsia="Calibri"/>
            <w:color w:val="0000FF"/>
            <w:u w:val="single"/>
            <w:lang w:val="es-ES" w:eastAsia="es-ES"/>
          </w:rPr>
          <w:t>https://www.pmda.go.jp/files/000204620.pdf</w:t>
        </w:r>
      </w:hyperlink>
    </w:p>
    <w:p w14:paraId="357A0396" w14:textId="77777777" w:rsidR="002C547A" w:rsidRPr="002C547A" w:rsidRDefault="002C547A" w:rsidP="002C547A">
      <w:pPr>
        <w:tabs>
          <w:tab w:val="left" w:pos="426"/>
        </w:tabs>
        <w:spacing w:line="360" w:lineRule="auto"/>
        <w:rPr>
          <w:rFonts w:eastAsia="Calibri"/>
          <w:lang w:val="en-US" w:eastAsia="es-ES"/>
        </w:rPr>
      </w:pPr>
      <w:r w:rsidRPr="002C547A">
        <w:rPr>
          <w:rFonts w:eastAsia="Calibri"/>
          <w:lang w:val="en-US" w:eastAsia="es-ES"/>
        </w:rPr>
        <w:t>24. Turkish Medicine and Medical Device Agency. Guidelines regarding Independent Data Monitoring Committees. Istanbul: Turkish Medicine and Medical Device Agency; 2013 [</w:t>
      </w:r>
      <w:proofErr w:type="spellStart"/>
      <w:r w:rsidRPr="002C547A">
        <w:rPr>
          <w:rFonts w:eastAsia="Calibri"/>
          <w:lang w:val="en-US" w:eastAsia="es-ES"/>
        </w:rPr>
        <w:t>acceso</w:t>
      </w:r>
      <w:proofErr w:type="spellEnd"/>
      <w:r w:rsidRPr="002C547A">
        <w:rPr>
          <w:rFonts w:eastAsia="Calibri"/>
          <w:lang w:val="en-US" w:eastAsia="es-ES"/>
        </w:rPr>
        <w:t xml:space="preserve">: 13/07/2018]. Disponible </w:t>
      </w:r>
      <w:proofErr w:type="spellStart"/>
      <w:r w:rsidRPr="002C547A">
        <w:rPr>
          <w:rFonts w:eastAsia="Calibri"/>
          <w:lang w:val="en-US" w:eastAsia="es-ES"/>
        </w:rPr>
        <w:t>en</w:t>
      </w:r>
      <w:proofErr w:type="spellEnd"/>
      <w:r w:rsidRPr="002C547A">
        <w:rPr>
          <w:rFonts w:eastAsia="Calibri"/>
          <w:lang w:val="en-US" w:eastAsia="es-ES"/>
        </w:rPr>
        <w:t xml:space="preserve">: </w:t>
      </w:r>
      <w:hyperlink r:id="rId38" w:history="1">
        <w:r w:rsidRPr="002C547A">
          <w:rPr>
            <w:rFonts w:eastAsia="Calibri"/>
            <w:color w:val="0000FF"/>
            <w:u w:val="single"/>
            <w:lang w:val="en-US" w:eastAsia="es-ES"/>
          </w:rPr>
          <w:t>https://es.slideshare.net/anova83/guidelines-regarding-independent-data-monitoring-committeesapril2013</w:t>
        </w:r>
      </w:hyperlink>
    </w:p>
    <w:p w14:paraId="24E85B39" w14:textId="77777777" w:rsidR="002C547A" w:rsidRPr="002C547A" w:rsidRDefault="002C547A" w:rsidP="002C547A">
      <w:pPr>
        <w:tabs>
          <w:tab w:val="left" w:pos="426"/>
        </w:tabs>
        <w:spacing w:line="360" w:lineRule="auto"/>
        <w:rPr>
          <w:rFonts w:eastAsia="Calibri"/>
          <w:lang w:val="es-ES" w:eastAsia="es-ES"/>
        </w:rPr>
      </w:pPr>
      <w:r w:rsidRPr="002C547A">
        <w:rPr>
          <w:rFonts w:eastAsia="Calibri"/>
          <w:lang w:val="en-US" w:eastAsia="es-ES"/>
        </w:rPr>
        <w:lastRenderedPageBreak/>
        <w:t xml:space="preserve">25. Special Programmer for Research and Training in Tropical Diseases. Operational guidelines for the establishment and functioning of Data and Safety Monitoring Boards. </w:t>
      </w:r>
      <w:r w:rsidRPr="002C547A">
        <w:rPr>
          <w:rFonts w:eastAsia="Calibri"/>
          <w:lang w:val="es-ES" w:eastAsia="es-ES"/>
        </w:rPr>
        <w:t xml:space="preserve">Geneva: WHO; 2005 [acceso: 13/07/2018]. Disponible en: </w:t>
      </w:r>
      <w:hyperlink r:id="rId39" w:history="1">
        <w:r w:rsidRPr="002C547A">
          <w:rPr>
            <w:rFonts w:eastAsia="Calibri"/>
            <w:color w:val="0000FF"/>
            <w:u w:val="single"/>
            <w:lang w:val="es-ES" w:eastAsia="es-ES"/>
          </w:rPr>
          <w:t>http://www.who.int/tdr/publications/documents/operational-guidelines.pdf</w:t>
        </w:r>
      </w:hyperlink>
    </w:p>
    <w:p w14:paraId="0100695C" w14:textId="77777777" w:rsidR="002C547A" w:rsidRPr="002C547A" w:rsidRDefault="002C547A" w:rsidP="002C547A">
      <w:pPr>
        <w:tabs>
          <w:tab w:val="left" w:pos="426"/>
        </w:tabs>
        <w:spacing w:line="360" w:lineRule="auto"/>
        <w:rPr>
          <w:rFonts w:eastAsia="Calibri"/>
          <w:lang w:val="es-ES" w:eastAsia="es-ES"/>
        </w:rPr>
      </w:pPr>
      <w:r w:rsidRPr="002C547A">
        <w:rPr>
          <w:rFonts w:eastAsia="Calibri"/>
          <w:lang w:val="en-US" w:eastAsia="es-ES"/>
        </w:rPr>
        <w:t>26. U.S. Department of Health and Human Services. NIH: National Institute of Arthritis and Musculoskeletal and Skin Diseases. Bethesda, Maryland; 2017. Data and Safety Monitoring (DSM) Guidelines. [</w:t>
      </w:r>
      <w:proofErr w:type="spellStart"/>
      <w:r w:rsidRPr="002C547A">
        <w:rPr>
          <w:rFonts w:eastAsia="Calibri"/>
          <w:lang w:val="en-US" w:eastAsia="es-ES"/>
        </w:rPr>
        <w:t>actualizado</w:t>
      </w:r>
      <w:proofErr w:type="spellEnd"/>
      <w:r w:rsidRPr="002C547A">
        <w:rPr>
          <w:rFonts w:eastAsia="Calibri"/>
          <w:lang w:val="en-US" w:eastAsia="es-ES"/>
        </w:rPr>
        <w:t xml:space="preserve">: 08/01/2017; </w:t>
      </w:r>
      <w:proofErr w:type="spellStart"/>
      <w:r w:rsidRPr="002C547A">
        <w:rPr>
          <w:rFonts w:eastAsia="Calibri"/>
          <w:lang w:val="en-US" w:eastAsia="es-ES"/>
        </w:rPr>
        <w:t>acceso</w:t>
      </w:r>
      <w:proofErr w:type="spellEnd"/>
      <w:r w:rsidRPr="002C547A">
        <w:rPr>
          <w:rFonts w:eastAsia="Calibri"/>
          <w:lang w:val="en-US" w:eastAsia="es-ES"/>
        </w:rPr>
        <w:t>: 20/02/2019] [</w:t>
      </w:r>
      <w:proofErr w:type="spellStart"/>
      <w:r w:rsidRPr="002C547A">
        <w:rPr>
          <w:rFonts w:eastAsia="Calibri"/>
          <w:lang w:val="en-US" w:eastAsia="es-ES"/>
        </w:rPr>
        <w:t>aprox</w:t>
      </w:r>
      <w:proofErr w:type="spellEnd"/>
      <w:r w:rsidRPr="002C547A">
        <w:rPr>
          <w:rFonts w:eastAsia="Calibri"/>
          <w:lang w:val="en-US" w:eastAsia="es-ES"/>
        </w:rPr>
        <w:t xml:space="preserve">. </w:t>
      </w:r>
      <w:r w:rsidRPr="002C547A">
        <w:rPr>
          <w:rFonts w:eastAsia="Calibri"/>
          <w:lang w:val="es-ES" w:eastAsia="es-ES"/>
        </w:rPr>
        <w:t xml:space="preserve">11 </w:t>
      </w:r>
      <w:proofErr w:type="spellStart"/>
      <w:r w:rsidRPr="002C547A">
        <w:rPr>
          <w:rFonts w:eastAsia="Calibri"/>
          <w:lang w:val="es-ES" w:eastAsia="es-ES"/>
        </w:rPr>
        <w:t>pant</w:t>
      </w:r>
      <w:proofErr w:type="spellEnd"/>
      <w:r w:rsidRPr="002C547A">
        <w:rPr>
          <w:rFonts w:eastAsia="Calibri"/>
          <w:lang w:val="es-ES" w:eastAsia="es-ES"/>
        </w:rPr>
        <w:t xml:space="preserve">.]. Disponible en: </w:t>
      </w:r>
      <w:hyperlink r:id="rId40" w:history="1">
        <w:r w:rsidRPr="002C547A">
          <w:rPr>
            <w:rFonts w:eastAsia="Calibri"/>
            <w:color w:val="0000FF"/>
            <w:u w:val="single"/>
            <w:lang w:val="es-ES" w:eastAsia="es-ES"/>
          </w:rPr>
          <w:t>https://www.niams.nih.gov/grants-funding/data-safety-monitoring/dsm-guidelines</w:t>
        </w:r>
      </w:hyperlink>
    </w:p>
    <w:p w14:paraId="07D6A520" w14:textId="77777777" w:rsidR="002C547A" w:rsidRPr="002C547A" w:rsidRDefault="002C547A" w:rsidP="002C547A">
      <w:pPr>
        <w:tabs>
          <w:tab w:val="left" w:pos="426"/>
        </w:tabs>
        <w:spacing w:line="360" w:lineRule="auto"/>
        <w:rPr>
          <w:rFonts w:eastAsia="Calibri"/>
          <w:lang w:val="es-ES" w:eastAsia="es-ES"/>
        </w:rPr>
      </w:pPr>
      <w:r w:rsidRPr="002C547A">
        <w:rPr>
          <w:rFonts w:eastAsia="Calibri"/>
          <w:lang w:val="en-US" w:eastAsia="es-ES"/>
        </w:rPr>
        <w:t xml:space="preserve">27. Sartor O, </w:t>
      </w:r>
      <w:proofErr w:type="spellStart"/>
      <w:r w:rsidRPr="002C547A">
        <w:rPr>
          <w:rFonts w:eastAsia="Calibri"/>
          <w:lang w:val="en-US" w:eastAsia="es-ES"/>
        </w:rPr>
        <w:t>Halabi</w:t>
      </w:r>
      <w:proofErr w:type="spellEnd"/>
      <w:r w:rsidRPr="002C547A">
        <w:rPr>
          <w:rFonts w:eastAsia="Calibri"/>
          <w:lang w:val="en-US" w:eastAsia="es-ES"/>
        </w:rPr>
        <w:t xml:space="preserve"> S. Independent Data Monitoring Committees: An Update and Overview. </w:t>
      </w:r>
      <w:proofErr w:type="spellStart"/>
      <w:r w:rsidRPr="002C547A">
        <w:rPr>
          <w:rFonts w:eastAsia="Calibri"/>
          <w:lang w:val="es-CU" w:eastAsia="es-ES"/>
        </w:rPr>
        <w:t>Urol</w:t>
      </w:r>
      <w:proofErr w:type="spellEnd"/>
      <w:r w:rsidRPr="002C547A">
        <w:rPr>
          <w:rFonts w:eastAsia="Calibri"/>
          <w:lang w:val="es-CU" w:eastAsia="es-ES"/>
        </w:rPr>
        <w:t xml:space="preserve"> Oncol. </w:t>
      </w:r>
      <w:r w:rsidRPr="002C547A">
        <w:rPr>
          <w:rFonts w:eastAsia="Calibri"/>
          <w:lang w:val="es-ES" w:eastAsia="es-ES"/>
        </w:rPr>
        <w:t xml:space="preserve">2015 [acceso: 14/01/2020]; 33(3):143–8. Disponible en </w:t>
      </w:r>
      <w:hyperlink r:id="rId41" w:history="1">
        <w:r w:rsidRPr="002C547A">
          <w:rPr>
            <w:rFonts w:eastAsia="Calibri"/>
            <w:color w:val="0000FF"/>
            <w:u w:val="single"/>
            <w:lang w:val="es-ES" w:eastAsia="es-ES"/>
          </w:rPr>
          <w:t>https://www.ncbi.nlm.nih.gov/pmc/articles/PMC4516383/</w:t>
        </w:r>
      </w:hyperlink>
    </w:p>
    <w:p w14:paraId="508960AA" w14:textId="77777777" w:rsidR="002C547A" w:rsidRPr="002C547A" w:rsidRDefault="002C547A" w:rsidP="002C547A">
      <w:pPr>
        <w:tabs>
          <w:tab w:val="left" w:pos="426"/>
        </w:tabs>
        <w:spacing w:line="360" w:lineRule="auto"/>
        <w:rPr>
          <w:rFonts w:eastAsia="Calibri"/>
          <w:lang w:val="en-US" w:eastAsia="es-ES"/>
        </w:rPr>
      </w:pPr>
      <w:r w:rsidRPr="002C547A">
        <w:rPr>
          <w:rFonts w:eastAsia="Calibri"/>
          <w:lang w:val="en-US" w:eastAsia="es-ES"/>
        </w:rPr>
        <w:t xml:space="preserve">28. Hicks LK, </w:t>
      </w:r>
      <w:proofErr w:type="spellStart"/>
      <w:r w:rsidRPr="002C547A">
        <w:rPr>
          <w:rFonts w:eastAsia="Calibri"/>
          <w:lang w:val="en-US" w:eastAsia="es-ES"/>
        </w:rPr>
        <w:t>Laupacis</w:t>
      </w:r>
      <w:proofErr w:type="spellEnd"/>
      <w:r w:rsidRPr="002C547A">
        <w:rPr>
          <w:rFonts w:eastAsia="Calibri"/>
          <w:lang w:val="en-US" w:eastAsia="es-ES"/>
        </w:rPr>
        <w:t xml:space="preserve"> A, Slutsky AS. A primer on data safety monitoring boards: mission, methods, and controversies. Intensive Care Med. 2007 [acceso:08/01/2020]; 33:1815–18. Disponible </w:t>
      </w:r>
      <w:proofErr w:type="spellStart"/>
      <w:r w:rsidRPr="002C547A">
        <w:rPr>
          <w:rFonts w:eastAsia="Calibri"/>
          <w:lang w:val="en-US" w:eastAsia="es-ES"/>
        </w:rPr>
        <w:t>en</w:t>
      </w:r>
      <w:proofErr w:type="spellEnd"/>
      <w:r w:rsidRPr="002C547A">
        <w:rPr>
          <w:rFonts w:eastAsia="Calibri"/>
          <w:lang w:val="en-US" w:eastAsia="es-ES"/>
        </w:rPr>
        <w:t xml:space="preserve">: </w:t>
      </w:r>
      <w:hyperlink r:id="rId42" w:history="1">
        <w:r w:rsidRPr="002C547A">
          <w:rPr>
            <w:rFonts w:eastAsia="Calibri"/>
            <w:color w:val="0000FF"/>
            <w:u w:val="single"/>
            <w:lang w:val="en-US" w:eastAsia="es-ES"/>
          </w:rPr>
          <w:t>https://link.springer.com/content/pdf/10.1007/s00134-007-0794-9.pdf</w:t>
        </w:r>
      </w:hyperlink>
    </w:p>
    <w:p w14:paraId="414E4D43" w14:textId="77777777" w:rsidR="002C547A" w:rsidRPr="002C547A" w:rsidRDefault="002C547A" w:rsidP="002C547A">
      <w:pPr>
        <w:tabs>
          <w:tab w:val="left" w:pos="426"/>
        </w:tabs>
        <w:spacing w:line="360" w:lineRule="auto"/>
        <w:rPr>
          <w:rFonts w:eastAsia="Calibri"/>
          <w:lang w:val="es-CU" w:eastAsia="es-ES"/>
        </w:rPr>
      </w:pPr>
      <w:r w:rsidRPr="002C547A">
        <w:rPr>
          <w:rFonts w:eastAsia="Calibri"/>
          <w:lang w:val="en-US" w:eastAsia="es-ES"/>
        </w:rPr>
        <w:t xml:space="preserve">29. </w:t>
      </w:r>
      <w:proofErr w:type="spellStart"/>
      <w:r w:rsidRPr="002C547A">
        <w:rPr>
          <w:rFonts w:eastAsia="Calibri"/>
          <w:lang w:val="en-US" w:eastAsia="es-ES"/>
        </w:rPr>
        <w:t>Defazio</w:t>
      </w:r>
      <w:proofErr w:type="spellEnd"/>
      <w:r w:rsidRPr="002C547A">
        <w:rPr>
          <w:rFonts w:eastAsia="Calibri"/>
          <w:lang w:val="en-US" w:eastAsia="es-ES"/>
        </w:rPr>
        <w:t xml:space="preserve"> A. How to do A/B testing with early stopping correctly. </w:t>
      </w:r>
      <w:r w:rsidRPr="002C547A">
        <w:rPr>
          <w:rFonts w:eastAsia="Calibri"/>
          <w:lang w:val="es-CU" w:eastAsia="es-ES"/>
        </w:rPr>
        <w:t xml:space="preserve">Nueva York: Aaron </w:t>
      </w:r>
      <w:proofErr w:type="spellStart"/>
      <w:r w:rsidRPr="002C547A">
        <w:rPr>
          <w:rFonts w:eastAsia="Calibri"/>
          <w:lang w:val="es-CU" w:eastAsia="es-ES"/>
        </w:rPr>
        <w:t>Defazio</w:t>
      </w:r>
      <w:proofErr w:type="spellEnd"/>
      <w:r w:rsidRPr="002C547A">
        <w:rPr>
          <w:rFonts w:eastAsia="Calibri"/>
          <w:lang w:val="es-CU" w:eastAsia="es-ES"/>
        </w:rPr>
        <w:t xml:space="preserve">. Julio 25, 2016 [acceso: 21/09/2018]. Disponible en: </w:t>
      </w:r>
      <w:hyperlink r:id="rId43" w:history="1">
        <w:r w:rsidRPr="002C547A">
          <w:rPr>
            <w:rFonts w:eastAsia="Calibri"/>
            <w:color w:val="0000FF"/>
            <w:u w:val="single"/>
            <w:lang w:val="es-CU" w:eastAsia="es-ES"/>
          </w:rPr>
          <w:t>https://www.aarondefazio.com/adefazio-seqtesting.pdf</w:t>
        </w:r>
      </w:hyperlink>
    </w:p>
    <w:p w14:paraId="73F6C9EB" w14:textId="77777777" w:rsidR="002C547A" w:rsidRPr="002C547A" w:rsidRDefault="002C547A" w:rsidP="002C547A">
      <w:pPr>
        <w:spacing w:line="360" w:lineRule="auto"/>
        <w:rPr>
          <w:color w:val="0000FF"/>
          <w:u w:val="single"/>
          <w:lang w:val="es-ES" w:eastAsia="es-ES"/>
        </w:rPr>
      </w:pPr>
      <w:r w:rsidRPr="002C547A">
        <w:rPr>
          <w:rFonts w:eastAsia="Calibri"/>
          <w:lang w:val="en-US" w:eastAsia="es-ES"/>
        </w:rPr>
        <w:t xml:space="preserve">30. </w:t>
      </w:r>
      <w:proofErr w:type="spellStart"/>
      <w:r w:rsidRPr="002C547A">
        <w:rPr>
          <w:rFonts w:eastAsia="Calibri"/>
          <w:lang w:val="en-US" w:eastAsia="es-ES"/>
        </w:rPr>
        <w:t>Bassler</w:t>
      </w:r>
      <w:proofErr w:type="spellEnd"/>
      <w:r w:rsidRPr="002C547A">
        <w:rPr>
          <w:rFonts w:eastAsia="Calibri"/>
          <w:lang w:val="en-US" w:eastAsia="es-ES"/>
        </w:rPr>
        <w:t xml:space="preserve"> D, </w:t>
      </w:r>
      <w:proofErr w:type="spellStart"/>
      <w:r w:rsidRPr="002C547A">
        <w:rPr>
          <w:rFonts w:eastAsia="Calibri"/>
          <w:lang w:val="en-US" w:eastAsia="es-ES"/>
        </w:rPr>
        <w:t>Montori</w:t>
      </w:r>
      <w:proofErr w:type="spellEnd"/>
      <w:r w:rsidRPr="002C547A">
        <w:rPr>
          <w:rFonts w:eastAsia="Calibri"/>
          <w:lang w:val="en-US" w:eastAsia="es-ES"/>
        </w:rPr>
        <w:t xml:space="preserve"> VM, </w:t>
      </w:r>
      <w:proofErr w:type="spellStart"/>
      <w:r w:rsidRPr="002C547A">
        <w:rPr>
          <w:rFonts w:eastAsia="Calibri"/>
          <w:lang w:val="en-US" w:eastAsia="es-ES"/>
        </w:rPr>
        <w:t>Briel</w:t>
      </w:r>
      <w:proofErr w:type="spellEnd"/>
      <w:r w:rsidRPr="002C547A">
        <w:rPr>
          <w:rFonts w:eastAsia="Calibri"/>
          <w:lang w:val="en-US" w:eastAsia="es-ES"/>
        </w:rPr>
        <w:t xml:space="preserve"> M, </w:t>
      </w:r>
      <w:proofErr w:type="spellStart"/>
      <w:r w:rsidRPr="002C547A">
        <w:rPr>
          <w:rFonts w:eastAsia="Calibri"/>
          <w:lang w:val="en-US" w:eastAsia="es-ES"/>
        </w:rPr>
        <w:t>Glasziou</w:t>
      </w:r>
      <w:proofErr w:type="spellEnd"/>
      <w:r w:rsidRPr="002C547A">
        <w:rPr>
          <w:rFonts w:eastAsia="Calibri"/>
          <w:lang w:val="en-US" w:eastAsia="es-ES"/>
        </w:rPr>
        <w:t xml:space="preserve"> P, </w:t>
      </w:r>
      <w:proofErr w:type="spellStart"/>
      <w:r w:rsidRPr="002C547A">
        <w:rPr>
          <w:rFonts w:eastAsia="Calibri"/>
          <w:lang w:val="en-US" w:eastAsia="es-ES"/>
        </w:rPr>
        <w:t>Guyatt</w:t>
      </w:r>
      <w:proofErr w:type="spellEnd"/>
      <w:r w:rsidRPr="002C547A">
        <w:rPr>
          <w:rFonts w:eastAsia="Calibri"/>
          <w:lang w:val="en-US" w:eastAsia="es-ES"/>
        </w:rPr>
        <w:t xml:space="preserve"> G. Early stopping of randomized clinical trials for overt efﬁcacy is problematic. </w:t>
      </w:r>
      <w:r w:rsidRPr="002C547A">
        <w:rPr>
          <w:rFonts w:eastAsia="Calibri"/>
          <w:lang w:val="es-CU" w:eastAsia="es-ES"/>
        </w:rPr>
        <w:t xml:space="preserve">J Clin </w:t>
      </w:r>
      <w:proofErr w:type="spellStart"/>
      <w:r w:rsidRPr="002C547A">
        <w:rPr>
          <w:rFonts w:eastAsia="Calibri"/>
          <w:lang w:val="es-CU" w:eastAsia="es-ES"/>
        </w:rPr>
        <w:t>Epidemiol</w:t>
      </w:r>
      <w:proofErr w:type="spellEnd"/>
      <w:r w:rsidRPr="002C547A">
        <w:rPr>
          <w:rFonts w:eastAsia="Calibri"/>
          <w:lang w:val="es-CU" w:eastAsia="es-ES"/>
        </w:rPr>
        <w:t xml:space="preserve">. </w:t>
      </w:r>
      <w:r w:rsidRPr="002C547A">
        <w:rPr>
          <w:rFonts w:eastAsia="Calibri"/>
          <w:lang w:val="es-ES" w:eastAsia="es-ES"/>
        </w:rPr>
        <w:t xml:space="preserve">2008;61(3):241–6. Disponible en: </w:t>
      </w:r>
      <w:hyperlink r:id="rId44" w:history="1">
        <w:r w:rsidRPr="002C547A">
          <w:rPr>
            <w:color w:val="0000FF"/>
            <w:u w:val="single"/>
            <w:lang w:val="es-ES" w:eastAsia="es-ES"/>
          </w:rPr>
          <w:t>http://citeseerx.ist.psu.edu/viewdoc/download?doi=10.1.1.662.921&amp;rep=rep1&amp;type=pdf</w:t>
        </w:r>
      </w:hyperlink>
    </w:p>
    <w:p w14:paraId="5DAD409E" w14:textId="77777777" w:rsidR="002C547A" w:rsidRPr="002C547A" w:rsidRDefault="002C547A" w:rsidP="002C547A">
      <w:pPr>
        <w:tabs>
          <w:tab w:val="left" w:pos="426"/>
        </w:tabs>
        <w:spacing w:line="360" w:lineRule="auto"/>
        <w:rPr>
          <w:rFonts w:eastAsia="Calibri"/>
          <w:lang w:val="es-ES" w:eastAsia="es-ES"/>
        </w:rPr>
      </w:pPr>
      <w:r w:rsidRPr="002C547A">
        <w:rPr>
          <w:rFonts w:eastAsia="Calibri"/>
          <w:lang w:val="en-US" w:eastAsia="es-ES"/>
        </w:rPr>
        <w:t xml:space="preserve">31. CTSA Collaborative DSMB Workgroup. DSMB Training Manual. Medford: Tufts Digital Library; 2018 [acceso:05/08/2019]. </w:t>
      </w:r>
      <w:r w:rsidRPr="002C547A">
        <w:rPr>
          <w:rFonts w:eastAsia="Calibri"/>
          <w:lang w:val="es-ES" w:eastAsia="es-ES"/>
        </w:rPr>
        <w:t xml:space="preserve">Disponible en: </w:t>
      </w:r>
      <w:hyperlink r:id="rId45" w:history="1">
        <w:r w:rsidRPr="002C547A">
          <w:rPr>
            <w:rFonts w:eastAsia="Calibri"/>
            <w:color w:val="0000FF"/>
            <w:u w:val="single"/>
            <w:lang w:val="es-ES" w:eastAsia="es-ES"/>
          </w:rPr>
          <w:t>https://ctscweb.weill.cornell.edu/sites/default/files/24992.archival.pdf</w:t>
        </w:r>
      </w:hyperlink>
    </w:p>
    <w:p w14:paraId="5A94DE2A" w14:textId="77777777" w:rsidR="002C547A" w:rsidRPr="002C547A" w:rsidRDefault="002C547A" w:rsidP="002C547A">
      <w:pPr>
        <w:tabs>
          <w:tab w:val="left" w:pos="426"/>
        </w:tabs>
        <w:spacing w:line="360" w:lineRule="auto"/>
        <w:rPr>
          <w:rFonts w:eastAsia="Calibri"/>
          <w:lang w:val="es-ES" w:eastAsia="es-ES"/>
        </w:rPr>
      </w:pPr>
      <w:r w:rsidRPr="002C547A">
        <w:rPr>
          <w:rFonts w:eastAsia="Calibri"/>
          <w:lang w:val="en-US" w:eastAsia="es-ES"/>
        </w:rPr>
        <w:t xml:space="preserve">32. </w:t>
      </w:r>
      <w:proofErr w:type="spellStart"/>
      <w:r w:rsidRPr="002C547A">
        <w:rPr>
          <w:rFonts w:eastAsia="Calibri"/>
          <w:lang w:val="en-US" w:eastAsia="es-ES"/>
        </w:rPr>
        <w:t>Calis</w:t>
      </w:r>
      <w:proofErr w:type="spellEnd"/>
      <w:r w:rsidRPr="002C547A">
        <w:rPr>
          <w:rFonts w:eastAsia="Calibri"/>
          <w:lang w:val="en-US" w:eastAsia="es-ES"/>
        </w:rPr>
        <w:t xml:space="preserve"> KA, Archdeacon P, Bain R, </w:t>
      </w:r>
      <w:proofErr w:type="spellStart"/>
      <w:r w:rsidRPr="002C547A">
        <w:rPr>
          <w:rFonts w:eastAsia="Calibri"/>
          <w:lang w:val="en-US" w:eastAsia="es-ES"/>
        </w:rPr>
        <w:t>DeMets</w:t>
      </w:r>
      <w:proofErr w:type="spellEnd"/>
      <w:r w:rsidRPr="002C547A">
        <w:rPr>
          <w:rFonts w:eastAsia="Calibri"/>
          <w:lang w:val="en-US" w:eastAsia="es-ES"/>
        </w:rPr>
        <w:t xml:space="preserve"> DL, Donohue M, </w:t>
      </w:r>
      <w:proofErr w:type="spellStart"/>
      <w:r w:rsidRPr="002C547A">
        <w:rPr>
          <w:rFonts w:eastAsia="Calibri"/>
          <w:lang w:val="en-US" w:eastAsia="es-ES"/>
        </w:rPr>
        <w:t>Elzarrad</w:t>
      </w:r>
      <w:proofErr w:type="spellEnd"/>
      <w:r w:rsidRPr="002C547A">
        <w:rPr>
          <w:rFonts w:eastAsia="Calibri"/>
          <w:lang w:val="en-US" w:eastAsia="es-ES"/>
        </w:rPr>
        <w:t xml:space="preserve"> MK, et al. Recommendations for data monitoring committees from the clinical trials Transformation initiative. </w:t>
      </w:r>
      <w:proofErr w:type="spellStart"/>
      <w:r w:rsidRPr="002C547A">
        <w:rPr>
          <w:rFonts w:eastAsia="Calibri"/>
          <w:lang w:val="es-ES" w:eastAsia="es-ES"/>
        </w:rPr>
        <w:t>Clinical</w:t>
      </w:r>
      <w:proofErr w:type="spellEnd"/>
      <w:r w:rsidRPr="002C547A">
        <w:rPr>
          <w:rFonts w:eastAsia="Calibri"/>
          <w:lang w:val="es-ES" w:eastAsia="es-ES"/>
        </w:rPr>
        <w:t xml:space="preserve"> </w:t>
      </w:r>
      <w:proofErr w:type="spellStart"/>
      <w:r w:rsidRPr="002C547A">
        <w:rPr>
          <w:rFonts w:eastAsia="Calibri"/>
          <w:lang w:val="es-ES" w:eastAsia="es-ES"/>
        </w:rPr>
        <w:t>Trials</w:t>
      </w:r>
      <w:proofErr w:type="spellEnd"/>
      <w:r w:rsidRPr="002C547A">
        <w:rPr>
          <w:rFonts w:eastAsia="Calibri"/>
          <w:lang w:val="es-ES" w:eastAsia="es-ES"/>
        </w:rPr>
        <w:t xml:space="preserve">. 2017 [acceso: 18/05/2018]; 14(4):342-48. Disponible en: </w:t>
      </w:r>
      <w:hyperlink r:id="rId46" w:history="1">
        <w:r w:rsidRPr="002C547A">
          <w:rPr>
            <w:rFonts w:eastAsia="Calibri"/>
            <w:color w:val="0000FF"/>
            <w:u w:val="single"/>
            <w:lang w:val="es-ES" w:eastAsia="es-ES"/>
          </w:rPr>
          <w:t>https://www.ncbi.nlm.nih.gov/pmc/articles/PMC5639979/pdf/10.1177_1740774517707743.pdf</w:t>
        </w:r>
      </w:hyperlink>
    </w:p>
    <w:p w14:paraId="1C1BD943" w14:textId="77777777" w:rsidR="002C547A" w:rsidRPr="002C547A" w:rsidRDefault="002C547A" w:rsidP="002C547A">
      <w:pPr>
        <w:spacing w:line="360" w:lineRule="auto"/>
        <w:rPr>
          <w:lang w:val="es-ES" w:eastAsia="es-ES"/>
        </w:rPr>
      </w:pPr>
    </w:p>
    <w:p w14:paraId="736A974F" w14:textId="77777777" w:rsidR="002C547A" w:rsidRPr="002C547A" w:rsidRDefault="002C547A" w:rsidP="002C547A">
      <w:pPr>
        <w:tabs>
          <w:tab w:val="left" w:pos="426"/>
        </w:tabs>
        <w:spacing w:line="360" w:lineRule="auto"/>
        <w:rPr>
          <w:rFonts w:eastAsia="Calibri"/>
          <w:lang w:val="es-ES" w:eastAsia="es-ES"/>
        </w:rPr>
      </w:pPr>
    </w:p>
    <w:p w14:paraId="5B3BA5D6" w14:textId="77777777" w:rsidR="002C547A" w:rsidRPr="002C547A" w:rsidRDefault="002C547A" w:rsidP="002C547A">
      <w:pPr>
        <w:spacing w:line="360" w:lineRule="auto"/>
        <w:jc w:val="center"/>
        <w:rPr>
          <w:b/>
          <w:lang w:val="es-ES" w:eastAsia="es-ES"/>
        </w:rPr>
      </w:pPr>
      <w:r w:rsidRPr="002C547A">
        <w:rPr>
          <w:b/>
          <w:lang w:val="es-ES" w:eastAsia="es-ES"/>
        </w:rPr>
        <w:t>Conflictos de intereses</w:t>
      </w:r>
    </w:p>
    <w:p w14:paraId="1A55F190" w14:textId="77777777" w:rsidR="002C547A" w:rsidRPr="002C547A" w:rsidRDefault="002C547A" w:rsidP="002C547A">
      <w:pPr>
        <w:spacing w:line="360" w:lineRule="auto"/>
        <w:jc w:val="both"/>
        <w:rPr>
          <w:rFonts w:eastAsia="Calibri"/>
          <w:lang w:val="es-ES" w:eastAsia="es-ES"/>
        </w:rPr>
      </w:pPr>
      <w:r w:rsidRPr="002C547A">
        <w:rPr>
          <w:lang w:val="es-ES" w:eastAsia="es-ES"/>
        </w:rPr>
        <w:t>Los autores declaran que no tienen conflictos de intereses.</w:t>
      </w:r>
    </w:p>
    <w:p w14:paraId="55C91B29" w14:textId="77777777" w:rsidR="00675476" w:rsidRPr="002C547A" w:rsidRDefault="00675476" w:rsidP="00391509">
      <w:pPr>
        <w:rPr>
          <w:lang w:val="es-ES"/>
        </w:rPr>
      </w:pPr>
    </w:p>
    <w:sectPr w:rsidR="00675476" w:rsidRPr="002C547A" w:rsidSect="00740CA9">
      <w:headerReference w:type="default" r:id="rId47"/>
      <w:footerReference w:type="even" r:id="rId48"/>
      <w:footerReference w:type="default" r:id="rId49"/>
      <w:pgSz w:w="12242" w:h="15842" w:code="1"/>
      <w:pgMar w:top="1134" w:right="1134" w:bottom="1134" w:left="1134" w:header="851" w:footer="1134"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9BE4E10" w14:textId="77777777" w:rsidR="001C4427" w:rsidRDefault="001C4427">
      <w:r>
        <w:separator/>
      </w:r>
    </w:p>
  </w:endnote>
  <w:endnote w:type="continuationSeparator" w:id="0">
    <w:p w14:paraId="7D91BC3D" w14:textId="77777777" w:rsidR="001C4427" w:rsidRDefault="001C44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A605787" w14:textId="77777777" w:rsidR="00FE40CB" w:rsidRDefault="00FE40CB" w:rsidP="00B66ECB">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14:paraId="5D0AC84F" w14:textId="77777777" w:rsidR="00FE40CB" w:rsidRDefault="00FE40CB" w:rsidP="00FE40CB">
    <w:pPr>
      <w:pStyle w:val="Piedep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185C703" w14:textId="1A4086C8" w:rsidR="000F3690" w:rsidRPr="00AE044C" w:rsidRDefault="002C547A" w:rsidP="00391509">
    <w:pPr>
      <w:pStyle w:val="Piedepgina"/>
      <w:ind w:right="360"/>
      <w:rPr>
        <w:sz w:val="22"/>
        <w:szCs w:val="22"/>
      </w:rPr>
    </w:pPr>
    <w:r>
      <w:rPr>
        <w:noProof/>
      </w:rPr>
      <mc:AlternateContent>
        <mc:Choice Requires="wps">
          <w:drawing>
            <wp:anchor distT="0" distB="0" distL="114300" distR="114300" simplePos="0" relativeHeight="251658240" behindDoc="0" locked="0" layoutInCell="1" allowOverlap="1" wp14:anchorId="4AE4D918" wp14:editId="4242DDB7">
              <wp:simplePos x="0" y="0"/>
              <wp:positionH relativeFrom="column">
                <wp:posOffset>3810</wp:posOffset>
              </wp:positionH>
              <wp:positionV relativeFrom="paragraph">
                <wp:posOffset>50165</wp:posOffset>
              </wp:positionV>
              <wp:extent cx="6286500" cy="19050"/>
              <wp:effectExtent l="19050" t="19050" r="0" b="0"/>
              <wp:wrapNone/>
              <wp:docPr id="5"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86500" cy="19050"/>
                      </a:xfrm>
                      <a:prstGeom prst="line">
                        <a:avLst/>
                      </a:prstGeom>
                      <a:noFill/>
                      <a:ln w="28575">
                        <a:solidFill>
                          <a:srgbClr val="0000FF"/>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06541DF7" id="Line 7"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pt,3.95pt" to="495.3pt,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" strokecolor="blue" strokeweight="2.25pt"/>
          </w:pict>
        </mc:Fallback>
      </mc:AlternateContent>
    </w:r>
  </w:p>
  <w:p w14:paraId="74307DB3" w14:textId="77777777" w:rsidR="00675476" w:rsidRPr="00AE044C" w:rsidRDefault="001C4427" w:rsidP="00391509">
    <w:pPr>
      <w:pStyle w:val="Piedepgina"/>
      <w:ind w:right="360"/>
      <w:rPr>
        <w:sz w:val="22"/>
        <w:szCs w:val="22"/>
      </w:rPr>
    </w:pPr>
    <w:hyperlink r:id="rId1" w:history="1">
      <w:r w:rsidR="00391509" w:rsidRPr="00AE044C">
        <w:rPr>
          <w:rStyle w:val="Hipervnculo"/>
          <w:sz w:val="22"/>
          <w:szCs w:val="22"/>
        </w:rPr>
        <w:t>http://scielo.sld.cu</w:t>
      </w:r>
    </w:hyperlink>
  </w:p>
  <w:p w14:paraId="03534467" w14:textId="77777777" w:rsidR="00391509" w:rsidRPr="00AE044C" w:rsidRDefault="001C4427" w:rsidP="00AE044C">
    <w:pPr>
      <w:pStyle w:val="Piedepgina"/>
      <w:tabs>
        <w:tab w:val="clear" w:pos="4252"/>
        <w:tab w:val="left" w:pos="8504"/>
      </w:tabs>
      <w:ind w:right="360"/>
      <w:rPr>
        <w:sz w:val="22"/>
        <w:szCs w:val="22"/>
      </w:rPr>
    </w:pPr>
    <w:hyperlink r:id="rId2" w:history="1">
      <w:r w:rsidR="00391509" w:rsidRPr="00AE044C">
        <w:rPr>
          <w:rStyle w:val="Hipervnculo"/>
          <w:sz w:val="22"/>
          <w:szCs w:val="22"/>
        </w:rPr>
        <w:t>http://www.revmedmilitar.sld.cu</w:t>
      </w:r>
    </w:hyperlink>
    <w:r w:rsidR="00391509" w:rsidRPr="00AE044C">
      <w:rPr>
        <w:sz w:val="22"/>
        <w:szCs w:val="22"/>
      </w:rPr>
      <w:t xml:space="preserve"> </w:t>
    </w:r>
    <w:r w:rsidR="00AE044C">
      <w:rPr>
        <w:sz w:val="22"/>
        <w:szCs w:val="22"/>
      </w:rPr>
      <w:tab/>
    </w:r>
  </w:p>
  <w:p w14:paraId="2C73C703" w14:textId="42999986" w:rsidR="00180CE9" w:rsidRPr="00CC376A" w:rsidRDefault="00180CE9" w:rsidP="00180CE9">
    <w:pPr>
      <w:pStyle w:val="Piedepgina"/>
      <w:ind w:right="360"/>
      <w:jc w:val="center"/>
      <w:rPr>
        <w:rFonts w:ascii="Verdana" w:hAnsi="Verdana"/>
        <w:sz w:val="18"/>
        <w:szCs w:val="18"/>
      </w:rPr>
    </w:pPr>
    <w:r w:rsidRPr="00AE044C">
      <w:rPr>
        <w:sz w:val="22"/>
        <w:szCs w:val="22"/>
      </w:rPr>
      <w:t xml:space="preserve">Bajo licencia </w:t>
    </w:r>
    <w:proofErr w:type="spellStart"/>
    <w:r w:rsidRPr="00AE044C">
      <w:rPr>
        <w:sz w:val="22"/>
        <w:szCs w:val="22"/>
      </w:rPr>
      <w:t>Creative</w:t>
    </w:r>
    <w:proofErr w:type="spellEnd"/>
    <w:r w:rsidRPr="00AE044C">
      <w:rPr>
        <w:sz w:val="22"/>
        <w:szCs w:val="22"/>
      </w:rPr>
      <w:t xml:space="preserve"> </w:t>
    </w:r>
    <w:proofErr w:type="spellStart"/>
    <w:r w:rsidRPr="00AE044C">
      <w:rPr>
        <w:sz w:val="22"/>
        <w:szCs w:val="22"/>
      </w:rPr>
      <w:t>Commons</w:t>
    </w:r>
    <w:proofErr w:type="spellEnd"/>
    <w:r>
      <w:rPr>
        <w:rFonts w:ascii="Verdana" w:hAnsi="Verdana"/>
        <w:sz w:val="18"/>
        <w:szCs w:val="18"/>
      </w:rPr>
      <w:t xml:space="preserve"> </w:t>
    </w:r>
    <w:r w:rsidR="002C547A" w:rsidRPr="002C547A">
      <w:rPr>
        <w:rFonts w:ascii="Verdana" w:hAnsi="Verdana"/>
        <w:noProof/>
        <w:sz w:val="18"/>
        <w:szCs w:val="18"/>
        <w:lang w:val="en-US" w:eastAsia="en-US"/>
      </w:rPr>
      <w:drawing>
        <wp:inline distT="0" distB="0" distL="0" distR="0" wp14:anchorId="48693A25" wp14:editId="4EB9A271">
          <wp:extent cx="638175" cy="152400"/>
          <wp:effectExtent l="0" t="0" r="0" b="0"/>
          <wp:docPr id="4" name="Imagen 3">
            <a:hlinkClick xmlns:a="http://schemas.openxmlformats.org/drawingml/2006/main" r:id="rId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
                    <a:hlinkClick r:id="rId3"/>
                  </pic:cNvPr>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638175" cy="152400"/>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A0ED4EF" w14:textId="77777777" w:rsidR="001C4427" w:rsidRDefault="001C4427">
      <w:r>
        <w:separator/>
      </w:r>
    </w:p>
  </w:footnote>
  <w:footnote w:type="continuationSeparator" w:id="0">
    <w:p w14:paraId="77109A42" w14:textId="77777777" w:rsidR="001C4427" w:rsidRDefault="001C442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BABB678" w14:textId="293EA54C" w:rsidR="00CC376A" w:rsidRPr="00AE044C" w:rsidRDefault="002C547A" w:rsidP="00180CE9">
    <w:pPr>
      <w:pStyle w:val="Encabezado"/>
      <w:tabs>
        <w:tab w:val="left" w:pos="420"/>
      </w:tabs>
      <w:jc w:val="center"/>
      <w:rPr>
        <w:sz w:val="22"/>
        <w:szCs w:val="22"/>
      </w:rPr>
    </w:pPr>
    <w:r>
      <w:rPr>
        <w:noProof/>
      </w:rPr>
      <w:drawing>
        <wp:anchor distT="0" distB="0" distL="114300" distR="114300" simplePos="0" relativeHeight="251662336" behindDoc="0" locked="0" layoutInCell="1" allowOverlap="1" wp14:anchorId="57526362" wp14:editId="16ED50BA">
          <wp:simplePos x="0" y="0"/>
          <wp:positionH relativeFrom="column">
            <wp:posOffset>6029325</wp:posOffset>
          </wp:positionH>
          <wp:positionV relativeFrom="paragraph">
            <wp:posOffset>-276225</wp:posOffset>
          </wp:positionV>
          <wp:extent cx="238125" cy="269875"/>
          <wp:effectExtent l="0" t="0" r="0" b="0"/>
          <wp:wrapThrough wrapText="bothSides">
            <wp:wrapPolygon edited="0">
              <wp:start x="0" y="0"/>
              <wp:lineTo x="0" y="19821"/>
              <wp:lineTo x="20736" y="19821"/>
              <wp:lineTo x="20736" y="0"/>
              <wp:lineTo x="0" y="0"/>
            </wp:wrapPolygon>
          </wp:wrapThrough>
          <wp:docPr id="7"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8125" cy="269875"/>
                  </a:xfrm>
                  <a:prstGeom prst="rect">
                    <a:avLst/>
                  </a:prstGeom>
                  <a:noFill/>
                  <a:ln>
                    <a:noFill/>
                  </a:ln>
                </pic:spPr>
              </pic:pic>
            </a:graphicData>
          </a:graphic>
          <wp14:sizeRelH relativeFrom="page">
            <wp14:pctWidth>0</wp14:pctWidth>
          </wp14:sizeRelH>
          <wp14:sizeRelV relativeFrom="page">
            <wp14:pctHeight>0</wp14:pctHeight>
          </wp14:sizeRelV>
        </wp:anchor>
      </w:drawing>
    </w:r>
    <w:r w:rsidR="00FE40CB" w:rsidRPr="00AE044C">
      <w:rPr>
        <w:sz w:val="22"/>
        <w:szCs w:val="22"/>
      </w:rPr>
      <w:t xml:space="preserve">Revista </w:t>
    </w:r>
    <w:r w:rsidR="00380D64" w:rsidRPr="00AE044C">
      <w:rPr>
        <w:sz w:val="22"/>
        <w:szCs w:val="22"/>
      </w:rPr>
      <w:t>Cubana de Medicina Militar.</w:t>
    </w:r>
    <w:r w:rsidR="00D85951" w:rsidRPr="00AE044C">
      <w:rPr>
        <w:sz w:val="22"/>
        <w:szCs w:val="22"/>
      </w:rPr>
      <w:t xml:space="preserve"> </w:t>
    </w:r>
    <w:r>
      <w:rPr>
        <w:sz w:val="22"/>
        <w:szCs w:val="22"/>
      </w:rPr>
      <w:t>2021</w:t>
    </w:r>
    <w:r w:rsidR="003E03D5">
      <w:rPr>
        <w:sz w:val="22"/>
        <w:szCs w:val="22"/>
      </w:rPr>
      <w:t>;</w:t>
    </w:r>
    <w:r>
      <w:rPr>
        <w:sz w:val="22"/>
        <w:szCs w:val="22"/>
      </w:rPr>
      <w:t>50</w:t>
    </w:r>
    <w:r w:rsidR="00493701" w:rsidRPr="00AE044C">
      <w:rPr>
        <w:sz w:val="22"/>
        <w:szCs w:val="22"/>
      </w:rPr>
      <w:t>(</w:t>
    </w:r>
    <w:r>
      <w:rPr>
        <w:sz w:val="22"/>
        <w:szCs w:val="22"/>
      </w:rPr>
      <w:t>1</w:t>
    </w:r>
    <w:proofErr w:type="gramStart"/>
    <w:r w:rsidR="00493701" w:rsidRPr="00AE044C">
      <w:rPr>
        <w:sz w:val="22"/>
        <w:szCs w:val="22"/>
      </w:rPr>
      <w:t>)</w:t>
    </w:r>
    <w:r w:rsidR="00391509" w:rsidRPr="00AE044C">
      <w:rPr>
        <w:sz w:val="22"/>
        <w:szCs w:val="22"/>
      </w:rPr>
      <w:t>:</w:t>
    </w:r>
    <w:r>
      <w:rPr>
        <w:sz w:val="22"/>
        <w:szCs w:val="22"/>
      </w:rPr>
      <w:t>e</w:t>
    </w:r>
    <w:proofErr w:type="gramEnd"/>
    <w:r>
      <w:rPr>
        <w:sz w:val="22"/>
        <w:szCs w:val="22"/>
      </w:rPr>
      <w:t>0210529</w:t>
    </w:r>
  </w:p>
  <w:p w14:paraId="4583FAA0" w14:textId="48EC2DBE" w:rsidR="00A477DE" w:rsidRDefault="002C547A">
    <w:r>
      <w:rPr>
        <w:noProof/>
      </w:rPr>
      <mc:AlternateContent>
        <mc:Choice Requires="wps">
          <w:drawing>
            <wp:anchor distT="0" distB="0" distL="114300" distR="114300" simplePos="0" relativeHeight="251657216" behindDoc="0" locked="0" layoutInCell="1" allowOverlap="1" wp14:anchorId="0EBB84DD" wp14:editId="30946B7B">
              <wp:simplePos x="0" y="0"/>
              <wp:positionH relativeFrom="column">
                <wp:posOffset>3810</wp:posOffset>
              </wp:positionH>
              <wp:positionV relativeFrom="paragraph">
                <wp:posOffset>44450</wp:posOffset>
              </wp:positionV>
              <wp:extent cx="6276975" cy="28575"/>
              <wp:effectExtent l="19050" t="19050" r="9525" b="9525"/>
              <wp:wrapNone/>
              <wp:docPr id="6"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76975" cy="28575"/>
                      </a:xfrm>
                      <a:prstGeom prst="line">
                        <a:avLst/>
                      </a:prstGeom>
                      <a:noFill/>
                      <a:ln w="28575">
                        <a:solidFill>
                          <a:srgbClr val="0000FF"/>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0E5E102D" id="Line 5"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pt,3.5pt" to="494.55pt,5.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" strokecolor="blue" strokeweight="2.25p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5D30E5"/>
    <w:multiLevelType w:val="hybridMultilevel"/>
    <w:tmpl w:val="EEBC59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947110F"/>
    <w:multiLevelType w:val="hybridMultilevel"/>
    <w:tmpl w:val="92380DB2"/>
    <w:lvl w:ilvl="0" w:tplc="A0FC70D6">
      <w:start w:val="1"/>
      <w:numFmt w:val="decimal"/>
      <w:lvlText w:val="%1."/>
      <w:lvlJc w:val="left"/>
      <w:pPr>
        <w:ind w:left="720" w:hanging="360"/>
      </w:pPr>
      <w:rPr>
        <w:color w:val="auto"/>
        <w:sz w:val="24"/>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2" w15:restartNumberingAfterBreak="0">
    <w:nsid w:val="34380466"/>
    <w:multiLevelType w:val="hybridMultilevel"/>
    <w:tmpl w:val="F0A20C46"/>
    <w:lvl w:ilvl="0" w:tplc="0926332A">
      <w:start w:val="1"/>
      <w:numFmt w:val="decimal"/>
      <w:lvlText w:val="%1."/>
      <w:lvlJc w:val="left"/>
      <w:pPr>
        <w:ind w:left="720" w:hanging="360"/>
      </w:pPr>
      <w:rPr>
        <w:rFonts w:ascii="Arial" w:hAnsi="Arial" w:cs="Arial" w:hint="default"/>
        <w:color w:val="auto"/>
        <w:sz w:val="24"/>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3" w15:restartNumberingAfterBreak="0">
    <w:nsid w:val="3887442E"/>
    <w:multiLevelType w:val="hybridMultilevel"/>
    <w:tmpl w:val="2F58A2AC"/>
    <w:lvl w:ilvl="0" w:tplc="0926332A">
      <w:start w:val="1"/>
      <w:numFmt w:val="decimal"/>
      <w:lvlText w:val="%1."/>
      <w:lvlJc w:val="left"/>
      <w:pPr>
        <w:ind w:left="720" w:hanging="360"/>
      </w:pPr>
      <w:rPr>
        <w:rFonts w:ascii="Arial" w:hAnsi="Arial" w:cs="Arial" w:hint="default"/>
        <w:color w:val="auto"/>
        <w:sz w:val="24"/>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4" w15:restartNumberingAfterBreak="0">
    <w:nsid w:val="394432C4"/>
    <w:multiLevelType w:val="hybridMultilevel"/>
    <w:tmpl w:val="A60EFB54"/>
    <w:lvl w:ilvl="0" w:tplc="659226F2">
      <w:start w:val="1"/>
      <w:numFmt w:val="decimal"/>
      <w:lvlText w:val="%1."/>
      <w:lvlJc w:val="left"/>
      <w:pPr>
        <w:ind w:left="360" w:hanging="360"/>
      </w:pPr>
      <w:rPr>
        <w:color w:val="auto"/>
        <w:sz w:val="24"/>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5" w15:restartNumberingAfterBreak="0">
    <w:nsid w:val="3EC4265B"/>
    <w:multiLevelType w:val="hybridMultilevel"/>
    <w:tmpl w:val="63F421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3CD58FA"/>
    <w:multiLevelType w:val="hybridMultilevel"/>
    <w:tmpl w:val="151C45DC"/>
    <w:lvl w:ilvl="0" w:tplc="040A000F">
      <w:start w:val="1"/>
      <w:numFmt w:val="decimal"/>
      <w:lvlText w:val="%1."/>
      <w:lvlJc w:val="left"/>
      <w:pPr>
        <w:ind w:left="720" w:hanging="360"/>
      </w:p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7" w15:restartNumberingAfterBreak="0">
    <w:nsid w:val="557E0923"/>
    <w:multiLevelType w:val="hybridMultilevel"/>
    <w:tmpl w:val="5DF4D3CE"/>
    <w:lvl w:ilvl="0" w:tplc="04090001">
      <w:start w:val="1"/>
      <w:numFmt w:val="bullet"/>
      <w:lvlText w:val=""/>
      <w:lvlJc w:val="left"/>
      <w:pPr>
        <w:ind w:left="783" w:hanging="360"/>
      </w:pPr>
      <w:rPr>
        <w:rFonts w:ascii="Symbol" w:hAnsi="Symbol" w:hint="default"/>
      </w:rPr>
    </w:lvl>
    <w:lvl w:ilvl="1" w:tplc="04090003" w:tentative="1">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num w:numId="1">
    <w:abstractNumId w:val="4"/>
  </w:num>
  <w:num w:numId="2">
    <w:abstractNumId w:val="2"/>
  </w:num>
  <w:num w:numId="3">
    <w:abstractNumId w:val="6"/>
  </w:num>
  <w:num w:numId="4">
    <w:abstractNumId w:val="1"/>
  </w:num>
  <w:num w:numId="5">
    <w:abstractNumId w:val="3"/>
  </w:num>
  <w:num w:numId="6">
    <w:abstractNumId w:val="0"/>
  </w:num>
  <w:num w:numId="7">
    <w:abstractNumId w:val="5"/>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547A"/>
    <w:rsid w:val="000F3690"/>
    <w:rsid w:val="001221D1"/>
    <w:rsid w:val="00180CE9"/>
    <w:rsid w:val="001C4427"/>
    <w:rsid w:val="00230DD5"/>
    <w:rsid w:val="00275423"/>
    <w:rsid w:val="002C547A"/>
    <w:rsid w:val="00380D64"/>
    <w:rsid w:val="00391509"/>
    <w:rsid w:val="003E03D5"/>
    <w:rsid w:val="00486BFA"/>
    <w:rsid w:val="00493701"/>
    <w:rsid w:val="004E2065"/>
    <w:rsid w:val="005508A2"/>
    <w:rsid w:val="00566F71"/>
    <w:rsid w:val="005918BD"/>
    <w:rsid w:val="00675476"/>
    <w:rsid w:val="00740CA9"/>
    <w:rsid w:val="007C430F"/>
    <w:rsid w:val="007D614D"/>
    <w:rsid w:val="00960D6A"/>
    <w:rsid w:val="009A0560"/>
    <w:rsid w:val="009B0917"/>
    <w:rsid w:val="00A23C0C"/>
    <w:rsid w:val="00A477DE"/>
    <w:rsid w:val="00A71E65"/>
    <w:rsid w:val="00AC4A50"/>
    <w:rsid w:val="00AE044C"/>
    <w:rsid w:val="00B31971"/>
    <w:rsid w:val="00B4380A"/>
    <w:rsid w:val="00B66ECB"/>
    <w:rsid w:val="00C7523A"/>
    <w:rsid w:val="00CC1B6E"/>
    <w:rsid w:val="00CC376A"/>
    <w:rsid w:val="00CC48A1"/>
    <w:rsid w:val="00CF50E0"/>
    <w:rsid w:val="00D85951"/>
    <w:rsid w:val="00E62606"/>
    <w:rsid w:val="00FE40CB"/>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DC744B8"/>
  <w15:docId w15:val="{1502886A-9E29-43F5-9F65-5D011A3039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s-CU" w:eastAsia="es-C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iPriority="99"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iPriority="99"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val="es-ES_tradnl" w:eastAsia="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rsid w:val="00675476"/>
    <w:pPr>
      <w:tabs>
        <w:tab w:val="center" w:pos="4252"/>
        <w:tab w:val="right" w:pos="8504"/>
      </w:tabs>
    </w:pPr>
  </w:style>
  <w:style w:type="paragraph" w:styleId="Piedepgina">
    <w:name w:val="footer"/>
    <w:basedOn w:val="Normal"/>
    <w:link w:val="PiedepginaCar"/>
    <w:uiPriority w:val="99"/>
    <w:rsid w:val="00675476"/>
    <w:pPr>
      <w:tabs>
        <w:tab w:val="center" w:pos="4252"/>
        <w:tab w:val="right" w:pos="8504"/>
      </w:tabs>
    </w:pPr>
  </w:style>
  <w:style w:type="paragraph" w:styleId="NormalWeb">
    <w:name w:val="Normal (Web)"/>
    <w:basedOn w:val="Normal"/>
    <w:uiPriority w:val="99"/>
    <w:rsid w:val="00FE40CB"/>
    <w:pPr>
      <w:spacing w:before="100" w:beforeAutospacing="1" w:after="100" w:afterAutospacing="1"/>
    </w:pPr>
  </w:style>
  <w:style w:type="character" w:styleId="Hipervnculo">
    <w:name w:val="Hyperlink"/>
    <w:uiPriority w:val="99"/>
    <w:rsid w:val="00FE40CB"/>
    <w:rPr>
      <w:color w:val="0000FF"/>
      <w:u w:val="single"/>
    </w:rPr>
  </w:style>
  <w:style w:type="character" w:styleId="Nmerodepgina">
    <w:name w:val="page number"/>
    <w:basedOn w:val="Fuentedeprrafopredeter"/>
    <w:rsid w:val="00FE40CB"/>
  </w:style>
  <w:style w:type="character" w:customStyle="1" w:styleId="EncabezadoCar">
    <w:name w:val="Encabezado Car"/>
    <w:link w:val="Encabezado"/>
    <w:uiPriority w:val="99"/>
    <w:rsid w:val="00A71E65"/>
    <w:rPr>
      <w:sz w:val="24"/>
      <w:szCs w:val="24"/>
      <w:lang w:val="es-ES_tradnl" w:eastAsia="es-ES_tradnl"/>
    </w:rPr>
  </w:style>
  <w:style w:type="character" w:customStyle="1" w:styleId="PiedepginaCar">
    <w:name w:val="Pie de página Car"/>
    <w:link w:val="Piedepgina"/>
    <w:uiPriority w:val="99"/>
    <w:rsid w:val="00A71E65"/>
    <w:rPr>
      <w:sz w:val="24"/>
      <w:szCs w:val="24"/>
      <w:lang w:val="es-ES_tradnl" w:eastAsia="es-ES_tradnl"/>
    </w:rPr>
  </w:style>
  <w:style w:type="paragraph" w:styleId="Textodeglobo">
    <w:name w:val="Balloon Text"/>
    <w:basedOn w:val="Normal"/>
    <w:link w:val="TextodegloboCar"/>
    <w:uiPriority w:val="99"/>
    <w:rsid w:val="00A71E65"/>
    <w:rPr>
      <w:rFonts w:ascii="Tahoma" w:hAnsi="Tahoma" w:cs="Tahoma"/>
      <w:sz w:val="16"/>
      <w:szCs w:val="16"/>
    </w:rPr>
  </w:style>
  <w:style w:type="character" w:customStyle="1" w:styleId="TextodegloboCar">
    <w:name w:val="Texto de globo Car"/>
    <w:link w:val="Textodeglobo"/>
    <w:uiPriority w:val="99"/>
    <w:rsid w:val="00A71E65"/>
    <w:rPr>
      <w:rFonts w:ascii="Tahoma" w:hAnsi="Tahoma" w:cs="Tahoma"/>
      <w:sz w:val="16"/>
      <w:szCs w:val="16"/>
      <w:lang w:val="es-ES_tradnl" w:eastAsia="es-ES_tradnl"/>
    </w:rPr>
  </w:style>
  <w:style w:type="numbering" w:customStyle="1" w:styleId="Sinlista1">
    <w:name w:val="Sin lista1"/>
    <w:next w:val="Sinlista"/>
    <w:uiPriority w:val="99"/>
    <w:semiHidden/>
    <w:unhideWhenUsed/>
    <w:rsid w:val="002C547A"/>
  </w:style>
  <w:style w:type="table" w:styleId="Tablaconcuadrcula">
    <w:name w:val="Table Grid"/>
    <w:basedOn w:val="Tablanormal"/>
    <w:uiPriority w:val="59"/>
    <w:rsid w:val="002C547A"/>
    <w:rPr>
      <w:rFonts w:ascii="Calibri" w:hAnsi="Calibri"/>
      <w:sz w:val="22"/>
      <w:szCs w:val="22"/>
      <w:lang w:val="es-ES"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2C547A"/>
    <w:pPr>
      <w:spacing w:after="200" w:line="276" w:lineRule="auto"/>
      <w:ind w:left="720"/>
      <w:contextualSpacing/>
    </w:pPr>
    <w:rPr>
      <w:rFonts w:ascii="Calibri" w:hAnsi="Calibri"/>
      <w:sz w:val="22"/>
      <w:szCs w:val="22"/>
      <w:lang w:val="es-ES" w:eastAsia="es-ES"/>
    </w:rPr>
  </w:style>
  <w:style w:type="character" w:styleId="Refdecomentario">
    <w:name w:val="annotation reference"/>
    <w:uiPriority w:val="99"/>
    <w:semiHidden/>
    <w:unhideWhenUsed/>
    <w:rsid w:val="002C547A"/>
    <w:rPr>
      <w:sz w:val="16"/>
      <w:szCs w:val="16"/>
    </w:rPr>
  </w:style>
  <w:style w:type="paragraph" w:styleId="Textocomentario">
    <w:name w:val="annotation text"/>
    <w:basedOn w:val="Normal"/>
    <w:link w:val="TextocomentarioCar"/>
    <w:uiPriority w:val="99"/>
    <w:unhideWhenUsed/>
    <w:rsid w:val="002C547A"/>
    <w:pPr>
      <w:spacing w:after="200"/>
    </w:pPr>
    <w:rPr>
      <w:rFonts w:ascii="Calibri" w:hAnsi="Calibri"/>
      <w:sz w:val="20"/>
      <w:szCs w:val="20"/>
      <w:lang w:val="es-ES" w:eastAsia="es-ES"/>
    </w:rPr>
  </w:style>
  <w:style w:type="character" w:customStyle="1" w:styleId="TextocomentarioCar">
    <w:name w:val="Texto comentario Car"/>
    <w:basedOn w:val="Fuentedeprrafopredeter"/>
    <w:link w:val="Textocomentario"/>
    <w:uiPriority w:val="99"/>
    <w:rsid w:val="002C547A"/>
    <w:rPr>
      <w:rFonts w:ascii="Calibri" w:hAnsi="Calibri"/>
      <w:lang w:val="es-ES" w:eastAsia="es-ES"/>
    </w:rPr>
  </w:style>
  <w:style w:type="paragraph" w:styleId="Asuntodelcomentario">
    <w:name w:val="annotation subject"/>
    <w:basedOn w:val="Textocomentario"/>
    <w:next w:val="Textocomentario"/>
    <w:link w:val="AsuntodelcomentarioCar"/>
    <w:uiPriority w:val="99"/>
    <w:semiHidden/>
    <w:unhideWhenUsed/>
    <w:rsid w:val="002C547A"/>
    <w:rPr>
      <w:b/>
      <w:bCs/>
    </w:rPr>
  </w:style>
  <w:style w:type="character" w:customStyle="1" w:styleId="AsuntodelcomentarioCar">
    <w:name w:val="Asunto del comentario Car"/>
    <w:basedOn w:val="TextocomentarioCar"/>
    <w:link w:val="Asuntodelcomentario"/>
    <w:uiPriority w:val="99"/>
    <w:semiHidden/>
    <w:rsid w:val="002C547A"/>
    <w:rPr>
      <w:rFonts w:ascii="Calibri" w:hAnsi="Calibri"/>
      <w:b/>
      <w:bCs/>
      <w:lang w:val="es-ES" w:eastAsia="es-ES"/>
    </w:rPr>
  </w:style>
  <w:style w:type="table" w:customStyle="1" w:styleId="Sombreadoclaro-nfasis41">
    <w:name w:val="Sombreado claro - Énfasis 41"/>
    <w:basedOn w:val="Tablanormal"/>
    <w:next w:val="Sombreadoclaro-nfasis4"/>
    <w:uiPriority w:val="60"/>
    <w:rsid w:val="002C547A"/>
    <w:pPr>
      <w:spacing w:before="480"/>
      <w:jc w:val="both"/>
    </w:pPr>
    <w:rPr>
      <w:rFonts w:ascii="Calibri" w:hAnsi="Calibri"/>
      <w:color w:val="5F497A"/>
      <w:sz w:val="22"/>
      <w:szCs w:val="22"/>
      <w:lang w:val="es-ES" w:eastAsia="es-ES"/>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paragraph" w:styleId="Textoindependiente2">
    <w:name w:val="Body Text 2"/>
    <w:basedOn w:val="Normal"/>
    <w:link w:val="Textoindependiente2Car"/>
    <w:uiPriority w:val="99"/>
    <w:unhideWhenUsed/>
    <w:rsid w:val="002C547A"/>
    <w:pPr>
      <w:spacing w:before="480" w:after="120" w:line="480" w:lineRule="auto"/>
      <w:jc w:val="both"/>
    </w:pPr>
    <w:rPr>
      <w:rFonts w:ascii="Calibri" w:hAnsi="Calibri"/>
      <w:sz w:val="22"/>
      <w:szCs w:val="22"/>
      <w:lang w:val="es-ES" w:eastAsia="es-ES"/>
    </w:rPr>
  </w:style>
  <w:style w:type="character" w:customStyle="1" w:styleId="Textoindependiente2Car">
    <w:name w:val="Texto independiente 2 Car"/>
    <w:basedOn w:val="Fuentedeprrafopredeter"/>
    <w:link w:val="Textoindependiente2"/>
    <w:uiPriority w:val="99"/>
    <w:rsid w:val="002C547A"/>
    <w:rPr>
      <w:rFonts w:ascii="Calibri" w:hAnsi="Calibri"/>
      <w:sz w:val="22"/>
      <w:szCs w:val="22"/>
      <w:lang w:val="es-ES" w:eastAsia="es-ES"/>
    </w:rPr>
  </w:style>
  <w:style w:type="character" w:customStyle="1" w:styleId="booktitle">
    <w:name w:val="booktitle"/>
    <w:basedOn w:val="Fuentedeprrafopredeter"/>
    <w:rsid w:val="002C547A"/>
  </w:style>
  <w:style w:type="character" w:customStyle="1" w:styleId="vol-info">
    <w:name w:val="vol-info"/>
    <w:basedOn w:val="Fuentedeprrafopredeter"/>
    <w:rsid w:val="002C547A"/>
  </w:style>
  <w:style w:type="paragraph" w:customStyle="1" w:styleId="j">
    <w:name w:val="j"/>
    <w:basedOn w:val="Normal"/>
    <w:rsid w:val="002C547A"/>
    <w:pPr>
      <w:spacing w:before="100" w:beforeAutospacing="1" w:after="100" w:afterAutospacing="1"/>
    </w:pPr>
    <w:rPr>
      <w:lang w:val="en-US" w:eastAsia="es-ES"/>
    </w:rPr>
  </w:style>
  <w:style w:type="character" w:customStyle="1" w:styleId="nacep">
    <w:name w:val="n_acep"/>
    <w:basedOn w:val="Fuentedeprrafopredeter"/>
    <w:rsid w:val="002C547A"/>
  </w:style>
  <w:style w:type="paragraph" w:customStyle="1" w:styleId="n2">
    <w:name w:val="n2"/>
    <w:basedOn w:val="Normal"/>
    <w:rsid w:val="002C547A"/>
    <w:pPr>
      <w:spacing w:before="100" w:beforeAutospacing="1" w:after="100" w:afterAutospacing="1"/>
    </w:pPr>
    <w:rPr>
      <w:lang w:val="en-US" w:eastAsia="es-ES"/>
    </w:rPr>
  </w:style>
  <w:style w:type="character" w:styleId="nfasis">
    <w:name w:val="Emphasis"/>
    <w:uiPriority w:val="20"/>
    <w:qFormat/>
    <w:rsid w:val="002C547A"/>
    <w:rPr>
      <w:i/>
      <w:iCs/>
    </w:rPr>
  </w:style>
  <w:style w:type="paragraph" w:customStyle="1" w:styleId="n5">
    <w:name w:val="n5"/>
    <w:basedOn w:val="Normal"/>
    <w:rsid w:val="002C547A"/>
    <w:pPr>
      <w:spacing w:before="100" w:beforeAutospacing="1" w:after="100" w:afterAutospacing="1"/>
    </w:pPr>
    <w:rPr>
      <w:lang w:val="en-US" w:eastAsia="es-ES"/>
    </w:rPr>
  </w:style>
  <w:style w:type="character" w:customStyle="1" w:styleId="h">
    <w:name w:val="h"/>
    <w:basedOn w:val="Fuentedeprrafopredeter"/>
    <w:rsid w:val="002C547A"/>
  </w:style>
  <w:style w:type="character" w:styleId="Mencinsinresolver">
    <w:name w:val="Unresolved Mention"/>
    <w:uiPriority w:val="99"/>
    <w:semiHidden/>
    <w:unhideWhenUsed/>
    <w:rsid w:val="002C547A"/>
    <w:rPr>
      <w:color w:val="605E5C"/>
      <w:shd w:val="clear" w:color="auto" w:fill="E1DFDD"/>
    </w:rPr>
  </w:style>
  <w:style w:type="table" w:styleId="Sombreadoclaro-nfasis4">
    <w:name w:val="Light Shading Accent 4"/>
    <w:basedOn w:val="Tablanormal"/>
    <w:uiPriority w:val="60"/>
    <w:semiHidden/>
    <w:unhideWhenUsed/>
    <w:rsid w:val="002C547A"/>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1899855">
      <w:bodyDiv w:val="1"/>
      <w:marLeft w:val="0"/>
      <w:marRight w:val="0"/>
      <w:marTop w:val="0"/>
      <w:marBottom w:val="0"/>
      <w:divBdr>
        <w:top w:val="none" w:sz="0" w:space="0" w:color="auto"/>
        <w:left w:val="none" w:sz="0" w:space="0" w:color="auto"/>
        <w:bottom w:val="none" w:sz="0" w:space="0" w:color="auto"/>
        <w:right w:val="none" w:sz="0" w:space="0" w:color="auto"/>
      </w:divBdr>
    </w:div>
    <w:div w:id="208882863">
      <w:bodyDiv w:val="1"/>
      <w:marLeft w:val="0"/>
      <w:marRight w:val="0"/>
      <w:marTop w:val="0"/>
      <w:marBottom w:val="0"/>
      <w:divBdr>
        <w:top w:val="none" w:sz="0" w:space="0" w:color="auto"/>
        <w:left w:val="none" w:sz="0" w:space="0" w:color="auto"/>
        <w:bottom w:val="none" w:sz="0" w:space="0" w:color="auto"/>
        <w:right w:val="none" w:sz="0" w:space="0" w:color="auto"/>
      </w:divBdr>
    </w:div>
    <w:div w:id="250623558">
      <w:bodyDiv w:val="1"/>
      <w:marLeft w:val="0"/>
      <w:marRight w:val="0"/>
      <w:marTop w:val="0"/>
      <w:marBottom w:val="0"/>
      <w:divBdr>
        <w:top w:val="none" w:sz="0" w:space="0" w:color="auto"/>
        <w:left w:val="none" w:sz="0" w:space="0" w:color="auto"/>
        <w:bottom w:val="none" w:sz="0" w:space="0" w:color="auto"/>
        <w:right w:val="none" w:sz="0" w:space="0" w:color="auto"/>
      </w:divBdr>
    </w:div>
    <w:div w:id="397096230">
      <w:bodyDiv w:val="1"/>
      <w:marLeft w:val="0"/>
      <w:marRight w:val="0"/>
      <w:marTop w:val="0"/>
      <w:marBottom w:val="0"/>
      <w:divBdr>
        <w:top w:val="none" w:sz="0" w:space="0" w:color="auto"/>
        <w:left w:val="none" w:sz="0" w:space="0" w:color="auto"/>
        <w:bottom w:val="none" w:sz="0" w:space="0" w:color="auto"/>
        <w:right w:val="none" w:sz="0" w:space="0" w:color="auto"/>
      </w:divBdr>
    </w:div>
    <w:div w:id="999189059">
      <w:bodyDiv w:val="1"/>
      <w:marLeft w:val="0"/>
      <w:marRight w:val="0"/>
      <w:marTop w:val="0"/>
      <w:marBottom w:val="0"/>
      <w:divBdr>
        <w:top w:val="none" w:sz="0" w:space="0" w:color="auto"/>
        <w:left w:val="none" w:sz="0" w:space="0" w:color="auto"/>
        <w:bottom w:val="none" w:sz="0" w:space="0" w:color="auto"/>
        <w:right w:val="none" w:sz="0" w:space="0" w:color="auto"/>
      </w:divBdr>
    </w:div>
    <w:div w:id="1087267164">
      <w:bodyDiv w:val="1"/>
      <w:marLeft w:val="0"/>
      <w:marRight w:val="0"/>
      <w:marTop w:val="0"/>
      <w:marBottom w:val="0"/>
      <w:divBdr>
        <w:top w:val="none" w:sz="0" w:space="0" w:color="auto"/>
        <w:left w:val="none" w:sz="0" w:space="0" w:color="auto"/>
        <w:bottom w:val="none" w:sz="0" w:space="0" w:color="auto"/>
        <w:right w:val="none" w:sz="0" w:space="0" w:color="auto"/>
      </w:divBdr>
    </w:div>
    <w:div w:id="1496916512">
      <w:bodyDiv w:val="1"/>
      <w:marLeft w:val="0"/>
      <w:marRight w:val="0"/>
      <w:marTop w:val="0"/>
      <w:marBottom w:val="0"/>
      <w:divBdr>
        <w:top w:val="none" w:sz="0" w:space="0" w:color="auto"/>
        <w:left w:val="none" w:sz="0" w:space="0" w:color="auto"/>
        <w:bottom w:val="none" w:sz="0" w:space="0" w:color="auto"/>
        <w:right w:val="none" w:sz="0" w:space="0" w:color="auto"/>
      </w:divBdr>
    </w:div>
    <w:div w:id="1724675479">
      <w:bodyDiv w:val="1"/>
      <w:marLeft w:val="0"/>
      <w:marRight w:val="0"/>
      <w:marTop w:val="0"/>
      <w:marBottom w:val="0"/>
      <w:divBdr>
        <w:top w:val="none" w:sz="0" w:space="0" w:color="auto"/>
        <w:left w:val="none" w:sz="0" w:space="0" w:color="auto"/>
        <w:bottom w:val="none" w:sz="0" w:space="0" w:color="auto"/>
        <w:right w:val="none" w:sz="0" w:space="0" w:color="auto"/>
      </w:divBdr>
    </w:div>
    <w:div w:id="1737242706">
      <w:bodyDiv w:val="1"/>
      <w:marLeft w:val="0"/>
      <w:marRight w:val="0"/>
      <w:marTop w:val="0"/>
      <w:marBottom w:val="0"/>
      <w:divBdr>
        <w:top w:val="none" w:sz="0" w:space="0" w:color="auto"/>
        <w:left w:val="none" w:sz="0" w:space="0" w:color="auto"/>
        <w:bottom w:val="none" w:sz="0" w:space="0" w:color="auto"/>
        <w:right w:val="none" w:sz="0" w:space="0" w:color="auto"/>
      </w:divBdr>
    </w:div>
    <w:div w:id="21473131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image" Target="media/image1.gif"/><Relationship Id="rId18" Type="http://schemas.openxmlformats.org/officeDocument/2006/relationships/hyperlink" Target="https://www.fda.gov/downloads/Drugs/Guidances/UCM464506.pdf/" TargetMode="External"/><Relationship Id="rId26" Type="http://schemas.openxmlformats.org/officeDocument/2006/relationships/hyperlink" Target="http://www.scielo.org.co/pdf/amc/v42n4/0120-2448-amc-42-04-00207.pdf" TargetMode="External"/><Relationship Id="rId39" Type="http://schemas.openxmlformats.org/officeDocument/2006/relationships/hyperlink" Target="http://www.who.int/tdr/publications/documents/operational-guidelines.pdf" TargetMode="External"/><Relationship Id="rId3" Type="http://schemas.openxmlformats.org/officeDocument/2006/relationships/settings" Target="settings.xml"/><Relationship Id="rId21" Type="http://schemas.openxmlformats.org/officeDocument/2006/relationships/hyperlink" Target="https://www.researchgate.net/publication/310813158_Understanding_the_functions_and_operations_of_data_monitoring_committee_Survey_and_focus_group_findings/fulltext/5a185cffa6fdcc50ade7e13f/Understanding-the-functions-and-operations-of-data-monitoring-committee-Survey-and-focus-group-findings.pdf" TargetMode="External"/><Relationship Id="rId34" Type="http://schemas.openxmlformats.org/officeDocument/2006/relationships/hyperlink" Target="http://www.gmp-compliace.org/guidemgr/files/clindatmon.pdf" TargetMode="External"/><Relationship Id="rId42" Type="http://schemas.openxmlformats.org/officeDocument/2006/relationships/hyperlink" Target="https://link.springer.com/content/pdf/10.1007/s00134-007-0794-9.pdf" TargetMode="External"/><Relationship Id="rId47" Type="http://schemas.openxmlformats.org/officeDocument/2006/relationships/header" Target="header1.xml"/><Relationship Id="rId50" Type="http://schemas.openxmlformats.org/officeDocument/2006/relationships/fontTable" Target="fontTable.xml"/><Relationship Id="rId7" Type="http://schemas.openxmlformats.org/officeDocument/2006/relationships/hyperlink" Target="https://orcid.org/0000-0002-0755-6373" TargetMode="External"/><Relationship Id="rId12" Type="http://schemas.openxmlformats.org/officeDocument/2006/relationships/hyperlink" Target="mailto:soniapr@infomed.sld.cu" TargetMode="External"/><Relationship Id="rId17" Type="http://schemas.openxmlformats.org/officeDocument/2006/relationships/hyperlink" Target="https://www.cecmed.cu/sites/default/files/adjuntos/Reglamentacion/Dir_BPC.pdf" TargetMode="External"/><Relationship Id="rId25" Type="http://schemas.openxmlformats.org/officeDocument/2006/relationships/hyperlink" Target="https://pubmed.ncbi.nlm.nih.gov/27960001/" TargetMode="External"/><Relationship Id="rId33" Type="http://schemas.openxmlformats.org/officeDocument/2006/relationships/hyperlink" Target="https://trialsjournal.biomedcentral.com/articles/10.1186/s13063-017-1858-y" TargetMode="External"/><Relationship Id="rId38" Type="http://schemas.openxmlformats.org/officeDocument/2006/relationships/hyperlink" Target="https://es.slideshare.net/anova83/guidelines-regarding-independent-data-monitoring-committeesapril2013" TargetMode="External"/><Relationship Id="rId46" Type="http://schemas.openxmlformats.org/officeDocument/2006/relationships/hyperlink" Target="https://www.ncbi.nlm.nih.gov/pmc/articles/PMC5639979/pdf/10.1177_1740774517707743.pdf" TargetMode="External"/><Relationship Id="rId2" Type="http://schemas.openxmlformats.org/officeDocument/2006/relationships/styles" Target="styles.xml"/><Relationship Id="rId16" Type="http://schemas.openxmlformats.org/officeDocument/2006/relationships/hyperlink" Target="https://apps.who.int/medicinedocs/documents/s18627es/s18627es.pdf" TargetMode="External"/><Relationship Id="rId20" Type="http://schemas.openxmlformats.org/officeDocument/2006/relationships/hyperlink" Target="http://pediatrics.aappublications.org/content/129/Supplement_3/S132/" TargetMode="External"/><Relationship Id="rId29" Type="http://schemas.openxmlformats.org/officeDocument/2006/relationships/hyperlink" Target="https://www.ctg.queensu.ca/docs/public/committees/PoliciesfortheDataSafetyMonitoringCommittee.pdf" TargetMode="External"/><Relationship Id="rId41" Type="http://schemas.openxmlformats.org/officeDocument/2006/relationships/hyperlink" Target="https://www.ncbi.nlm.nih.gov/pmc/articles/PMC4516383/"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orcid.org/0000-0003-0907-8288" TargetMode="External"/><Relationship Id="rId24" Type="http://schemas.openxmlformats.org/officeDocument/2006/relationships/hyperlink" Target="https://www.researchgate.net/publication/301951332_Regulatory_Guidance_Dcuments_on_Adaptative_Desigs_An_Industr_Perspective" TargetMode="External"/><Relationship Id="rId32" Type="http://schemas.openxmlformats.org/officeDocument/2006/relationships/hyperlink" Target="https://bmjpaedsopen.bmj.com/content/bmjpo/3/1/e000426.full.pdf" TargetMode="External"/><Relationship Id="rId37" Type="http://schemas.openxmlformats.org/officeDocument/2006/relationships/hyperlink" Target="https://www.pmda.go.jp/files/000204620.pdf" TargetMode="External"/><Relationship Id="rId40" Type="http://schemas.openxmlformats.org/officeDocument/2006/relationships/hyperlink" Target="https://www.niams.nih.gov/grants-funding/data-safety-monitoring/dsm-guidelines" TargetMode="External"/><Relationship Id="rId45" Type="http://schemas.openxmlformats.org/officeDocument/2006/relationships/hyperlink" Target="https://ctscweb.weill.cornell.edu/sites/default/files/24992.archival.pdf" TargetMode="External"/><Relationship Id="rId5" Type="http://schemas.openxmlformats.org/officeDocument/2006/relationships/footnotes" Target="footnotes.xml"/><Relationship Id="rId15" Type="http://schemas.openxmlformats.org/officeDocument/2006/relationships/image" Target="media/image3.gif"/><Relationship Id="rId23" Type="http://schemas.openxmlformats.org/officeDocument/2006/relationships/hyperlink" Target="https://journals.sagepub.com/doi/abs/10.1177/2168479015573586" TargetMode="External"/><Relationship Id="rId28" Type="http://schemas.openxmlformats.org/officeDocument/2006/relationships/hyperlink" Target="https://www.scielo.org.co/pdf/amc/v42n4/0120-2448-amc-42-04-00207.pdf" TargetMode="External"/><Relationship Id="rId36" Type="http://schemas.openxmlformats.org/officeDocument/2006/relationships/hyperlink" Target="https://www.australianclinicaltrials.gov.au/sites/default/file/content/for%20research/data_safety_monitoring_boards_1.pdf" TargetMode="External"/><Relationship Id="rId49" Type="http://schemas.openxmlformats.org/officeDocument/2006/relationships/footer" Target="footer2.xml"/><Relationship Id="rId10" Type="http://schemas.openxmlformats.org/officeDocument/2006/relationships/hyperlink" Target="https://orcid.org/0000-0002-4205-0415" TargetMode="External"/><Relationship Id="rId19" Type="http://schemas.openxmlformats.org/officeDocument/2006/relationships/hyperlink" Target="http://files.sld.cu/cdfc/files/2010/02/principios_basicos_inv_clin.pdf/" TargetMode="External"/><Relationship Id="rId31" Type="http://schemas.openxmlformats.org/officeDocument/2006/relationships/hyperlink" Target="http://www.socra.org/publications/past-socra-source-articles/the-role-of-data-monitoring-committees-and-their-impact-on-clinical-research-associate-responsabilities/" TargetMode="External"/><Relationship Id="rId44" Type="http://schemas.openxmlformats.org/officeDocument/2006/relationships/hyperlink" Target="http://citeseerx.ist.psu.edu/viewdoc/download?doi=10.1.1.662.921&amp;rep=rep1&amp;type=pdf" TargetMode="External"/><Relationship Id="rId4" Type="http://schemas.openxmlformats.org/officeDocument/2006/relationships/webSettings" Target="webSettings.xml"/><Relationship Id="rId9" Type="http://schemas.openxmlformats.org/officeDocument/2006/relationships/hyperlink" Target="https://orcid.org/0000-0002-0314-4865" TargetMode="External"/><Relationship Id="rId14" Type="http://schemas.openxmlformats.org/officeDocument/2006/relationships/image" Target="media/image2.gif"/><Relationship Id="rId22" Type="http://schemas.openxmlformats.org/officeDocument/2006/relationships/hyperlink" Target="https://onlinelibrary.wiley.com/doi/epdf/10.1002/sim.1287" TargetMode="External"/><Relationship Id="rId27" Type="http://schemas.openxmlformats.org/officeDocument/2006/relationships/hyperlink" Target="http://93.174.95.29/_ads/B8971AC4CE00890D8EDD1CA1CF98DAFD" TargetMode="External"/><Relationship Id="rId30" Type="http://schemas.openxmlformats.org/officeDocument/2006/relationships/hyperlink" Target="https://doi.org/10.1016/S0140-6736(05)17965-3" TargetMode="External"/><Relationship Id="rId35" Type="http://schemas.openxmlformats.org/officeDocument/2006/relationships/hyperlink" Target="https://www.ema.europa.eu/en/documents/scientific-guideline/guideline-data-monitoring-committees_en.pdf" TargetMode="External"/><Relationship Id="rId43" Type="http://schemas.openxmlformats.org/officeDocument/2006/relationships/hyperlink" Target="https://www.aarondefazio.com/adefazio-seqtesting.pdf" TargetMode="External"/><Relationship Id="rId48" Type="http://schemas.openxmlformats.org/officeDocument/2006/relationships/footer" Target="footer1.xml"/><Relationship Id="rId8" Type="http://schemas.openxmlformats.org/officeDocument/2006/relationships/hyperlink" Target="https://orcid.org/0000-0002-6111-3880" TargetMode="External"/><Relationship Id="rId51" Type="http://schemas.openxmlformats.org/officeDocument/2006/relationships/theme" Target="theme/theme1.xml"/></Relationships>
</file>

<file path=word/_rels/footer2.xml.rels><?xml version="1.0" encoding="UTF-8" standalone="yes"?>
<Relationships xmlns="http://schemas.openxmlformats.org/package/2006/relationships"><Relationship Id="rId3" Type="http://schemas.openxmlformats.org/officeDocument/2006/relationships/hyperlink" Target="https://creativecommons.org/licenses/by-nc-sa/4.0/" TargetMode="External"/><Relationship Id="rId2" Type="http://schemas.openxmlformats.org/officeDocument/2006/relationships/hyperlink" Target="http://www.revmedmilitar.sld.cu" TargetMode="External"/><Relationship Id="rId1" Type="http://schemas.openxmlformats.org/officeDocument/2006/relationships/hyperlink" Target="http://scielo.sld.cu" TargetMode="External"/><Relationship Id="rId4" Type="http://schemas.openxmlformats.org/officeDocument/2006/relationships/image" Target="media/image5.png"/></Relationships>
</file>

<file path=word/_rels/header1.xml.rels><?xml version="1.0" encoding="UTF-8" standalone="yes"?>
<Relationships xmlns="http://schemas.openxmlformats.org/package/2006/relationships"><Relationship Id="rId1" Type="http://schemas.openxmlformats.org/officeDocument/2006/relationships/image" Target="media/image4.gif"/></Relationships>
</file>

<file path=word/_rels/settings.xml.rels><?xml version="1.0" encoding="UTF-8" standalone="yes"?>
<Relationships xmlns="http://schemas.openxmlformats.org/package/2006/relationships"><Relationship Id="rId1" Type="http://schemas.openxmlformats.org/officeDocument/2006/relationships/attachedTemplate" Target="file:///D:\Revista%20CMM\NORMAS\PLANTILLA%20PDF\OK_art&#237;culo.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OK_artículo.dotx</Template>
  <TotalTime>7</TotalTime>
  <Pages>15</Pages>
  <Words>5389</Words>
  <Characters>29645</Characters>
  <Application>Microsoft Office Word</Application>
  <DocSecurity>0</DocSecurity>
  <Lines>247</Lines>
  <Paragraphs>69</Paragraphs>
  <ScaleCrop>false</ScaleCrop>
  <HeadingPairs>
    <vt:vector size="2" baseType="variant">
      <vt:variant>
        <vt:lpstr>Título</vt:lpstr>
      </vt:variant>
      <vt:variant>
        <vt:i4>1</vt:i4>
      </vt:variant>
    </vt:vector>
  </HeadingPairs>
  <TitlesOfParts>
    <vt:vector size="1" baseType="lpstr">
      <vt:lpstr/>
    </vt:vector>
  </TitlesOfParts>
  <Company>The houze!</Company>
  <LinksUpToDate>false</LinksUpToDate>
  <CharactersWithSpaces>34965</CharactersWithSpaces>
  <SharedDoc>false</SharedDoc>
  <HLinks>
    <vt:vector size="30" baseType="variant">
      <vt:variant>
        <vt:i4>1048690</vt:i4>
      </vt:variant>
      <vt:variant>
        <vt:i4>12</vt:i4>
      </vt:variant>
      <vt:variant>
        <vt:i4>0</vt:i4>
      </vt:variant>
      <vt:variant>
        <vt:i4>5</vt:i4>
      </vt:variant>
      <vt:variant>
        <vt:lpwstr>mailto:nereyda@ipk.sld.cu</vt:lpwstr>
      </vt:variant>
      <vt:variant>
        <vt:lpwstr/>
      </vt:variant>
      <vt:variant>
        <vt:i4>5963839</vt:i4>
      </vt:variant>
      <vt:variant>
        <vt:i4>9</vt:i4>
      </vt:variant>
      <vt:variant>
        <vt:i4>0</vt:i4>
      </vt:variant>
      <vt:variant>
        <vt:i4>5</vt:i4>
      </vt:variant>
      <vt:variant>
        <vt:lpwstr>mailto:nereydac@infomed.sld.cu</vt:lpwstr>
      </vt:variant>
      <vt:variant>
        <vt:lpwstr/>
      </vt:variant>
      <vt:variant>
        <vt:i4>8192031</vt:i4>
      </vt:variant>
      <vt:variant>
        <vt:i4>6</vt:i4>
      </vt:variant>
      <vt:variant>
        <vt:i4>0</vt:i4>
      </vt:variant>
      <vt:variant>
        <vt:i4>5</vt:i4>
      </vt:variant>
      <vt:variant>
        <vt:lpwstr>mailto:bcantelar@ipk.sld.cu</vt:lpwstr>
      </vt:variant>
      <vt:variant>
        <vt:lpwstr/>
      </vt:variant>
      <vt:variant>
        <vt:i4>7012358</vt:i4>
      </vt:variant>
      <vt:variant>
        <vt:i4>3</vt:i4>
      </vt:variant>
      <vt:variant>
        <vt:i4>0</vt:i4>
      </vt:variant>
      <vt:variant>
        <vt:i4>5</vt:i4>
      </vt:variant>
      <vt:variant>
        <vt:lpwstr>mailto:mayasilmp@infomed.sld.cu</vt:lpwstr>
      </vt:variant>
      <vt:variant>
        <vt:lpwstr/>
      </vt:variant>
      <vt:variant>
        <vt:i4>5701664</vt:i4>
      </vt:variant>
      <vt:variant>
        <vt:i4>0</vt:i4>
      </vt:variant>
      <vt:variant>
        <vt:i4>0</vt:i4>
      </vt:variant>
      <vt:variant>
        <vt:i4>5</vt:i4>
      </vt:variant>
      <vt:variant>
        <vt:lpwstr>mailto:nery@ipk.sld.cu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Plantilla para pdf</dc:subject>
  <dc:creator>Editor</dc:creator>
  <cp:lastModifiedBy>Editor</cp:lastModifiedBy>
  <cp:revision>4</cp:revision>
  <cp:lastPrinted>2010-09-13T21:29:00Z</cp:lastPrinted>
  <dcterms:created xsi:type="dcterms:W3CDTF">2020-12-29T22:12:00Z</dcterms:created>
  <dcterms:modified xsi:type="dcterms:W3CDTF">2020-12-29T22:20:00Z</dcterms:modified>
</cp:coreProperties>
</file>