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A2771" w14:textId="77777777" w:rsidR="00413132" w:rsidRPr="00413132" w:rsidRDefault="00413132" w:rsidP="00413132">
      <w:pPr>
        <w:spacing w:line="360" w:lineRule="auto"/>
        <w:jc w:val="right"/>
        <w:rPr>
          <w:color w:val="000000"/>
          <w:sz w:val="20"/>
          <w:szCs w:val="20"/>
          <w:lang w:val="es-ES" w:eastAsia="es-ES"/>
        </w:rPr>
      </w:pPr>
      <w:r w:rsidRPr="00413132">
        <w:rPr>
          <w:color w:val="000000"/>
          <w:sz w:val="20"/>
          <w:szCs w:val="20"/>
          <w:lang w:val="es-ES" w:eastAsia="es-ES"/>
        </w:rPr>
        <w:t>Artículo de revisión</w:t>
      </w:r>
    </w:p>
    <w:p w14:paraId="1297CECE" w14:textId="77777777" w:rsidR="00413132" w:rsidRPr="00413132" w:rsidRDefault="00413132" w:rsidP="00413132">
      <w:pPr>
        <w:spacing w:line="360" w:lineRule="auto"/>
        <w:jc w:val="both"/>
        <w:rPr>
          <w:b/>
          <w:bCs/>
          <w:color w:val="000000"/>
          <w:lang w:val="es-ES" w:eastAsia="es-ES"/>
        </w:rPr>
      </w:pPr>
    </w:p>
    <w:p w14:paraId="64E56384" w14:textId="77777777" w:rsidR="00413132" w:rsidRPr="00413132" w:rsidRDefault="00413132" w:rsidP="00413132">
      <w:pPr>
        <w:spacing w:line="360" w:lineRule="auto"/>
        <w:jc w:val="center"/>
        <w:rPr>
          <w:rFonts w:eastAsia="Calibri"/>
          <w:sz w:val="28"/>
          <w:szCs w:val="28"/>
          <w:lang w:val="es-ES" w:eastAsia="en-US"/>
        </w:rPr>
      </w:pPr>
      <w:r w:rsidRPr="00413132">
        <w:rPr>
          <w:b/>
          <w:bCs/>
          <w:color w:val="000000"/>
          <w:sz w:val="28"/>
          <w:szCs w:val="28"/>
          <w:lang w:val="es-ES" w:eastAsia="es-ES"/>
        </w:rPr>
        <w:t>A</w:t>
      </w:r>
      <w:r w:rsidRPr="00413132">
        <w:rPr>
          <w:rFonts w:eastAsia="Calibri"/>
          <w:b/>
          <w:sz w:val="28"/>
          <w:szCs w:val="28"/>
          <w:lang w:val="es-ES" w:eastAsia="en-US"/>
        </w:rPr>
        <w:t>cercamiento a la terapia antiplaquetaria en el contexto de la endoscopia digestiva</w:t>
      </w:r>
    </w:p>
    <w:p w14:paraId="4F279F03" w14:textId="77777777" w:rsidR="00413132" w:rsidRPr="00413132" w:rsidRDefault="00413132" w:rsidP="00413132">
      <w:pPr>
        <w:spacing w:line="360" w:lineRule="auto"/>
        <w:jc w:val="center"/>
        <w:rPr>
          <w:rFonts w:eastAsia="Calibri"/>
          <w:sz w:val="28"/>
          <w:szCs w:val="28"/>
          <w:lang w:val="en-US" w:eastAsia="en-US"/>
        </w:rPr>
      </w:pPr>
      <w:r w:rsidRPr="00413132">
        <w:rPr>
          <w:rFonts w:eastAsia="Calibri"/>
          <w:sz w:val="28"/>
          <w:szCs w:val="28"/>
          <w:lang w:val="en-US" w:eastAsia="en-US"/>
        </w:rPr>
        <w:t>Approach to antiplatelet therapy in the context of digestive endoscopy</w:t>
      </w:r>
    </w:p>
    <w:p w14:paraId="3E0C0AAF" w14:textId="77777777" w:rsidR="00413132" w:rsidRPr="00413132" w:rsidRDefault="00413132" w:rsidP="00413132">
      <w:pPr>
        <w:spacing w:line="360" w:lineRule="auto"/>
        <w:jc w:val="center"/>
        <w:rPr>
          <w:rFonts w:eastAsia="Calibri"/>
          <w:bCs/>
          <w:lang w:val="en-US" w:eastAsia="en-US"/>
        </w:rPr>
      </w:pPr>
    </w:p>
    <w:p w14:paraId="6F02B82F"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Eduardo Carlos </w:t>
      </w:r>
      <w:proofErr w:type="spellStart"/>
      <w:r w:rsidRPr="00413132">
        <w:rPr>
          <w:rFonts w:eastAsia="Calibri"/>
          <w:lang w:val="es-ES" w:eastAsia="en-US"/>
        </w:rPr>
        <w:t>Veitía</w:t>
      </w:r>
      <w:proofErr w:type="spellEnd"/>
      <w:r w:rsidRPr="00413132">
        <w:rPr>
          <w:rFonts w:eastAsia="Calibri"/>
          <w:lang w:val="es-ES" w:eastAsia="en-US"/>
        </w:rPr>
        <w:t xml:space="preserve"> Wilson</w:t>
      </w:r>
      <w:r w:rsidRPr="00413132">
        <w:rPr>
          <w:rFonts w:eastAsia="Calibri"/>
          <w:vertAlign w:val="superscript"/>
          <w:lang w:val="es-ES" w:eastAsia="en-US"/>
        </w:rPr>
        <w:t>1</w:t>
      </w:r>
      <w:r w:rsidRPr="00413132">
        <w:rPr>
          <w:rFonts w:eastAsia="Calibri"/>
          <w:lang w:val="es-ES" w:eastAsia="en-US"/>
        </w:rPr>
        <w:t xml:space="preserve">* </w:t>
      </w:r>
      <w:hyperlink r:id="rId7" w:history="1">
        <w:r w:rsidRPr="00413132">
          <w:rPr>
            <w:rFonts w:eastAsia="Calibri"/>
            <w:color w:val="0563C1"/>
            <w:u w:val="single"/>
            <w:lang w:val="es-ES" w:eastAsia="en-US"/>
          </w:rPr>
          <w:t>https://orcid.org/0000-0002-6178-9178</w:t>
        </w:r>
      </w:hyperlink>
    </w:p>
    <w:p w14:paraId="5660D065"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Ludmila Martínez Leyva</w:t>
      </w:r>
      <w:r w:rsidRPr="00413132">
        <w:rPr>
          <w:rFonts w:eastAsia="Calibri"/>
          <w:vertAlign w:val="superscript"/>
          <w:lang w:val="es-ES" w:eastAsia="en-US"/>
        </w:rPr>
        <w:t>1</w:t>
      </w:r>
      <w:r w:rsidRPr="00413132">
        <w:rPr>
          <w:rFonts w:eastAsia="Calibri"/>
          <w:lang w:val="es-ES" w:eastAsia="en-US"/>
        </w:rPr>
        <w:t xml:space="preserve"> </w:t>
      </w:r>
      <w:hyperlink r:id="rId8" w:history="1">
        <w:r w:rsidRPr="00413132">
          <w:rPr>
            <w:rFonts w:eastAsia="Calibri"/>
            <w:color w:val="0563C1"/>
            <w:u w:val="single"/>
            <w:lang w:val="es-ES" w:eastAsia="en-US"/>
          </w:rPr>
          <w:t>https://orcid.org/0000-0002-9217-5646</w:t>
        </w:r>
      </w:hyperlink>
    </w:p>
    <w:p w14:paraId="5B278D21"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Tatiana Amable Días</w:t>
      </w:r>
      <w:r w:rsidRPr="00413132">
        <w:rPr>
          <w:rFonts w:eastAsia="Calibri"/>
          <w:vertAlign w:val="superscript"/>
          <w:lang w:val="es-ES" w:eastAsia="en-US"/>
        </w:rPr>
        <w:t>1</w:t>
      </w:r>
      <w:r w:rsidRPr="00413132">
        <w:rPr>
          <w:rFonts w:eastAsia="Calibri"/>
          <w:lang w:val="es-ES" w:eastAsia="en-US"/>
        </w:rPr>
        <w:t xml:space="preserve"> </w:t>
      </w:r>
      <w:hyperlink r:id="rId9" w:history="1">
        <w:r w:rsidRPr="00413132">
          <w:rPr>
            <w:rFonts w:eastAsia="Calibri"/>
            <w:color w:val="0563C1"/>
            <w:u w:val="single"/>
            <w:lang w:val="es-ES" w:eastAsia="en-US"/>
          </w:rPr>
          <w:t>https://orcid.org/0000-0001-7849-5451</w:t>
        </w:r>
      </w:hyperlink>
    </w:p>
    <w:p w14:paraId="175E0E0C" w14:textId="77777777" w:rsidR="00413132" w:rsidRPr="00413132" w:rsidRDefault="00413132" w:rsidP="00413132">
      <w:pPr>
        <w:spacing w:line="360" w:lineRule="auto"/>
        <w:jc w:val="both"/>
        <w:rPr>
          <w:rFonts w:eastAsia="Calibri"/>
          <w:lang w:val="es-ES" w:eastAsia="en-US"/>
        </w:rPr>
      </w:pPr>
      <w:proofErr w:type="spellStart"/>
      <w:r w:rsidRPr="00413132">
        <w:rPr>
          <w:rFonts w:eastAsia="Calibri"/>
          <w:lang w:val="es-ES" w:eastAsia="en-US"/>
        </w:rPr>
        <w:t>Misdrialis</w:t>
      </w:r>
      <w:proofErr w:type="spellEnd"/>
      <w:r w:rsidRPr="00413132">
        <w:rPr>
          <w:rFonts w:eastAsia="Calibri"/>
          <w:lang w:val="es-ES" w:eastAsia="en-US"/>
        </w:rPr>
        <w:t xml:space="preserve"> Martínez Romero</w:t>
      </w:r>
      <w:r w:rsidRPr="00413132">
        <w:rPr>
          <w:rFonts w:eastAsia="Calibri"/>
          <w:vertAlign w:val="superscript"/>
          <w:lang w:val="es-ES" w:eastAsia="en-US"/>
        </w:rPr>
        <w:t>1</w:t>
      </w:r>
      <w:r w:rsidRPr="00413132">
        <w:rPr>
          <w:rFonts w:eastAsia="Calibri"/>
          <w:lang w:val="es-ES" w:eastAsia="en-US"/>
        </w:rPr>
        <w:t xml:space="preserve"> </w:t>
      </w:r>
      <w:hyperlink r:id="rId10" w:history="1">
        <w:r w:rsidRPr="00413132">
          <w:rPr>
            <w:rFonts w:eastAsia="Calibri"/>
            <w:color w:val="0563C1"/>
            <w:u w:val="single"/>
            <w:lang w:val="es-ES" w:eastAsia="en-US"/>
          </w:rPr>
          <w:t>https://orcid.org/0000-0002-0057-1028</w:t>
        </w:r>
      </w:hyperlink>
    </w:p>
    <w:p w14:paraId="0E4D9AC9" w14:textId="77777777" w:rsidR="00413132" w:rsidRPr="00413132" w:rsidRDefault="00413132" w:rsidP="00413132">
      <w:pPr>
        <w:spacing w:line="360" w:lineRule="auto"/>
        <w:jc w:val="both"/>
        <w:rPr>
          <w:rFonts w:eastAsia="Calibri"/>
          <w:lang w:val="es-ES" w:eastAsia="en-US"/>
        </w:rPr>
      </w:pPr>
      <w:proofErr w:type="spellStart"/>
      <w:r w:rsidRPr="00413132">
        <w:rPr>
          <w:rFonts w:eastAsia="Calibri"/>
          <w:lang w:val="es-ES" w:eastAsia="en-US"/>
        </w:rPr>
        <w:t>Ignasio</w:t>
      </w:r>
      <w:proofErr w:type="spellEnd"/>
      <w:r w:rsidRPr="00413132">
        <w:rPr>
          <w:rFonts w:eastAsia="Calibri"/>
          <w:lang w:val="es-ES" w:eastAsia="en-US"/>
        </w:rPr>
        <w:t xml:space="preserve"> Morales Martínez</w:t>
      </w:r>
      <w:r w:rsidRPr="00413132">
        <w:rPr>
          <w:rFonts w:eastAsia="Calibri"/>
          <w:vertAlign w:val="superscript"/>
          <w:lang w:val="es-ES" w:eastAsia="en-US"/>
        </w:rPr>
        <w:t>2</w:t>
      </w:r>
      <w:r w:rsidRPr="00413132">
        <w:rPr>
          <w:rFonts w:eastAsia="Calibri"/>
          <w:lang w:val="es-ES" w:eastAsia="en-US"/>
        </w:rPr>
        <w:t xml:space="preserve"> </w:t>
      </w:r>
      <w:hyperlink r:id="rId11" w:history="1">
        <w:r w:rsidRPr="00413132">
          <w:rPr>
            <w:rFonts w:eastAsia="Calibri"/>
            <w:color w:val="0563C1"/>
            <w:u w:val="single"/>
            <w:lang w:val="es-ES" w:eastAsia="en-US"/>
          </w:rPr>
          <w:t>https://orcid.org/0000-0001-6847-2301</w:t>
        </w:r>
      </w:hyperlink>
    </w:p>
    <w:p w14:paraId="5237BBE1" w14:textId="77777777" w:rsidR="00413132" w:rsidRPr="00413132" w:rsidRDefault="00413132" w:rsidP="00413132">
      <w:pPr>
        <w:spacing w:line="360" w:lineRule="auto"/>
        <w:jc w:val="both"/>
        <w:rPr>
          <w:rFonts w:eastAsia="Calibri"/>
          <w:lang w:val="es-ES" w:eastAsia="en-US"/>
        </w:rPr>
      </w:pPr>
      <w:proofErr w:type="spellStart"/>
      <w:r w:rsidRPr="00413132">
        <w:rPr>
          <w:rFonts w:eastAsia="Calibri"/>
          <w:lang w:val="es-ES" w:eastAsia="en-US"/>
        </w:rPr>
        <w:t>Anilaydis</w:t>
      </w:r>
      <w:proofErr w:type="spellEnd"/>
      <w:r w:rsidRPr="00413132">
        <w:rPr>
          <w:rFonts w:eastAsia="Calibri"/>
          <w:lang w:val="es-ES" w:eastAsia="en-US"/>
        </w:rPr>
        <w:t xml:space="preserve"> </w:t>
      </w:r>
      <w:proofErr w:type="spellStart"/>
      <w:r w:rsidRPr="00413132">
        <w:rPr>
          <w:rFonts w:eastAsia="Calibri"/>
          <w:lang w:val="es-ES" w:eastAsia="en-US"/>
        </w:rPr>
        <w:t>Duvergel</w:t>
      </w:r>
      <w:proofErr w:type="spellEnd"/>
      <w:r w:rsidRPr="00413132">
        <w:rPr>
          <w:rFonts w:eastAsia="Calibri"/>
          <w:lang w:val="es-ES" w:eastAsia="en-US"/>
        </w:rPr>
        <w:t xml:space="preserve"> Zamora</w:t>
      </w:r>
      <w:r w:rsidRPr="00413132">
        <w:rPr>
          <w:rFonts w:eastAsia="Calibri"/>
          <w:vertAlign w:val="superscript"/>
          <w:lang w:val="es-ES" w:eastAsia="en-US"/>
        </w:rPr>
        <w:t>3</w:t>
      </w:r>
      <w:r w:rsidRPr="00413132">
        <w:rPr>
          <w:rFonts w:eastAsia="Calibri"/>
          <w:lang w:val="es-ES" w:eastAsia="en-US"/>
        </w:rPr>
        <w:t xml:space="preserve"> </w:t>
      </w:r>
      <w:hyperlink r:id="rId12" w:history="1">
        <w:r w:rsidRPr="00413132">
          <w:rPr>
            <w:rFonts w:eastAsia="Calibri"/>
            <w:color w:val="0563C1"/>
            <w:u w:val="single"/>
            <w:lang w:val="es-ES" w:eastAsia="en-US"/>
          </w:rPr>
          <w:t>https://orcid.org/000-0002-4518-8460</w:t>
        </w:r>
      </w:hyperlink>
    </w:p>
    <w:p w14:paraId="3F2F7CAE" w14:textId="77777777" w:rsidR="00413132" w:rsidRPr="00413132" w:rsidRDefault="00413132" w:rsidP="00413132">
      <w:pPr>
        <w:spacing w:line="360" w:lineRule="auto"/>
        <w:jc w:val="both"/>
        <w:rPr>
          <w:rFonts w:eastAsia="Calibri"/>
          <w:lang w:val="es-ES" w:eastAsia="en-US"/>
        </w:rPr>
      </w:pPr>
    </w:p>
    <w:p w14:paraId="1BCF062A" w14:textId="77777777" w:rsidR="00413132" w:rsidRPr="00413132" w:rsidRDefault="00413132" w:rsidP="00413132">
      <w:pPr>
        <w:spacing w:line="360" w:lineRule="auto"/>
        <w:jc w:val="both"/>
        <w:rPr>
          <w:rFonts w:eastAsia="Calibri"/>
          <w:lang w:val="es-ES" w:eastAsia="en-US"/>
        </w:rPr>
      </w:pPr>
      <w:r w:rsidRPr="00413132">
        <w:rPr>
          <w:rFonts w:eastAsia="Calibri"/>
          <w:vertAlign w:val="superscript"/>
          <w:lang w:val="es-ES" w:eastAsia="en-US"/>
        </w:rPr>
        <w:t>1</w:t>
      </w:r>
      <w:r w:rsidRPr="00413132">
        <w:rPr>
          <w:rFonts w:eastAsia="Calibri"/>
          <w:lang w:val="es-ES" w:eastAsia="en-US"/>
        </w:rPr>
        <w:t>Hospital Militar Central "Dr. Carlos J. Finlay". La Habana, Cuba.</w:t>
      </w:r>
    </w:p>
    <w:p w14:paraId="702C42C3" w14:textId="77777777" w:rsidR="00413132" w:rsidRPr="00413132" w:rsidRDefault="00413132" w:rsidP="00413132">
      <w:pPr>
        <w:spacing w:line="360" w:lineRule="auto"/>
        <w:jc w:val="both"/>
        <w:rPr>
          <w:rFonts w:eastAsia="Calibri"/>
          <w:lang w:val="es-CU" w:eastAsia="en-US"/>
        </w:rPr>
      </w:pPr>
      <w:r w:rsidRPr="00413132">
        <w:rPr>
          <w:rFonts w:eastAsia="Calibri"/>
          <w:vertAlign w:val="superscript"/>
          <w:lang w:val="es-ES" w:eastAsia="en-US"/>
        </w:rPr>
        <w:t>2</w:t>
      </w:r>
      <w:r w:rsidRPr="00413132">
        <w:rPr>
          <w:rFonts w:eastAsia="Calibri"/>
          <w:lang w:val="es-ES" w:eastAsia="en-US"/>
        </w:rPr>
        <w:t xml:space="preserve">Hospital "Celestino Hernández </w:t>
      </w:r>
      <w:proofErr w:type="spellStart"/>
      <w:r w:rsidRPr="00413132">
        <w:rPr>
          <w:rFonts w:eastAsia="Calibri"/>
          <w:lang w:val="es-ES" w:eastAsia="en-US"/>
        </w:rPr>
        <w:t>Robau</w:t>
      </w:r>
      <w:proofErr w:type="spellEnd"/>
      <w:r w:rsidRPr="00413132">
        <w:rPr>
          <w:rFonts w:eastAsia="Calibri"/>
          <w:lang w:val="es-ES" w:eastAsia="en-US"/>
        </w:rPr>
        <w:t xml:space="preserve">". </w:t>
      </w:r>
      <w:r w:rsidRPr="00413132">
        <w:rPr>
          <w:rFonts w:eastAsia="Calibri"/>
          <w:lang w:val="es-CU" w:eastAsia="en-US"/>
        </w:rPr>
        <w:t>Santa Clara, Villa Clara.</w:t>
      </w:r>
    </w:p>
    <w:p w14:paraId="6D0A13F2" w14:textId="77777777" w:rsidR="00413132" w:rsidRPr="00413132" w:rsidRDefault="00413132" w:rsidP="00413132">
      <w:pPr>
        <w:spacing w:line="360" w:lineRule="auto"/>
        <w:jc w:val="both"/>
        <w:rPr>
          <w:rFonts w:eastAsia="Calibri"/>
          <w:lang w:val="es-CU" w:eastAsia="en-US"/>
        </w:rPr>
      </w:pPr>
      <w:r w:rsidRPr="00413132">
        <w:rPr>
          <w:rFonts w:eastAsia="Calibri"/>
          <w:vertAlign w:val="superscript"/>
          <w:lang w:val="es-ES" w:eastAsia="en-US"/>
        </w:rPr>
        <w:t>3</w:t>
      </w:r>
      <w:r w:rsidRPr="00413132">
        <w:rPr>
          <w:rFonts w:eastAsia="Calibri"/>
          <w:lang w:val="es-ES" w:eastAsia="en-US"/>
        </w:rPr>
        <w:t xml:space="preserve">Facultad de Ciencias Médicas “Manuel Piti Fajardo”. Universidad de Ciencias Médicas de La Habana.  </w:t>
      </w:r>
      <w:r w:rsidRPr="00413132">
        <w:rPr>
          <w:rFonts w:eastAsia="Calibri"/>
          <w:lang w:val="es-CU" w:eastAsia="en-US"/>
        </w:rPr>
        <w:t>La Habana, Cuba.</w:t>
      </w:r>
    </w:p>
    <w:p w14:paraId="36AC1457"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*Autor para la correspondencia. Correo electrónico: </w:t>
      </w:r>
      <w:hyperlink r:id="rId13" w:history="1">
        <w:r w:rsidRPr="00413132">
          <w:rPr>
            <w:rFonts w:eastAsia="Calibri"/>
            <w:color w:val="0563C1"/>
            <w:u w:val="single"/>
            <w:lang w:val="es-ES" w:eastAsia="en-US"/>
          </w:rPr>
          <w:t>anilaydis@infomed.sld.cu</w:t>
        </w:r>
      </w:hyperlink>
      <w:r w:rsidRPr="00413132">
        <w:rPr>
          <w:rFonts w:eastAsia="Calibri"/>
          <w:lang w:val="es-ES" w:eastAsia="en-US"/>
        </w:rPr>
        <w:t xml:space="preserve"> </w:t>
      </w:r>
    </w:p>
    <w:p w14:paraId="029516F7" w14:textId="77777777" w:rsidR="00413132" w:rsidRPr="00413132" w:rsidRDefault="00413132" w:rsidP="00413132">
      <w:pPr>
        <w:spacing w:line="360" w:lineRule="auto"/>
        <w:jc w:val="both"/>
        <w:rPr>
          <w:rFonts w:eastAsia="Calibri"/>
          <w:lang w:val="es-ES" w:eastAsia="en-US"/>
        </w:rPr>
      </w:pPr>
    </w:p>
    <w:p w14:paraId="2C9EAE8A" w14:textId="77777777" w:rsidR="00413132" w:rsidRPr="00413132" w:rsidRDefault="00413132" w:rsidP="00413132">
      <w:pPr>
        <w:spacing w:line="360" w:lineRule="auto"/>
        <w:jc w:val="both"/>
        <w:rPr>
          <w:rFonts w:eastAsia="Calibri"/>
          <w:b/>
          <w:lang w:val="es-ES" w:eastAsia="en-US"/>
        </w:rPr>
      </w:pPr>
      <w:r w:rsidRPr="00413132">
        <w:rPr>
          <w:rFonts w:eastAsia="Calibri"/>
          <w:b/>
          <w:lang w:val="es-ES" w:eastAsia="en-US"/>
        </w:rPr>
        <w:t>RESUMEN</w:t>
      </w:r>
    </w:p>
    <w:p w14:paraId="5E9AAF70" w14:textId="77777777" w:rsidR="00413132" w:rsidRPr="00413132" w:rsidRDefault="00413132" w:rsidP="00413132">
      <w:pPr>
        <w:spacing w:line="360" w:lineRule="auto"/>
        <w:jc w:val="both"/>
        <w:rPr>
          <w:rFonts w:eastAsia="Calibri"/>
          <w:lang w:val="es-ES" w:eastAsia="en-US"/>
        </w:rPr>
      </w:pPr>
      <w:r w:rsidRPr="00413132">
        <w:rPr>
          <w:rFonts w:eastAsia="Calibri"/>
          <w:b/>
          <w:lang w:val="es-ES" w:eastAsia="en-US"/>
        </w:rPr>
        <w:t>Introducción:</w:t>
      </w:r>
      <w:r w:rsidRPr="00413132">
        <w:rPr>
          <w:rFonts w:eastAsia="Calibri"/>
          <w:lang w:val="es-ES" w:eastAsia="en-US"/>
        </w:rPr>
        <w:t xml:space="preserve"> El empleo de agentes antiagregantes plaquetarios se ve cada día más extendido en la población mundial</w:t>
      </w:r>
      <w:r w:rsidRPr="00413132">
        <w:rPr>
          <w:rFonts w:eastAsia="Calibri"/>
          <w:b/>
          <w:lang w:val="es-ES" w:eastAsia="en-US"/>
        </w:rPr>
        <w:t xml:space="preserve">. </w:t>
      </w:r>
      <w:r w:rsidRPr="00413132">
        <w:rPr>
          <w:rFonts w:eastAsia="Calibri"/>
          <w:lang w:val="es-ES" w:eastAsia="en-US"/>
        </w:rPr>
        <w:t xml:space="preserve">La decisión en relación al manejo endoscópico de este tratamiento debe estar basada en el tipo de indicación médica que justifica el uso de estos medicamentos. Se realizó una revisión de los artículos publicados en las bases de datos </w:t>
      </w:r>
      <w:proofErr w:type="spellStart"/>
      <w:r w:rsidRPr="00413132">
        <w:rPr>
          <w:rFonts w:eastAsia="Calibri"/>
          <w:lang w:val="es-ES" w:eastAsia="en-US"/>
        </w:rPr>
        <w:t>Pubmed</w:t>
      </w:r>
      <w:proofErr w:type="spellEnd"/>
      <w:r w:rsidRPr="00413132">
        <w:rPr>
          <w:rFonts w:eastAsia="Calibri"/>
          <w:lang w:val="es-ES" w:eastAsia="en-US"/>
        </w:rPr>
        <w:t>, Scielo, Medline y Cochrane, relacionados con el tema.</w:t>
      </w:r>
    </w:p>
    <w:p w14:paraId="6F493B38" w14:textId="77777777" w:rsidR="00413132" w:rsidRPr="00413132" w:rsidRDefault="00413132" w:rsidP="00413132">
      <w:pPr>
        <w:spacing w:line="360" w:lineRule="auto"/>
        <w:jc w:val="both"/>
        <w:rPr>
          <w:rFonts w:eastAsia="Calibri"/>
          <w:b/>
          <w:lang w:val="es-ES" w:eastAsia="en-US"/>
        </w:rPr>
      </w:pPr>
      <w:r w:rsidRPr="00413132">
        <w:rPr>
          <w:rFonts w:eastAsia="Calibri"/>
          <w:b/>
          <w:lang w:val="es-ES" w:eastAsia="en-US"/>
        </w:rPr>
        <w:t>Objetivo:</w:t>
      </w:r>
      <w:r w:rsidRPr="00413132">
        <w:rPr>
          <w:rFonts w:eastAsia="Calibri"/>
          <w:lang w:val="es-ES" w:eastAsia="en-US"/>
        </w:rPr>
        <w:t xml:space="preserve"> Profundizar en los conocimientos relacionados con la terapia </w:t>
      </w:r>
      <w:r w:rsidRPr="00413132">
        <w:rPr>
          <w:rFonts w:eastAsia="Calibri"/>
          <w:bCs/>
          <w:lang w:val="es-ES" w:eastAsia="en-US"/>
        </w:rPr>
        <w:t>anti</w:t>
      </w:r>
      <w:r w:rsidRPr="00413132">
        <w:rPr>
          <w:rFonts w:eastAsia="Calibri"/>
          <w:lang w:val="es-ES" w:eastAsia="en-US"/>
        </w:rPr>
        <w:t xml:space="preserve">plaquetaria </w:t>
      </w:r>
      <w:proofErr w:type="spellStart"/>
      <w:r w:rsidRPr="00413132">
        <w:rPr>
          <w:rFonts w:eastAsia="Calibri"/>
          <w:lang w:val="es-ES" w:eastAsia="en-US"/>
        </w:rPr>
        <w:t>periendoscópica</w:t>
      </w:r>
      <w:proofErr w:type="spellEnd"/>
      <w:r w:rsidRPr="00413132">
        <w:rPr>
          <w:rFonts w:eastAsia="Calibri"/>
          <w:lang w:val="es-ES" w:eastAsia="en-US"/>
        </w:rPr>
        <w:t xml:space="preserve"> digestiva.</w:t>
      </w:r>
    </w:p>
    <w:p w14:paraId="6771C3E2" w14:textId="77777777" w:rsidR="00413132" w:rsidRPr="00413132" w:rsidRDefault="00413132" w:rsidP="00413132">
      <w:pPr>
        <w:spacing w:line="360" w:lineRule="auto"/>
        <w:jc w:val="both"/>
        <w:rPr>
          <w:rFonts w:eastAsia="Calibri"/>
          <w:bCs/>
          <w:lang w:val="es-ES" w:eastAsia="en-US"/>
        </w:rPr>
      </w:pPr>
      <w:r w:rsidRPr="00413132">
        <w:rPr>
          <w:rFonts w:eastAsia="Calibri"/>
          <w:b/>
          <w:lang w:val="es-ES" w:eastAsia="en-US"/>
        </w:rPr>
        <w:t>Desarrollo:</w:t>
      </w:r>
      <w:r w:rsidRPr="00413132">
        <w:rPr>
          <w:rFonts w:eastAsia="Calibri"/>
          <w:lang w:val="es-ES" w:eastAsia="en-US"/>
        </w:rPr>
        <w:t xml:space="preserve"> Los antiagregantes plaquetarios son clave en el tratamiento y prevención de eventos trombóticos vasculares, cardíacos o cerebrales. Se han establecido las indicaciones de los antitrombóticos, también se ha evaluado el riesgo tromboembólico al suspender el tratamiento. El riesgo tromboembólico puede ser bajo o alto, por lo que se debe evaluar el riesgo - beneficio de suspender la </w:t>
      </w:r>
      <w:r w:rsidRPr="00413132">
        <w:rPr>
          <w:rFonts w:eastAsia="Calibri"/>
          <w:lang w:val="es-ES" w:eastAsia="en-US"/>
        </w:rPr>
        <w:lastRenderedPageBreak/>
        <w:t>terapia en este contexto.</w:t>
      </w:r>
      <w:r w:rsidRPr="00413132">
        <w:rPr>
          <w:rFonts w:eastAsia="Calibri"/>
          <w:bCs/>
          <w:lang w:val="es-ES" w:eastAsia="en-US"/>
        </w:rPr>
        <w:t xml:space="preserve"> Todos los procedimientos endoscópicos presentan un riesgo de hemorragia, se considera el bajo riesgo de sangrado por debajo del 1 % y alto riesgo por encima del 1 %. La decisión acerca de la antiagregación en el periodo perioperatorio/ </w:t>
      </w:r>
      <w:proofErr w:type="spellStart"/>
      <w:r w:rsidRPr="00413132">
        <w:rPr>
          <w:rFonts w:eastAsia="Calibri"/>
          <w:bCs/>
          <w:lang w:val="es-ES" w:eastAsia="en-US"/>
        </w:rPr>
        <w:t>periprocedimiento</w:t>
      </w:r>
      <w:proofErr w:type="spellEnd"/>
      <w:r w:rsidRPr="00413132">
        <w:rPr>
          <w:rFonts w:eastAsia="Calibri"/>
          <w:bCs/>
          <w:lang w:val="es-ES" w:eastAsia="en-US"/>
        </w:rPr>
        <w:t>, no solo depende del balance entre el riesgo trombótico y hemorrágico, sino también del tipo y la indicación del tratamiento antiplaquetario.</w:t>
      </w:r>
    </w:p>
    <w:p w14:paraId="1274AEB7" w14:textId="77777777" w:rsidR="00413132" w:rsidRPr="00413132" w:rsidRDefault="00413132" w:rsidP="00413132">
      <w:pPr>
        <w:spacing w:line="360" w:lineRule="auto"/>
        <w:jc w:val="both"/>
        <w:rPr>
          <w:rFonts w:eastAsia="Calibri"/>
          <w:bCs/>
          <w:lang w:val="es-ES" w:eastAsia="en-US"/>
        </w:rPr>
      </w:pPr>
      <w:r w:rsidRPr="00413132">
        <w:rPr>
          <w:rFonts w:eastAsia="Calibri"/>
          <w:b/>
          <w:bCs/>
          <w:lang w:val="es-ES" w:eastAsia="en-US"/>
        </w:rPr>
        <w:t xml:space="preserve">Conclusiones: </w:t>
      </w:r>
      <w:r w:rsidRPr="00413132">
        <w:rPr>
          <w:rFonts w:eastAsia="Calibri"/>
          <w:lang w:val="es-ES" w:eastAsia="en-US"/>
        </w:rPr>
        <w:t xml:space="preserve">La </w:t>
      </w:r>
      <w:r w:rsidRPr="00413132">
        <w:rPr>
          <w:rFonts w:eastAsia="Calibri"/>
          <w:bCs/>
          <w:lang w:val="es-ES" w:eastAsia="en-US"/>
        </w:rPr>
        <w:t xml:space="preserve">antiagregación plaquetaria en pacientes que serán sometidos a procederes gastrointestinales intervencionistas se observa cada vez con mayor frecuencia. Esto hace necesario el conocimiento acerca de la valoración del riesgo de fenómenos trombóticos al interrumpir estos fármacos, junto con la determinación del riesgo potencial de sangrado según el procedimiento endoscópico realizado. </w:t>
      </w:r>
    </w:p>
    <w:p w14:paraId="215F4E64" w14:textId="77777777" w:rsidR="00413132" w:rsidRPr="00413132" w:rsidRDefault="00413132" w:rsidP="00413132">
      <w:pPr>
        <w:spacing w:line="360" w:lineRule="auto"/>
        <w:jc w:val="both"/>
        <w:rPr>
          <w:rFonts w:eastAsia="Calibri"/>
          <w:bCs/>
          <w:lang w:val="es-ES" w:eastAsia="en-US"/>
        </w:rPr>
      </w:pPr>
      <w:r w:rsidRPr="00413132">
        <w:rPr>
          <w:rFonts w:eastAsia="Calibri"/>
          <w:b/>
          <w:bCs/>
          <w:lang w:val="es-ES" w:eastAsia="en-US"/>
        </w:rPr>
        <w:t xml:space="preserve">Palabras clave: </w:t>
      </w:r>
      <w:r w:rsidRPr="00413132">
        <w:rPr>
          <w:rFonts w:eastAsia="Calibri"/>
          <w:bCs/>
          <w:lang w:val="es-ES" w:eastAsia="en-US"/>
        </w:rPr>
        <w:t xml:space="preserve">antiagregantes plaquetarios; ácido acetilsalicílico; </w:t>
      </w:r>
      <w:proofErr w:type="spellStart"/>
      <w:r w:rsidRPr="00413132">
        <w:rPr>
          <w:rFonts w:eastAsia="Calibri"/>
          <w:bCs/>
          <w:lang w:val="es-ES" w:eastAsia="en-US"/>
        </w:rPr>
        <w:t>clopidogrel</w:t>
      </w:r>
      <w:proofErr w:type="spellEnd"/>
      <w:r w:rsidRPr="00413132">
        <w:rPr>
          <w:rFonts w:eastAsia="Calibri"/>
          <w:bCs/>
          <w:lang w:val="es-ES" w:eastAsia="en-US"/>
        </w:rPr>
        <w:t>; endoscopia digestiva.</w:t>
      </w:r>
    </w:p>
    <w:p w14:paraId="604F16BC" w14:textId="77777777" w:rsidR="00413132" w:rsidRPr="00413132" w:rsidRDefault="00413132" w:rsidP="00413132">
      <w:pPr>
        <w:spacing w:line="360" w:lineRule="auto"/>
        <w:jc w:val="both"/>
        <w:rPr>
          <w:rFonts w:eastAsia="Calibri"/>
          <w:b/>
          <w:bCs/>
          <w:lang w:val="es-ES" w:eastAsia="en-US"/>
        </w:rPr>
      </w:pPr>
    </w:p>
    <w:p w14:paraId="55282447" w14:textId="77777777" w:rsidR="00413132" w:rsidRPr="00413132" w:rsidRDefault="00413132" w:rsidP="00413132">
      <w:pPr>
        <w:spacing w:line="360" w:lineRule="auto"/>
        <w:jc w:val="both"/>
        <w:rPr>
          <w:rFonts w:eastAsia="Calibri"/>
          <w:bCs/>
          <w:lang w:val="en-US" w:eastAsia="en-US"/>
        </w:rPr>
      </w:pPr>
      <w:r w:rsidRPr="00413132">
        <w:rPr>
          <w:rFonts w:eastAsia="Calibri"/>
          <w:b/>
          <w:bCs/>
          <w:lang w:val="en-US" w:eastAsia="en-US"/>
        </w:rPr>
        <w:t>ABSTRACT</w:t>
      </w:r>
    </w:p>
    <w:p w14:paraId="0004ACE9" w14:textId="77777777" w:rsidR="00413132" w:rsidRPr="00413132" w:rsidRDefault="00413132" w:rsidP="00413132">
      <w:pPr>
        <w:spacing w:line="360" w:lineRule="auto"/>
        <w:jc w:val="both"/>
        <w:rPr>
          <w:rFonts w:eastAsia="Calibri"/>
          <w:lang w:val="en" w:eastAsia="en-US"/>
        </w:rPr>
      </w:pPr>
      <w:r w:rsidRPr="00413132">
        <w:rPr>
          <w:rFonts w:eastAsia="Calibri"/>
          <w:b/>
          <w:bCs/>
          <w:lang w:val="en" w:eastAsia="en-US"/>
        </w:rPr>
        <w:t>Introduction:</w:t>
      </w:r>
      <w:r w:rsidRPr="00413132">
        <w:rPr>
          <w:rFonts w:eastAsia="Calibri"/>
          <w:bCs/>
          <w:lang w:val="en" w:eastAsia="en-US"/>
        </w:rPr>
        <w:t xml:space="preserve"> The use of platelet antiaggregant agents is increasingly widespread in the world population. The decision regarding the endoscopic management of this treatment should be based on the type of medical indication that justifies the use of these medications. A review of the articles published in the </w:t>
      </w:r>
      <w:proofErr w:type="spellStart"/>
      <w:r w:rsidRPr="00413132">
        <w:rPr>
          <w:rFonts w:eastAsia="Calibri"/>
          <w:bCs/>
          <w:lang w:val="en" w:eastAsia="en-US"/>
        </w:rPr>
        <w:t>Pubmed</w:t>
      </w:r>
      <w:proofErr w:type="spellEnd"/>
      <w:r w:rsidRPr="00413132">
        <w:rPr>
          <w:rFonts w:eastAsia="Calibri"/>
          <w:bCs/>
          <w:lang w:val="en" w:eastAsia="en-US"/>
        </w:rPr>
        <w:t xml:space="preserve">, </w:t>
      </w:r>
      <w:proofErr w:type="spellStart"/>
      <w:r w:rsidRPr="00413132">
        <w:rPr>
          <w:rFonts w:eastAsia="Calibri"/>
          <w:bCs/>
          <w:lang w:val="en" w:eastAsia="en-US"/>
        </w:rPr>
        <w:t>Scielo</w:t>
      </w:r>
      <w:proofErr w:type="spellEnd"/>
      <w:r w:rsidRPr="00413132">
        <w:rPr>
          <w:rFonts w:eastAsia="Calibri"/>
          <w:bCs/>
          <w:lang w:val="en" w:eastAsia="en-US"/>
        </w:rPr>
        <w:t>, Medline and Cochrane databases related to the subject was made.</w:t>
      </w:r>
    </w:p>
    <w:p w14:paraId="4E6A1673" w14:textId="77777777" w:rsidR="00413132" w:rsidRPr="00413132" w:rsidRDefault="00413132" w:rsidP="00413132">
      <w:pPr>
        <w:spacing w:line="360" w:lineRule="auto"/>
        <w:jc w:val="both"/>
        <w:rPr>
          <w:rFonts w:eastAsia="Calibri"/>
          <w:lang w:val="en" w:eastAsia="en-US"/>
        </w:rPr>
      </w:pPr>
      <w:r w:rsidRPr="00413132">
        <w:rPr>
          <w:rFonts w:eastAsia="Calibri"/>
          <w:b/>
          <w:bCs/>
          <w:lang w:val="en" w:eastAsia="en-US"/>
        </w:rPr>
        <w:t>Objective:</w:t>
      </w:r>
      <w:r w:rsidRPr="00413132">
        <w:rPr>
          <w:rFonts w:eastAsia="Calibri"/>
          <w:bCs/>
          <w:lang w:val="en" w:eastAsia="en-US"/>
        </w:rPr>
        <w:t xml:space="preserve"> To deepen the knowledge related to </w:t>
      </w:r>
      <w:proofErr w:type="spellStart"/>
      <w:r w:rsidRPr="00413132">
        <w:rPr>
          <w:rFonts w:eastAsia="Calibri"/>
          <w:bCs/>
          <w:lang w:val="en" w:eastAsia="en-US"/>
        </w:rPr>
        <w:t>periendoscopic</w:t>
      </w:r>
      <w:proofErr w:type="spellEnd"/>
      <w:r w:rsidRPr="00413132">
        <w:rPr>
          <w:rFonts w:eastAsia="Calibri"/>
          <w:bCs/>
          <w:lang w:val="en" w:eastAsia="en-US"/>
        </w:rPr>
        <w:t xml:space="preserve"> digestive antiplatelet therapy.</w:t>
      </w:r>
    </w:p>
    <w:p w14:paraId="56EC0F45" w14:textId="77777777" w:rsidR="00413132" w:rsidRPr="00413132" w:rsidRDefault="00413132" w:rsidP="00413132">
      <w:pPr>
        <w:spacing w:line="360" w:lineRule="auto"/>
        <w:jc w:val="both"/>
        <w:rPr>
          <w:rFonts w:eastAsia="Calibri"/>
          <w:lang w:val="en" w:eastAsia="en-US"/>
        </w:rPr>
      </w:pPr>
      <w:r w:rsidRPr="00413132">
        <w:rPr>
          <w:rFonts w:eastAsia="Calibri"/>
          <w:b/>
          <w:bCs/>
          <w:lang w:val="en" w:eastAsia="en-US"/>
        </w:rPr>
        <w:t>Development:</w:t>
      </w:r>
      <w:r w:rsidRPr="00413132">
        <w:rPr>
          <w:rFonts w:eastAsia="Calibri"/>
          <w:bCs/>
          <w:lang w:val="en" w:eastAsia="en-US"/>
        </w:rPr>
        <w:t xml:space="preserve"> Platelet antiaggregant are key in the treatment and prevention of vascular, cardiac or cerebral thrombotic events. Just as the indications of antithrombotic agents have been established, the thromboembolic risk has also been evaluated when treatment is suspended. The thromboembolic risk may be low or high, so the risk-benefit of discontinuing therapy in this context should be evaluated. All endoscopic procedures present a risk of bleeding considering the low risk of bleeding below 1 % and high risk above 1 %. The decision about anti-aggregation in the perioperative / periprocedural period depends not only on the balance between thrombotic and hemorrhagic risks, but also on the type and indication of antiplatelet therapy.</w:t>
      </w:r>
    </w:p>
    <w:p w14:paraId="3912BB6F" w14:textId="77777777" w:rsidR="00413132" w:rsidRPr="00413132" w:rsidRDefault="00413132" w:rsidP="00413132">
      <w:pPr>
        <w:spacing w:line="360" w:lineRule="auto"/>
        <w:jc w:val="both"/>
        <w:rPr>
          <w:rFonts w:eastAsia="Calibri"/>
          <w:bCs/>
          <w:lang w:val="en" w:eastAsia="en-US"/>
        </w:rPr>
      </w:pPr>
      <w:r w:rsidRPr="00413132">
        <w:rPr>
          <w:rFonts w:eastAsia="Calibri"/>
          <w:b/>
          <w:bCs/>
          <w:lang w:val="en" w:eastAsia="en-US"/>
        </w:rPr>
        <w:t>Conclusions:</w:t>
      </w:r>
      <w:r w:rsidRPr="00413132">
        <w:rPr>
          <w:rFonts w:eastAsia="Calibri"/>
          <w:bCs/>
          <w:lang w:val="en" w:eastAsia="en-US"/>
        </w:rPr>
        <w:t xml:space="preserve"> Platelet anti-aggregation in patients who will undergo interventional gastrointestinal procedures is observed more and more frequently. This makes knowledge about the risk assessment of </w:t>
      </w:r>
      <w:r w:rsidRPr="00413132">
        <w:rPr>
          <w:rFonts w:eastAsia="Calibri"/>
          <w:bCs/>
          <w:lang w:val="en" w:eastAsia="en-US"/>
        </w:rPr>
        <w:lastRenderedPageBreak/>
        <w:t>thrombotic phenomena necessary when interrupting these drugs, together with the determination of the potential risk of bleeding according to the endoscopic procedure performed.</w:t>
      </w:r>
    </w:p>
    <w:p w14:paraId="1EAD6459" w14:textId="77777777" w:rsidR="00413132" w:rsidRPr="00413132" w:rsidRDefault="00413132" w:rsidP="00413132">
      <w:pPr>
        <w:spacing w:line="360" w:lineRule="auto"/>
        <w:jc w:val="both"/>
        <w:rPr>
          <w:rFonts w:eastAsia="Calibri"/>
          <w:bCs/>
          <w:lang w:val="en" w:eastAsia="en-US"/>
        </w:rPr>
      </w:pPr>
      <w:r w:rsidRPr="00413132">
        <w:rPr>
          <w:rFonts w:eastAsia="Calibri"/>
          <w:b/>
          <w:bCs/>
          <w:lang w:val="en" w:eastAsia="en-US"/>
        </w:rPr>
        <w:t>Keywords:</w:t>
      </w:r>
      <w:r w:rsidRPr="00413132">
        <w:rPr>
          <w:rFonts w:eastAsia="Calibri"/>
          <w:bCs/>
          <w:lang w:val="en" w:eastAsia="en-US"/>
        </w:rPr>
        <w:t xml:space="preserve"> platelet antiaggregant; acetylsalicylic acid; clopidogrel; digestive endoscopy.</w:t>
      </w:r>
    </w:p>
    <w:p w14:paraId="7CEF67B2" w14:textId="77777777" w:rsidR="00413132" w:rsidRPr="00413132" w:rsidRDefault="00413132" w:rsidP="00413132">
      <w:pPr>
        <w:spacing w:line="360" w:lineRule="auto"/>
        <w:jc w:val="both"/>
        <w:rPr>
          <w:rFonts w:eastAsia="Calibri"/>
          <w:bCs/>
          <w:lang w:val="en" w:eastAsia="en-US"/>
        </w:rPr>
      </w:pPr>
    </w:p>
    <w:p w14:paraId="076A0ECE" w14:textId="77777777" w:rsidR="00413132" w:rsidRPr="00413132" w:rsidRDefault="00413132" w:rsidP="00413132">
      <w:pPr>
        <w:spacing w:line="360" w:lineRule="auto"/>
        <w:jc w:val="both"/>
        <w:rPr>
          <w:rFonts w:eastAsia="Calibri"/>
          <w:bCs/>
          <w:lang w:val="en" w:eastAsia="en-US"/>
        </w:rPr>
      </w:pPr>
    </w:p>
    <w:p w14:paraId="0AC6A11F" w14:textId="77777777" w:rsidR="00413132" w:rsidRPr="00413132" w:rsidRDefault="00413132" w:rsidP="00413132">
      <w:pPr>
        <w:spacing w:line="360" w:lineRule="auto"/>
        <w:jc w:val="both"/>
        <w:rPr>
          <w:rFonts w:eastAsia="Calibri"/>
          <w:bCs/>
          <w:lang w:val="es-CU" w:eastAsia="en-US"/>
        </w:rPr>
      </w:pPr>
      <w:r w:rsidRPr="00413132">
        <w:rPr>
          <w:rFonts w:eastAsia="Calibri"/>
          <w:bCs/>
          <w:lang w:val="es-CU" w:eastAsia="en-US"/>
        </w:rPr>
        <w:t>Recibido: 01/04/2020</w:t>
      </w:r>
    </w:p>
    <w:p w14:paraId="011FE327" w14:textId="77777777" w:rsidR="00413132" w:rsidRPr="00413132" w:rsidRDefault="00413132" w:rsidP="00413132">
      <w:pPr>
        <w:spacing w:line="360" w:lineRule="auto"/>
        <w:jc w:val="both"/>
        <w:rPr>
          <w:rFonts w:eastAsia="Calibri"/>
          <w:bCs/>
          <w:lang w:val="es-CU" w:eastAsia="en-US"/>
        </w:rPr>
      </w:pPr>
      <w:r w:rsidRPr="00413132">
        <w:rPr>
          <w:rFonts w:eastAsia="Calibri"/>
          <w:bCs/>
          <w:lang w:val="es-CU" w:eastAsia="en-US"/>
        </w:rPr>
        <w:t>Aprobado: 19/05/2020</w:t>
      </w:r>
    </w:p>
    <w:p w14:paraId="3F5A0E2F" w14:textId="77777777" w:rsidR="00413132" w:rsidRPr="00413132" w:rsidRDefault="00413132" w:rsidP="00413132">
      <w:pPr>
        <w:spacing w:line="360" w:lineRule="auto"/>
        <w:jc w:val="both"/>
        <w:rPr>
          <w:rFonts w:eastAsia="Calibri"/>
          <w:lang w:val="es-CU" w:eastAsia="en-US"/>
        </w:rPr>
      </w:pPr>
    </w:p>
    <w:p w14:paraId="7CDEF1B2" w14:textId="77777777" w:rsidR="00413132" w:rsidRPr="00413132" w:rsidRDefault="00413132" w:rsidP="00413132">
      <w:pPr>
        <w:spacing w:line="360" w:lineRule="auto"/>
        <w:jc w:val="both"/>
        <w:rPr>
          <w:rFonts w:eastAsia="Calibri"/>
          <w:b/>
          <w:lang w:val="es-CU" w:eastAsia="en-US"/>
        </w:rPr>
      </w:pPr>
    </w:p>
    <w:p w14:paraId="0FEB300E" w14:textId="77777777" w:rsidR="00413132" w:rsidRPr="00413132" w:rsidRDefault="00413132" w:rsidP="00413132">
      <w:pPr>
        <w:spacing w:line="360" w:lineRule="auto"/>
        <w:jc w:val="center"/>
        <w:rPr>
          <w:rFonts w:eastAsia="Calibri"/>
          <w:b/>
          <w:sz w:val="32"/>
          <w:szCs w:val="32"/>
          <w:lang w:val="es-ES" w:eastAsia="en-US"/>
        </w:rPr>
      </w:pPr>
      <w:r w:rsidRPr="00413132">
        <w:rPr>
          <w:rFonts w:eastAsia="Calibri"/>
          <w:b/>
          <w:sz w:val="32"/>
          <w:szCs w:val="32"/>
          <w:lang w:val="es-ES" w:eastAsia="en-US"/>
        </w:rPr>
        <w:t>INTRODUCCIÓN</w:t>
      </w:r>
    </w:p>
    <w:p w14:paraId="4C9F3C43"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La enfermedad coronaria (EC) y el accidente cerebrovascular (ACV) representan las primeras causas de mortalidad a nivel mundial. Los antiagregantes plaquetarios son fundamentales para el manejo y prevención de estas </w:t>
      </w:r>
      <w:proofErr w:type="gramStart"/>
      <w:r w:rsidRPr="00413132">
        <w:rPr>
          <w:rFonts w:eastAsia="Calibri"/>
          <w:lang w:val="es-ES" w:eastAsia="en-US"/>
        </w:rPr>
        <w:t>enfermedades.</w:t>
      </w:r>
      <w:r w:rsidRPr="00413132">
        <w:rPr>
          <w:rFonts w:eastAsia="Calibri"/>
          <w:vertAlign w:val="superscript"/>
          <w:lang w:val="es-ES" w:eastAsia="en-US"/>
        </w:rPr>
        <w:t>(</w:t>
      </w:r>
      <w:proofErr w:type="gramEnd"/>
      <w:r w:rsidRPr="00413132">
        <w:rPr>
          <w:rFonts w:eastAsia="Calibri"/>
          <w:vertAlign w:val="superscript"/>
          <w:lang w:val="es-ES" w:eastAsia="en-US"/>
        </w:rPr>
        <w:t>1)</w:t>
      </w:r>
      <w:r w:rsidRPr="00413132">
        <w:rPr>
          <w:rFonts w:eastAsia="Calibri"/>
          <w:lang w:val="es-ES" w:eastAsia="en-US"/>
        </w:rPr>
        <w:t xml:space="preserve"> El empleo de agentes antitrombóticos, que incluye antiagregantes, se ve cada día más extendido en la población mundial. Estos fármacos han presentado una rápida evolución en los últimos años con la aparición de nuevas formulaciones con diferentes mecanismos de acción.</w:t>
      </w:r>
      <w:r w:rsidRPr="00413132">
        <w:rPr>
          <w:rFonts w:eastAsia="Calibri"/>
          <w:vertAlign w:val="superscript"/>
          <w:lang w:val="es-ES" w:eastAsia="en-US"/>
        </w:rPr>
        <w:t xml:space="preserve"> (2) </w:t>
      </w:r>
      <w:r w:rsidRPr="00413132">
        <w:rPr>
          <w:rFonts w:eastAsia="Calibri"/>
          <w:lang w:val="es-ES" w:eastAsia="en-US"/>
        </w:rPr>
        <w:t xml:space="preserve">Los antiagregantes plaquetarios son fármacos, que utilizados como monoterapia o en combinación entre ellos, representan un pilar fundamental del manejo y prevención de eventos cardíacos y vasculares. Se debe tener en cuenta que la EC y el ACV representan las causas más relevantes de mortalidad a nivel mundial, es frecuente que el personal médico se encuentre con este tipo de fármacos en el período perioperatorio. </w:t>
      </w:r>
    </w:p>
    <w:p w14:paraId="13D7B281"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La terapia antitrombótica (TAA) confiere un aumento en el riesgo de hemorragia de tubo digestivo y los eventos adversos se incrementan al combinar múltiples fármacos antitrombóticos en un solo paciente de la misma forma, la combinación de antitrombóticos en esquemas complejos confiere un aumento en el riesgo de hemorragia en pacientes sometidos a procedimientos endoscópicos.</w:t>
      </w:r>
      <w:r w:rsidRPr="00413132">
        <w:rPr>
          <w:rFonts w:eastAsia="Calibri"/>
          <w:vertAlign w:val="superscript"/>
          <w:lang w:val="es-ES" w:eastAsia="en-US"/>
        </w:rPr>
        <w:t xml:space="preserve">(2,3) </w:t>
      </w:r>
      <w:r w:rsidRPr="00413132">
        <w:rPr>
          <w:rFonts w:eastAsia="Calibri"/>
          <w:lang w:val="es-ES" w:eastAsia="en-US"/>
        </w:rPr>
        <w:t>El equilibrio entre el riesgo trombótico que presentan los pacientes debido a su enfermedad subyacente y riesgo hemorrágico que conllevan algunas técnicas endoscópicas debe conocerse a fondo por parte de los gastroenterólogos.</w:t>
      </w:r>
    </w:p>
    <w:p w14:paraId="54E7C25F" w14:textId="77777777" w:rsidR="00413132" w:rsidRPr="00413132" w:rsidRDefault="00413132" w:rsidP="00413132">
      <w:pPr>
        <w:spacing w:line="360" w:lineRule="auto"/>
        <w:jc w:val="both"/>
        <w:rPr>
          <w:rFonts w:eastAsia="Calibri"/>
          <w:vertAlign w:val="superscript"/>
          <w:lang w:val="es-ES" w:eastAsia="en-US"/>
        </w:rPr>
      </w:pPr>
      <w:r w:rsidRPr="00413132">
        <w:rPr>
          <w:rFonts w:eastAsia="Calibri"/>
          <w:lang w:val="es-ES" w:eastAsia="en-US"/>
        </w:rPr>
        <w:t xml:space="preserve">Durante muchos años, el ácido acetilsalicílico (AAS) o Aspirina, ha sido la droga de elección como antiagregante plaquetario para el manejo de estas enfermedades, sin embargo, nuevas drogas se han introducido cada vez con mayor frecuencia, entre los que destacan los antagonistas del receptor de ADP, </w:t>
      </w:r>
      <w:r w:rsidRPr="00413132">
        <w:rPr>
          <w:rFonts w:eastAsia="Calibri"/>
          <w:lang w:val="es-ES" w:eastAsia="en-US"/>
        </w:rPr>
        <w:lastRenderedPageBreak/>
        <w:t xml:space="preserve">como </w:t>
      </w:r>
      <w:proofErr w:type="spellStart"/>
      <w:r w:rsidRPr="00413132">
        <w:rPr>
          <w:rFonts w:eastAsia="Calibri"/>
          <w:lang w:val="es-ES" w:eastAsia="en-US"/>
        </w:rPr>
        <w:t>clopidogrel</w:t>
      </w:r>
      <w:proofErr w:type="spellEnd"/>
      <w:r w:rsidRPr="00413132">
        <w:rPr>
          <w:rFonts w:eastAsia="Calibri"/>
          <w:lang w:val="es-ES" w:eastAsia="en-US"/>
        </w:rPr>
        <w:t xml:space="preserve">, </w:t>
      </w:r>
      <w:proofErr w:type="spellStart"/>
      <w:r w:rsidRPr="00413132">
        <w:rPr>
          <w:rFonts w:eastAsia="Calibri"/>
          <w:lang w:val="es-ES" w:eastAsia="en-US"/>
        </w:rPr>
        <w:t>prasugrel</w:t>
      </w:r>
      <w:proofErr w:type="spellEnd"/>
      <w:r w:rsidRPr="00413132">
        <w:rPr>
          <w:rFonts w:eastAsia="Calibri"/>
          <w:lang w:val="es-ES" w:eastAsia="en-US"/>
        </w:rPr>
        <w:t xml:space="preserve">, ticagrelor y </w:t>
      </w:r>
      <w:proofErr w:type="spellStart"/>
      <w:r w:rsidRPr="00413132">
        <w:rPr>
          <w:rFonts w:eastAsia="Calibri"/>
          <w:lang w:val="es-ES" w:eastAsia="en-US"/>
        </w:rPr>
        <w:t>cangrelor</w:t>
      </w:r>
      <w:proofErr w:type="spellEnd"/>
      <w:r w:rsidRPr="00413132">
        <w:rPr>
          <w:rFonts w:eastAsia="Calibri"/>
          <w:lang w:val="es-ES" w:eastAsia="en-US"/>
        </w:rPr>
        <w:t xml:space="preserve"> y los inhibidores de la glicoproteína </w:t>
      </w:r>
      <w:proofErr w:type="spellStart"/>
      <w:r w:rsidRPr="00413132">
        <w:rPr>
          <w:rFonts w:eastAsia="Calibri"/>
          <w:lang w:val="es-ES" w:eastAsia="en-US"/>
        </w:rPr>
        <w:t>IIb</w:t>
      </w:r>
      <w:proofErr w:type="spellEnd"/>
      <w:r w:rsidRPr="00413132">
        <w:rPr>
          <w:rFonts w:eastAsia="Calibri"/>
          <w:lang w:val="es-ES" w:eastAsia="en-US"/>
        </w:rPr>
        <w:t>/</w:t>
      </w:r>
      <w:proofErr w:type="spellStart"/>
      <w:r w:rsidRPr="00413132">
        <w:rPr>
          <w:rFonts w:eastAsia="Calibri"/>
          <w:lang w:val="es-ES" w:eastAsia="en-US"/>
        </w:rPr>
        <w:t>IIIa</w:t>
      </w:r>
      <w:proofErr w:type="spellEnd"/>
      <w:r w:rsidRPr="00413132">
        <w:rPr>
          <w:rFonts w:eastAsia="Calibri"/>
          <w:lang w:val="es-ES" w:eastAsia="en-US"/>
        </w:rPr>
        <w:t xml:space="preserve">. Todos estos, se utilizan de forma frecuente en conjunto con AAS, para alterar la función plaquetaria y prevenir la </w:t>
      </w:r>
      <w:proofErr w:type="gramStart"/>
      <w:r w:rsidRPr="00413132">
        <w:rPr>
          <w:rFonts w:eastAsia="Calibri"/>
          <w:lang w:val="es-ES" w:eastAsia="en-US"/>
        </w:rPr>
        <w:t>trombosis.</w:t>
      </w:r>
      <w:r w:rsidRPr="00413132">
        <w:rPr>
          <w:rFonts w:eastAsia="Calibri"/>
          <w:vertAlign w:val="superscript"/>
          <w:lang w:val="es-ES" w:eastAsia="en-US"/>
        </w:rPr>
        <w:t>(</w:t>
      </w:r>
      <w:proofErr w:type="gramEnd"/>
      <w:r w:rsidRPr="00413132">
        <w:rPr>
          <w:rFonts w:eastAsia="Calibri"/>
          <w:vertAlign w:val="superscript"/>
          <w:lang w:val="es-ES" w:eastAsia="en-US"/>
        </w:rPr>
        <w:t>1)</w:t>
      </w:r>
    </w:p>
    <w:p w14:paraId="5A18A99A" w14:textId="77777777" w:rsidR="00413132" w:rsidRPr="00413132" w:rsidRDefault="00413132" w:rsidP="00413132">
      <w:pPr>
        <w:spacing w:line="360" w:lineRule="auto"/>
        <w:jc w:val="both"/>
        <w:rPr>
          <w:rFonts w:eastAsia="Calibri"/>
          <w:vertAlign w:val="superscript"/>
          <w:lang w:val="es-ES" w:eastAsia="en-US"/>
        </w:rPr>
      </w:pPr>
      <w:r w:rsidRPr="00413132">
        <w:rPr>
          <w:rFonts w:eastAsia="Calibri"/>
          <w:lang w:val="es-ES" w:eastAsia="en-US"/>
        </w:rPr>
        <w:t xml:space="preserve">Estas drogas interfieren con la función plaquetaria. Las indicaciones y el número de pacientes que están sometidos a terapia antiagregante plaquetaria (TAP) han aumentado en los últimos años. Cuando estos pacientes deben someterse a una intervención quirúrgica, se plantea la necesidad de retirar la TAP y someterlos a un posible incremento de riesgo de presentar una complicación tromboembólica cardiovascular, o por el contrario, si se mantiene el tratamiento podría aumentar el riesgo de presentar alguna complicación hemorrágica durante y/o después de la </w:t>
      </w:r>
      <w:proofErr w:type="gramStart"/>
      <w:r w:rsidRPr="00413132">
        <w:rPr>
          <w:rFonts w:eastAsia="Calibri"/>
          <w:lang w:val="es-ES" w:eastAsia="en-US"/>
        </w:rPr>
        <w:t>intervención.</w:t>
      </w:r>
      <w:r w:rsidRPr="00413132">
        <w:rPr>
          <w:rFonts w:eastAsia="Calibri"/>
          <w:vertAlign w:val="superscript"/>
          <w:lang w:val="es-ES" w:eastAsia="en-US"/>
        </w:rPr>
        <w:t>(</w:t>
      </w:r>
      <w:proofErr w:type="gramEnd"/>
      <w:r w:rsidRPr="00413132">
        <w:rPr>
          <w:rFonts w:eastAsia="Calibri"/>
          <w:vertAlign w:val="superscript"/>
          <w:lang w:val="es-ES" w:eastAsia="en-US"/>
        </w:rPr>
        <w:t>4)</w:t>
      </w:r>
    </w:p>
    <w:p w14:paraId="7F2F52C8" w14:textId="77777777" w:rsidR="00413132" w:rsidRPr="00413132" w:rsidRDefault="00413132" w:rsidP="00413132">
      <w:pPr>
        <w:spacing w:line="360" w:lineRule="auto"/>
        <w:jc w:val="both"/>
        <w:rPr>
          <w:rFonts w:eastAsia="Calibri"/>
          <w:vertAlign w:val="superscript"/>
          <w:lang w:val="es-ES" w:eastAsia="en-US"/>
        </w:rPr>
      </w:pPr>
      <w:r w:rsidRPr="00413132">
        <w:rPr>
          <w:rFonts w:eastAsia="Calibri"/>
          <w:lang w:val="es-ES" w:eastAsia="en-US"/>
        </w:rPr>
        <w:t xml:space="preserve">El 70 % de los pacientes con enfermedad cardiovascular son usuarios de aspirina, el 18 % utilizan doble antiagregante plaquetario y el 6 % la combinación de aspirina con un anticoagulante oral. La mitad de los pacientes que no toman aspirina se encuentra en tratamiento con algún anticoagulante oral u otro </w:t>
      </w:r>
      <w:proofErr w:type="gramStart"/>
      <w:r w:rsidRPr="00413132">
        <w:rPr>
          <w:rFonts w:eastAsia="Calibri"/>
          <w:lang w:val="es-ES" w:eastAsia="en-US"/>
        </w:rPr>
        <w:t>antiplaquetarios.</w:t>
      </w:r>
      <w:r w:rsidRPr="00413132">
        <w:rPr>
          <w:rFonts w:eastAsia="Calibri"/>
          <w:vertAlign w:val="superscript"/>
          <w:lang w:val="es-ES" w:eastAsia="en-US"/>
        </w:rPr>
        <w:t>(</w:t>
      </w:r>
      <w:proofErr w:type="gramEnd"/>
      <w:r w:rsidRPr="00413132">
        <w:rPr>
          <w:rFonts w:eastAsia="Calibri"/>
          <w:vertAlign w:val="superscript"/>
          <w:lang w:val="es-ES" w:eastAsia="en-US"/>
        </w:rPr>
        <w:t>5,6)</w:t>
      </w:r>
    </w:p>
    <w:p w14:paraId="5587BAB1" w14:textId="77777777" w:rsidR="00413132" w:rsidRPr="00413132" w:rsidRDefault="00413132" w:rsidP="00413132">
      <w:pPr>
        <w:spacing w:line="360" w:lineRule="auto"/>
        <w:jc w:val="both"/>
        <w:rPr>
          <w:rFonts w:eastAsia="Calibri"/>
          <w:vertAlign w:val="superscript"/>
          <w:lang w:val="es-ES" w:eastAsia="en-US"/>
        </w:rPr>
      </w:pPr>
      <w:r w:rsidRPr="00413132">
        <w:rPr>
          <w:rFonts w:eastAsia="Calibri"/>
          <w:lang w:val="es-ES" w:eastAsia="en-US"/>
        </w:rPr>
        <w:t xml:space="preserve">En la actualidad, el uso de fármacos antiagregantes plaquetarios para la prevención primaria y secundaria de eventos cardiovasculares es una práctica común en la clínica. La TAP ha disminuido de forma significativa la incidencia de eventos trombóticos, en los que se incluyen el infarto agudo </w:t>
      </w:r>
      <w:proofErr w:type="spellStart"/>
      <w:r w:rsidRPr="00413132">
        <w:rPr>
          <w:rFonts w:eastAsia="Calibri"/>
          <w:lang w:val="es-ES" w:eastAsia="en-US"/>
        </w:rPr>
        <w:t>del</w:t>
      </w:r>
      <w:proofErr w:type="spellEnd"/>
      <w:r w:rsidRPr="00413132">
        <w:rPr>
          <w:rFonts w:eastAsia="Calibri"/>
          <w:lang w:val="es-ES" w:eastAsia="en-US"/>
        </w:rPr>
        <w:t xml:space="preserve"> miocardio y ACV. Además, el uso de TAP dual otorga beneficios adicionales en pacientes con síndrome coronario agudo. En aquellos enfermos que se someten a angioplastia percutánea para instalación de endoprótesis vascular </w:t>
      </w:r>
      <w:r w:rsidRPr="00413132">
        <w:rPr>
          <w:rFonts w:eastAsia="Calibri"/>
          <w:i/>
          <w:iCs/>
          <w:lang w:val="es-ES" w:eastAsia="en-US"/>
        </w:rPr>
        <w:t>(</w:t>
      </w:r>
      <w:proofErr w:type="spellStart"/>
      <w:r w:rsidRPr="00413132">
        <w:rPr>
          <w:rFonts w:eastAsia="Calibri"/>
          <w:i/>
          <w:iCs/>
          <w:lang w:val="es-ES" w:eastAsia="en-US"/>
        </w:rPr>
        <w:t>stent</w:t>
      </w:r>
      <w:proofErr w:type="spellEnd"/>
      <w:r w:rsidRPr="00413132">
        <w:rPr>
          <w:rFonts w:eastAsia="Calibri"/>
          <w:i/>
          <w:iCs/>
          <w:lang w:val="es-ES" w:eastAsia="en-US"/>
        </w:rPr>
        <w:t>),</w:t>
      </w:r>
      <w:r w:rsidRPr="00413132">
        <w:rPr>
          <w:rFonts w:eastAsia="Calibri"/>
          <w:lang w:val="es-ES" w:eastAsia="en-US"/>
        </w:rPr>
        <w:t xml:space="preserve"> es crucial la administración de estos fármacos para la prevención de trombosis de la prótesis y futuros eventos cardiovasculares. La incorporación de nuevos tipos de </w:t>
      </w:r>
      <w:proofErr w:type="spellStart"/>
      <w:r w:rsidRPr="00413132">
        <w:rPr>
          <w:rFonts w:eastAsia="Calibri"/>
          <w:i/>
          <w:iCs/>
          <w:lang w:val="es-ES" w:eastAsia="en-US"/>
        </w:rPr>
        <w:t>stents</w:t>
      </w:r>
      <w:proofErr w:type="spellEnd"/>
      <w:r w:rsidRPr="00413132">
        <w:rPr>
          <w:rFonts w:eastAsia="Calibri"/>
          <w:i/>
          <w:iCs/>
          <w:lang w:val="es-ES" w:eastAsia="en-US"/>
        </w:rPr>
        <w:t xml:space="preserve"> </w:t>
      </w:r>
      <w:r w:rsidRPr="00413132">
        <w:rPr>
          <w:rFonts w:eastAsia="Calibri"/>
          <w:lang w:val="es-ES" w:eastAsia="en-US"/>
        </w:rPr>
        <w:t xml:space="preserve">coronarios ha determinado que el plazo de </w:t>
      </w:r>
      <w:proofErr w:type="spellStart"/>
      <w:r w:rsidRPr="00413132">
        <w:rPr>
          <w:rFonts w:eastAsia="Calibri"/>
          <w:lang w:val="es-ES" w:eastAsia="en-US"/>
        </w:rPr>
        <w:t>endotelización</w:t>
      </w:r>
      <w:proofErr w:type="spellEnd"/>
      <w:r w:rsidRPr="00413132">
        <w:rPr>
          <w:rFonts w:eastAsia="Calibri"/>
          <w:lang w:val="es-ES" w:eastAsia="en-US"/>
        </w:rPr>
        <w:t xml:space="preserve"> y por tanto, de necesidad de mantener la terapia antiagregante dual, se haya reducido de modo sustancial, lo cual puede suponer una ventaja en el manejo perioperatorio de este tipo de </w:t>
      </w:r>
      <w:proofErr w:type="gramStart"/>
      <w:r w:rsidRPr="00413132">
        <w:rPr>
          <w:rFonts w:eastAsia="Calibri"/>
          <w:lang w:val="es-ES" w:eastAsia="en-US"/>
        </w:rPr>
        <w:t>pacientes.</w:t>
      </w:r>
      <w:r w:rsidRPr="00413132">
        <w:rPr>
          <w:rFonts w:eastAsia="Calibri"/>
          <w:vertAlign w:val="superscript"/>
          <w:lang w:val="es-ES" w:eastAsia="en-US"/>
        </w:rPr>
        <w:t>(</w:t>
      </w:r>
      <w:proofErr w:type="gramEnd"/>
      <w:r w:rsidRPr="00413132">
        <w:rPr>
          <w:rFonts w:eastAsia="Calibri"/>
          <w:vertAlign w:val="superscript"/>
          <w:lang w:val="es-ES" w:eastAsia="en-US"/>
        </w:rPr>
        <w:t>7)</w:t>
      </w:r>
    </w:p>
    <w:p w14:paraId="5311F1D7" w14:textId="77777777" w:rsidR="00413132" w:rsidRPr="00413132" w:rsidRDefault="00413132" w:rsidP="00413132">
      <w:pPr>
        <w:spacing w:line="360" w:lineRule="auto"/>
        <w:jc w:val="both"/>
        <w:rPr>
          <w:rFonts w:eastAsia="Calibri"/>
          <w:vertAlign w:val="superscript"/>
          <w:lang w:val="es-ES" w:eastAsia="en-US"/>
        </w:rPr>
      </w:pPr>
      <w:r w:rsidRPr="00413132">
        <w:rPr>
          <w:rFonts w:eastAsia="Calibri"/>
          <w:lang w:val="es-ES" w:eastAsia="en-US"/>
        </w:rPr>
        <w:t xml:space="preserve">El número de usuarios de TAP aumenta, al igual que el de fármacos anticoagulantes, por </w:t>
      </w:r>
      <w:proofErr w:type="gramStart"/>
      <w:r w:rsidRPr="00413132">
        <w:rPr>
          <w:rFonts w:eastAsia="Calibri"/>
          <w:lang w:val="es-ES" w:eastAsia="en-US"/>
        </w:rPr>
        <w:t>tanto</w:t>
      </w:r>
      <w:proofErr w:type="gramEnd"/>
      <w:r w:rsidRPr="00413132">
        <w:rPr>
          <w:rFonts w:eastAsia="Calibri"/>
          <w:lang w:val="es-ES" w:eastAsia="en-US"/>
        </w:rPr>
        <w:t xml:space="preserve"> cirujanos, anestesiólogos y gastroenterólogos, se enfrentarán cada vez con mayor frecuencia, a pacientes que requieran cirugías y procederes intervencionistas electivos o de urgencia y que están simultáneamente en tratamiento con alguno de estos fármacos. A pesar del beneficio previamente mencionado, estas drogas incrementan el riesgo de sangrado </w:t>
      </w:r>
      <w:proofErr w:type="gramStart"/>
      <w:r w:rsidRPr="00413132">
        <w:rPr>
          <w:rFonts w:eastAsia="Calibri"/>
          <w:lang w:val="es-ES" w:eastAsia="en-US"/>
        </w:rPr>
        <w:t>quirúrgico.</w:t>
      </w:r>
      <w:r w:rsidRPr="00413132">
        <w:rPr>
          <w:rFonts w:eastAsia="Calibri"/>
          <w:vertAlign w:val="superscript"/>
          <w:lang w:val="es-ES" w:eastAsia="en-US"/>
        </w:rPr>
        <w:t>(</w:t>
      </w:r>
      <w:proofErr w:type="gramEnd"/>
      <w:r w:rsidRPr="00413132">
        <w:rPr>
          <w:rFonts w:eastAsia="Calibri"/>
          <w:vertAlign w:val="superscript"/>
          <w:lang w:val="es-ES" w:eastAsia="en-US"/>
        </w:rPr>
        <w:t>8)</w:t>
      </w:r>
      <w:r w:rsidRPr="00413132">
        <w:rPr>
          <w:rFonts w:eastAsia="Calibri"/>
          <w:lang w:val="es-ES" w:eastAsia="en-US"/>
        </w:rPr>
        <w:t xml:space="preserve"> Por tanto, el equipo médico debe balancear el riesgo de sangrado perioperatorio versus el riesgo de eventos trombóticos, asociado al mantenimiento y suspensión </w:t>
      </w:r>
      <w:r w:rsidRPr="00413132">
        <w:rPr>
          <w:rFonts w:eastAsia="Calibri"/>
          <w:lang w:val="es-ES" w:eastAsia="en-US"/>
        </w:rPr>
        <w:lastRenderedPageBreak/>
        <w:t>de estos fármacos. La decisión en relación al manejo endoscópico del TAP debe estar basada en el tipo de indicación médica que justifica el uso de estos medicamentos, ya sea como profilaxis primaria o secundaria, el tipo de procedimiento endoscópico, el riesgo de sangrado perioperatorio asociado y el riesgo trombótico de cada paciente.</w:t>
      </w:r>
    </w:p>
    <w:p w14:paraId="7277A144" w14:textId="77777777" w:rsidR="00413132" w:rsidRPr="00413132" w:rsidRDefault="00413132" w:rsidP="00413132">
      <w:pPr>
        <w:spacing w:line="360" w:lineRule="auto"/>
        <w:jc w:val="both"/>
        <w:rPr>
          <w:rFonts w:eastAsia="Calibri"/>
          <w:vertAlign w:val="superscript"/>
          <w:lang w:val="es-ES" w:eastAsia="en-US"/>
        </w:rPr>
      </w:pPr>
      <w:r w:rsidRPr="00413132">
        <w:rPr>
          <w:rFonts w:eastAsia="Calibri"/>
          <w:lang w:val="es-ES" w:eastAsia="en-US"/>
        </w:rPr>
        <w:t xml:space="preserve">El autor considera </w:t>
      </w:r>
      <w:proofErr w:type="gramStart"/>
      <w:r w:rsidRPr="00413132">
        <w:rPr>
          <w:rFonts w:eastAsia="Calibri"/>
          <w:lang w:val="es-ES" w:eastAsia="en-US"/>
        </w:rPr>
        <w:t>que</w:t>
      </w:r>
      <w:proofErr w:type="gramEnd"/>
      <w:r w:rsidRPr="00413132">
        <w:rPr>
          <w:rFonts w:eastAsia="Calibri"/>
          <w:lang w:val="es-ES" w:eastAsia="en-US"/>
        </w:rPr>
        <w:t xml:space="preserve"> para dar un salto de calidad en la atención, se debe acercar más a esta problemática, además de confeccionar protocolos que abarquen todas las especialidades quirúrgicas, así como en otras con vertientes intervencionistas como la Gastroenterología. Comprender aspectos claves de estos fármacos, aportará los conocimientos necesarios para determinar el momento ideal de realización de la técnica y el tiempo de suspensión de los agentes antitrombóticos, con el fin de ofrecer la máxima seguridad para los pacientes y optimizar los resultados.</w:t>
      </w:r>
    </w:p>
    <w:p w14:paraId="72729793" w14:textId="77777777" w:rsidR="00413132" w:rsidRPr="00413132" w:rsidRDefault="00413132" w:rsidP="00413132">
      <w:pPr>
        <w:spacing w:line="360" w:lineRule="auto"/>
        <w:jc w:val="both"/>
        <w:rPr>
          <w:lang w:val="es-ES" w:eastAsia="es-ES"/>
        </w:rPr>
      </w:pPr>
      <w:r w:rsidRPr="00413132">
        <w:rPr>
          <w:lang w:val="es-ES" w:eastAsia="es-ES"/>
        </w:rPr>
        <w:t xml:space="preserve">Para esta revisión bibliográfica se consultaron artículos científicos indexados en idioma español e inglés, relacionados con el tema: antiagregación plaquetaria en la gastroenterología endoscópica, publicados en las bases de datos </w:t>
      </w:r>
      <w:proofErr w:type="spellStart"/>
      <w:r w:rsidRPr="00413132">
        <w:rPr>
          <w:lang w:val="es-ES" w:eastAsia="es-ES"/>
        </w:rPr>
        <w:t>Pubmed</w:t>
      </w:r>
      <w:proofErr w:type="spellEnd"/>
      <w:r w:rsidRPr="00413132">
        <w:rPr>
          <w:lang w:val="es-ES" w:eastAsia="es-ES"/>
        </w:rPr>
        <w:t>, Scielo,</w:t>
      </w:r>
      <w:bookmarkStart w:id="0" w:name="_GoBack"/>
      <w:bookmarkEnd w:id="0"/>
      <w:r w:rsidRPr="00413132">
        <w:rPr>
          <w:lang w:val="es-ES" w:eastAsia="es-ES"/>
        </w:rPr>
        <w:t xml:space="preserve"> </w:t>
      </w:r>
      <w:proofErr w:type="spellStart"/>
      <w:r w:rsidRPr="00413132">
        <w:rPr>
          <w:lang w:val="es-ES" w:eastAsia="es-ES"/>
        </w:rPr>
        <w:t>Clinicalkey</w:t>
      </w:r>
      <w:proofErr w:type="spellEnd"/>
      <w:r w:rsidRPr="00413132">
        <w:rPr>
          <w:lang w:val="es-ES" w:eastAsia="es-ES"/>
        </w:rPr>
        <w:t xml:space="preserve"> y Medline. </w:t>
      </w:r>
    </w:p>
    <w:p w14:paraId="312DD592" w14:textId="77777777" w:rsidR="00413132" w:rsidRPr="00413132" w:rsidRDefault="00413132" w:rsidP="00413132">
      <w:pPr>
        <w:spacing w:line="360" w:lineRule="auto"/>
        <w:jc w:val="both"/>
        <w:rPr>
          <w:bCs/>
          <w:lang w:val="es-ES" w:eastAsia="es-ES"/>
        </w:rPr>
      </w:pPr>
      <w:r w:rsidRPr="00413132">
        <w:rPr>
          <w:lang w:val="es-ES" w:eastAsia="es-ES"/>
        </w:rPr>
        <w:t xml:space="preserve">Los términos empleados para la búsqueda fueron: antiagregantes plaquetarios, riesgo de sangrado, sangrado digestivo, aspirina, </w:t>
      </w:r>
      <w:proofErr w:type="spellStart"/>
      <w:r w:rsidRPr="00413132">
        <w:rPr>
          <w:lang w:val="es-ES" w:eastAsia="es-ES"/>
        </w:rPr>
        <w:t>clopidogrel</w:t>
      </w:r>
      <w:proofErr w:type="spellEnd"/>
      <w:r w:rsidRPr="00413132">
        <w:rPr>
          <w:lang w:val="es-ES" w:eastAsia="es-ES"/>
        </w:rPr>
        <w:t xml:space="preserve">, </w:t>
      </w:r>
      <w:r w:rsidRPr="00413132">
        <w:rPr>
          <w:bCs/>
          <w:lang w:val="es-ES" w:eastAsia="es-ES"/>
        </w:rPr>
        <w:t>endoscopia digestiva, en español e inglés.</w:t>
      </w:r>
    </w:p>
    <w:p w14:paraId="4666FC8F" w14:textId="77777777" w:rsidR="00413132" w:rsidRPr="00413132" w:rsidRDefault="00413132" w:rsidP="00413132">
      <w:pPr>
        <w:spacing w:line="360" w:lineRule="auto"/>
        <w:jc w:val="both"/>
        <w:rPr>
          <w:b/>
          <w:bCs/>
          <w:color w:val="000000"/>
          <w:lang w:val="es-ES" w:eastAsia="es-ES"/>
        </w:rPr>
      </w:pPr>
      <w:r w:rsidRPr="00413132">
        <w:rPr>
          <w:rFonts w:eastAsia="Calibri"/>
          <w:lang w:val="es-ES" w:eastAsia="en-US"/>
        </w:rPr>
        <w:t>E</w:t>
      </w:r>
      <w:r w:rsidRPr="00413132">
        <w:rPr>
          <w:rFonts w:eastAsia="Calibri"/>
          <w:color w:val="000000"/>
          <w:lang w:val="es-ES" w:eastAsia="en-US"/>
        </w:rPr>
        <w:t>sta revisión, se realizó con el objetivo de profundizar en los conocimientos relacionados con la antiagregación plaquetaria en la gastroenterología intervencionista.</w:t>
      </w:r>
    </w:p>
    <w:p w14:paraId="77F3CE77" w14:textId="77777777" w:rsidR="00413132" w:rsidRPr="00413132" w:rsidRDefault="00413132" w:rsidP="00413132">
      <w:pPr>
        <w:spacing w:line="360" w:lineRule="auto"/>
        <w:jc w:val="both"/>
        <w:rPr>
          <w:rFonts w:eastAsia="Calibri"/>
          <w:b/>
          <w:bCs/>
          <w:color w:val="000000"/>
          <w:lang w:val="es-ES" w:eastAsia="en-US"/>
        </w:rPr>
      </w:pPr>
    </w:p>
    <w:p w14:paraId="5F44A73C" w14:textId="77777777" w:rsidR="00413132" w:rsidRPr="00413132" w:rsidRDefault="00413132" w:rsidP="00413132">
      <w:pPr>
        <w:spacing w:line="360" w:lineRule="auto"/>
        <w:jc w:val="both"/>
        <w:rPr>
          <w:rFonts w:eastAsia="Calibri"/>
          <w:b/>
          <w:bCs/>
          <w:color w:val="000000"/>
          <w:lang w:val="es-ES" w:eastAsia="en-US"/>
        </w:rPr>
      </w:pPr>
    </w:p>
    <w:p w14:paraId="67D09A50" w14:textId="77777777" w:rsidR="00413132" w:rsidRPr="00413132" w:rsidRDefault="00413132" w:rsidP="00413132">
      <w:pPr>
        <w:spacing w:line="360" w:lineRule="auto"/>
        <w:jc w:val="center"/>
        <w:rPr>
          <w:rFonts w:eastAsia="Calibri"/>
          <w:b/>
          <w:bCs/>
          <w:color w:val="000000"/>
          <w:sz w:val="32"/>
          <w:szCs w:val="32"/>
          <w:lang w:val="es-ES" w:eastAsia="en-US"/>
        </w:rPr>
      </w:pPr>
      <w:r w:rsidRPr="00413132">
        <w:rPr>
          <w:rFonts w:eastAsia="Calibri"/>
          <w:b/>
          <w:bCs/>
          <w:color w:val="000000"/>
          <w:sz w:val="32"/>
          <w:szCs w:val="32"/>
          <w:lang w:val="es-ES" w:eastAsia="en-US"/>
        </w:rPr>
        <w:t>DESARROLLO</w:t>
      </w:r>
    </w:p>
    <w:p w14:paraId="48BCD005"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Las plaquetas participan en la hemostasia y la trombosis, esto lo consiguen adhiriéndose al endotelio vascular dañado. Las plaquetas interactúan con factores ambientales y con otras plaquetas, para crear procesos complejos que se originan en la superficie de la membrana plaquetaria. Esta membrana, a su vez proporciona una interfase reactiva entre las plaquetas y el exterior, con el uso de los receptores localizados en la superficie. </w:t>
      </w:r>
    </w:p>
    <w:p w14:paraId="0E852B4F"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Los receptores son primordiales para la transducción de señales y estímulos externos hacia el interior de la célula. La plaquetas se activan con la interacción que se origina entre los diferentes receptores de membrana y un gran número de moléculas pequeñas, enzimas y complejos proteicos macromoleculares </w:t>
      </w:r>
      <w:r w:rsidRPr="00413132">
        <w:rPr>
          <w:rFonts w:eastAsia="Calibri"/>
          <w:lang w:val="es-ES" w:eastAsia="en-US"/>
        </w:rPr>
        <w:lastRenderedPageBreak/>
        <w:t xml:space="preserve">que tienen la finalidad de contraer su </w:t>
      </w:r>
      <w:proofErr w:type="gramStart"/>
      <w:r w:rsidRPr="00413132">
        <w:rPr>
          <w:rFonts w:eastAsia="Calibri"/>
          <w:lang w:val="es-ES" w:eastAsia="en-US"/>
        </w:rPr>
        <w:t>citoesqueleto.</w:t>
      </w:r>
      <w:r w:rsidRPr="00413132">
        <w:rPr>
          <w:rFonts w:eastAsia="Calibri"/>
          <w:vertAlign w:val="superscript"/>
          <w:lang w:val="es-ES" w:eastAsia="en-US"/>
        </w:rPr>
        <w:t>(</w:t>
      </w:r>
      <w:proofErr w:type="gramEnd"/>
      <w:r w:rsidRPr="00413132">
        <w:rPr>
          <w:rFonts w:eastAsia="Calibri"/>
          <w:vertAlign w:val="superscript"/>
          <w:lang w:val="es-ES" w:eastAsia="en-US"/>
        </w:rPr>
        <w:t>9)</w:t>
      </w:r>
      <w:r w:rsidRPr="00413132">
        <w:rPr>
          <w:rFonts w:eastAsia="Calibri"/>
          <w:lang w:val="es-ES" w:eastAsia="en-US"/>
        </w:rPr>
        <w:t xml:space="preserve"> La activación depende de la interacción entre el medio externo e interno, se consigue a través de receptores de membrana como:</w:t>
      </w:r>
    </w:p>
    <w:p w14:paraId="25DB20DC" w14:textId="77777777" w:rsidR="00413132" w:rsidRPr="00413132" w:rsidRDefault="00413132" w:rsidP="00413132">
      <w:pPr>
        <w:spacing w:line="360" w:lineRule="auto"/>
        <w:jc w:val="both"/>
        <w:rPr>
          <w:rFonts w:eastAsia="Calibri"/>
          <w:lang w:val="es-ES" w:eastAsia="en-US"/>
        </w:rPr>
      </w:pPr>
    </w:p>
    <w:p w14:paraId="6288635F" w14:textId="77777777" w:rsidR="00413132" w:rsidRPr="00413132" w:rsidRDefault="00413132" w:rsidP="00DA5477">
      <w:pPr>
        <w:numPr>
          <w:ilvl w:val="0"/>
          <w:numId w:val="4"/>
        </w:numPr>
        <w:spacing w:line="360" w:lineRule="auto"/>
        <w:ind w:left="714" w:hanging="357"/>
        <w:jc w:val="both"/>
        <w:rPr>
          <w:rFonts w:eastAsia="Calibri"/>
          <w:i/>
          <w:iCs/>
          <w:lang w:val="es-ES" w:eastAsia="en-US"/>
        </w:rPr>
      </w:pPr>
      <w:r w:rsidRPr="00413132">
        <w:rPr>
          <w:rFonts w:eastAsia="Calibri"/>
          <w:bCs/>
          <w:lang w:val="es-ES" w:eastAsia="en-US"/>
        </w:rPr>
        <w:t>Receptores de ADP:</w:t>
      </w:r>
      <w:r w:rsidRPr="00413132">
        <w:rPr>
          <w:rFonts w:eastAsia="Calibri"/>
          <w:lang w:val="es-ES" w:eastAsia="en-US"/>
        </w:rPr>
        <w:t xml:space="preserve"> el adenosín difosfato (ADP) juega un papel central en la hemostasia, al actuar como cofactor esencial en la activación plaquetaria. El ADP está presente en altas concentraciones en los gránulos densos y se libera a través de la activación plaquetaria, refuerza la agregación de los </w:t>
      </w:r>
      <w:proofErr w:type="gramStart"/>
      <w:r w:rsidRPr="00413132">
        <w:rPr>
          <w:rFonts w:eastAsia="Calibri"/>
          <w:lang w:val="es-ES" w:eastAsia="en-US"/>
        </w:rPr>
        <w:t>trombocitos.</w:t>
      </w:r>
      <w:r w:rsidRPr="00413132">
        <w:rPr>
          <w:rFonts w:eastAsia="Calibri"/>
          <w:vertAlign w:val="superscript"/>
          <w:lang w:val="es-ES" w:eastAsia="en-US"/>
        </w:rPr>
        <w:t>(</w:t>
      </w:r>
      <w:proofErr w:type="gramEnd"/>
      <w:r w:rsidRPr="00413132">
        <w:rPr>
          <w:rFonts w:eastAsia="Calibri"/>
          <w:vertAlign w:val="superscript"/>
          <w:lang w:val="es-ES" w:eastAsia="en-US"/>
        </w:rPr>
        <w:t>10)</w:t>
      </w:r>
    </w:p>
    <w:p w14:paraId="25593058" w14:textId="77777777" w:rsidR="00413132" w:rsidRPr="00413132" w:rsidRDefault="00413132" w:rsidP="00DA5477">
      <w:pPr>
        <w:numPr>
          <w:ilvl w:val="0"/>
          <w:numId w:val="4"/>
        </w:numPr>
        <w:spacing w:line="360" w:lineRule="auto"/>
        <w:ind w:left="714" w:hanging="357"/>
        <w:jc w:val="both"/>
        <w:rPr>
          <w:rFonts w:eastAsia="Calibri"/>
          <w:i/>
          <w:iCs/>
          <w:lang w:val="es-ES" w:eastAsia="en-US"/>
        </w:rPr>
      </w:pPr>
      <w:r w:rsidRPr="00413132">
        <w:rPr>
          <w:rFonts w:eastAsia="Calibri"/>
          <w:bCs/>
          <w:lang w:val="es-ES" w:eastAsia="en-US"/>
        </w:rPr>
        <w:t>Receptores de tromboxano A2:</w:t>
      </w:r>
      <w:r w:rsidRPr="00413132">
        <w:rPr>
          <w:rFonts w:eastAsia="Calibri"/>
          <w:lang w:val="es-ES" w:eastAsia="en-US"/>
        </w:rPr>
        <w:t xml:space="preserve"> la fosfolipasa A2 se activa a través de agonistas de la activación plaquetaria, lo cual ocasiona que el ácido araquidónico se separe de los fosfolípidos (localizados en la membrana), este, a su vez, se metaboliza a sustancias plaquetarias activas, como los tromboxanos (TX) y su precursor PGH2. Es importante conocer toda esta vía metabólica porque los tromboxanos estimulan el cambio de forma, la secreción y la agregación plaquetaria. El tromboxano A2 es el más específico y </w:t>
      </w:r>
      <w:proofErr w:type="gramStart"/>
      <w:r w:rsidRPr="00413132">
        <w:rPr>
          <w:rFonts w:eastAsia="Calibri"/>
          <w:lang w:val="es-ES" w:eastAsia="en-US"/>
        </w:rPr>
        <w:t>potente.</w:t>
      </w:r>
      <w:r w:rsidRPr="00413132">
        <w:rPr>
          <w:rFonts w:eastAsia="Calibri"/>
          <w:vertAlign w:val="superscript"/>
          <w:lang w:val="es-ES" w:eastAsia="en-US"/>
        </w:rPr>
        <w:t>(</w:t>
      </w:r>
      <w:proofErr w:type="gramEnd"/>
      <w:r w:rsidRPr="00413132">
        <w:rPr>
          <w:rFonts w:eastAsia="Calibri"/>
          <w:vertAlign w:val="superscript"/>
          <w:lang w:val="es-ES" w:eastAsia="en-US"/>
        </w:rPr>
        <w:t>11)</w:t>
      </w:r>
    </w:p>
    <w:p w14:paraId="69A06AF8" w14:textId="77777777" w:rsidR="00413132" w:rsidRPr="00413132" w:rsidRDefault="00413132" w:rsidP="00DA5477">
      <w:pPr>
        <w:numPr>
          <w:ilvl w:val="0"/>
          <w:numId w:val="4"/>
        </w:numPr>
        <w:spacing w:line="360" w:lineRule="auto"/>
        <w:ind w:left="714" w:hanging="357"/>
        <w:jc w:val="both"/>
        <w:rPr>
          <w:rFonts w:eastAsia="Calibri"/>
          <w:i/>
          <w:iCs/>
          <w:lang w:val="es-ES" w:eastAsia="en-US"/>
        </w:rPr>
      </w:pPr>
      <w:r w:rsidRPr="00413132">
        <w:rPr>
          <w:rFonts w:eastAsia="Calibri"/>
          <w:bCs/>
          <w:lang w:val="es-ES" w:eastAsia="en-US"/>
        </w:rPr>
        <w:t xml:space="preserve">Receptores de epinefrina: </w:t>
      </w:r>
      <w:r w:rsidRPr="00413132">
        <w:rPr>
          <w:rFonts w:eastAsia="Calibri"/>
          <w:lang w:val="es-ES" w:eastAsia="en-US"/>
        </w:rPr>
        <w:t xml:space="preserve">la estimulación con epinefrina se da a través de la estimulación de los receptores </w:t>
      </w:r>
      <w:r w:rsidRPr="00413132">
        <w:rPr>
          <w:rFonts w:eastAsia="Calibri"/>
          <w:lang w:val="en-US" w:eastAsia="en-US"/>
        </w:rPr>
        <w:t>α</w:t>
      </w:r>
      <w:r w:rsidRPr="00413132">
        <w:rPr>
          <w:rFonts w:eastAsia="Calibri"/>
          <w:lang w:val="es-ES" w:eastAsia="en-US"/>
        </w:rPr>
        <w:t>2 - adrenérgicos, de estos se expresan aproximadamente 300 receptores en cada plaqueta. Una cualidad peculiar de la epinefrina es que activa la agregación plaquetaria sin alterar la morfología de esta.</w:t>
      </w:r>
    </w:p>
    <w:p w14:paraId="4A34A57A" w14:textId="77777777" w:rsidR="00413132" w:rsidRPr="00413132" w:rsidRDefault="00413132" w:rsidP="00DA5477">
      <w:pPr>
        <w:numPr>
          <w:ilvl w:val="0"/>
          <w:numId w:val="4"/>
        </w:numPr>
        <w:spacing w:line="360" w:lineRule="auto"/>
        <w:ind w:left="714" w:hanging="357"/>
        <w:jc w:val="both"/>
        <w:rPr>
          <w:rFonts w:eastAsia="Calibri"/>
          <w:i/>
          <w:iCs/>
          <w:lang w:val="es-ES" w:eastAsia="en-US"/>
        </w:rPr>
      </w:pPr>
      <w:r w:rsidRPr="00413132">
        <w:rPr>
          <w:rFonts w:eastAsia="Calibri"/>
          <w:bCs/>
          <w:lang w:val="es-ES" w:eastAsia="en-US"/>
        </w:rPr>
        <w:t>Receptores de colágena para la adhesión plaquetaria.</w:t>
      </w:r>
      <w:r w:rsidRPr="00413132">
        <w:rPr>
          <w:rFonts w:eastAsia="Calibri"/>
          <w:i/>
          <w:iCs/>
          <w:lang w:val="es-ES" w:eastAsia="en-US"/>
        </w:rPr>
        <w:t xml:space="preserve"> </w:t>
      </w:r>
      <w:r w:rsidRPr="00413132">
        <w:rPr>
          <w:rFonts w:eastAsia="Calibri"/>
          <w:lang w:val="es-ES" w:eastAsia="en-US"/>
        </w:rPr>
        <w:t xml:space="preserve">La colágena induce adhesión y activación plaquetaria a través de varias proteínas de membrana, como glucoproteína (GP) GP </w:t>
      </w:r>
      <w:proofErr w:type="spellStart"/>
      <w:r w:rsidRPr="00413132">
        <w:rPr>
          <w:rFonts w:eastAsia="Calibri"/>
          <w:lang w:val="es-ES" w:eastAsia="en-US"/>
        </w:rPr>
        <w:t>Ia</w:t>
      </w:r>
      <w:proofErr w:type="spellEnd"/>
      <w:r w:rsidRPr="00413132">
        <w:rPr>
          <w:rFonts w:eastAsia="Calibri"/>
          <w:lang w:val="es-ES" w:eastAsia="en-US"/>
        </w:rPr>
        <w:t> - </w:t>
      </w:r>
      <w:proofErr w:type="spellStart"/>
      <w:r w:rsidRPr="00413132">
        <w:rPr>
          <w:rFonts w:eastAsia="Calibri"/>
          <w:lang w:val="es-ES" w:eastAsia="en-US"/>
        </w:rPr>
        <w:t>IIa</w:t>
      </w:r>
      <w:proofErr w:type="spellEnd"/>
      <w:r w:rsidRPr="00413132">
        <w:rPr>
          <w:rFonts w:eastAsia="Calibri"/>
          <w:lang w:val="es-ES" w:eastAsia="en-US"/>
        </w:rPr>
        <w:t>, GP IV, GP VI y GP V.</w:t>
      </w:r>
      <w:r w:rsidRPr="00413132">
        <w:rPr>
          <w:rFonts w:eastAsia="Calibri"/>
          <w:i/>
          <w:iCs/>
          <w:lang w:val="es-ES" w:eastAsia="en-US"/>
        </w:rPr>
        <w:t xml:space="preserve"> </w:t>
      </w:r>
      <w:r w:rsidRPr="00413132">
        <w:rPr>
          <w:rFonts w:eastAsia="Calibri"/>
          <w:lang w:val="es-ES" w:eastAsia="en-US"/>
        </w:rPr>
        <w:t xml:space="preserve">Las GP de la superficie de la membrana, participan de forma crítica en la adhesión de las plaquetas al subendotelio expuesto (colágena, fibronectina y factor de </w:t>
      </w:r>
      <w:proofErr w:type="spellStart"/>
      <w:r w:rsidRPr="00413132">
        <w:rPr>
          <w:rFonts w:eastAsia="Calibri"/>
          <w:lang w:val="es-ES" w:eastAsia="en-US"/>
        </w:rPr>
        <w:t>von</w:t>
      </w:r>
      <w:proofErr w:type="spellEnd"/>
      <w:r w:rsidRPr="00413132">
        <w:rPr>
          <w:rFonts w:eastAsia="Calibri"/>
          <w:lang w:val="es-ES" w:eastAsia="en-US"/>
        </w:rPr>
        <w:t xml:space="preserve"> Willebrand) e interactúan con otras plaquetas y componentes de la sangre (fibrinógeno y factor de </w:t>
      </w:r>
      <w:proofErr w:type="spellStart"/>
      <w:r w:rsidRPr="00413132">
        <w:rPr>
          <w:rFonts w:eastAsia="Calibri"/>
          <w:lang w:val="es-ES" w:eastAsia="en-US"/>
        </w:rPr>
        <w:t>von</w:t>
      </w:r>
      <w:proofErr w:type="spellEnd"/>
      <w:r w:rsidRPr="00413132">
        <w:rPr>
          <w:rFonts w:eastAsia="Calibri"/>
          <w:lang w:val="es-ES" w:eastAsia="en-US"/>
        </w:rPr>
        <w:t xml:space="preserve"> Willebrand). Se enumeran de mayor a menor tamaño de la I a la IX.</w:t>
      </w:r>
      <w:r w:rsidRPr="00413132">
        <w:rPr>
          <w:rFonts w:eastAsia="Calibri"/>
          <w:b/>
          <w:i/>
          <w:iCs/>
          <w:lang w:val="es-ES" w:eastAsia="en-US"/>
        </w:rPr>
        <w:t xml:space="preserve"> </w:t>
      </w:r>
    </w:p>
    <w:p w14:paraId="60BD1D0C" w14:textId="77777777" w:rsidR="00413132" w:rsidRPr="00413132" w:rsidRDefault="00413132" w:rsidP="00DA5477">
      <w:pPr>
        <w:numPr>
          <w:ilvl w:val="0"/>
          <w:numId w:val="4"/>
        </w:numPr>
        <w:spacing w:line="360" w:lineRule="auto"/>
        <w:ind w:left="714" w:hanging="357"/>
        <w:jc w:val="both"/>
        <w:rPr>
          <w:rFonts w:eastAsia="Calibri"/>
          <w:i/>
          <w:iCs/>
          <w:lang w:val="es-ES" w:eastAsia="en-US"/>
        </w:rPr>
      </w:pPr>
      <w:r w:rsidRPr="00413132">
        <w:rPr>
          <w:rFonts w:eastAsia="Calibri"/>
          <w:bCs/>
          <w:lang w:val="es-ES" w:eastAsia="en-US"/>
        </w:rPr>
        <w:t>Receptores de vasopresina:</w:t>
      </w:r>
      <w:r w:rsidRPr="00413132">
        <w:rPr>
          <w:rFonts w:eastAsia="Calibri"/>
          <w:lang w:val="es-ES" w:eastAsia="en-US"/>
        </w:rPr>
        <w:t xml:space="preserve"> la vasopresina interactúa con las plaquetas para inducir cambios de forma, secreción de los gránulos y </w:t>
      </w:r>
      <w:proofErr w:type="gramStart"/>
      <w:r w:rsidRPr="00413132">
        <w:rPr>
          <w:rFonts w:eastAsia="Calibri"/>
          <w:lang w:val="es-ES" w:eastAsia="en-US"/>
        </w:rPr>
        <w:t>agregación.</w:t>
      </w:r>
      <w:r w:rsidRPr="00413132">
        <w:rPr>
          <w:rFonts w:eastAsia="Calibri"/>
          <w:b/>
          <w:vertAlign w:val="superscript"/>
          <w:lang w:val="es-ES" w:eastAsia="en-US"/>
        </w:rPr>
        <w:t>(</w:t>
      </w:r>
      <w:proofErr w:type="gramEnd"/>
      <w:r w:rsidRPr="00413132">
        <w:rPr>
          <w:rFonts w:eastAsia="Calibri"/>
          <w:vertAlign w:val="superscript"/>
          <w:lang w:val="es-ES" w:eastAsia="en-US"/>
        </w:rPr>
        <w:t>12)</w:t>
      </w:r>
    </w:p>
    <w:p w14:paraId="52104C7F" w14:textId="77777777" w:rsidR="00413132" w:rsidRPr="00413132" w:rsidRDefault="00413132" w:rsidP="00DA5477">
      <w:pPr>
        <w:numPr>
          <w:ilvl w:val="0"/>
          <w:numId w:val="4"/>
        </w:numPr>
        <w:spacing w:line="360" w:lineRule="auto"/>
        <w:ind w:left="714" w:hanging="357"/>
        <w:jc w:val="both"/>
        <w:rPr>
          <w:rFonts w:eastAsia="Calibri"/>
          <w:i/>
          <w:iCs/>
          <w:vertAlign w:val="superscript"/>
          <w:lang w:val="es-ES" w:eastAsia="en-US"/>
        </w:rPr>
      </w:pPr>
      <w:r w:rsidRPr="00413132">
        <w:rPr>
          <w:rFonts w:eastAsia="Calibri"/>
          <w:bCs/>
          <w:lang w:val="es-ES" w:eastAsia="en-US"/>
        </w:rPr>
        <w:t>Receptores de serotonina:</w:t>
      </w:r>
      <w:r w:rsidRPr="00413132">
        <w:rPr>
          <w:rFonts w:eastAsia="Calibri"/>
          <w:lang w:val="es-ES" w:eastAsia="en-US"/>
        </w:rPr>
        <w:t xml:space="preserve"> la serotonina (5-hidroxitriptamina, 5-HT) estimula y activa las plaquetas, que una vez activadas, aumentan la liberación de serotonina mediante los gránulos densos, lo cual aumenta la respuesta plaquetaria a través de receptores específicos 5-HT2A.</w:t>
      </w:r>
    </w:p>
    <w:p w14:paraId="565376A2" w14:textId="77777777" w:rsidR="00413132" w:rsidRPr="00413132" w:rsidRDefault="00413132" w:rsidP="00DA5477">
      <w:pPr>
        <w:numPr>
          <w:ilvl w:val="0"/>
          <w:numId w:val="4"/>
        </w:numPr>
        <w:spacing w:line="360" w:lineRule="auto"/>
        <w:ind w:left="714" w:hanging="357"/>
        <w:jc w:val="both"/>
        <w:rPr>
          <w:rFonts w:eastAsia="Calibri"/>
          <w:vertAlign w:val="superscript"/>
          <w:lang w:val="es-ES" w:eastAsia="en-US"/>
        </w:rPr>
      </w:pPr>
      <w:r w:rsidRPr="00413132">
        <w:rPr>
          <w:rFonts w:eastAsia="Calibri"/>
          <w:bCs/>
          <w:lang w:val="es-ES" w:eastAsia="en-US"/>
        </w:rPr>
        <w:lastRenderedPageBreak/>
        <w:t>Receptor del factor activador de plaquetas:</w:t>
      </w:r>
      <w:r w:rsidRPr="00413132">
        <w:rPr>
          <w:rFonts w:eastAsia="Calibri"/>
          <w:i/>
          <w:iCs/>
          <w:lang w:val="es-ES" w:eastAsia="en-US"/>
        </w:rPr>
        <w:t xml:space="preserve"> </w:t>
      </w:r>
      <w:r w:rsidRPr="00413132">
        <w:rPr>
          <w:rFonts w:eastAsia="Calibri"/>
          <w:lang w:val="es-ES" w:eastAsia="en-US"/>
        </w:rPr>
        <w:t xml:space="preserve">es un agonista único porque es un fosfolípido que estimula las plaquetas en concentraciones </w:t>
      </w:r>
      <w:proofErr w:type="spellStart"/>
      <w:r w:rsidRPr="00413132">
        <w:rPr>
          <w:rFonts w:eastAsia="Calibri"/>
          <w:lang w:val="es-ES" w:eastAsia="en-US"/>
        </w:rPr>
        <w:t>nanomolares</w:t>
      </w:r>
      <w:proofErr w:type="spellEnd"/>
      <w:r w:rsidRPr="00413132">
        <w:rPr>
          <w:rFonts w:eastAsia="Calibri"/>
          <w:lang w:val="es-ES" w:eastAsia="en-US"/>
        </w:rPr>
        <w:t xml:space="preserve">. Este agonista es sintetizado </w:t>
      </w:r>
      <w:proofErr w:type="spellStart"/>
      <w:r w:rsidRPr="00413132">
        <w:rPr>
          <w:rFonts w:eastAsia="Calibri"/>
          <w:lang w:val="es-ES" w:eastAsia="en-US"/>
        </w:rPr>
        <w:t>porvarias</w:t>
      </w:r>
      <w:proofErr w:type="spellEnd"/>
      <w:r w:rsidRPr="00413132">
        <w:rPr>
          <w:rFonts w:eastAsia="Calibri"/>
          <w:lang w:val="es-ES" w:eastAsia="en-US"/>
        </w:rPr>
        <w:t xml:space="preserve"> células inflamatorias y las mismas </w:t>
      </w:r>
      <w:proofErr w:type="spellStart"/>
      <w:r w:rsidRPr="00413132">
        <w:rPr>
          <w:rFonts w:eastAsia="Calibri"/>
          <w:lang w:val="es-ES" w:eastAsia="en-US"/>
        </w:rPr>
        <w:t>plaquetascausan</w:t>
      </w:r>
      <w:proofErr w:type="spellEnd"/>
      <w:r w:rsidRPr="00413132">
        <w:rPr>
          <w:rFonts w:eastAsia="Calibri"/>
          <w:lang w:val="es-ES" w:eastAsia="en-US"/>
        </w:rPr>
        <w:t xml:space="preserve"> inducción de cambios de forma, secreción y </w:t>
      </w:r>
      <w:proofErr w:type="gramStart"/>
      <w:r w:rsidRPr="00413132">
        <w:rPr>
          <w:rFonts w:eastAsia="Calibri"/>
          <w:lang w:val="es-ES" w:eastAsia="en-US"/>
        </w:rPr>
        <w:t>agregación.</w:t>
      </w:r>
      <w:r w:rsidRPr="00413132">
        <w:rPr>
          <w:rFonts w:eastAsia="Calibri"/>
          <w:vertAlign w:val="superscript"/>
          <w:lang w:val="es-ES" w:eastAsia="en-US"/>
        </w:rPr>
        <w:t>(</w:t>
      </w:r>
      <w:proofErr w:type="gramEnd"/>
      <w:r w:rsidRPr="00413132">
        <w:rPr>
          <w:rFonts w:eastAsia="Calibri"/>
          <w:vertAlign w:val="superscript"/>
          <w:lang w:val="es-ES" w:eastAsia="en-US"/>
        </w:rPr>
        <w:t>13)</w:t>
      </w:r>
    </w:p>
    <w:p w14:paraId="5AFAFE2A" w14:textId="77777777" w:rsidR="00413132" w:rsidRPr="00413132" w:rsidRDefault="00413132" w:rsidP="00DA5477">
      <w:pPr>
        <w:numPr>
          <w:ilvl w:val="0"/>
          <w:numId w:val="4"/>
        </w:numPr>
        <w:spacing w:line="360" w:lineRule="auto"/>
        <w:ind w:left="714" w:hanging="357"/>
        <w:jc w:val="both"/>
        <w:rPr>
          <w:rFonts w:eastAsia="Calibri"/>
          <w:vertAlign w:val="superscript"/>
          <w:lang w:val="es-ES" w:eastAsia="en-US"/>
        </w:rPr>
      </w:pPr>
      <w:r w:rsidRPr="00413132">
        <w:rPr>
          <w:rFonts w:eastAsia="Calibri"/>
          <w:bCs/>
          <w:lang w:val="es-ES" w:eastAsia="en-US"/>
        </w:rPr>
        <w:t xml:space="preserve">Receptores de trombina: </w:t>
      </w:r>
      <w:r w:rsidRPr="00413132">
        <w:rPr>
          <w:rFonts w:eastAsia="Calibri"/>
          <w:lang w:val="es-ES" w:eastAsia="en-US"/>
        </w:rPr>
        <w:t xml:space="preserve">la trombina es un potente activador plaquetario. Es la enzima central de la cascada de la coagulación, desempeña un papel crucial en la formación, crecimiento y estabilización del trombo. La trombina es una molécula altamente dinámica que participa en la polimerización y estabilización de la fibrina, y la activación proteolítica y no proteolítica de las plaquetas así como la amplificación de la generación de trombina por la activación por retroalimentación de los factores de la hemostasia </w:t>
      </w:r>
      <w:proofErr w:type="gramStart"/>
      <w:r w:rsidRPr="00413132">
        <w:rPr>
          <w:rFonts w:eastAsia="Calibri"/>
          <w:lang w:val="es-ES" w:eastAsia="en-US"/>
        </w:rPr>
        <w:t>secundaria.</w:t>
      </w:r>
      <w:r w:rsidRPr="00413132">
        <w:rPr>
          <w:rFonts w:eastAsia="Calibri"/>
          <w:vertAlign w:val="superscript"/>
          <w:lang w:val="es-ES" w:eastAsia="en-US"/>
        </w:rPr>
        <w:t>(</w:t>
      </w:r>
      <w:proofErr w:type="gramEnd"/>
      <w:r w:rsidRPr="00413132">
        <w:rPr>
          <w:rFonts w:eastAsia="Calibri"/>
          <w:vertAlign w:val="superscript"/>
          <w:lang w:val="es-ES" w:eastAsia="en-US"/>
        </w:rPr>
        <w:t>14)</w:t>
      </w:r>
    </w:p>
    <w:p w14:paraId="69F57EE0" w14:textId="77777777" w:rsidR="00413132" w:rsidRPr="00413132" w:rsidRDefault="00413132" w:rsidP="00413132">
      <w:pPr>
        <w:spacing w:line="360" w:lineRule="auto"/>
        <w:jc w:val="both"/>
        <w:rPr>
          <w:rFonts w:eastAsia="Calibri"/>
          <w:vertAlign w:val="superscript"/>
          <w:lang w:val="es-ES" w:eastAsia="en-US"/>
        </w:rPr>
      </w:pPr>
    </w:p>
    <w:p w14:paraId="0A114D9E" w14:textId="77777777" w:rsidR="00413132" w:rsidRPr="00413132" w:rsidRDefault="00413132" w:rsidP="00413132">
      <w:pPr>
        <w:spacing w:line="360" w:lineRule="auto"/>
        <w:jc w:val="center"/>
        <w:rPr>
          <w:rFonts w:eastAsia="Calibri"/>
          <w:sz w:val="28"/>
          <w:szCs w:val="28"/>
          <w:lang w:val="es-ES" w:eastAsia="en-US"/>
        </w:rPr>
      </w:pPr>
      <w:r w:rsidRPr="00413132">
        <w:rPr>
          <w:rFonts w:eastAsia="Calibri"/>
          <w:b/>
          <w:bCs/>
          <w:sz w:val="28"/>
          <w:szCs w:val="28"/>
          <w:lang w:val="es-ES" w:eastAsia="en-US"/>
        </w:rPr>
        <w:t>Fármacos antiagregantes</w:t>
      </w:r>
    </w:p>
    <w:p w14:paraId="54DB4BA3" w14:textId="77777777" w:rsidR="00413132" w:rsidRPr="00413132" w:rsidRDefault="00413132" w:rsidP="00413132">
      <w:pPr>
        <w:spacing w:line="360" w:lineRule="auto"/>
        <w:jc w:val="both"/>
        <w:rPr>
          <w:rFonts w:eastAsia="Calibri"/>
          <w:b/>
          <w:bCs/>
          <w:color w:val="000000"/>
          <w:vertAlign w:val="superscript"/>
          <w:lang w:val="es-ES" w:eastAsia="en-US"/>
        </w:rPr>
      </w:pPr>
      <w:r w:rsidRPr="00413132">
        <w:rPr>
          <w:rFonts w:eastAsia="Calibri"/>
          <w:bCs/>
          <w:color w:val="000000"/>
          <w:lang w:val="es-ES" w:eastAsia="en-US"/>
        </w:rPr>
        <w:t>Los fármacos antitrombóticos que se utilizan para la prevención y el tratamiento de la trombosis actúan sobre los componentes de los trombos. Comprenden los antiagregantes plaquetarios, que inhiben las plaquetas, los anticoagulantes, que atenúan la coagulación y los fármacos fibrinolíticos, que inducen la degradación de la fibrina</w:t>
      </w:r>
      <w:r w:rsidRPr="00413132">
        <w:rPr>
          <w:rFonts w:eastAsia="Calibri"/>
          <w:b/>
          <w:bCs/>
          <w:color w:val="000000"/>
          <w:lang w:val="es-ES" w:eastAsia="en-US"/>
        </w:rPr>
        <w:t xml:space="preserve">. </w:t>
      </w:r>
      <w:r w:rsidRPr="00413132">
        <w:rPr>
          <w:rFonts w:eastAsia="Calibri"/>
          <w:bCs/>
          <w:color w:val="000000"/>
          <w:lang w:val="es-ES" w:eastAsia="en-US"/>
        </w:rPr>
        <w:t xml:space="preserve">Puesto que en los trombos arteriales predominan las plaquetas, las estrategias para inhibir o tratar la trombosis arterial se centran principalmente en los antiagregantes </w:t>
      </w:r>
      <w:proofErr w:type="gramStart"/>
      <w:r w:rsidRPr="00413132">
        <w:rPr>
          <w:rFonts w:eastAsia="Calibri"/>
          <w:bCs/>
          <w:color w:val="000000"/>
          <w:lang w:val="es-ES" w:eastAsia="en-US"/>
        </w:rPr>
        <w:t>plaquetarios.</w:t>
      </w:r>
      <w:r w:rsidRPr="00413132">
        <w:rPr>
          <w:rFonts w:eastAsia="Calibri"/>
          <w:bCs/>
          <w:color w:val="000000"/>
          <w:vertAlign w:val="superscript"/>
          <w:lang w:val="es-ES" w:eastAsia="en-US"/>
        </w:rPr>
        <w:t>(</w:t>
      </w:r>
      <w:proofErr w:type="gramEnd"/>
      <w:r w:rsidRPr="00413132">
        <w:rPr>
          <w:rFonts w:eastAsia="Calibri"/>
          <w:bCs/>
          <w:color w:val="000000"/>
          <w:vertAlign w:val="superscript"/>
          <w:lang w:val="es-ES" w:eastAsia="en-US"/>
        </w:rPr>
        <w:t>15)</w:t>
      </w:r>
    </w:p>
    <w:p w14:paraId="7BF1909E" w14:textId="77777777" w:rsidR="00413132" w:rsidRPr="00413132" w:rsidRDefault="00413132" w:rsidP="00413132">
      <w:pPr>
        <w:spacing w:line="360" w:lineRule="auto"/>
        <w:jc w:val="both"/>
        <w:rPr>
          <w:rFonts w:eastAsia="Calibri"/>
          <w:bCs/>
          <w:color w:val="000000"/>
          <w:lang w:val="es-ES" w:eastAsia="en-US"/>
        </w:rPr>
      </w:pPr>
      <w:r w:rsidRPr="00413132">
        <w:rPr>
          <w:rFonts w:eastAsia="Calibri"/>
          <w:bCs/>
          <w:color w:val="000000"/>
          <w:lang w:val="es-ES" w:eastAsia="en-US"/>
        </w:rPr>
        <w:t xml:space="preserve">Los fármacos antiagregantes actúan, inhibiendo alguno de los procesos implicados en la activación y en la agregación plaquetaria; constituyen un elemento esencial en el tratamiento y profilaxis de la enfermedad cardiovascular. Se clasifican en 5 grupos diferentes, en función del mecanismo o punto de actuación en la </w:t>
      </w:r>
      <w:proofErr w:type="gramStart"/>
      <w:r w:rsidRPr="00413132">
        <w:rPr>
          <w:rFonts w:eastAsia="Calibri"/>
          <w:bCs/>
          <w:color w:val="000000"/>
          <w:lang w:val="es-ES" w:eastAsia="en-US"/>
        </w:rPr>
        <w:t>plaqueta.</w:t>
      </w:r>
      <w:r w:rsidRPr="00413132">
        <w:rPr>
          <w:rFonts w:eastAsia="Calibri"/>
          <w:bCs/>
          <w:color w:val="000000"/>
          <w:vertAlign w:val="superscript"/>
          <w:lang w:val="es-ES" w:eastAsia="en-US"/>
        </w:rPr>
        <w:t>(</w:t>
      </w:r>
      <w:proofErr w:type="gramEnd"/>
      <w:r w:rsidRPr="00413132">
        <w:rPr>
          <w:rFonts w:eastAsia="Calibri"/>
          <w:bCs/>
          <w:color w:val="000000"/>
          <w:vertAlign w:val="superscript"/>
          <w:lang w:val="es-ES" w:eastAsia="en-US"/>
        </w:rPr>
        <w:t>16)</w:t>
      </w:r>
      <w:r w:rsidRPr="00413132">
        <w:rPr>
          <w:rFonts w:eastAsia="Calibri"/>
          <w:bCs/>
          <w:color w:val="000000"/>
          <w:lang w:val="es-ES" w:eastAsia="en-US"/>
        </w:rPr>
        <w:t xml:space="preserve"> En los últimos años han surgido novedades sobre el manejo perioperatorio de los fármacos antiagregantes plaquetarios(AAP). Estas novedades han sido básicamente terapéuticas (tabla 1).</w:t>
      </w:r>
    </w:p>
    <w:p w14:paraId="7D45E685" w14:textId="77777777" w:rsidR="00413132" w:rsidRPr="00413132" w:rsidRDefault="00413132" w:rsidP="00413132">
      <w:pPr>
        <w:spacing w:line="360" w:lineRule="auto"/>
        <w:jc w:val="both"/>
        <w:rPr>
          <w:rFonts w:eastAsia="Calibri"/>
          <w:vertAlign w:val="superscript"/>
          <w:lang w:val="es-ES" w:eastAsia="en-US"/>
        </w:rPr>
      </w:pPr>
      <w:r w:rsidRPr="00413132">
        <w:rPr>
          <w:rFonts w:eastAsia="Calibri"/>
          <w:lang w:val="es-ES" w:eastAsia="en-US"/>
        </w:rPr>
        <w:t xml:space="preserve">El grupo de los inhibidores de la enzima ciclooxigenasa-1 (COX-1, implicada en la síntesis de tromboxano A2 (TXA2), un potente activador de la agregación), está compuesto por el ácido acetilsalicílico (AAS, aspirina), el </w:t>
      </w:r>
      <w:proofErr w:type="spellStart"/>
      <w:r w:rsidRPr="00413132">
        <w:rPr>
          <w:rFonts w:eastAsia="Calibri"/>
          <w:lang w:val="es-ES" w:eastAsia="en-US"/>
        </w:rPr>
        <w:t>triflusal</w:t>
      </w:r>
      <w:proofErr w:type="spellEnd"/>
      <w:r w:rsidRPr="00413132">
        <w:rPr>
          <w:rFonts w:eastAsia="Calibri"/>
          <w:lang w:val="es-ES" w:eastAsia="en-US"/>
        </w:rPr>
        <w:t xml:space="preserve"> y los analgésicos antiinflamatorios no esteroideos (AINE). El AAS es el antiagregante más utilizado y produce una rápida e irreversible inhibición de la COX-1, cuyo efecto puede prolongarse hasta un máximo de 7 -10 días. La recuperación de la función plaquetaria requiere la renovación de la población plaquetaria inhibida (cada día se generan un 10 – 15 % de nuevas </w:t>
      </w:r>
      <w:r w:rsidRPr="00413132">
        <w:rPr>
          <w:rFonts w:eastAsia="Calibri"/>
          <w:lang w:val="es-ES" w:eastAsia="en-US"/>
        </w:rPr>
        <w:lastRenderedPageBreak/>
        <w:t xml:space="preserve">plaquetas), por lo que la hemostasia se normaliza en 2 - 3 días tras interrumpir el tratamiento, en función del recambio plaquetario en pacientes con un recuento plaquetario normal. Los AINE desarrollan su efecto inhibiendo las COX-1 y COX-2, como consecuencia, poseen propiedades antiagregantes con una duración media inferior a 12 h. Aunque algunos compuestos pueden tener un efecto más prolongado, debido a su larga semivida de eliminación plasmática (ejemplo: </w:t>
      </w:r>
      <w:proofErr w:type="spellStart"/>
      <w:r w:rsidRPr="00413132">
        <w:rPr>
          <w:rFonts w:eastAsia="Calibri"/>
          <w:lang w:val="es-ES" w:eastAsia="en-US"/>
        </w:rPr>
        <w:t>oxicams</w:t>
      </w:r>
      <w:proofErr w:type="spellEnd"/>
      <w:proofErr w:type="gramStart"/>
      <w:r w:rsidRPr="00413132">
        <w:rPr>
          <w:rFonts w:eastAsia="Calibri"/>
          <w:lang w:val="es-ES" w:eastAsia="en-US"/>
        </w:rPr>
        <w:t>).</w:t>
      </w:r>
      <w:r w:rsidRPr="00413132">
        <w:rPr>
          <w:rFonts w:eastAsia="Calibri"/>
          <w:vertAlign w:val="superscript"/>
          <w:lang w:val="es-ES" w:eastAsia="en-US"/>
        </w:rPr>
        <w:t>(</w:t>
      </w:r>
      <w:proofErr w:type="gramEnd"/>
      <w:r w:rsidRPr="00413132">
        <w:rPr>
          <w:rFonts w:eastAsia="Calibri"/>
          <w:vertAlign w:val="superscript"/>
          <w:lang w:val="es-ES" w:eastAsia="en-US"/>
        </w:rPr>
        <w:t>17,18)</w:t>
      </w:r>
    </w:p>
    <w:p w14:paraId="7DA97685"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Los antagonistas del receptor P2Y12 (</w:t>
      </w:r>
      <w:proofErr w:type="spellStart"/>
      <w:r w:rsidRPr="00413132">
        <w:rPr>
          <w:rFonts w:eastAsia="Calibri"/>
          <w:lang w:val="es-ES" w:eastAsia="en-US"/>
        </w:rPr>
        <w:t>tienopiridinas</w:t>
      </w:r>
      <w:proofErr w:type="spellEnd"/>
      <w:r w:rsidRPr="00413132">
        <w:rPr>
          <w:rFonts w:eastAsia="Calibri"/>
          <w:lang w:val="es-ES" w:eastAsia="en-US"/>
        </w:rPr>
        <w:t xml:space="preserve">) como lo son </w:t>
      </w:r>
      <w:proofErr w:type="spellStart"/>
      <w:r w:rsidRPr="00413132">
        <w:rPr>
          <w:rFonts w:eastAsia="Calibri"/>
          <w:lang w:val="es-ES" w:eastAsia="en-US"/>
        </w:rPr>
        <w:t>clopidogrel</w:t>
      </w:r>
      <w:proofErr w:type="spellEnd"/>
      <w:r w:rsidRPr="00413132">
        <w:rPr>
          <w:rFonts w:eastAsia="Calibri"/>
          <w:lang w:val="es-ES" w:eastAsia="en-US"/>
        </w:rPr>
        <w:t xml:space="preserve">, </w:t>
      </w:r>
      <w:proofErr w:type="spellStart"/>
      <w:r w:rsidRPr="00413132">
        <w:rPr>
          <w:rFonts w:eastAsia="Calibri"/>
          <w:lang w:val="es-ES" w:eastAsia="en-US"/>
        </w:rPr>
        <w:t>prasugrel</w:t>
      </w:r>
      <w:proofErr w:type="spellEnd"/>
      <w:r w:rsidRPr="00413132">
        <w:rPr>
          <w:rFonts w:eastAsia="Calibri"/>
          <w:lang w:val="es-ES" w:eastAsia="en-US"/>
        </w:rPr>
        <w:t xml:space="preserve">, y ticagrelor (no </w:t>
      </w:r>
      <w:proofErr w:type="spellStart"/>
      <w:r w:rsidRPr="00413132">
        <w:rPr>
          <w:rFonts w:eastAsia="Calibri"/>
          <w:lang w:val="es-ES" w:eastAsia="en-US"/>
        </w:rPr>
        <w:t>tienopiridina</w:t>
      </w:r>
      <w:proofErr w:type="spellEnd"/>
      <w:r w:rsidRPr="00413132">
        <w:rPr>
          <w:rFonts w:eastAsia="Calibri"/>
          <w:lang w:val="es-ES" w:eastAsia="en-US"/>
        </w:rPr>
        <w:t xml:space="preserve">) son los compuestos usados en la práctica clínica. El </w:t>
      </w:r>
      <w:proofErr w:type="spellStart"/>
      <w:r w:rsidRPr="00413132">
        <w:rPr>
          <w:rFonts w:eastAsia="Calibri"/>
          <w:lang w:val="es-ES" w:eastAsia="en-US"/>
        </w:rPr>
        <w:t>clopidogrel</w:t>
      </w:r>
      <w:proofErr w:type="spellEnd"/>
      <w:r w:rsidRPr="00413132">
        <w:rPr>
          <w:rFonts w:eastAsia="Calibri"/>
          <w:lang w:val="es-ES" w:eastAsia="en-US"/>
        </w:rPr>
        <w:t xml:space="preserve"> y </w:t>
      </w:r>
      <w:proofErr w:type="spellStart"/>
      <w:r w:rsidRPr="00413132">
        <w:rPr>
          <w:rFonts w:eastAsia="Calibri"/>
          <w:lang w:val="es-ES" w:eastAsia="en-US"/>
        </w:rPr>
        <w:t>prasugrel</w:t>
      </w:r>
      <w:proofErr w:type="spellEnd"/>
      <w:r w:rsidRPr="00413132">
        <w:rPr>
          <w:rFonts w:eastAsia="Calibri"/>
          <w:lang w:val="es-ES" w:eastAsia="en-US"/>
        </w:rPr>
        <w:t xml:space="preserve"> son profármacos que precisan de una activación metabólica previa para actuar. El </w:t>
      </w:r>
      <w:proofErr w:type="spellStart"/>
      <w:r w:rsidRPr="00413132">
        <w:rPr>
          <w:rFonts w:eastAsia="Calibri"/>
          <w:lang w:val="es-ES" w:eastAsia="en-US"/>
        </w:rPr>
        <w:t>clopidogrel</w:t>
      </w:r>
      <w:proofErr w:type="spellEnd"/>
      <w:r w:rsidRPr="00413132">
        <w:rPr>
          <w:rFonts w:eastAsia="Calibri"/>
          <w:lang w:val="es-ES" w:eastAsia="en-US"/>
        </w:rPr>
        <w:t xml:space="preserve"> presenta varias limitaciones: absorción errática, un lento comienzo de acción y efecto antiagregante variable (inhibición 50 – 60 %) relacionado en parte con determinados polimorfismos genéticos. Requiere activación metabólica en dos fases (ambas de oxidación), principalmente por el CYP2C19 y presenta frecuentes interacciones. La absorción oral de </w:t>
      </w:r>
      <w:proofErr w:type="spellStart"/>
      <w:r w:rsidRPr="00413132">
        <w:rPr>
          <w:rFonts w:eastAsia="Calibri"/>
          <w:lang w:val="es-ES" w:eastAsia="en-US"/>
        </w:rPr>
        <w:t>prasugrel</w:t>
      </w:r>
      <w:proofErr w:type="spellEnd"/>
      <w:r w:rsidRPr="00413132">
        <w:rPr>
          <w:rFonts w:eastAsia="Calibri"/>
          <w:lang w:val="es-ES" w:eastAsia="en-US"/>
        </w:rPr>
        <w:t xml:space="preserve"> es mayor y requiere menor activación metabólica (hidrólisis por esterasas intestinales y un único proceso de oxidación, que adquiere mayor importancia en los citocromos CYP3A4 y CYP2B6), lo cual conlleva que tenga un efecto antiagregante más rápido, potente (inhibición 80 %) y más constante que el </w:t>
      </w:r>
      <w:proofErr w:type="spellStart"/>
      <w:r w:rsidRPr="00413132">
        <w:rPr>
          <w:rFonts w:eastAsia="Calibri"/>
          <w:lang w:val="es-ES" w:eastAsia="en-US"/>
        </w:rPr>
        <w:t>clopidogrel</w:t>
      </w:r>
      <w:proofErr w:type="spellEnd"/>
      <w:r w:rsidRPr="00413132">
        <w:rPr>
          <w:rFonts w:eastAsia="Calibri"/>
          <w:lang w:val="es-ES" w:eastAsia="en-US"/>
        </w:rPr>
        <w:t xml:space="preserve">. </w:t>
      </w:r>
    </w:p>
    <w:p w14:paraId="6934D668" w14:textId="77777777" w:rsidR="00413132" w:rsidRPr="00413132" w:rsidRDefault="00413132" w:rsidP="00413132">
      <w:pPr>
        <w:spacing w:line="360" w:lineRule="auto"/>
        <w:jc w:val="both"/>
        <w:rPr>
          <w:rFonts w:eastAsia="Calibri"/>
          <w:lang w:val="es-ES" w:eastAsia="en-US"/>
        </w:rPr>
      </w:pPr>
    </w:p>
    <w:p w14:paraId="2B124AFE" w14:textId="77777777" w:rsidR="00413132" w:rsidRPr="00413132" w:rsidRDefault="00413132" w:rsidP="00413132">
      <w:pPr>
        <w:spacing w:line="360" w:lineRule="auto"/>
        <w:jc w:val="center"/>
        <w:rPr>
          <w:rFonts w:eastAsia="Calibri"/>
          <w:sz w:val="22"/>
          <w:szCs w:val="22"/>
          <w:lang w:val="es-ES" w:eastAsia="en-US"/>
        </w:rPr>
      </w:pPr>
      <w:r w:rsidRPr="00413132">
        <w:rPr>
          <w:rFonts w:eastAsia="Calibri"/>
          <w:b/>
          <w:bCs/>
          <w:sz w:val="22"/>
          <w:szCs w:val="22"/>
          <w:lang w:val="es-CU" w:eastAsia="en-US"/>
        </w:rPr>
        <w:t xml:space="preserve">Tabla 1 - </w:t>
      </w:r>
      <w:r w:rsidRPr="00413132">
        <w:rPr>
          <w:rFonts w:eastAsia="Calibri"/>
          <w:bCs/>
          <w:sz w:val="22"/>
          <w:szCs w:val="22"/>
          <w:lang w:val="es-CU" w:eastAsia="en-US"/>
        </w:rPr>
        <w:t>Clasificación de los medicamentos antiplaquetarios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786"/>
        <w:gridCol w:w="1417"/>
      </w:tblGrid>
      <w:tr w:rsidR="00413132" w:rsidRPr="00413132" w14:paraId="2C332F06" w14:textId="77777777" w:rsidTr="00D53CB7">
        <w:trPr>
          <w:jc w:val="center"/>
        </w:trPr>
        <w:tc>
          <w:tcPr>
            <w:tcW w:w="0" w:type="auto"/>
            <w:shd w:val="clear" w:color="auto" w:fill="auto"/>
            <w:vAlign w:val="center"/>
          </w:tcPr>
          <w:p w14:paraId="77D3CBBC" w14:textId="77777777" w:rsidR="00413132" w:rsidRPr="00413132" w:rsidRDefault="00413132" w:rsidP="00413132">
            <w:pPr>
              <w:spacing w:line="360" w:lineRule="auto"/>
              <w:jc w:val="both"/>
              <w:rPr>
                <w:rFonts w:eastAsia="Calibri"/>
                <w:b/>
                <w:bCs/>
                <w:sz w:val="18"/>
                <w:szCs w:val="18"/>
                <w:lang w:val="es-ES" w:eastAsia="en-US"/>
              </w:rPr>
            </w:pPr>
            <w:r w:rsidRPr="00413132">
              <w:rPr>
                <w:rFonts w:eastAsia="Calibri"/>
                <w:b/>
                <w:bCs/>
                <w:color w:val="000000"/>
                <w:sz w:val="18"/>
                <w:szCs w:val="18"/>
                <w:lang w:val="es-ES" w:eastAsia="en-US"/>
              </w:rPr>
              <w:t xml:space="preserve">Sitio de acción                                               </w:t>
            </w:r>
          </w:p>
        </w:tc>
        <w:tc>
          <w:tcPr>
            <w:tcW w:w="0" w:type="auto"/>
            <w:shd w:val="clear" w:color="auto" w:fill="auto"/>
            <w:vAlign w:val="center"/>
          </w:tcPr>
          <w:p w14:paraId="133BE6DB" w14:textId="77777777" w:rsidR="00413132" w:rsidRPr="00413132" w:rsidRDefault="00413132" w:rsidP="00413132">
            <w:pPr>
              <w:spacing w:line="360" w:lineRule="auto"/>
              <w:jc w:val="both"/>
              <w:rPr>
                <w:rFonts w:eastAsia="Calibri"/>
                <w:b/>
                <w:bCs/>
                <w:sz w:val="18"/>
                <w:szCs w:val="18"/>
                <w:lang w:val="es-ES" w:eastAsia="en-US"/>
              </w:rPr>
            </w:pPr>
            <w:r w:rsidRPr="00413132">
              <w:rPr>
                <w:rFonts w:eastAsia="Calibri"/>
                <w:b/>
                <w:bCs/>
                <w:color w:val="000000"/>
                <w:sz w:val="18"/>
                <w:szCs w:val="18"/>
                <w:lang w:val="es-ES" w:eastAsia="en-US"/>
              </w:rPr>
              <w:t>Fármaco</w:t>
            </w:r>
          </w:p>
        </w:tc>
        <w:tc>
          <w:tcPr>
            <w:tcW w:w="0" w:type="auto"/>
            <w:shd w:val="clear" w:color="auto" w:fill="auto"/>
            <w:vAlign w:val="center"/>
          </w:tcPr>
          <w:p w14:paraId="7C142743" w14:textId="77777777" w:rsidR="00413132" w:rsidRPr="00413132" w:rsidRDefault="00413132" w:rsidP="00413132">
            <w:pPr>
              <w:spacing w:line="360" w:lineRule="auto"/>
              <w:jc w:val="both"/>
              <w:rPr>
                <w:rFonts w:eastAsia="Calibri"/>
                <w:b/>
                <w:bCs/>
                <w:sz w:val="18"/>
                <w:szCs w:val="18"/>
                <w:lang w:val="es-ES" w:eastAsia="en-US"/>
              </w:rPr>
            </w:pPr>
            <w:r w:rsidRPr="00413132">
              <w:rPr>
                <w:rFonts w:eastAsia="Calibri"/>
                <w:b/>
                <w:bCs/>
                <w:sz w:val="18"/>
                <w:szCs w:val="18"/>
                <w:lang w:val="es-ES" w:eastAsia="en-US"/>
              </w:rPr>
              <w:t>Administración</w:t>
            </w:r>
          </w:p>
        </w:tc>
      </w:tr>
      <w:tr w:rsidR="00413132" w:rsidRPr="00413132" w14:paraId="0EE4C114" w14:textId="77777777" w:rsidTr="00D53CB7">
        <w:trPr>
          <w:jc w:val="center"/>
        </w:trPr>
        <w:tc>
          <w:tcPr>
            <w:tcW w:w="0" w:type="auto"/>
            <w:shd w:val="clear" w:color="auto" w:fill="auto"/>
            <w:vAlign w:val="center"/>
          </w:tcPr>
          <w:p w14:paraId="429FD26B"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 xml:space="preserve">Inhibidor de la ciclooxigenasa    </w:t>
            </w:r>
          </w:p>
        </w:tc>
        <w:tc>
          <w:tcPr>
            <w:tcW w:w="0" w:type="auto"/>
            <w:shd w:val="clear" w:color="auto" w:fill="auto"/>
            <w:vAlign w:val="center"/>
          </w:tcPr>
          <w:p w14:paraId="08583987"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 xml:space="preserve">Ácido acetil salicílico           </w:t>
            </w:r>
          </w:p>
        </w:tc>
        <w:tc>
          <w:tcPr>
            <w:tcW w:w="0" w:type="auto"/>
            <w:shd w:val="clear" w:color="auto" w:fill="auto"/>
            <w:vAlign w:val="center"/>
          </w:tcPr>
          <w:p w14:paraId="3BA39DAD"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 rectal</w:t>
            </w:r>
          </w:p>
        </w:tc>
      </w:tr>
      <w:tr w:rsidR="00413132" w:rsidRPr="00413132" w14:paraId="5577DD16" w14:textId="77777777" w:rsidTr="00D53CB7">
        <w:trPr>
          <w:jc w:val="center"/>
        </w:trPr>
        <w:tc>
          <w:tcPr>
            <w:tcW w:w="0" w:type="auto"/>
            <w:shd w:val="clear" w:color="auto" w:fill="auto"/>
            <w:vAlign w:val="center"/>
          </w:tcPr>
          <w:p w14:paraId="78CFDDD3"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Inhibidores de receptor P2Y</w:t>
            </w:r>
            <w:r w:rsidRPr="00413132">
              <w:rPr>
                <w:rFonts w:eastAsia="Calibri"/>
                <w:sz w:val="18"/>
                <w:szCs w:val="18"/>
                <w:vertAlign w:val="subscript"/>
                <w:lang w:val="es-ES" w:eastAsia="en-US"/>
              </w:rPr>
              <w:t xml:space="preserve">2          </w:t>
            </w:r>
            <w:r w:rsidRPr="00413132">
              <w:rPr>
                <w:rFonts w:eastAsia="Calibri"/>
                <w:sz w:val="18"/>
                <w:szCs w:val="18"/>
                <w:lang w:val="es-ES" w:eastAsia="en-US"/>
              </w:rPr>
              <w:t xml:space="preserve">                           </w:t>
            </w:r>
          </w:p>
          <w:p w14:paraId="597DE561"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w:t>
            </w:r>
            <w:proofErr w:type="spellStart"/>
            <w:r w:rsidRPr="00413132">
              <w:rPr>
                <w:rFonts w:eastAsia="Calibri"/>
                <w:sz w:val="18"/>
                <w:szCs w:val="18"/>
                <w:lang w:val="es-ES" w:eastAsia="en-US"/>
              </w:rPr>
              <w:t>Tienopiridina</w:t>
            </w:r>
            <w:proofErr w:type="spellEnd"/>
            <w:r w:rsidRPr="00413132">
              <w:rPr>
                <w:rFonts w:eastAsia="Calibri"/>
                <w:sz w:val="18"/>
                <w:szCs w:val="18"/>
                <w:lang w:val="es-ES" w:eastAsia="en-US"/>
              </w:rPr>
              <w:t>)</w:t>
            </w:r>
          </w:p>
        </w:tc>
        <w:tc>
          <w:tcPr>
            <w:tcW w:w="0" w:type="auto"/>
            <w:shd w:val="clear" w:color="auto" w:fill="auto"/>
            <w:vAlign w:val="center"/>
          </w:tcPr>
          <w:p w14:paraId="4DD5B2A6"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Ticlopidina</w:t>
            </w:r>
            <w:proofErr w:type="spellEnd"/>
            <w:r w:rsidRPr="00413132">
              <w:rPr>
                <w:rFonts w:eastAsia="Calibri"/>
                <w:sz w:val="18"/>
                <w:szCs w:val="18"/>
                <w:lang w:val="es-ES" w:eastAsia="en-US"/>
              </w:rPr>
              <w:t xml:space="preserve">                            </w:t>
            </w:r>
          </w:p>
          <w:p w14:paraId="1A33602D"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Clopidogrel</w:t>
            </w:r>
            <w:proofErr w:type="spellEnd"/>
            <w:r w:rsidRPr="00413132">
              <w:rPr>
                <w:rFonts w:eastAsia="Calibri"/>
                <w:sz w:val="18"/>
                <w:szCs w:val="18"/>
                <w:lang w:val="es-ES" w:eastAsia="en-US"/>
              </w:rPr>
              <w:t xml:space="preserve">   </w:t>
            </w:r>
          </w:p>
          <w:p w14:paraId="3FFD57F8"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Prasugrel</w:t>
            </w:r>
          </w:p>
        </w:tc>
        <w:tc>
          <w:tcPr>
            <w:tcW w:w="0" w:type="auto"/>
            <w:shd w:val="clear" w:color="auto" w:fill="auto"/>
            <w:vAlign w:val="center"/>
          </w:tcPr>
          <w:p w14:paraId="752492B7"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p w14:paraId="171D7D94"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p w14:paraId="61675D6C"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tc>
      </w:tr>
      <w:tr w:rsidR="00413132" w:rsidRPr="00413132" w14:paraId="78EEEA0A" w14:textId="77777777" w:rsidTr="00D53CB7">
        <w:trPr>
          <w:trHeight w:val="916"/>
          <w:jc w:val="center"/>
        </w:trPr>
        <w:tc>
          <w:tcPr>
            <w:tcW w:w="0" w:type="auto"/>
            <w:shd w:val="clear" w:color="auto" w:fill="auto"/>
            <w:vAlign w:val="center"/>
          </w:tcPr>
          <w:p w14:paraId="7269818F" w14:textId="77777777" w:rsidR="00413132" w:rsidRPr="00413132" w:rsidRDefault="00413132" w:rsidP="00413132">
            <w:pPr>
              <w:spacing w:line="360" w:lineRule="auto"/>
              <w:jc w:val="both"/>
              <w:rPr>
                <w:rFonts w:eastAsia="Calibri"/>
                <w:sz w:val="18"/>
                <w:szCs w:val="18"/>
                <w:vertAlign w:val="subscript"/>
                <w:lang w:val="es-ES" w:eastAsia="en-US"/>
              </w:rPr>
            </w:pPr>
            <w:r w:rsidRPr="00413132">
              <w:rPr>
                <w:rFonts w:eastAsia="Calibri"/>
                <w:sz w:val="18"/>
                <w:szCs w:val="18"/>
                <w:lang w:val="es-ES" w:eastAsia="en-US"/>
              </w:rPr>
              <w:t>Inhibidores de receptorP2Y</w:t>
            </w:r>
            <w:r w:rsidRPr="00413132">
              <w:rPr>
                <w:rFonts w:eastAsia="Calibri"/>
                <w:sz w:val="18"/>
                <w:szCs w:val="18"/>
                <w:vertAlign w:val="subscript"/>
                <w:lang w:val="es-ES" w:eastAsia="en-US"/>
              </w:rPr>
              <w:t xml:space="preserve">2  </w:t>
            </w:r>
          </w:p>
          <w:p w14:paraId="549C52B8"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 xml:space="preserve">(No </w:t>
            </w:r>
            <w:proofErr w:type="spellStart"/>
            <w:r w:rsidRPr="00413132">
              <w:rPr>
                <w:rFonts w:eastAsia="Calibri"/>
                <w:sz w:val="18"/>
                <w:szCs w:val="18"/>
                <w:lang w:val="es-ES" w:eastAsia="en-US"/>
              </w:rPr>
              <w:t>tienopiridina</w:t>
            </w:r>
            <w:proofErr w:type="spellEnd"/>
            <w:r w:rsidRPr="00413132">
              <w:rPr>
                <w:rFonts w:eastAsia="Calibri"/>
                <w:sz w:val="18"/>
                <w:szCs w:val="18"/>
                <w:lang w:val="es-ES" w:eastAsia="en-US"/>
              </w:rPr>
              <w:t>)</w:t>
            </w:r>
          </w:p>
        </w:tc>
        <w:tc>
          <w:tcPr>
            <w:tcW w:w="0" w:type="auto"/>
            <w:shd w:val="clear" w:color="auto" w:fill="auto"/>
            <w:vAlign w:val="center"/>
          </w:tcPr>
          <w:p w14:paraId="0C1E3BC8"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 xml:space="preserve">Ticagrelor </w:t>
            </w:r>
          </w:p>
          <w:p w14:paraId="7EE82073"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Cangrelor</w:t>
            </w:r>
            <w:proofErr w:type="spellEnd"/>
            <w:r w:rsidRPr="00413132">
              <w:rPr>
                <w:rFonts w:eastAsia="Calibri"/>
                <w:sz w:val="18"/>
                <w:szCs w:val="18"/>
                <w:lang w:val="es-ES" w:eastAsia="en-US"/>
              </w:rPr>
              <w:t xml:space="preserve">  </w:t>
            </w:r>
          </w:p>
          <w:p w14:paraId="2A31CFD8"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Elinogrel</w:t>
            </w:r>
            <w:proofErr w:type="spellEnd"/>
          </w:p>
        </w:tc>
        <w:tc>
          <w:tcPr>
            <w:tcW w:w="0" w:type="auto"/>
            <w:shd w:val="clear" w:color="auto" w:fill="auto"/>
            <w:vAlign w:val="center"/>
          </w:tcPr>
          <w:p w14:paraId="53FF52E1"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p w14:paraId="051B7189"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IV</w:t>
            </w:r>
          </w:p>
          <w:p w14:paraId="08DF488C"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 IV</w:t>
            </w:r>
          </w:p>
        </w:tc>
      </w:tr>
      <w:tr w:rsidR="00413132" w:rsidRPr="00413132" w14:paraId="146ED82B" w14:textId="77777777" w:rsidTr="00D53CB7">
        <w:trPr>
          <w:trHeight w:val="829"/>
          <w:jc w:val="center"/>
        </w:trPr>
        <w:tc>
          <w:tcPr>
            <w:tcW w:w="0" w:type="auto"/>
            <w:shd w:val="clear" w:color="auto" w:fill="auto"/>
            <w:vAlign w:val="center"/>
          </w:tcPr>
          <w:p w14:paraId="009570E8"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 xml:space="preserve">Inhibidores </w:t>
            </w:r>
            <w:proofErr w:type="spellStart"/>
            <w:r w:rsidRPr="00413132">
              <w:rPr>
                <w:rFonts w:eastAsia="Calibri"/>
                <w:sz w:val="18"/>
                <w:szCs w:val="18"/>
                <w:lang w:val="es-ES" w:eastAsia="en-US"/>
              </w:rPr>
              <w:t>Gp</w:t>
            </w:r>
            <w:proofErr w:type="spellEnd"/>
            <w:r w:rsidRPr="00413132">
              <w:rPr>
                <w:rFonts w:eastAsia="Calibri"/>
                <w:sz w:val="18"/>
                <w:szCs w:val="18"/>
                <w:lang w:val="es-ES" w:eastAsia="en-US"/>
              </w:rPr>
              <w:t xml:space="preserve"> IIB/IIIA </w:t>
            </w:r>
          </w:p>
        </w:tc>
        <w:tc>
          <w:tcPr>
            <w:tcW w:w="0" w:type="auto"/>
            <w:shd w:val="clear" w:color="auto" w:fill="auto"/>
            <w:vAlign w:val="center"/>
          </w:tcPr>
          <w:p w14:paraId="00191DB9"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Abcixcimab</w:t>
            </w:r>
            <w:proofErr w:type="spellEnd"/>
            <w:r w:rsidRPr="00413132">
              <w:rPr>
                <w:rFonts w:eastAsia="Calibri"/>
                <w:sz w:val="18"/>
                <w:szCs w:val="18"/>
                <w:lang w:val="es-ES" w:eastAsia="en-US"/>
              </w:rPr>
              <w:t xml:space="preserve"> </w:t>
            </w:r>
          </w:p>
          <w:p w14:paraId="5E95E07A" w14:textId="77777777" w:rsidR="00413132" w:rsidRPr="00413132" w:rsidRDefault="00413132" w:rsidP="00413132">
            <w:pPr>
              <w:spacing w:line="360" w:lineRule="auto"/>
              <w:jc w:val="both"/>
              <w:rPr>
                <w:rFonts w:eastAsia="Calibri"/>
                <w:sz w:val="18"/>
                <w:szCs w:val="18"/>
                <w:lang w:val="es-CU" w:eastAsia="en-US"/>
              </w:rPr>
            </w:pPr>
            <w:proofErr w:type="spellStart"/>
            <w:r w:rsidRPr="00413132">
              <w:rPr>
                <w:rFonts w:eastAsia="Calibri"/>
                <w:sz w:val="18"/>
                <w:szCs w:val="18"/>
                <w:lang w:val="es-CU" w:eastAsia="en-US"/>
              </w:rPr>
              <w:t>Tirofibán</w:t>
            </w:r>
            <w:proofErr w:type="spellEnd"/>
            <w:r w:rsidRPr="00413132">
              <w:rPr>
                <w:rFonts w:eastAsia="Calibri"/>
                <w:sz w:val="18"/>
                <w:szCs w:val="18"/>
                <w:lang w:val="es-CU" w:eastAsia="en-US"/>
              </w:rPr>
              <w:t xml:space="preserve"> </w:t>
            </w:r>
          </w:p>
          <w:p w14:paraId="36D19C58"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CU" w:eastAsia="en-US"/>
              </w:rPr>
              <w:t>Eptifibatide</w:t>
            </w:r>
            <w:proofErr w:type="spellEnd"/>
          </w:p>
        </w:tc>
        <w:tc>
          <w:tcPr>
            <w:tcW w:w="0" w:type="auto"/>
            <w:shd w:val="clear" w:color="auto" w:fill="auto"/>
            <w:vAlign w:val="center"/>
          </w:tcPr>
          <w:p w14:paraId="2267BE80"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IV</w:t>
            </w:r>
          </w:p>
          <w:p w14:paraId="010408E0"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IV</w:t>
            </w:r>
          </w:p>
          <w:p w14:paraId="12D51AB9"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IV</w:t>
            </w:r>
          </w:p>
        </w:tc>
      </w:tr>
      <w:tr w:rsidR="00413132" w:rsidRPr="00413132" w14:paraId="3B69F037" w14:textId="77777777" w:rsidTr="00D53CB7">
        <w:trPr>
          <w:jc w:val="center"/>
        </w:trPr>
        <w:tc>
          <w:tcPr>
            <w:tcW w:w="0" w:type="auto"/>
            <w:shd w:val="clear" w:color="auto" w:fill="auto"/>
            <w:vAlign w:val="center"/>
          </w:tcPr>
          <w:p w14:paraId="7B67A7FF"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 xml:space="preserve">Inhibidor de la fosfodiesterasa    </w:t>
            </w:r>
          </w:p>
        </w:tc>
        <w:tc>
          <w:tcPr>
            <w:tcW w:w="0" w:type="auto"/>
            <w:shd w:val="clear" w:color="auto" w:fill="auto"/>
            <w:vAlign w:val="center"/>
          </w:tcPr>
          <w:p w14:paraId="52A4D6F0"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Dipiridamol</w:t>
            </w:r>
            <w:proofErr w:type="spellEnd"/>
            <w:r w:rsidRPr="00413132">
              <w:rPr>
                <w:rFonts w:eastAsia="Calibri"/>
                <w:sz w:val="18"/>
                <w:szCs w:val="18"/>
                <w:lang w:val="es-ES" w:eastAsia="en-US"/>
              </w:rPr>
              <w:t xml:space="preserve"> </w:t>
            </w:r>
          </w:p>
          <w:p w14:paraId="18D689A2"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Cilostazol</w:t>
            </w:r>
            <w:proofErr w:type="spellEnd"/>
          </w:p>
        </w:tc>
        <w:tc>
          <w:tcPr>
            <w:tcW w:w="0" w:type="auto"/>
            <w:shd w:val="clear" w:color="auto" w:fill="auto"/>
            <w:vAlign w:val="center"/>
          </w:tcPr>
          <w:p w14:paraId="796ADA86"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p w14:paraId="134E3C3F"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tc>
      </w:tr>
      <w:tr w:rsidR="00413132" w:rsidRPr="00413132" w14:paraId="6F2B64CC" w14:textId="77777777" w:rsidTr="00D53CB7">
        <w:trPr>
          <w:jc w:val="center"/>
        </w:trPr>
        <w:tc>
          <w:tcPr>
            <w:tcW w:w="0" w:type="auto"/>
            <w:shd w:val="clear" w:color="auto" w:fill="auto"/>
            <w:vAlign w:val="center"/>
          </w:tcPr>
          <w:p w14:paraId="6A3131B7"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Inhibidor PAR(Trombina)</w:t>
            </w:r>
          </w:p>
        </w:tc>
        <w:tc>
          <w:tcPr>
            <w:tcW w:w="0" w:type="auto"/>
            <w:shd w:val="clear" w:color="auto" w:fill="auto"/>
            <w:vAlign w:val="center"/>
          </w:tcPr>
          <w:p w14:paraId="7C4D1B1C"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Varopaxar</w:t>
            </w:r>
            <w:proofErr w:type="spellEnd"/>
          </w:p>
          <w:p w14:paraId="3515F503" w14:textId="77777777" w:rsidR="00413132" w:rsidRPr="00413132" w:rsidRDefault="00413132" w:rsidP="00413132">
            <w:pPr>
              <w:spacing w:line="360" w:lineRule="auto"/>
              <w:jc w:val="both"/>
              <w:rPr>
                <w:rFonts w:eastAsia="Calibri"/>
                <w:sz w:val="18"/>
                <w:szCs w:val="18"/>
                <w:lang w:val="es-ES" w:eastAsia="en-US"/>
              </w:rPr>
            </w:pPr>
            <w:proofErr w:type="spellStart"/>
            <w:r w:rsidRPr="00413132">
              <w:rPr>
                <w:rFonts w:eastAsia="Calibri"/>
                <w:sz w:val="18"/>
                <w:szCs w:val="18"/>
                <w:lang w:val="es-ES" w:eastAsia="en-US"/>
              </w:rPr>
              <w:t>Atopaxar</w:t>
            </w:r>
            <w:proofErr w:type="spellEnd"/>
            <w:r w:rsidRPr="00413132">
              <w:rPr>
                <w:rFonts w:eastAsia="Calibri"/>
                <w:sz w:val="18"/>
                <w:szCs w:val="18"/>
                <w:lang w:val="es-ES" w:eastAsia="en-US"/>
              </w:rPr>
              <w:t xml:space="preserve">  </w:t>
            </w:r>
          </w:p>
        </w:tc>
        <w:tc>
          <w:tcPr>
            <w:tcW w:w="0" w:type="auto"/>
            <w:shd w:val="clear" w:color="auto" w:fill="auto"/>
            <w:vAlign w:val="center"/>
          </w:tcPr>
          <w:p w14:paraId="2665470A"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p w14:paraId="16630109" w14:textId="77777777" w:rsidR="00413132" w:rsidRPr="00413132" w:rsidRDefault="00413132" w:rsidP="00413132">
            <w:pPr>
              <w:spacing w:line="360" w:lineRule="auto"/>
              <w:jc w:val="both"/>
              <w:rPr>
                <w:rFonts w:eastAsia="Calibri"/>
                <w:sz w:val="18"/>
                <w:szCs w:val="18"/>
                <w:lang w:val="es-ES" w:eastAsia="en-US"/>
              </w:rPr>
            </w:pPr>
            <w:r w:rsidRPr="00413132">
              <w:rPr>
                <w:rFonts w:eastAsia="Calibri"/>
                <w:sz w:val="18"/>
                <w:szCs w:val="18"/>
                <w:lang w:val="es-ES" w:eastAsia="en-US"/>
              </w:rPr>
              <w:t>Oral</w:t>
            </w:r>
          </w:p>
        </w:tc>
      </w:tr>
    </w:tbl>
    <w:p w14:paraId="6EC6DE97" w14:textId="77777777" w:rsidR="00413132" w:rsidRPr="00413132" w:rsidRDefault="00413132" w:rsidP="00413132">
      <w:pPr>
        <w:spacing w:line="360" w:lineRule="auto"/>
        <w:jc w:val="center"/>
        <w:rPr>
          <w:rFonts w:eastAsia="Calibri"/>
          <w:bCs/>
          <w:iCs/>
          <w:color w:val="000000"/>
          <w:sz w:val="16"/>
          <w:szCs w:val="16"/>
          <w:lang w:val="es-ES" w:eastAsia="en-US"/>
        </w:rPr>
      </w:pPr>
      <w:r w:rsidRPr="00413132">
        <w:rPr>
          <w:rFonts w:eastAsia="Calibri"/>
          <w:bCs/>
          <w:iCs/>
          <w:color w:val="000000"/>
          <w:sz w:val="16"/>
          <w:szCs w:val="16"/>
          <w:lang w:val="es-ES" w:eastAsia="en-US"/>
        </w:rPr>
        <w:t xml:space="preserve">Fuente: </w:t>
      </w:r>
      <w:r w:rsidRPr="00413132">
        <w:rPr>
          <w:rFonts w:eastAsia="Calibri"/>
          <w:bCs/>
          <w:i/>
          <w:color w:val="000000"/>
          <w:sz w:val="16"/>
          <w:szCs w:val="16"/>
          <w:lang w:val="es-ES" w:eastAsia="en-US"/>
        </w:rPr>
        <w:t>Sierra</w:t>
      </w:r>
      <w:r w:rsidRPr="00413132">
        <w:rPr>
          <w:rFonts w:eastAsia="Calibri"/>
          <w:bCs/>
          <w:iCs/>
          <w:color w:val="000000"/>
          <w:sz w:val="16"/>
          <w:szCs w:val="16"/>
          <w:lang w:val="es-ES" w:eastAsia="en-US"/>
        </w:rPr>
        <w:t xml:space="preserve"> y </w:t>
      </w:r>
      <w:proofErr w:type="gramStart"/>
      <w:r w:rsidRPr="00413132">
        <w:rPr>
          <w:rFonts w:eastAsia="Calibri"/>
          <w:bCs/>
          <w:iCs/>
          <w:color w:val="000000"/>
          <w:sz w:val="16"/>
          <w:szCs w:val="16"/>
          <w:lang w:val="es-ES" w:eastAsia="en-US"/>
        </w:rPr>
        <w:t>otros.</w:t>
      </w:r>
      <w:r w:rsidRPr="00413132">
        <w:rPr>
          <w:rFonts w:eastAsia="Calibri"/>
          <w:bCs/>
          <w:iCs/>
          <w:color w:val="000000"/>
          <w:sz w:val="16"/>
          <w:szCs w:val="16"/>
          <w:vertAlign w:val="superscript"/>
          <w:lang w:val="es-ES" w:eastAsia="en-US"/>
        </w:rPr>
        <w:t>(</w:t>
      </w:r>
      <w:proofErr w:type="gramEnd"/>
      <w:r w:rsidRPr="00413132">
        <w:rPr>
          <w:rFonts w:eastAsia="Calibri"/>
          <w:bCs/>
          <w:iCs/>
          <w:color w:val="000000"/>
          <w:sz w:val="16"/>
          <w:szCs w:val="16"/>
          <w:vertAlign w:val="superscript"/>
          <w:lang w:val="es-ES" w:eastAsia="en-US"/>
        </w:rPr>
        <w:t>16)</w:t>
      </w:r>
    </w:p>
    <w:p w14:paraId="5E564A0E" w14:textId="77777777" w:rsidR="00413132" w:rsidRPr="00413132" w:rsidRDefault="00413132" w:rsidP="00413132">
      <w:pPr>
        <w:spacing w:line="360" w:lineRule="auto"/>
        <w:jc w:val="both"/>
        <w:rPr>
          <w:rFonts w:eastAsia="Calibri"/>
          <w:bCs/>
          <w:color w:val="000000"/>
          <w:lang w:val="es-ES" w:eastAsia="en-US"/>
        </w:rPr>
      </w:pPr>
    </w:p>
    <w:p w14:paraId="2F63D706" w14:textId="77777777" w:rsidR="00413132" w:rsidRPr="00413132" w:rsidRDefault="00413132" w:rsidP="00413132">
      <w:pPr>
        <w:spacing w:line="360" w:lineRule="auto"/>
        <w:jc w:val="both"/>
        <w:rPr>
          <w:rFonts w:eastAsia="Calibri"/>
          <w:color w:val="000000"/>
          <w:lang w:val="es-ES" w:eastAsia="en-US"/>
        </w:rPr>
      </w:pPr>
      <w:r w:rsidRPr="00413132">
        <w:rPr>
          <w:rFonts w:eastAsia="Calibri"/>
          <w:lang w:val="es-ES" w:eastAsia="en-US"/>
        </w:rPr>
        <w:t xml:space="preserve">Aunque ambos fármacos bloquean de forma irreversible el receptor P2Y12 con un mecanismo similar, la duración de su efecto es diferente: 5 días para </w:t>
      </w:r>
      <w:proofErr w:type="spellStart"/>
      <w:r w:rsidRPr="00413132">
        <w:rPr>
          <w:rFonts w:eastAsia="Calibri"/>
          <w:lang w:val="es-ES" w:eastAsia="en-US"/>
        </w:rPr>
        <w:t>clopidogrel</w:t>
      </w:r>
      <w:proofErr w:type="spellEnd"/>
      <w:r w:rsidRPr="00413132">
        <w:rPr>
          <w:rFonts w:eastAsia="Calibri"/>
          <w:lang w:val="es-ES" w:eastAsia="en-US"/>
        </w:rPr>
        <w:t xml:space="preserve"> y 7 días para </w:t>
      </w:r>
      <w:proofErr w:type="spellStart"/>
      <w:r w:rsidRPr="00413132">
        <w:rPr>
          <w:rFonts w:eastAsia="Calibri"/>
          <w:lang w:val="es-ES" w:eastAsia="en-US"/>
        </w:rPr>
        <w:t>prasugrel</w:t>
      </w:r>
      <w:proofErr w:type="spellEnd"/>
      <w:r w:rsidRPr="00413132">
        <w:rPr>
          <w:rFonts w:eastAsia="Calibri"/>
          <w:lang w:val="es-ES" w:eastAsia="en-US"/>
        </w:rPr>
        <w:t xml:space="preserve">. El ticagrelor, a diferencia del </w:t>
      </w:r>
      <w:proofErr w:type="spellStart"/>
      <w:r w:rsidRPr="00413132">
        <w:rPr>
          <w:rFonts w:eastAsia="Calibri"/>
          <w:lang w:val="es-ES" w:eastAsia="en-US"/>
        </w:rPr>
        <w:t>clopidogrel</w:t>
      </w:r>
      <w:proofErr w:type="spellEnd"/>
      <w:r w:rsidRPr="00413132">
        <w:rPr>
          <w:rFonts w:eastAsia="Calibri"/>
          <w:lang w:val="es-ES" w:eastAsia="en-US"/>
        </w:rPr>
        <w:t xml:space="preserve"> y </w:t>
      </w:r>
      <w:proofErr w:type="spellStart"/>
      <w:r w:rsidRPr="00413132">
        <w:rPr>
          <w:rFonts w:eastAsia="Calibri"/>
          <w:lang w:val="es-ES" w:eastAsia="en-US"/>
        </w:rPr>
        <w:t>prasugrel</w:t>
      </w:r>
      <w:proofErr w:type="spellEnd"/>
      <w:r w:rsidRPr="00413132">
        <w:rPr>
          <w:rFonts w:eastAsia="Calibri"/>
          <w:lang w:val="es-ES" w:eastAsia="en-US"/>
        </w:rPr>
        <w:t xml:space="preserve">, no es un profármaco, sino que desarrolla su efecto antiagregante al bloquear de forma directa y reversible el receptor P2Y12, sin necesidad de activación metabólica previa. Al igual que </w:t>
      </w:r>
      <w:proofErr w:type="spellStart"/>
      <w:r w:rsidRPr="00413132">
        <w:rPr>
          <w:rFonts w:eastAsia="Calibri"/>
          <w:lang w:val="es-ES" w:eastAsia="en-US"/>
        </w:rPr>
        <w:t>prasugrel</w:t>
      </w:r>
      <w:proofErr w:type="spellEnd"/>
      <w:r w:rsidRPr="00413132">
        <w:rPr>
          <w:rFonts w:eastAsia="Calibri"/>
          <w:lang w:val="es-ES" w:eastAsia="en-US"/>
        </w:rPr>
        <w:t xml:space="preserve">, produce una inhibición de la agregación plaquetaria más rápida, potente (90 %), completa y con menor variabilidad que el </w:t>
      </w:r>
      <w:proofErr w:type="spellStart"/>
      <w:r w:rsidRPr="00413132">
        <w:rPr>
          <w:rFonts w:eastAsia="Calibri"/>
          <w:lang w:val="es-ES" w:eastAsia="en-US"/>
        </w:rPr>
        <w:t>clopidogrel</w:t>
      </w:r>
      <w:proofErr w:type="spellEnd"/>
      <w:r w:rsidRPr="00413132">
        <w:rPr>
          <w:rFonts w:eastAsia="Calibri"/>
          <w:lang w:val="es-ES" w:eastAsia="en-US"/>
        </w:rPr>
        <w:t xml:space="preserve">. Al producir un bloqueo reversible, la recuperación de la agregación plaquetaria es también más rápida (3 - 5 días), ya que depende de la semivida del ticagrelor (7 h) y de su metabolito activo (8,5 h) y no exclusivamente de la generación de nuevas plaquetas. El </w:t>
      </w:r>
      <w:proofErr w:type="spellStart"/>
      <w:r w:rsidRPr="00413132">
        <w:rPr>
          <w:rFonts w:eastAsia="Calibri"/>
          <w:lang w:val="es-ES" w:eastAsia="en-US"/>
        </w:rPr>
        <w:t>cangrelor</w:t>
      </w:r>
      <w:proofErr w:type="spellEnd"/>
      <w:r w:rsidRPr="00413132">
        <w:rPr>
          <w:rFonts w:eastAsia="Calibri"/>
          <w:lang w:val="es-ES" w:eastAsia="en-US"/>
        </w:rPr>
        <w:t xml:space="preserve"> actúa de forma similar al ticagrelor (bloqueo reversible del receptor P2Y12 de forma directa, sin necesidad de conversión metabólica), pero solo se dispone de un preparado de administración intravenosa. Su efecto antiagregante es rápido (&lt; 15 min), potente (inhibición &gt; 90 %) y desaparece en corto tiempo, puesto que tiene una semivida muy breve (2 – 5 min) a causa de una rápida desactivación por enzimas plasmáticas. La función plaquetaria se normaliza a los 20 min después de suspender la </w:t>
      </w:r>
      <w:proofErr w:type="gramStart"/>
      <w:r w:rsidRPr="00413132">
        <w:rPr>
          <w:rFonts w:eastAsia="Calibri"/>
          <w:lang w:val="es-ES" w:eastAsia="en-US"/>
        </w:rPr>
        <w:t>perfusión.</w:t>
      </w:r>
      <w:r w:rsidRPr="00413132">
        <w:rPr>
          <w:rFonts w:eastAsia="Calibri"/>
          <w:color w:val="000000"/>
          <w:vertAlign w:val="superscript"/>
          <w:lang w:val="es-ES" w:eastAsia="en-US"/>
        </w:rPr>
        <w:t>(</w:t>
      </w:r>
      <w:proofErr w:type="gramEnd"/>
      <w:r w:rsidRPr="00413132">
        <w:rPr>
          <w:rFonts w:eastAsia="Calibri"/>
          <w:color w:val="000000"/>
          <w:vertAlign w:val="superscript"/>
          <w:lang w:val="es-ES" w:eastAsia="en-US"/>
        </w:rPr>
        <w:t>17,19,20)</w:t>
      </w:r>
    </w:p>
    <w:p w14:paraId="243CD627"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Los antagonistas del receptor GP </w:t>
      </w:r>
      <w:proofErr w:type="spellStart"/>
      <w:r w:rsidRPr="00413132">
        <w:rPr>
          <w:rFonts w:eastAsia="Calibri"/>
          <w:lang w:val="es-ES" w:eastAsia="en-US"/>
        </w:rPr>
        <w:t>IIb-IIIa</w:t>
      </w:r>
      <w:proofErr w:type="spellEnd"/>
      <w:r w:rsidRPr="00413132">
        <w:rPr>
          <w:rFonts w:eastAsia="Calibri"/>
          <w:lang w:val="es-ES" w:eastAsia="en-US"/>
        </w:rPr>
        <w:t xml:space="preserve"> son </w:t>
      </w:r>
      <w:proofErr w:type="spellStart"/>
      <w:r w:rsidRPr="00413132">
        <w:rPr>
          <w:rFonts w:eastAsia="Calibri"/>
          <w:lang w:val="es-ES" w:eastAsia="en-US"/>
        </w:rPr>
        <w:t>abciximab</w:t>
      </w:r>
      <w:proofErr w:type="spellEnd"/>
      <w:r w:rsidRPr="00413132">
        <w:rPr>
          <w:rFonts w:eastAsia="Calibri"/>
          <w:lang w:val="es-ES" w:eastAsia="en-US"/>
        </w:rPr>
        <w:t xml:space="preserve">, </w:t>
      </w:r>
      <w:proofErr w:type="spellStart"/>
      <w:r w:rsidRPr="00413132">
        <w:rPr>
          <w:rFonts w:eastAsia="Calibri"/>
          <w:lang w:val="es-ES" w:eastAsia="en-US"/>
        </w:rPr>
        <w:t>eptifibatida</w:t>
      </w:r>
      <w:proofErr w:type="spellEnd"/>
      <w:r w:rsidRPr="00413132">
        <w:rPr>
          <w:rFonts w:eastAsia="Calibri"/>
          <w:lang w:val="es-ES" w:eastAsia="en-US"/>
        </w:rPr>
        <w:t xml:space="preserve"> y </w:t>
      </w:r>
      <w:proofErr w:type="spellStart"/>
      <w:r w:rsidRPr="00413132">
        <w:rPr>
          <w:rFonts w:eastAsia="Calibri"/>
          <w:lang w:val="es-ES" w:eastAsia="en-US"/>
        </w:rPr>
        <w:t>tirofibán</w:t>
      </w:r>
      <w:proofErr w:type="spellEnd"/>
      <w:r w:rsidRPr="00413132">
        <w:rPr>
          <w:rFonts w:eastAsia="Calibri"/>
          <w:lang w:val="es-ES" w:eastAsia="en-US"/>
        </w:rPr>
        <w:t xml:space="preserve">. El </w:t>
      </w:r>
      <w:proofErr w:type="spellStart"/>
      <w:r w:rsidRPr="00413132">
        <w:rPr>
          <w:rFonts w:eastAsia="Calibri"/>
          <w:lang w:val="es-ES" w:eastAsia="en-US"/>
        </w:rPr>
        <w:t>abciximab</w:t>
      </w:r>
      <w:proofErr w:type="spellEnd"/>
      <w:r w:rsidRPr="00413132">
        <w:rPr>
          <w:rFonts w:eastAsia="Calibri"/>
          <w:lang w:val="es-ES" w:eastAsia="en-US"/>
        </w:rPr>
        <w:t xml:space="preserve"> tiene una corta vida media (10 - 30 min), pero bloquea de forma irreversible el receptor, por lo que su efecto antiagregante se mantiene hasta que se produce un mínimo recambio plaquetario (24 - 48 h). La </w:t>
      </w:r>
      <w:proofErr w:type="spellStart"/>
      <w:r w:rsidRPr="00413132">
        <w:rPr>
          <w:rFonts w:eastAsia="Calibri"/>
          <w:lang w:val="es-ES" w:eastAsia="en-US"/>
        </w:rPr>
        <w:t>eptifibatida</w:t>
      </w:r>
      <w:proofErr w:type="spellEnd"/>
      <w:r w:rsidRPr="00413132">
        <w:rPr>
          <w:rFonts w:eastAsia="Calibri"/>
          <w:lang w:val="es-ES" w:eastAsia="en-US"/>
        </w:rPr>
        <w:t xml:space="preserve"> y el </w:t>
      </w:r>
      <w:proofErr w:type="spellStart"/>
      <w:r w:rsidRPr="00413132">
        <w:rPr>
          <w:rFonts w:eastAsia="Calibri"/>
          <w:lang w:val="es-ES" w:eastAsia="en-US"/>
        </w:rPr>
        <w:t>tirofibán</w:t>
      </w:r>
      <w:proofErr w:type="spellEnd"/>
      <w:r w:rsidRPr="00413132">
        <w:rPr>
          <w:rFonts w:eastAsia="Calibri"/>
          <w:lang w:val="es-ES" w:eastAsia="en-US"/>
        </w:rPr>
        <w:t xml:space="preserve">, al contrario que </w:t>
      </w:r>
      <w:proofErr w:type="spellStart"/>
      <w:r w:rsidRPr="00413132">
        <w:rPr>
          <w:rFonts w:eastAsia="Calibri"/>
          <w:lang w:val="es-ES" w:eastAsia="en-US"/>
        </w:rPr>
        <w:t>abciximab</w:t>
      </w:r>
      <w:proofErr w:type="spellEnd"/>
      <w:r w:rsidRPr="00413132">
        <w:rPr>
          <w:rFonts w:eastAsia="Calibri"/>
          <w:lang w:val="es-ES" w:eastAsia="en-US"/>
        </w:rPr>
        <w:t xml:space="preserve">, bloquean el receptor de forma reversible, con una semivida muy breve (2,5 y 2 h, en ese orden). Como consecuencia, la recuperación de la función plaquetaria se produce en 4 - 6 h. Los antagonistas de los receptores </w:t>
      </w:r>
      <w:proofErr w:type="spellStart"/>
      <w:r w:rsidRPr="00413132">
        <w:rPr>
          <w:rFonts w:eastAsia="Calibri"/>
          <w:lang w:val="es-ES" w:eastAsia="en-US"/>
        </w:rPr>
        <w:t>GPIIb</w:t>
      </w:r>
      <w:proofErr w:type="spellEnd"/>
      <w:r w:rsidRPr="00413132">
        <w:rPr>
          <w:rFonts w:eastAsia="Calibri"/>
          <w:lang w:val="es-ES" w:eastAsia="en-US"/>
        </w:rPr>
        <w:t>/</w:t>
      </w:r>
      <w:proofErr w:type="spellStart"/>
      <w:r w:rsidRPr="00413132">
        <w:rPr>
          <w:rFonts w:eastAsia="Calibri"/>
          <w:lang w:val="es-ES" w:eastAsia="en-US"/>
        </w:rPr>
        <w:t>GPIIIa</w:t>
      </w:r>
      <w:proofErr w:type="spellEnd"/>
      <w:r w:rsidRPr="00413132">
        <w:rPr>
          <w:rFonts w:eastAsia="Calibri"/>
          <w:lang w:val="es-ES" w:eastAsia="en-US"/>
        </w:rPr>
        <w:t xml:space="preserve"> son de uso intravenoso y se administran en el ámbito hospitalario, en la angina inestable o para prevenir </w:t>
      </w:r>
      <w:proofErr w:type="spellStart"/>
      <w:r w:rsidRPr="00413132">
        <w:rPr>
          <w:rFonts w:eastAsia="Calibri"/>
          <w:lang w:val="es-ES" w:eastAsia="en-US"/>
        </w:rPr>
        <w:t>reestenosis</w:t>
      </w:r>
      <w:proofErr w:type="spellEnd"/>
      <w:r w:rsidRPr="00413132">
        <w:rPr>
          <w:rFonts w:eastAsia="Calibri"/>
          <w:lang w:val="es-ES" w:eastAsia="en-US"/>
        </w:rPr>
        <w:t xml:space="preserve"> después de </w:t>
      </w:r>
      <w:proofErr w:type="gramStart"/>
      <w:r w:rsidRPr="00413132">
        <w:rPr>
          <w:rFonts w:eastAsia="Calibri"/>
          <w:lang w:val="es-ES" w:eastAsia="en-US"/>
        </w:rPr>
        <w:t>angioplastias.</w:t>
      </w:r>
      <w:r w:rsidRPr="00413132">
        <w:rPr>
          <w:rFonts w:eastAsia="Calibri"/>
          <w:vertAlign w:val="superscript"/>
          <w:lang w:val="es-ES" w:eastAsia="en-US"/>
        </w:rPr>
        <w:t>(</w:t>
      </w:r>
      <w:proofErr w:type="gramEnd"/>
      <w:r w:rsidRPr="00413132">
        <w:rPr>
          <w:rFonts w:eastAsia="Calibri"/>
          <w:vertAlign w:val="superscript"/>
          <w:lang w:val="es-ES" w:eastAsia="en-US"/>
        </w:rPr>
        <w:t>16)</w:t>
      </w:r>
    </w:p>
    <w:p w14:paraId="4CF048E5" w14:textId="77777777" w:rsidR="00413132" w:rsidRPr="00413132" w:rsidRDefault="00413132" w:rsidP="00413132">
      <w:pPr>
        <w:spacing w:line="360" w:lineRule="auto"/>
        <w:jc w:val="center"/>
        <w:rPr>
          <w:rFonts w:eastAsia="Calibri"/>
          <w:b/>
          <w:bCs/>
          <w:sz w:val="28"/>
          <w:szCs w:val="28"/>
          <w:lang w:val="es-ES" w:eastAsia="en-US"/>
        </w:rPr>
      </w:pPr>
      <w:r w:rsidRPr="00413132">
        <w:rPr>
          <w:rFonts w:eastAsia="Calibri"/>
          <w:b/>
          <w:bCs/>
          <w:sz w:val="28"/>
          <w:szCs w:val="28"/>
          <w:lang w:val="es-ES" w:eastAsia="en-US"/>
        </w:rPr>
        <w:t>Indicaciones</w:t>
      </w:r>
    </w:p>
    <w:p w14:paraId="392951E8" w14:textId="77777777" w:rsidR="00413132" w:rsidRPr="00413132" w:rsidRDefault="00413132" w:rsidP="00413132">
      <w:pPr>
        <w:autoSpaceDE w:val="0"/>
        <w:autoSpaceDN w:val="0"/>
        <w:adjustRightInd w:val="0"/>
        <w:spacing w:line="360" w:lineRule="auto"/>
        <w:jc w:val="both"/>
        <w:rPr>
          <w:rFonts w:eastAsia="Calibri"/>
          <w:lang w:val="es-ES" w:eastAsia="en-US"/>
        </w:rPr>
      </w:pPr>
      <w:r w:rsidRPr="00413132">
        <w:rPr>
          <w:rFonts w:eastAsia="Calibri"/>
          <w:lang w:val="es-ES" w:eastAsia="en-US"/>
        </w:rPr>
        <w:t xml:space="preserve">Los AAP, ya sea tanto en monoterapia como en combinación, tienen un papel clave en el tratamiento y prevención de eventos trombóticos vasculares, cardíacos o </w:t>
      </w:r>
      <w:proofErr w:type="gramStart"/>
      <w:r w:rsidRPr="00413132">
        <w:rPr>
          <w:rFonts w:eastAsia="Calibri"/>
          <w:lang w:val="es-ES" w:eastAsia="en-US"/>
        </w:rPr>
        <w:t>cerebrales.</w:t>
      </w:r>
      <w:r w:rsidRPr="00413132">
        <w:rPr>
          <w:rFonts w:eastAsia="Calibri"/>
          <w:vertAlign w:val="superscript"/>
          <w:lang w:val="es-ES" w:eastAsia="en-US"/>
        </w:rPr>
        <w:t>(</w:t>
      </w:r>
      <w:proofErr w:type="gramEnd"/>
      <w:r w:rsidRPr="00413132">
        <w:rPr>
          <w:rFonts w:eastAsia="Calibri"/>
          <w:vertAlign w:val="superscript"/>
          <w:lang w:val="es-ES" w:eastAsia="en-US"/>
        </w:rPr>
        <w:t>21)</w:t>
      </w:r>
    </w:p>
    <w:p w14:paraId="01380D86" w14:textId="77777777" w:rsidR="00413132" w:rsidRPr="00413132" w:rsidRDefault="00413132" w:rsidP="00413132">
      <w:pPr>
        <w:autoSpaceDE w:val="0"/>
        <w:autoSpaceDN w:val="0"/>
        <w:adjustRightInd w:val="0"/>
        <w:spacing w:line="360" w:lineRule="auto"/>
        <w:jc w:val="both"/>
        <w:rPr>
          <w:rFonts w:eastAsia="Calibri"/>
          <w:lang w:val="es-ES" w:eastAsia="en-US"/>
        </w:rPr>
      </w:pPr>
      <w:r w:rsidRPr="00413132">
        <w:rPr>
          <w:rFonts w:eastAsia="Calibri"/>
          <w:lang w:val="es-ES" w:eastAsia="en-US"/>
        </w:rPr>
        <w:t xml:space="preserve">a) Indicaciones en Cardiología: infarto agudo de miocardio, síndromes coronarios agudos (angina estable, angina inestable / infarto agudo de miocardio sin onda Q), angioplastia coronaria percutánea con </w:t>
      </w:r>
      <w:r w:rsidRPr="00413132">
        <w:rPr>
          <w:rFonts w:eastAsia="Calibri"/>
          <w:lang w:val="es-ES" w:eastAsia="en-US"/>
        </w:rPr>
        <w:lastRenderedPageBreak/>
        <w:t xml:space="preserve">colocación de </w:t>
      </w:r>
      <w:proofErr w:type="spellStart"/>
      <w:r w:rsidRPr="00413132">
        <w:rPr>
          <w:rFonts w:eastAsia="Calibri"/>
          <w:i/>
          <w:iCs/>
          <w:lang w:val="es-ES" w:eastAsia="en-US"/>
        </w:rPr>
        <w:t>stent</w:t>
      </w:r>
      <w:proofErr w:type="spellEnd"/>
      <w:r w:rsidRPr="00413132">
        <w:rPr>
          <w:rFonts w:eastAsia="Calibri"/>
          <w:i/>
          <w:iCs/>
          <w:lang w:val="es-ES" w:eastAsia="en-US"/>
        </w:rPr>
        <w:t xml:space="preserve"> </w:t>
      </w:r>
      <w:r w:rsidRPr="00413132">
        <w:rPr>
          <w:rFonts w:eastAsia="Calibri"/>
          <w:lang w:val="es-ES" w:eastAsia="en-US"/>
        </w:rPr>
        <w:t>coronario, fibrilación auricular (situaciones especiales: menores de 65 años sin factores de riesgo), cirugía coronaria, algunas valvulopatías.</w:t>
      </w:r>
    </w:p>
    <w:p w14:paraId="5E6B71CB" w14:textId="77777777" w:rsidR="00413132" w:rsidRPr="00413132" w:rsidRDefault="00413132" w:rsidP="00413132">
      <w:pPr>
        <w:autoSpaceDE w:val="0"/>
        <w:autoSpaceDN w:val="0"/>
        <w:adjustRightInd w:val="0"/>
        <w:spacing w:line="360" w:lineRule="auto"/>
        <w:jc w:val="both"/>
        <w:rPr>
          <w:rFonts w:eastAsia="Calibri"/>
          <w:color w:val="000000"/>
          <w:lang w:val="es-ES" w:eastAsia="en-US"/>
        </w:rPr>
      </w:pPr>
      <w:r w:rsidRPr="00413132">
        <w:rPr>
          <w:rFonts w:eastAsia="Calibri"/>
          <w:lang w:val="es-ES" w:eastAsia="en-US"/>
        </w:rPr>
        <w:t>b)</w:t>
      </w:r>
      <w:r w:rsidRPr="00413132">
        <w:rPr>
          <w:rFonts w:eastAsia="Calibri"/>
          <w:color w:val="000000"/>
          <w:lang w:val="es-ES" w:eastAsia="en-US"/>
        </w:rPr>
        <w:t xml:space="preserve"> Indicaciones en Neurología: fase aguda del infarto cerebral, angioplastia carotídea con colocación de </w:t>
      </w:r>
      <w:proofErr w:type="spellStart"/>
      <w:r w:rsidRPr="00413132">
        <w:rPr>
          <w:rFonts w:eastAsia="Calibri"/>
          <w:i/>
          <w:iCs/>
          <w:color w:val="000000"/>
          <w:lang w:val="es-ES" w:eastAsia="en-US"/>
        </w:rPr>
        <w:t>stent</w:t>
      </w:r>
      <w:proofErr w:type="spellEnd"/>
      <w:r w:rsidRPr="00413132">
        <w:rPr>
          <w:rFonts w:eastAsia="Calibri"/>
          <w:i/>
          <w:iCs/>
          <w:color w:val="000000"/>
          <w:lang w:val="es-ES" w:eastAsia="en-US"/>
        </w:rPr>
        <w:t>,</w:t>
      </w:r>
      <w:r w:rsidRPr="00413132">
        <w:rPr>
          <w:rFonts w:eastAsia="Calibri"/>
          <w:color w:val="000000"/>
          <w:lang w:val="es-ES" w:eastAsia="en-US"/>
        </w:rPr>
        <w:t xml:space="preserve"> prevención secundaria de los accidentes cerebrovasculares en pacientes sin cardiopatía </w:t>
      </w:r>
      <w:proofErr w:type="spellStart"/>
      <w:r w:rsidRPr="00413132">
        <w:rPr>
          <w:rFonts w:eastAsia="Calibri"/>
          <w:color w:val="000000"/>
          <w:lang w:val="es-ES" w:eastAsia="en-US"/>
        </w:rPr>
        <w:t>embolígena</w:t>
      </w:r>
      <w:proofErr w:type="spellEnd"/>
      <w:r w:rsidRPr="00413132">
        <w:rPr>
          <w:rFonts w:eastAsia="Calibri"/>
          <w:color w:val="000000"/>
          <w:lang w:val="es-ES" w:eastAsia="en-US"/>
        </w:rPr>
        <w:t>.</w:t>
      </w:r>
    </w:p>
    <w:p w14:paraId="5AF967B7" w14:textId="77777777" w:rsidR="00413132" w:rsidRPr="00413132" w:rsidRDefault="00413132" w:rsidP="00413132">
      <w:pPr>
        <w:autoSpaceDE w:val="0"/>
        <w:autoSpaceDN w:val="0"/>
        <w:adjustRightInd w:val="0"/>
        <w:spacing w:line="360" w:lineRule="auto"/>
        <w:jc w:val="both"/>
        <w:rPr>
          <w:rFonts w:eastAsia="Calibri"/>
          <w:lang w:val="es-ES" w:eastAsia="en-US"/>
        </w:rPr>
      </w:pPr>
      <w:r w:rsidRPr="00413132">
        <w:rPr>
          <w:rFonts w:eastAsia="ZapfDingbatsITC"/>
          <w:lang w:val="es-ES" w:eastAsia="en-US"/>
        </w:rPr>
        <w:t xml:space="preserve">c) </w:t>
      </w:r>
      <w:r w:rsidRPr="00413132">
        <w:rPr>
          <w:rFonts w:eastAsia="Calibri"/>
          <w:color w:val="000000"/>
          <w:lang w:val="es-ES" w:eastAsia="en-US"/>
        </w:rPr>
        <w:t>Otras indicaciones: prótesis</w:t>
      </w:r>
      <w:r w:rsidRPr="00413132">
        <w:rPr>
          <w:rFonts w:eastAsia="Calibri"/>
          <w:lang w:val="es-ES" w:eastAsia="en-US"/>
        </w:rPr>
        <w:t xml:space="preserve"> vascular, estenosis carotídea </w:t>
      </w:r>
      <w:proofErr w:type="spellStart"/>
      <w:r w:rsidRPr="00413132">
        <w:rPr>
          <w:rFonts w:eastAsia="Calibri"/>
          <w:lang w:val="es-ES" w:eastAsia="en-US"/>
        </w:rPr>
        <w:t>embolígena</w:t>
      </w:r>
      <w:proofErr w:type="spellEnd"/>
      <w:r w:rsidRPr="00413132">
        <w:rPr>
          <w:rFonts w:eastAsia="Calibri"/>
          <w:lang w:val="es-ES" w:eastAsia="en-US"/>
        </w:rPr>
        <w:t xml:space="preserve">, </w:t>
      </w:r>
      <w:proofErr w:type="spellStart"/>
      <w:r w:rsidRPr="00413132">
        <w:rPr>
          <w:rFonts w:eastAsia="Calibri"/>
          <w:lang w:val="es-ES" w:eastAsia="en-US"/>
        </w:rPr>
        <w:t>arteriopatias</w:t>
      </w:r>
      <w:proofErr w:type="spellEnd"/>
      <w:r w:rsidRPr="00413132">
        <w:rPr>
          <w:rFonts w:eastAsia="Calibri"/>
          <w:lang w:val="es-ES" w:eastAsia="en-US"/>
        </w:rPr>
        <w:t xml:space="preserve"> periféricas.</w:t>
      </w:r>
    </w:p>
    <w:p w14:paraId="2D0CBD29" w14:textId="77777777" w:rsidR="00413132" w:rsidRPr="00413132" w:rsidRDefault="00413132" w:rsidP="00413132">
      <w:pPr>
        <w:autoSpaceDE w:val="0"/>
        <w:autoSpaceDN w:val="0"/>
        <w:adjustRightInd w:val="0"/>
        <w:spacing w:line="360" w:lineRule="auto"/>
        <w:jc w:val="both"/>
        <w:rPr>
          <w:rFonts w:eastAsia="Calibri"/>
          <w:lang w:val="es-ES" w:eastAsia="en-US"/>
        </w:rPr>
      </w:pPr>
      <w:r w:rsidRPr="00413132">
        <w:rPr>
          <w:rFonts w:eastAsia="Calibri"/>
          <w:lang w:val="es-ES" w:eastAsia="en-US"/>
        </w:rPr>
        <w:t xml:space="preserve">Se han establecido las indicaciones de los antitrombóticos, también se ha evaluado el riesgo tromboembólico al suspender el tratamiento (ver abajo). De acuerdo con el diagnóstico de base de cada paciente, el riesgo tromboembólico puede ser bajo o alto, por lo que se debe evaluar el riesgo - beneficio de suspender la terapia, por la realización de algún </w:t>
      </w:r>
      <w:proofErr w:type="gramStart"/>
      <w:r w:rsidRPr="00413132">
        <w:rPr>
          <w:rFonts w:eastAsia="Calibri"/>
          <w:lang w:val="es-ES" w:eastAsia="en-US"/>
        </w:rPr>
        <w:t>procedimiento.</w:t>
      </w:r>
      <w:r w:rsidRPr="00413132">
        <w:rPr>
          <w:rFonts w:eastAsia="Calibri"/>
          <w:vertAlign w:val="superscript"/>
          <w:lang w:val="es-ES" w:eastAsia="en-US"/>
        </w:rPr>
        <w:t>(</w:t>
      </w:r>
      <w:proofErr w:type="gramEnd"/>
      <w:r w:rsidRPr="00413132">
        <w:rPr>
          <w:rFonts w:eastAsia="Calibri"/>
          <w:vertAlign w:val="superscript"/>
          <w:lang w:val="es-ES" w:eastAsia="en-US"/>
        </w:rPr>
        <w:t>4)</w:t>
      </w:r>
    </w:p>
    <w:p w14:paraId="5CC19407" w14:textId="77777777" w:rsidR="00413132" w:rsidRPr="00413132" w:rsidRDefault="00413132" w:rsidP="00413132">
      <w:pPr>
        <w:autoSpaceDE w:val="0"/>
        <w:autoSpaceDN w:val="0"/>
        <w:adjustRightInd w:val="0"/>
        <w:spacing w:line="360" w:lineRule="auto"/>
        <w:jc w:val="both"/>
        <w:rPr>
          <w:rFonts w:eastAsia="Calibri"/>
          <w:lang w:val="es-ES" w:eastAsia="en-US"/>
        </w:rPr>
      </w:pPr>
      <w:r w:rsidRPr="00413132">
        <w:rPr>
          <w:rFonts w:eastAsia="Calibri"/>
          <w:lang w:val="es-ES" w:eastAsia="en-US"/>
        </w:rPr>
        <w:t>Bajo riesgo tromboembólico:</w:t>
      </w:r>
    </w:p>
    <w:p w14:paraId="0958AAFC" w14:textId="77777777" w:rsidR="00413132" w:rsidRPr="00413132" w:rsidRDefault="00413132" w:rsidP="00413132">
      <w:pPr>
        <w:autoSpaceDE w:val="0"/>
        <w:autoSpaceDN w:val="0"/>
        <w:adjustRightInd w:val="0"/>
        <w:spacing w:line="360" w:lineRule="auto"/>
        <w:jc w:val="both"/>
        <w:rPr>
          <w:rFonts w:eastAsia="Calibri"/>
          <w:lang w:val="es-ES" w:eastAsia="en-US"/>
        </w:rPr>
      </w:pPr>
    </w:p>
    <w:p w14:paraId="29A4423E"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Fibrilación auricular (FA) no complicada y no valvular</w:t>
      </w:r>
    </w:p>
    <w:p w14:paraId="1D8DFCF2"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 xml:space="preserve">Remplazo valvular mecánico en posición aórtica </w:t>
      </w:r>
    </w:p>
    <w:p w14:paraId="6B2DA122"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Remplazo valvular biológico</w:t>
      </w:r>
    </w:p>
    <w:p w14:paraId="508B91A8"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Trombosis venosa profunda</w:t>
      </w:r>
    </w:p>
    <w:p w14:paraId="155FC110" w14:textId="77777777" w:rsidR="00413132" w:rsidRPr="00413132" w:rsidRDefault="00413132" w:rsidP="00413132">
      <w:pPr>
        <w:autoSpaceDE w:val="0"/>
        <w:autoSpaceDN w:val="0"/>
        <w:adjustRightInd w:val="0"/>
        <w:spacing w:line="360" w:lineRule="auto"/>
        <w:jc w:val="both"/>
        <w:rPr>
          <w:rFonts w:eastAsia="Calibri"/>
          <w:i/>
          <w:iCs/>
          <w:lang w:val="es-ES" w:eastAsia="en-US"/>
        </w:rPr>
      </w:pPr>
    </w:p>
    <w:p w14:paraId="157E2CED" w14:textId="77777777" w:rsidR="00413132" w:rsidRPr="00413132" w:rsidRDefault="00413132" w:rsidP="00413132">
      <w:pPr>
        <w:autoSpaceDE w:val="0"/>
        <w:autoSpaceDN w:val="0"/>
        <w:adjustRightInd w:val="0"/>
        <w:spacing w:line="360" w:lineRule="auto"/>
        <w:jc w:val="both"/>
        <w:rPr>
          <w:rFonts w:eastAsia="Calibri"/>
          <w:lang w:val="es-ES" w:eastAsia="en-US"/>
        </w:rPr>
      </w:pPr>
      <w:r w:rsidRPr="00413132">
        <w:rPr>
          <w:rFonts w:eastAsia="Calibri"/>
          <w:lang w:val="es-ES" w:eastAsia="en-US"/>
        </w:rPr>
        <w:t>Alto riesgo tromboembólico:</w:t>
      </w:r>
    </w:p>
    <w:p w14:paraId="248E36B9" w14:textId="77777777" w:rsidR="00413132" w:rsidRPr="00413132" w:rsidRDefault="00413132" w:rsidP="00413132">
      <w:pPr>
        <w:autoSpaceDE w:val="0"/>
        <w:autoSpaceDN w:val="0"/>
        <w:adjustRightInd w:val="0"/>
        <w:spacing w:line="360" w:lineRule="auto"/>
        <w:jc w:val="both"/>
        <w:rPr>
          <w:rFonts w:eastAsia="Calibri"/>
          <w:lang w:val="es-ES" w:eastAsia="en-US"/>
        </w:rPr>
      </w:pPr>
    </w:p>
    <w:p w14:paraId="7ED61AA4"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proofErr w:type="spellStart"/>
      <w:r w:rsidRPr="00413132">
        <w:rPr>
          <w:rFonts w:eastAsia="Calibri"/>
          <w:i/>
          <w:iCs/>
          <w:lang w:val="es-ES" w:eastAsia="en-US"/>
        </w:rPr>
        <w:t>Stent</w:t>
      </w:r>
      <w:proofErr w:type="spellEnd"/>
      <w:r w:rsidRPr="00413132">
        <w:rPr>
          <w:rFonts w:eastAsia="Calibri"/>
          <w:lang w:val="es-ES" w:eastAsia="en-US"/>
        </w:rPr>
        <w:t xml:space="preserve"> coronario liberador de fármaco colocado ≤ 12 meses (terapia dual)</w:t>
      </w:r>
    </w:p>
    <w:p w14:paraId="76C8F1B2"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proofErr w:type="spellStart"/>
      <w:r w:rsidRPr="00413132">
        <w:rPr>
          <w:rFonts w:eastAsia="Calibri"/>
          <w:i/>
          <w:iCs/>
          <w:lang w:val="es-ES" w:eastAsia="en-US"/>
        </w:rPr>
        <w:t>Stent</w:t>
      </w:r>
      <w:proofErr w:type="spellEnd"/>
      <w:r w:rsidRPr="00413132">
        <w:rPr>
          <w:rFonts w:eastAsia="Calibri"/>
          <w:lang w:val="es-ES" w:eastAsia="en-US"/>
        </w:rPr>
        <w:t xml:space="preserve"> coronario metálico ≤ 6 meses (terapia dual)</w:t>
      </w:r>
    </w:p>
    <w:p w14:paraId="15ED3E11"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Intervención coronaria percutánea (PCI) después de infarto de miocardio</w:t>
      </w:r>
    </w:p>
    <w:p w14:paraId="4972C427"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 xml:space="preserve">Antecedente de oclusión del </w:t>
      </w:r>
      <w:proofErr w:type="spellStart"/>
      <w:r w:rsidRPr="00413132">
        <w:rPr>
          <w:rFonts w:eastAsia="Calibri"/>
          <w:i/>
          <w:iCs/>
          <w:lang w:val="es-ES" w:eastAsia="en-US"/>
        </w:rPr>
        <w:t>stent</w:t>
      </w:r>
      <w:proofErr w:type="spellEnd"/>
    </w:p>
    <w:p w14:paraId="52DBEBED"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FA con enfermedad valvular</w:t>
      </w:r>
    </w:p>
    <w:p w14:paraId="59F6C22E"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 xml:space="preserve">FA con algún factor de riesgo (enfermedad </w:t>
      </w:r>
      <w:proofErr w:type="spellStart"/>
      <w:r w:rsidRPr="00413132">
        <w:rPr>
          <w:rFonts w:eastAsia="Calibri"/>
          <w:lang w:val="es-ES" w:eastAsia="en-US"/>
        </w:rPr>
        <w:t>valvularcon</w:t>
      </w:r>
      <w:proofErr w:type="spellEnd"/>
      <w:r w:rsidRPr="00413132">
        <w:rPr>
          <w:rFonts w:eastAsia="Calibri"/>
          <w:lang w:val="es-ES" w:eastAsia="en-US"/>
        </w:rPr>
        <w:t xml:space="preserve"> prótesis, fracción de expulsión (FE) &lt; 35%, hipertensión, edad &gt; 75 años, diabetes, antecedente de enfermedad vascular cerebral (EVC) o ataque isquémico transitorio)</w:t>
      </w:r>
    </w:p>
    <w:p w14:paraId="6A844BCE"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Remplazo valvular mecánico en posición mitral</w:t>
      </w:r>
    </w:p>
    <w:p w14:paraId="705D09A8"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Remplazo valvular mecánico en cualquier posición con el antecedente de un evento tromboembólico</w:t>
      </w:r>
    </w:p>
    <w:p w14:paraId="3C485A7B"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 xml:space="preserve">Estados </w:t>
      </w:r>
      <w:proofErr w:type="spellStart"/>
      <w:r w:rsidRPr="00413132">
        <w:rPr>
          <w:rFonts w:eastAsia="Calibri"/>
          <w:lang w:val="es-ES" w:eastAsia="en-US"/>
        </w:rPr>
        <w:t>hipercoagulantes</w:t>
      </w:r>
      <w:proofErr w:type="spellEnd"/>
    </w:p>
    <w:p w14:paraId="3EC4029E"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lastRenderedPageBreak/>
        <w:t>Antecedente de EVC isquémico o ataque isquémico transitorio recientes</w:t>
      </w:r>
    </w:p>
    <w:p w14:paraId="00A52A63" w14:textId="77777777" w:rsidR="00413132" w:rsidRPr="00413132" w:rsidRDefault="00413132" w:rsidP="00257AED">
      <w:pPr>
        <w:numPr>
          <w:ilvl w:val="0"/>
          <w:numId w:val="10"/>
        </w:numPr>
        <w:autoSpaceDE w:val="0"/>
        <w:autoSpaceDN w:val="0"/>
        <w:adjustRightInd w:val="0"/>
        <w:spacing w:line="360" w:lineRule="auto"/>
        <w:ind w:left="476" w:hanging="357"/>
        <w:jc w:val="both"/>
        <w:rPr>
          <w:rFonts w:eastAsia="Calibri"/>
          <w:lang w:val="es-ES" w:eastAsia="en-US"/>
        </w:rPr>
      </w:pPr>
      <w:r w:rsidRPr="00413132">
        <w:rPr>
          <w:rFonts w:eastAsia="Calibri"/>
          <w:lang w:val="es-ES" w:eastAsia="en-US"/>
        </w:rPr>
        <w:t xml:space="preserve">Antecedente de tromboembolismo venoso </w:t>
      </w:r>
      <w:proofErr w:type="gramStart"/>
      <w:r w:rsidRPr="00413132">
        <w:rPr>
          <w:rFonts w:eastAsia="Calibri"/>
          <w:lang w:val="es-ES" w:eastAsia="en-US"/>
        </w:rPr>
        <w:t>reciente.</w:t>
      </w:r>
      <w:r w:rsidRPr="00413132">
        <w:rPr>
          <w:rFonts w:eastAsia="Calibri"/>
          <w:vertAlign w:val="superscript"/>
          <w:lang w:val="es-ES" w:eastAsia="en-US"/>
        </w:rPr>
        <w:t>(</w:t>
      </w:r>
      <w:proofErr w:type="gramEnd"/>
      <w:r w:rsidRPr="00413132">
        <w:rPr>
          <w:rFonts w:eastAsia="Calibri"/>
          <w:vertAlign w:val="superscript"/>
          <w:lang w:val="es-ES" w:eastAsia="en-US"/>
        </w:rPr>
        <w:t>5)</w:t>
      </w:r>
    </w:p>
    <w:p w14:paraId="5B57DA46" w14:textId="77777777" w:rsidR="00413132" w:rsidRPr="00413132" w:rsidRDefault="00413132" w:rsidP="00413132">
      <w:pPr>
        <w:autoSpaceDE w:val="0"/>
        <w:autoSpaceDN w:val="0"/>
        <w:adjustRightInd w:val="0"/>
        <w:spacing w:line="360" w:lineRule="auto"/>
        <w:jc w:val="both"/>
        <w:rPr>
          <w:rFonts w:eastAsia="Calibri"/>
          <w:lang w:val="es-ES" w:eastAsia="en-US"/>
        </w:rPr>
      </w:pPr>
    </w:p>
    <w:p w14:paraId="545DA61E" w14:textId="77777777" w:rsidR="00413132" w:rsidRPr="00413132" w:rsidRDefault="00413132" w:rsidP="00413132">
      <w:pPr>
        <w:autoSpaceDE w:val="0"/>
        <w:autoSpaceDN w:val="0"/>
        <w:adjustRightInd w:val="0"/>
        <w:spacing w:line="360" w:lineRule="auto"/>
        <w:jc w:val="center"/>
        <w:rPr>
          <w:rFonts w:eastAsia="Calibri"/>
          <w:bCs/>
          <w:lang w:val="es-ES" w:eastAsia="en-US"/>
        </w:rPr>
      </w:pPr>
      <w:r w:rsidRPr="00413132">
        <w:rPr>
          <w:rFonts w:eastAsia="Calibri"/>
          <w:b/>
          <w:bCs/>
          <w:sz w:val="28"/>
          <w:szCs w:val="28"/>
          <w:lang w:val="es-ES" w:eastAsia="en-US"/>
        </w:rPr>
        <w:t>Valoración del riesgo hemorrágico</w:t>
      </w:r>
    </w:p>
    <w:p w14:paraId="27BAA76A" w14:textId="77777777" w:rsidR="00413132" w:rsidRPr="00413132" w:rsidRDefault="00413132" w:rsidP="00413132">
      <w:pPr>
        <w:autoSpaceDE w:val="0"/>
        <w:autoSpaceDN w:val="0"/>
        <w:adjustRightInd w:val="0"/>
        <w:spacing w:line="360" w:lineRule="auto"/>
        <w:jc w:val="both"/>
        <w:rPr>
          <w:rFonts w:eastAsia="Calibri"/>
          <w:bCs/>
          <w:lang w:val="es-ES" w:eastAsia="en-US"/>
        </w:rPr>
      </w:pPr>
      <w:r w:rsidRPr="00413132">
        <w:rPr>
          <w:rFonts w:eastAsia="Calibri"/>
          <w:bCs/>
          <w:lang w:val="es-ES" w:eastAsia="en-US"/>
        </w:rPr>
        <w:t>Aunque todos los procedimientos endoscópicos conllevan un riesgo de hemorragia, este varía en función del tipo de procedimiento y su finalidad (diagnóstica o terapéutica). Se considera bajo riesgo de sangrado, por debajo del 1 % y alto riesgo por encima del 1 </w:t>
      </w:r>
      <w:proofErr w:type="gramStart"/>
      <w:r w:rsidRPr="00413132">
        <w:rPr>
          <w:rFonts w:eastAsia="Calibri"/>
          <w:bCs/>
          <w:lang w:val="es-ES" w:eastAsia="en-US"/>
        </w:rPr>
        <w:t>%</w:t>
      </w:r>
      <w:r w:rsidRPr="00413132">
        <w:rPr>
          <w:rFonts w:eastAsia="Calibri"/>
          <w:bCs/>
          <w:vertAlign w:val="superscript"/>
          <w:lang w:val="es-ES" w:eastAsia="en-US"/>
        </w:rPr>
        <w:t>(</w:t>
      </w:r>
      <w:proofErr w:type="gramEnd"/>
      <w:r w:rsidRPr="00413132">
        <w:rPr>
          <w:rFonts w:eastAsia="Calibri"/>
          <w:bCs/>
          <w:vertAlign w:val="superscript"/>
          <w:lang w:val="es-ES" w:eastAsia="en-US"/>
        </w:rPr>
        <w:t xml:space="preserve">1) </w:t>
      </w:r>
      <w:r w:rsidRPr="00413132">
        <w:rPr>
          <w:rFonts w:eastAsia="Calibri"/>
          <w:bCs/>
          <w:lang w:val="es-ES" w:eastAsia="en-US"/>
        </w:rPr>
        <w:t>(tabla 2).</w:t>
      </w:r>
    </w:p>
    <w:p w14:paraId="3EB5512B" w14:textId="77777777" w:rsidR="00413132" w:rsidRPr="00413132" w:rsidRDefault="00413132" w:rsidP="00413132">
      <w:pPr>
        <w:autoSpaceDE w:val="0"/>
        <w:autoSpaceDN w:val="0"/>
        <w:adjustRightInd w:val="0"/>
        <w:spacing w:line="360" w:lineRule="auto"/>
        <w:jc w:val="both"/>
        <w:rPr>
          <w:rFonts w:eastAsia="Calibri"/>
          <w:b/>
          <w:bCs/>
          <w:lang w:val="es-ES" w:eastAsia="en-US"/>
        </w:rPr>
      </w:pPr>
    </w:p>
    <w:p w14:paraId="4CF7B949" w14:textId="77777777" w:rsidR="00413132" w:rsidRPr="00413132" w:rsidRDefault="00413132" w:rsidP="00413132">
      <w:pPr>
        <w:autoSpaceDE w:val="0"/>
        <w:autoSpaceDN w:val="0"/>
        <w:adjustRightInd w:val="0"/>
        <w:spacing w:line="360" w:lineRule="auto"/>
        <w:jc w:val="center"/>
        <w:rPr>
          <w:rFonts w:eastAsia="Calibri"/>
          <w:bCs/>
          <w:sz w:val="22"/>
          <w:szCs w:val="22"/>
          <w:lang w:val="es-ES" w:eastAsia="en-US"/>
        </w:rPr>
      </w:pPr>
      <w:r w:rsidRPr="00413132">
        <w:rPr>
          <w:rFonts w:eastAsia="Calibri"/>
          <w:b/>
          <w:bCs/>
          <w:sz w:val="22"/>
          <w:szCs w:val="22"/>
          <w:lang w:val="es-ES" w:eastAsia="en-US"/>
        </w:rPr>
        <w:t>Tabla 2 -</w:t>
      </w:r>
      <w:r w:rsidRPr="00413132">
        <w:rPr>
          <w:rFonts w:eastAsia="Calibri"/>
          <w:bCs/>
          <w:sz w:val="22"/>
          <w:szCs w:val="22"/>
          <w:lang w:val="es-ES" w:eastAsia="en-US"/>
        </w:rPr>
        <w:t xml:space="preserve"> Estratificación del riesgo hemorrágico de procedimientos endoscópicos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233"/>
      </w:tblGrid>
      <w:tr w:rsidR="00413132" w:rsidRPr="00413132" w14:paraId="14A97823" w14:textId="77777777" w:rsidTr="00D53CB7">
        <w:trPr>
          <w:jc w:val="center"/>
        </w:trPr>
        <w:tc>
          <w:tcPr>
            <w:tcW w:w="4821" w:type="dxa"/>
            <w:shd w:val="clear" w:color="auto" w:fill="auto"/>
            <w:vAlign w:val="center"/>
          </w:tcPr>
          <w:p w14:paraId="568BF71E" w14:textId="77777777" w:rsidR="00413132" w:rsidRPr="00413132" w:rsidRDefault="00413132" w:rsidP="00413132">
            <w:pPr>
              <w:autoSpaceDE w:val="0"/>
              <w:autoSpaceDN w:val="0"/>
              <w:adjustRightInd w:val="0"/>
              <w:spacing w:line="360" w:lineRule="auto"/>
              <w:jc w:val="both"/>
              <w:rPr>
                <w:rFonts w:eastAsia="Calibri"/>
                <w:b/>
                <w:bCs/>
                <w:sz w:val="18"/>
                <w:szCs w:val="18"/>
                <w:lang w:val="es-ES" w:eastAsia="en-US"/>
              </w:rPr>
            </w:pPr>
            <w:proofErr w:type="spellStart"/>
            <w:r w:rsidRPr="00413132">
              <w:rPr>
                <w:rFonts w:eastAsia="Calibri"/>
                <w:b/>
                <w:bCs/>
                <w:sz w:val="18"/>
                <w:szCs w:val="18"/>
                <w:lang w:val="en-US" w:eastAsia="en-US"/>
              </w:rPr>
              <w:t>Riesgo</w:t>
            </w:r>
            <w:proofErr w:type="spellEnd"/>
            <w:r w:rsidRPr="00413132">
              <w:rPr>
                <w:rFonts w:eastAsia="Calibri"/>
                <w:b/>
                <w:bCs/>
                <w:sz w:val="18"/>
                <w:szCs w:val="18"/>
                <w:lang w:val="en-US" w:eastAsia="en-US"/>
              </w:rPr>
              <w:t xml:space="preserve"> alto                                                                       </w:t>
            </w:r>
          </w:p>
        </w:tc>
        <w:tc>
          <w:tcPr>
            <w:tcW w:w="4233" w:type="dxa"/>
            <w:shd w:val="clear" w:color="auto" w:fill="auto"/>
            <w:vAlign w:val="center"/>
          </w:tcPr>
          <w:p w14:paraId="52940C52" w14:textId="77777777" w:rsidR="00413132" w:rsidRPr="00413132" w:rsidRDefault="00413132" w:rsidP="00413132">
            <w:pPr>
              <w:autoSpaceDE w:val="0"/>
              <w:autoSpaceDN w:val="0"/>
              <w:adjustRightInd w:val="0"/>
              <w:spacing w:line="360" w:lineRule="auto"/>
              <w:jc w:val="both"/>
              <w:rPr>
                <w:rFonts w:eastAsia="Calibri"/>
                <w:b/>
                <w:bCs/>
                <w:sz w:val="18"/>
                <w:szCs w:val="18"/>
                <w:lang w:val="es-ES" w:eastAsia="en-US"/>
              </w:rPr>
            </w:pPr>
            <w:proofErr w:type="spellStart"/>
            <w:r w:rsidRPr="00413132">
              <w:rPr>
                <w:rFonts w:eastAsia="Calibri"/>
                <w:b/>
                <w:bCs/>
                <w:sz w:val="18"/>
                <w:szCs w:val="18"/>
                <w:lang w:val="en-US" w:eastAsia="en-US"/>
              </w:rPr>
              <w:t>Riesgo</w:t>
            </w:r>
            <w:proofErr w:type="spellEnd"/>
            <w:r w:rsidRPr="00413132">
              <w:rPr>
                <w:rFonts w:eastAsia="Calibri"/>
                <w:b/>
                <w:bCs/>
                <w:sz w:val="18"/>
                <w:szCs w:val="18"/>
                <w:lang w:val="en-US" w:eastAsia="en-US"/>
              </w:rPr>
              <w:t xml:space="preserve"> bajo</w:t>
            </w:r>
          </w:p>
        </w:tc>
      </w:tr>
      <w:tr w:rsidR="00413132" w:rsidRPr="00413132" w14:paraId="1D162D78" w14:textId="77777777" w:rsidTr="00D53CB7">
        <w:trPr>
          <w:jc w:val="center"/>
        </w:trPr>
        <w:tc>
          <w:tcPr>
            <w:tcW w:w="4821" w:type="dxa"/>
            <w:shd w:val="clear" w:color="auto" w:fill="auto"/>
            <w:vAlign w:val="center"/>
          </w:tcPr>
          <w:p w14:paraId="4472A218"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 xml:space="preserve">Polipectomía  </w:t>
            </w:r>
          </w:p>
        </w:tc>
        <w:tc>
          <w:tcPr>
            <w:tcW w:w="4233" w:type="dxa"/>
            <w:shd w:val="clear" w:color="auto" w:fill="auto"/>
            <w:vAlign w:val="center"/>
          </w:tcPr>
          <w:p w14:paraId="7CC14237"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Endoscopia diagnóstica con toma de biopsias</w:t>
            </w:r>
          </w:p>
        </w:tc>
      </w:tr>
      <w:tr w:rsidR="00413132" w:rsidRPr="00413132" w14:paraId="6E9D3FAB" w14:textId="77777777" w:rsidTr="00D53CB7">
        <w:trPr>
          <w:jc w:val="center"/>
        </w:trPr>
        <w:tc>
          <w:tcPr>
            <w:tcW w:w="4821" w:type="dxa"/>
            <w:shd w:val="clear" w:color="auto" w:fill="auto"/>
            <w:vAlign w:val="center"/>
          </w:tcPr>
          <w:p w14:paraId="76DB273D"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CPRE</w:t>
            </w:r>
            <w:r w:rsidRPr="00413132">
              <w:rPr>
                <w:rFonts w:eastAsia="Calibri"/>
                <w:bCs/>
                <w:sz w:val="18"/>
                <w:szCs w:val="18"/>
                <w:vertAlign w:val="superscript"/>
                <w:lang w:val="es-ES" w:eastAsia="en-US"/>
              </w:rPr>
              <w:t>*</w:t>
            </w:r>
            <w:r w:rsidRPr="00413132">
              <w:rPr>
                <w:rFonts w:eastAsia="Calibri"/>
                <w:bCs/>
                <w:sz w:val="18"/>
                <w:szCs w:val="18"/>
                <w:lang w:val="es-ES" w:eastAsia="en-US"/>
              </w:rPr>
              <w:t xml:space="preserve"> con </w:t>
            </w:r>
            <w:proofErr w:type="spellStart"/>
            <w:r w:rsidRPr="00413132">
              <w:rPr>
                <w:rFonts w:eastAsia="Calibri"/>
                <w:bCs/>
                <w:sz w:val="18"/>
                <w:szCs w:val="18"/>
                <w:lang w:val="es-ES" w:eastAsia="en-US"/>
              </w:rPr>
              <w:t>esfinterotomía</w:t>
            </w:r>
            <w:proofErr w:type="spellEnd"/>
            <w:r w:rsidRPr="00413132">
              <w:rPr>
                <w:rFonts w:eastAsia="Calibri"/>
                <w:bCs/>
                <w:sz w:val="18"/>
                <w:szCs w:val="18"/>
                <w:lang w:val="es-ES" w:eastAsia="en-US"/>
              </w:rPr>
              <w:t xml:space="preserve">                             </w:t>
            </w:r>
          </w:p>
        </w:tc>
        <w:tc>
          <w:tcPr>
            <w:tcW w:w="4233" w:type="dxa"/>
            <w:shd w:val="clear" w:color="auto" w:fill="auto"/>
            <w:vAlign w:val="center"/>
          </w:tcPr>
          <w:p w14:paraId="507D3669"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Colocación de prótesis biliar o pancreática</w:t>
            </w:r>
          </w:p>
        </w:tc>
      </w:tr>
      <w:tr w:rsidR="00413132" w:rsidRPr="00413132" w14:paraId="7B16BEE4" w14:textId="77777777" w:rsidTr="00D53CB7">
        <w:trPr>
          <w:jc w:val="center"/>
        </w:trPr>
        <w:tc>
          <w:tcPr>
            <w:tcW w:w="4821" w:type="dxa"/>
            <w:shd w:val="clear" w:color="auto" w:fill="auto"/>
            <w:vAlign w:val="center"/>
          </w:tcPr>
          <w:p w14:paraId="21A0880C"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proofErr w:type="spellStart"/>
            <w:r w:rsidRPr="00413132">
              <w:rPr>
                <w:rFonts w:eastAsia="Calibri"/>
                <w:bCs/>
                <w:sz w:val="18"/>
                <w:szCs w:val="18"/>
                <w:lang w:val="es-ES" w:eastAsia="en-US"/>
              </w:rPr>
              <w:t>Esfinterotomía</w:t>
            </w:r>
            <w:proofErr w:type="spellEnd"/>
            <w:r w:rsidRPr="00413132">
              <w:rPr>
                <w:rFonts w:eastAsia="Calibri"/>
                <w:bCs/>
                <w:sz w:val="18"/>
                <w:szCs w:val="18"/>
                <w:lang w:val="es-ES" w:eastAsia="en-US"/>
              </w:rPr>
              <w:t xml:space="preserve"> + dilatación con balón           </w:t>
            </w:r>
          </w:p>
        </w:tc>
        <w:tc>
          <w:tcPr>
            <w:tcW w:w="4233" w:type="dxa"/>
            <w:shd w:val="clear" w:color="auto" w:fill="auto"/>
            <w:vAlign w:val="center"/>
          </w:tcPr>
          <w:p w14:paraId="268FF0D4"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proofErr w:type="spellStart"/>
            <w:r w:rsidRPr="00413132">
              <w:rPr>
                <w:rFonts w:eastAsia="Calibri"/>
                <w:bCs/>
                <w:sz w:val="18"/>
                <w:szCs w:val="18"/>
                <w:lang w:val="es-ES" w:eastAsia="en-US"/>
              </w:rPr>
              <w:t>Enteroscopia</w:t>
            </w:r>
            <w:proofErr w:type="spellEnd"/>
            <w:r w:rsidRPr="00413132">
              <w:rPr>
                <w:rFonts w:eastAsia="Calibri"/>
                <w:bCs/>
                <w:sz w:val="18"/>
                <w:szCs w:val="18"/>
                <w:lang w:val="es-ES" w:eastAsia="en-US"/>
              </w:rPr>
              <w:t xml:space="preserve"> sin polipectomía</w:t>
            </w:r>
          </w:p>
        </w:tc>
      </w:tr>
      <w:tr w:rsidR="00413132" w:rsidRPr="00413132" w14:paraId="133F8290" w14:textId="77777777" w:rsidTr="00D53CB7">
        <w:trPr>
          <w:jc w:val="center"/>
        </w:trPr>
        <w:tc>
          <w:tcPr>
            <w:tcW w:w="4821" w:type="dxa"/>
            <w:shd w:val="clear" w:color="auto" w:fill="auto"/>
            <w:vAlign w:val="center"/>
          </w:tcPr>
          <w:p w14:paraId="32A634C7"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proofErr w:type="spellStart"/>
            <w:r w:rsidRPr="00413132">
              <w:rPr>
                <w:rFonts w:eastAsia="Calibri"/>
                <w:bCs/>
                <w:sz w:val="18"/>
                <w:szCs w:val="18"/>
                <w:lang w:val="es-ES" w:eastAsia="en-US"/>
              </w:rPr>
              <w:t>Ampulectomía</w:t>
            </w:r>
            <w:proofErr w:type="spellEnd"/>
          </w:p>
        </w:tc>
        <w:tc>
          <w:tcPr>
            <w:tcW w:w="4233" w:type="dxa"/>
            <w:shd w:val="clear" w:color="auto" w:fill="auto"/>
            <w:vAlign w:val="center"/>
          </w:tcPr>
          <w:p w14:paraId="2D438B30"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w:t>
            </w:r>
          </w:p>
        </w:tc>
      </w:tr>
      <w:tr w:rsidR="00413132" w:rsidRPr="00413132" w14:paraId="5343221A" w14:textId="77777777" w:rsidTr="00D53CB7">
        <w:trPr>
          <w:jc w:val="center"/>
        </w:trPr>
        <w:tc>
          <w:tcPr>
            <w:tcW w:w="4821" w:type="dxa"/>
            <w:shd w:val="clear" w:color="auto" w:fill="auto"/>
            <w:vAlign w:val="center"/>
          </w:tcPr>
          <w:p w14:paraId="068084CA"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Resección endoscópica de la mucosa y disección endoscópica de la submucosa</w:t>
            </w:r>
          </w:p>
        </w:tc>
        <w:tc>
          <w:tcPr>
            <w:tcW w:w="4233" w:type="dxa"/>
            <w:shd w:val="clear" w:color="auto" w:fill="auto"/>
            <w:vAlign w:val="center"/>
          </w:tcPr>
          <w:p w14:paraId="0B72EEE3"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w:t>
            </w:r>
          </w:p>
        </w:tc>
      </w:tr>
      <w:tr w:rsidR="00413132" w:rsidRPr="00413132" w14:paraId="12EAE946" w14:textId="77777777" w:rsidTr="00D53CB7">
        <w:trPr>
          <w:jc w:val="center"/>
        </w:trPr>
        <w:tc>
          <w:tcPr>
            <w:tcW w:w="4821" w:type="dxa"/>
            <w:shd w:val="clear" w:color="auto" w:fill="auto"/>
            <w:vAlign w:val="center"/>
          </w:tcPr>
          <w:p w14:paraId="51801CA8"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Dilatación de estenosis</w:t>
            </w:r>
          </w:p>
        </w:tc>
        <w:tc>
          <w:tcPr>
            <w:tcW w:w="4233" w:type="dxa"/>
            <w:shd w:val="clear" w:color="auto" w:fill="auto"/>
            <w:vAlign w:val="center"/>
          </w:tcPr>
          <w:p w14:paraId="3AD8315F"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w:t>
            </w:r>
          </w:p>
        </w:tc>
      </w:tr>
      <w:tr w:rsidR="00413132" w:rsidRPr="00413132" w14:paraId="561CBC60" w14:textId="77777777" w:rsidTr="00D53CB7">
        <w:trPr>
          <w:jc w:val="center"/>
        </w:trPr>
        <w:tc>
          <w:tcPr>
            <w:tcW w:w="4821" w:type="dxa"/>
            <w:shd w:val="clear" w:color="auto" w:fill="auto"/>
            <w:vAlign w:val="center"/>
          </w:tcPr>
          <w:p w14:paraId="5903DB26"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Tratamiento de várices esofágicas</w:t>
            </w:r>
          </w:p>
        </w:tc>
        <w:tc>
          <w:tcPr>
            <w:tcW w:w="4233" w:type="dxa"/>
            <w:shd w:val="clear" w:color="auto" w:fill="auto"/>
            <w:vAlign w:val="center"/>
          </w:tcPr>
          <w:p w14:paraId="03FB2DE7" w14:textId="77777777" w:rsidR="00413132" w:rsidRPr="00413132" w:rsidRDefault="00413132" w:rsidP="00413132">
            <w:pPr>
              <w:autoSpaceDE w:val="0"/>
              <w:autoSpaceDN w:val="0"/>
              <w:adjustRightInd w:val="0"/>
              <w:spacing w:line="360" w:lineRule="auto"/>
              <w:jc w:val="both"/>
              <w:rPr>
                <w:rFonts w:eastAsia="Calibri"/>
                <w:b/>
                <w:bCs/>
                <w:sz w:val="18"/>
                <w:szCs w:val="18"/>
                <w:lang w:val="es-ES" w:eastAsia="en-US"/>
              </w:rPr>
            </w:pPr>
            <w:r w:rsidRPr="00413132">
              <w:rPr>
                <w:rFonts w:eastAsia="Calibri"/>
                <w:b/>
                <w:bCs/>
                <w:sz w:val="18"/>
                <w:szCs w:val="18"/>
                <w:lang w:val="es-ES" w:eastAsia="en-US"/>
              </w:rPr>
              <w:t>-</w:t>
            </w:r>
          </w:p>
        </w:tc>
      </w:tr>
      <w:tr w:rsidR="00413132" w:rsidRPr="00413132" w14:paraId="2EA5A83D" w14:textId="77777777" w:rsidTr="00D53CB7">
        <w:trPr>
          <w:jc w:val="center"/>
        </w:trPr>
        <w:tc>
          <w:tcPr>
            <w:tcW w:w="4821" w:type="dxa"/>
            <w:shd w:val="clear" w:color="auto" w:fill="auto"/>
            <w:vAlign w:val="center"/>
          </w:tcPr>
          <w:p w14:paraId="27739754"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Gastrostomía percutánea endoscópica</w:t>
            </w:r>
          </w:p>
        </w:tc>
        <w:tc>
          <w:tcPr>
            <w:tcW w:w="4233" w:type="dxa"/>
            <w:shd w:val="clear" w:color="auto" w:fill="auto"/>
            <w:vAlign w:val="center"/>
          </w:tcPr>
          <w:p w14:paraId="18812CF0" w14:textId="77777777" w:rsidR="00413132" w:rsidRPr="00413132" w:rsidRDefault="00413132" w:rsidP="00413132">
            <w:pPr>
              <w:autoSpaceDE w:val="0"/>
              <w:autoSpaceDN w:val="0"/>
              <w:adjustRightInd w:val="0"/>
              <w:spacing w:line="360" w:lineRule="auto"/>
              <w:jc w:val="both"/>
              <w:rPr>
                <w:rFonts w:eastAsia="Calibri"/>
                <w:b/>
                <w:bCs/>
                <w:sz w:val="18"/>
                <w:szCs w:val="18"/>
                <w:lang w:val="es-ES" w:eastAsia="en-US"/>
              </w:rPr>
            </w:pPr>
            <w:r w:rsidRPr="00413132">
              <w:rPr>
                <w:rFonts w:eastAsia="Calibri"/>
                <w:b/>
                <w:bCs/>
                <w:sz w:val="18"/>
                <w:szCs w:val="18"/>
                <w:lang w:val="es-ES" w:eastAsia="en-US"/>
              </w:rPr>
              <w:t>-</w:t>
            </w:r>
          </w:p>
        </w:tc>
      </w:tr>
      <w:tr w:rsidR="00413132" w:rsidRPr="00413132" w14:paraId="44FEE12E" w14:textId="77777777" w:rsidTr="00D53CB7">
        <w:trPr>
          <w:jc w:val="center"/>
        </w:trPr>
        <w:tc>
          <w:tcPr>
            <w:tcW w:w="4821" w:type="dxa"/>
            <w:shd w:val="clear" w:color="auto" w:fill="auto"/>
            <w:vAlign w:val="center"/>
          </w:tcPr>
          <w:p w14:paraId="2433F6B7"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Ultrasonido endoscópico con toma de biopsia por aspiración con aguja fina</w:t>
            </w:r>
          </w:p>
        </w:tc>
        <w:tc>
          <w:tcPr>
            <w:tcW w:w="4233" w:type="dxa"/>
            <w:shd w:val="clear" w:color="auto" w:fill="auto"/>
            <w:vAlign w:val="center"/>
          </w:tcPr>
          <w:p w14:paraId="788C9A0D" w14:textId="77777777" w:rsidR="00413132" w:rsidRPr="00413132" w:rsidRDefault="00413132" w:rsidP="00413132">
            <w:pPr>
              <w:autoSpaceDE w:val="0"/>
              <w:autoSpaceDN w:val="0"/>
              <w:adjustRightInd w:val="0"/>
              <w:spacing w:line="360" w:lineRule="auto"/>
              <w:jc w:val="both"/>
              <w:rPr>
                <w:rFonts w:eastAsia="Calibri"/>
                <w:b/>
                <w:bCs/>
                <w:sz w:val="18"/>
                <w:szCs w:val="18"/>
                <w:lang w:val="es-ES" w:eastAsia="en-US"/>
              </w:rPr>
            </w:pPr>
            <w:r w:rsidRPr="00413132">
              <w:rPr>
                <w:rFonts w:eastAsia="Calibri"/>
                <w:b/>
                <w:bCs/>
                <w:sz w:val="18"/>
                <w:szCs w:val="18"/>
                <w:lang w:val="es-ES" w:eastAsia="en-US"/>
              </w:rPr>
              <w:t>-</w:t>
            </w:r>
          </w:p>
        </w:tc>
      </w:tr>
      <w:tr w:rsidR="00413132" w:rsidRPr="00413132" w14:paraId="66B69BFB" w14:textId="77777777" w:rsidTr="00D53CB7">
        <w:trPr>
          <w:jc w:val="center"/>
        </w:trPr>
        <w:tc>
          <w:tcPr>
            <w:tcW w:w="4821" w:type="dxa"/>
            <w:shd w:val="clear" w:color="auto" w:fill="auto"/>
            <w:vAlign w:val="center"/>
          </w:tcPr>
          <w:p w14:paraId="01117051" w14:textId="77777777" w:rsidR="00413132" w:rsidRPr="00413132" w:rsidRDefault="00413132" w:rsidP="00413132">
            <w:pPr>
              <w:autoSpaceDE w:val="0"/>
              <w:autoSpaceDN w:val="0"/>
              <w:adjustRightInd w:val="0"/>
              <w:spacing w:line="360" w:lineRule="auto"/>
              <w:jc w:val="both"/>
              <w:rPr>
                <w:rFonts w:eastAsia="Calibri"/>
                <w:bCs/>
                <w:sz w:val="18"/>
                <w:szCs w:val="18"/>
                <w:lang w:val="es-ES" w:eastAsia="en-US"/>
              </w:rPr>
            </w:pPr>
            <w:r w:rsidRPr="00413132">
              <w:rPr>
                <w:rFonts w:eastAsia="Calibri"/>
                <w:bCs/>
                <w:sz w:val="18"/>
                <w:szCs w:val="18"/>
                <w:lang w:val="es-ES" w:eastAsia="en-US"/>
              </w:rPr>
              <w:t>Colocación de prótesis esofágicas enterales o colónicas</w:t>
            </w:r>
          </w:p>
        </w:tc>
        <w:tc>
          <w:tcPr>
            <w:tcW w:w="4233" w:type="dxa"/>
            <w:shd w:val="clear" w:color="auto" w:fill="auto"/>
            <w:vAlign w:val="center"/>
          </w:tcPr>
          <w:p w14:paraId="150E754C" w14:textId="77777777" w:rsidR="00413132" w:rsidRPr="00413132" w:rsidRDefault="00413132" w:rsidP="00413132">
            <w:pPr>
              <w:autoSpaceDE w:val="0"/>
              <w:autoSpaceDN w:val="0"/>
              <w:adjustRightInd w:val="0"/>
              <w:spacing w:line="360" w:lineRule="auto"/>
              <w:jc w:val="both"/>
              <w:rPr>
                <w:rFonts w:eastAsia="Calibri"/>
                <w:b/>
                <w:bCs/>
                <w:sz w:val="18"/>
                <w:szCs w:val="18"/>
                <w:lang w:val="es-ES" w:eastAsia="en-US"/>
              </w:rPr>
            </w:pPr>
            <w:r w:rsidRPr="00413132">
              <w:rPr>
                <w:rFonts w:eastAsia="Calibri"/>
                <w:b/>
                <w:bCs/>
                <w:sz w:val="18"/>
                <w:szCs w:val="18"/>
                <w:lang w:val="es-ES" w:eastAsia="en-US"/>
              </w:rPr>
              <w:t>-</w:t>
            </w:r>
          </w:p>
        </w:tc>
      </w:tr>
    </w:tbl>
    <w:p w14:paraId="068ADA72" w14:textId="77777777" w:rsidR="00413132" w:rsidRPr="00413132" w:rsidRDefault="00413132" w:rsidP="00413132">
      <w:pPr>
        <w:autoSpaceDE w:val="0"/>
        <w:autoSpaceDN w:val="0"/>
        <w:adjustRightInd w:val="0"/>
        <w:spacing w:line="360" w:lineRule="auto"/>
        <w:jc w:val="center"/>
        <w:rPr>
          <w:rFonts w:eastAsia="Calibri"/>
          <w:bCs/>
          <w:sz w:val="16"/>
          <w:szCs w:val="16"/>
          <w:lang w:val="es-CU" w:eastAsia="en-US"/>
        </w:rPr>
      </w:pPr>
      <w:r w:rsidRPr="00413132">
        <w:rPr>
          <w:rFonts w:eastAsia="Calibri"/>
          <w:bCs/>
          <w:sz w:val="16"/>
          <w:szCs w:val="16"/>
          <w:lang w:val="es-CU" w:eastAsia="en-US"/>
        </w:rPr>
        <w:t>*CPRE: Colangiopancreatografía retrógrada endoscópica.</w:t>
      </w:r>
    </w:p>
    <w:p w14:paraId="17EAF293" w14:textId="77777777" w:rsidR="00413132" w:rsidRPr="00413132" w:rsidRDefault="00413132" w:rsidP="00413132">
      <w:pPr>
        <w:autoSpaceDE w:val="0"/>
        <w:autoSpaceDN w:val="0"/>
        <w:adjustRightInd w:val="0"/>
        <w:spacing w:line="360" w:lineRule="auto"/>
        <w:jc w:val="center"/>
        <w:rPr>
          <w:rFonts w:eastAsia="Calibri"/>
          <w:bCs/>
          <w:iCs/>
          <w:sz w:val="16"/>
          <w:szCs w:val="16"/>
          <w:vertAlign w:val="superscript"/>
          <w:lang w:val="es-ES" w:eastAsia="en-US"/>
        </w:rPr>
      </w:pPr>
      <w:r w:rsidRPr="00413132">
        <w:rPr>
          <w:rFonts w:eastAsia="Calibri"/>
          <w:bCs/>
          <w:iCs/>
          <w:sz w:val="16"/>
          <w:szCs w:val="16"/>
          <w:lang w:val="es-ES" w:eastAsia="en-US"/>
        </w:rPr>
        <w:t xml:space="preserve">Fuente: </w:t>
      </w:r>
      <w:r w:rsidRPr="00413132">
        <w:rPr>
          <w:rFonts w:eastAsia="Calibri"/>
          <w:bCs/>
          <w:i/>
          <w:sz w:val="16"/>
          <w:szCs w:val="16"/>
          <w:lang w:val="es-ES" w:eastAsia="en-US"/>
        </w:rPr>
        <w:t>Estradas Trujillo</w:t>
      </w:r>
      <w:r w:rsidRPr="00413132">
        <w:rPr>
          <w:rFonts w:eastAsia="Calibri"/>
          <w:bCs/>
          <w:iCs/>
          <w:sz w:val="16"/>
          <w:szCs w:val="16"/>
          <w:lang w:val="es-ES" w:eastAsia="en-US"/>
        </w:rPr>
        <w:t xml:space="preserve"> y </w:t>
      </w:r>
      <w:proofErr w:type="gramStart"/>
      <w:r w:rsidRPr="00413132">
        <w:rPr>
          <w:rFonts w:eastAsia="Calibri"/>
          <w:bCs/>
          <w:iCs/>
          <w:sz w:val="16"/>
          <w:szCs w:val="16"/>
          <w:lang w:val="es-ES" w:eastAsia="en-US"/>
        </w:rPr>
        <w:t>otros.</w:t>
      </w:r>
      <w:r w:rsidRPr="00413132">
        <w:rPr>
          <w:rFonts w:eastAsia="Calibri"/>
          <w:b/>
          <w:bCs/>
          <w:iCs/>
          <w:sz w:val="16"/>
          <w:szCs w:val="16"/>
          <w:vertAlign w:val="superscript"/>
          <w:lang w:val="es-ES" w:eastAsia="en-US"/>
        </w:rPr>
        <w:t>(</w:t>
      </w:r>
      <w:proofErr w:type="gramEnd"/>
      <w:r w:rsidRPr="00413132">
        <w:rPr>
          <w:rFonts w:eastAsia="Calibri"/>
          <w:bCs/>
          <w:iCs/>
          <w:sz w:val="16"/>
          <w:szCs w:val="16"/>
          <w:vertAlign w:val="superscript"/>
          <w:lang w:val="es-ES" w:eastAsia="en-US"/>
        </w:rPr>
        <w:t>22)</w:t>
      </w:r>
    </w:p>
    <w:p w14:paraId="2B68BCDB" w14:textId="77777777" w:rsidR="00413132" w:rsidRPr="00413132" w:rsidRDefault="00413132" w:rsidP="00413132">
      <w:pPr>
        <w:autoSpaceDE w:val="0"/>
        <w:autoSpaceDN w:val="0"/>
        <w:adjustRightInd w:val="0"/>
        <w:spacing w:line="360" w:lineRule="auto"/>
        <w:jc w:val="both"/>
        <w:rPr>
          <w:rFonts w:eastAsia="Calibri"/>
          <w:bCs/>
          <w:lang w:val="es-ES" w:eastAsia="en-US"/>
        </w:rPr>
      </w:pPr>
    </w:p>
    <w:p w14:paraId="6C21F406" w14:textId="77777777" w:rsidR="00413132" w:rsidRPr="00413132" w:rsidRDefault="00413132" w:rsidP="00413132">
      <w:pPr>
        <w:spacing w:line="360" w:lineRule="auto"/>
        <w:jc w:val="center"/>
        <w:rPr>
          <w:rFonts w:eastAsia="Calibri"/>
          <w:b/>
          <w:sz w:val="28"/>
          <w:szCs w:val="28"/>
          <w:lang w:val="es-ES" w:eastAsia="en-US"/>
        </w:rPr>
      </w:pPr>
      <w:r w:rsidRPr="00413132">
        <w:rPr>
          <w:rFonts w:eastAsia="Calibri"/>
          <w:b/>
          <w:sz w:val="28"/>
          <w:szCs w:val="28"/>
          <w:lang w:val="es-ES" w:eastAsia="en-US"/>
        </w:rPr>
        <w:t>Recomendaciones de retirada y reintroducción del tratamiento antiagregante</w:t>
      </w:r>
    </w:p>
    <w:p w14:paraId="6D9B7B8B"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Se recomiendan una serie de pasos sencillos que valoren el riesgo hemorrágico frente al tromboembólico en el momento de decidir la conducta que ha de seguirse en el periodo perioperatorio/ </w:t>
      </w:r>
      <w:proofErr w:type="spellStart"/>
      <w:r w:rsidRPr="00413132">
        <w:rPr>
          <w:rFonts w:eastAsia="Calibri"/>
          <w:lang w:val="es-ES" w:eastAsia="en-US"/>
        </w:rPr>
        <w:t>periprocedimiento</w:t>
      </w:r>
      <w:proofErr w:type="spellEnd"/>
      <w:r w:rsidRPr="00413132">
        <w:rPr>
          <w:rFonts w:eastAsia="Calibri"/>
          <w:lang w:val="es-ES" w:eastAsia="en-US"/>
        </w:rPr>
        <w:t>. En los pacientes que van a ser sometidos a procedimientos endoscópicos se recomienda continuar la administración de AAS en todos, excepto en aquellos procedimientos endoscópicos de muy alto riesgo de sangrando. En procedimientos endoscópicos con alto riesgo de sangrado se debe valorar el riesgo trombótico:</w:t>
      </w:r>
    </w:p>
    <w:p w14:paraId="00DF7CF6" w14:textId="77777777" w:rsidR="00413132" w:rsidRPr="00413132" w:rsidRDefault="00413132" w:rsidP="00413132">
      <w:pPr>
        <w:spacing w:line="360" w:lineRule="auto"/>
        <w:contextualSpacing/>
        <w:jc w:val="both"/>
        <w:rPr>
          <w:rFonts w:eastAsia="Calibri"/>
          <w:lang w:val="es-CU" w:eastAsia="en-US"/>
        </w:rPr>
      </w:pPr>
      <w:r w:rsidRPr="00413132">
        <w:rPr>
          <w:rFonts w:eastAsia="Calibri"/>
          <w:lang w:val="es-CU" w:eastAsia="en-US"/>
        </w:rPr>
        <w:lastRenderedPageBreak/>
        <w:t xml:space="preserve">Si el riesgo </w:t>
      </w:r>
      <w:proofErr w:type="spellStart"/>
      <w:r w:rsidRPr="00413132">
        <w:rPr>
          <w:rFonts w:eastAsia="Calibri"/>
          <w:lang w:val="es-CU" w:eastAsia="en-US"/>
        </w:rPr>
        <w:t>troboembólico</w:t>
      </w:r>
      <w:proofErr w:type="spellEnd"/>
      <w:r w:rsidRPr="00413132">
        <w:rPr>
          <w:rFonts w:eastAsia="Calibri"/>
          <w:lang w:val="es-CU" w:eastAsia="en-US"/>
        </w:rPr>
        <w:t xml:space="preserve"> es bajo: s</w:t>
      </w:r>
      <w:r w:rsidRPr="00413132">
        <w:rPr>
          <w:rFonts w:eastAsia="Calibri"/>
          <w:lang w:val="es-ES" w:eastAsia="en-US"/>
        </w:rPr>
        <w:t xml:space="preserve">i el paciente toma AAS, no suspenderlo; el resto de los antiagregantes se suspenden 5 días antes </w:t>
      </w:r>
      <w:r w:rsidRPr="00413132">
        <w:rPr>
          <w:rFonts w:eastAsia="Calibri"/>
          <w:lang w:val="es-CU" w:eastAsia="en-US"/>
        </w:rPr>
        <w:t>(se pueden sustituir por AAS).</w:t>
      </w:r>
    </w:p>
    <w:p w14:paraId="18C9876B" w14:textId="77777777" w:rsidR="00413132" w:rsidRPr="00413132" w:rsidRDefault="00413132" w:rsidP="00413132">
      <w:pPr>
        <w:spacing w:line="360" w:lineRule="auto"/>
        <w:contextualSpacing/>
        <w:jc w:val="both"/>
        <w:rPr>
          <w:rFonts w:eastAsia="Calibri"/>
          <w:lang w:val="es-ES" w:eastAsia="en-US"/>
        </w:rPr>
      </w:pPr>
      <w:r w:rsidRPr="00413132">
        <w:rPr>
          <w:rFonts w:eastAsia="Calibri"/>
          <w:lang w:val="es-ES" w:eastAsia="en-US"/>
        </w:rPr>
        <w:t xml:space="preserve">Si el riesgo </w:t>
      </w:r>
      <w:proofErr w:type="spellStart"/>
      <w:r w:rsidRPr="00413132">
        <w:rPr>
          <w:rFonts w:eastAsia="Calibri"/>
          <w:lang w:val="es-ES" w:eastAsia="en-US"/>
        </w:rPr>
        <w:t>troboembólico</w:t>
      </w:r>
      <w:proofErr w:type="spellEnd"/>
      <w:r w:rsidRPr="00413132">
        <w:rPr>
          <w:rFonts w:eastAsia="Calibri"/>
          <w:lang w:val="es-ES" w:eastAsia="en-US"/>
        </w:rPr>
        <w:t xml:space="preserve"> es alto: se recomienda retrasar el procedimiento (si es posible); no suspender el AAS; valorar la terapia puente.</w:t>
      </w:r>
    </w:p>
    <w:p w14:paraId="065CC122"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t xml:space="preserve">La decisión acerca de la antiagregación en el periodo perioperatorio/ </w:t>
      </w:r>
      <w:proofErr w:type="spellStart"/>
      <w:r w:rsidRPr="00413132">
        <w:rPr>
          <w:rFonts w:eastAsia="Calibri"/>
          <w:lang w:val="es-ES" w:eastAsia="en-US"/>
        </w:rPr>
        <w:t>periprocedimiento</w:t>
      </w:r>
      <w:proofErr w:type="spellEnd"/>
      <w:r w:rsidRPr="00413132">
        <w:rPr>
          <w:rFonts w:eastAsia="Calibri"/>
          <w:lang w:val="es-ES" w:eastAsia="en-US"/>
        </w:rPr>
        <w:t xml:space="preserve"> no solo depende del balance entre los riesgos trombótico y hemorrágico, sino también del tipo y la indicación del tratamiento </w:t>
      </w:r>
      <w:proofErr w:type="gramStart"/>
      <w:r w:rsidRPr="00413132">
        <w:rPr>
          <w:rFonts w:eastAsia="Calibri"/>
          <w:lang w:val="es-ES" w:eastAsia="en-US"/>
        </w:rPr>
        <w:t>antiplaquetario</w:t>
      </w:r>
      <w:r w:rsidRPr="00413132">
        <w:rPr>
          <w:rFonts w:eastAsia="Calibri"/>
          <w:vertAlign w:val="superscript"/>
          <w:lang w:val="es-ES" w:eastAsia="en-US"/>
        </w:rPr>
        <w:t>(</w:t>
      </w:r>
      <w:proofErr w:type="gramEnd"/>
      <w:r w:rsidRPr="00413132">
        <w:rPr>
          <w:rFonts w:eastAsia="Calibri"/>
          <w:vertAlign w:val="superscript"/>
          <w:lang w:val="es-ES" w:eastAsia="en-US"/>
        </w:rPr>
        <w:t xml:space="preserve">23) </w:t>
      </w:r>
      <w:r w:rsidRPr="00413132">
        <w:rPr>
          <w:rFonts w:eastAsia="Calibri"/>
          <w:lang w:val="es-ES" w:eastAsia="en-US"/>
        </w:rPr>
        <w:t>(tabla 3).</w:t>
      </w:r>
    </w:p>
    <w:p w14:paraId="2F69E93E" w14:textId="77777777" w:rsidR="00413132" w:rsidRPr="00413132" w:rsidRDefault="00413132" w:rsidP="00413132">
      <w:pPr>
        <w:spacing w:line="360" w:lineRule="auto"/>
        <w:jc w:val="both"/>
        <w:rPr>
          <w:rFonts w:eastAsia="Calibri"/>
          <w:bCs/>
          <w:lang w:val="es-ES" w:eastAsia="en-US"/>
        </w:rPr>
      </w:pPr>
      <w:r w:rsidRPr="00413132">
        <w:rPr>
          <w:rFonts w:eastAsia="Calibri"/>
          <w:bCs/>
          <w:lang w:val="es-ES" w:eastAsia="en-US"/>
        </w:rPr>
        <w:t xml:space="preserve">Para los pacientes con antiagregación simple, se recomienda mantener el AAS, puesto que se ha demostrado que reduce el riesgo isquémico, sin aumentar de manera significativa el riesgo de hemorragia. Solo para las intervenciones con muy alto riesgo hemorrágico (ejemplo: procedimientos neuroquirúrgicos), se propone considerar suspenderlo 3 días antes. Se recomienda utilizar y mantener una dosis baja (100 mg/ día), salvo contraindicación, aunque si el paciente acude al procedimiento con dosis mayores (ejemplo: 300 mg), no se justifica posponer la intervención. En los casos en que la monoterapia sea con un inhibidor del P2Y12, se recomienda suspender el fármaco 3 - 7 días (ticagrelor, 3 - 5 días; </w:t>
      </w:r>
      <w:proofErr w:type="spellStart"/>
      <w:r w:rsidRPr="00413132">
        <w:rPr>
          <w:rFonts w:eastAsia="Calibri"/>
          <w:bCs/>
          <w:lang w:val="es-ES" w:eastAsia="en-US"/>
        </w:rPr>
        <w:t>clopidogrel</w:t>
      </w:r>
      <w:proofErr w:type="spellEnd"/>
      <w:r w:rsidRPr="00413132">
        <w:rPr>
          <w:rFonts w:eastAsia="Calibri"/>
          <w:bCs/>
          <w:lang w:val="es-ES" w:eastAsia="en-US"/>
        </w:rPr>
        <w:t xml:space="preserve">, 5 días; </w:t>
      </w:r>
      <w:proofErr w:type="spellStart"/>
      <w:r w:rsidRPr="00413132">
        <w:rPr>
          <w:rFonts w:eastAsia="Calibri"/>
          <w:bCs/>
          <w:lang w:val="es-ES" w:eastAsia="en-US"/>
        </w:rPr>
        <w:t>prasugrel</w:t>
      </w:r>
      <w:proofErr w:type="spellEnd"/>
      <w:r w:rsidRPr="00413132">
        <w:rPr>
          <w:rFonts w:eastAsia="Calibri"/>
          <w:bCs/>
          <w:lang w:val="es-ES" w:eastAsia="en-US"/>
        </w:rPr>
        <w:t xml:space="preserve">, 7 días) y sustituirlo por AAS 100 mg, si es </w:t>
      </w:r>
      <w:proofErr w:type="gramStart"/>
      <w:r w:rsidRPr="00413132">
        <w:rPr>
          <w:rFonts w:eastAsia="Calibri"/>
          <w:bCs/>
          <w:lang w:val="es-ES" w:eastAsia="en-US"/>
        </w:rPr>
        <w:t>posible.</w:t>
      </w:r>
      <w:r w:rsidRPr="00413132">
        <w:rPr>
          <w:rFonts w:eastAsia="Calibri"/>
          <w:bCs/>
          <w:vertAlign w:val="superscript"/>
          <w:lang w:val="es-ES" w:eastAsia="en-US"/>
        </w:rPr>
        <w:t>(</w:t>
      </w:r>
      <w:proofErr w:type="gramEnd"/>
      <w:r w:rsidRPr="00413132">
        <w:rPr>
          <w:rFonts w:eastAsia="Calibri"/>
          <w:bCs/>
          <w:vertAlign w:val="superscript"/>
          <w:lang w:val="es-ES" w:eastAsia="en-US"/>
        </w:rPr>
        <w:t>24)</w:t>
      </w:r>
    </w:p>
    <w:p w14:paraId="0D25ADFB" w14:textId="77777777" w:rsidR="00413132" w:rsidRPr="00413132" w:rsidRDefault="00413132" w:rsidP="00413132">
      <w:pPr>
        <w:spacing w:line="360" w:lineRule="auto"/>
        <w:jc w:val="both"/>
        <w:rPr>
          <w:rFonts w:eastAsia="Calibri"/>
          <w:bCs/>
          <w:vertAlign w:val="superscript"/>
          <w:lang w:val="es-ES" w:eastAsia="en-US"/>
        </w:rPr>
      </w:pPr>
      <w:r w:rsidRPr="00413132">
        <w:rPr>
          <w:rFonts w:eastAsia="Calibri"/>
          <w:bCs/>
          <w:lang w:val="es-ES" w:eastAsia="en-US"/>
        </w:rPr>
        <w:t xml:space="preserve">La aspirina es parte del tratamiento estándar para los individuos con cardiopatía isquémica y/o enfermedad vascular cerebral de tipo isquémico. Como parte de la prevención secundaria, ha demostrado disminuir la mortalidad y las complicaciones vasculares asociadas. En el contexto de una endoscopia, la monoterapia con aspirina ha probado ser segura durante la realización de una polipectomía y una </w:t>
      </w:r>
      <w:proofErr w:type="spellStart"/>
      <w:r w:rsidRPr="00413132">
        <w:rPr>
          <w:rFonts w:eastAsia="Calibri"/>
          <w:bCs/>
          <w:lang w:val="es-ES" w:eastAsia="en-US"/>
        </w:rPr>
        <w:t>esfinterotomía</w:t>
      </w:r>
      <w:proofErr w:type="spellEnd"/>
      <w:r w:rsidRPr="00413132">
        <w:rPr>
          <w:rFonts w:eastAsia="Calibri"/>
          <w:bCs/>
          <w:lang w:val="es-ES" w:eastAsia="en-US"/>
        </w:rPr>
        <w:t xml:space="preserve">; sin embargo, se ha observado un riesgo mayor de sangrado en los siguientes procedimientos: Disección endoscópica de la submucosa, resección endoscópica de la mucosa de lesiones en colon &gt; 2 cm y de tubo digestivo superior. La interrupción de la aspirina en un sujeto que la toma de forma regular como prevención secundaria (ejemplo: portador de </w:t>
      </w:r>
      <w:proofErr w:type="spellStart"/>
      <w:r w:rsidRPr="00413132">
        <w:rPr>
          <w:rFonts w:eastAsia="Calibri"/>
          <w:bCs/>
          <w:i/>
          <w:iCs/>
          <w:lang w:val="es-ES" w:eastAsia="en-US"/>
        </w:rPr>
        <w:t>stents</w:t>
      </w:r>
      <w:proofErr w:type="spellEnd"/>
      <w:r w:rsidRPr="00413132">
        <w:rPr>
          <w:rFonts w:eastAsia="Calibri"/>
          <w:bCs/>
          <w:i/>
          <w:iCs/>
          <w:lang w:val="es-ES" w:eastAsia="en-US"/>
        </w:rPr>
        <w:t xml:space="preserve"> </w:t>
      </w:r>
      <w:r w:rsidRPr="00413132">
        <w:rPr>
          <w:rFonts w:eastAsia="Calibri"/>
          <w:bCs/>
          <w:lang w:val="es-ES" w:eastAsia="en-US"/>
        </w:rPr>
        <w:t xml:space="preserve">coronarios) se ha asociado con un riesgo aumentado de complicaciones cardiovasculares de hasta un 70 %; la mayoría de ellas se presentan en los primeros 7 - 10 días de su interrupción. El sangrado secundario a procedimientos endoscópicos de alto riesgo puede, con frecuencia, ser controlado mediante medidas endoscópicas y rara vez resulta fatal. Una complicación trombótica secundaria a la suspensión del antiagregante plaquetario puede resultar en una discapacidad irreversible, e incluso la muerte. Esta valoración del riesgo hemorrágico versus trombótico deberá ser realizada de forma individual en cada </w:t>
      </w:r>
      <w:proofErr w:type="gramStart"/>
      <w:r w:rsidRPr="00413132">
        <w:rPr>
          <w:rFonts w:eastAsia="Calibri"/>
          <w:bCs/>
          <w:lang w:val="es-ES" w:eastAsia="en-US"/>
        </w:rPr>
        <w:t>caso.</w:t>
      </w:r>
      <w:r w:rsidRPr="00413132">
        <w:rPr>
          <w:rFonts w:eastAsia="Calibri"/>
          <w:bCs/>
          <w:vertAlign w:val="superscript"/>
          <w:lang w:val="es-ES" w:eastAsia="en-US"/>
        </w:rPr>
        <w:t>(</w:t>
      </w:r>
      <w:proofErr w:type="gramEnd"/>
      <w:r w:rsidRPr="00413132">
        <w:rPr>
          <w:rFonts w:eastAsia="Calibri"/>
          <w:bCs/>
          <w:vertAlign w:val="superscript"/>
          <w:lang w:val="es-ES" w:eastAsia="en-US"/>
        </w:rPr>
        <w:t>22)</w:t>
      </w:r>
    </w:p>
    <w:p w14:paraId="799025B9" w14:textId="77777777" w:rsidR="00413132" w:rsidRPr="00413132" w:rsidRDefault="00413132" w:rsidP="00413132">
      <w:pPr>
        <w:spacing w:line="360" w:lineRule="auto"/>
        <w:jc w:val="both"/>
        <w:rPr>
          <w:rFonts w:eastAsia="Calibri"/>
          <w:bCs/>
          <w:vertAlign w:val="superscript"/>
          <w:lang w:val="es-ES" w:eastAsia="en-US"/>
        </w:rPr>
      </w:pPr>
      <w:r w:rsidRPr="00413132">
        <w:rPr>
          <w:rFonts w:eastAsia="Calibri"/>
          <w:bCs/>
          <w:lang w:val="es-ES" w:eastAsia="en-US"/>
        </w:rPr>
        <w:lastRenderedPageBreak/>
        <w:t xml:space="preserve">El </w:t>
      </w:r>
      <w:proofErr w:type="spellStart"/>
      <w:r w:rsidRPr="00413132">
        <w:rPr>
          <w:rFonts w:eastAsia="Calibri"/>
          <w:bCs/>
          <w:lang w:val="es-ES" w:eastAsia="en-US"/>
        </w:rPr>
        <w:t>clopidogrel</w:t>
      </w:r>
      <w:proofErr w:type="spellEnd"/>
      <w:r w:rsidRPr="00413132">
        <w:rPr>
          <w:rFonts w:eastAsia="Calibri"/>
          <w:bCs/>
          <w:lang w:val="es-ES" w:eastAsia="en-US"/>
        </w:rPr>
        <w:t xml:space="preserve"> es un inhibidor de la agregación plaquetaria mediada por adenosín difosfato, y su uso combinado con aspirina tiene un rol crítico en la prevención de la oclusión de </w:t>
      </w:r>
      <w:proofErr w:type="spellStart"/>
      <w:r w:rsidRPr="00413132">
        <w:rPr>
          <w:rFonts w:eastAsia="Calibri"/>
          <w:bCs/>
          <w:i/>
          <w:iCs/>
          <w:lang w:val="es-ES" w:eastAsia="en-US"/>
        </w:rPr>
        <w:t>stents</w:t>
      </w:r>
      <w:proofErr w:type="spellEnd"/>
      <w:r w:rsidRPr="00413132">
        <w:rPr>
          <w:rFonts w:eastAsia="Calibri"/>
          <w:bCs/>
          <w:i/>
          <w:iCs/>
          <w:lang w:val="es-ES" w:eastAsia="en-US"/>
        </w:rPr>
        <w:t xml:space="preserve"> </w:t>
      </w:r>
      <w:r w:rsidRPr="00413132">
        <w:rPr>
          <w:rFonts w:eastAsia="Calibri"/>
          <w:bCs/>
          <w:lang w:val="es-ES" w:eastAsia="en-US"/>
        </w:rPr>
        <w:t xml:space="preserve">coronarios. Como sucede con la aspirina, su efecto en la agregación plaquetaria es irreversible y su efecto disminuye a los cinco a siete días tras su interrupción. En el caso de </w:t>
      </w:r>
      <w:proofErr w:type="spellStart"/>
      <w:r w:rsidRPr="00413132">
        <w:rPr>
          <w:rFonts w:eastAsia="Calibri"/>
          <w:bCs/>
          <w:lang w:val="es-ES" w:eastAsia="en-US"/>
        </w:rPr>
        <w:t>prasugrel</w:t>
      </w:r>
      <w:proofErr w:type="spellEnd"/>
      <w:r w:rsidRPr="00413132">
        <w:rPr>
          <w:rFonts w:eastAsia="Calibri"/>
          <w:bCs/>
          <w:lang w:val="es-ES" w:eastAsia="en-US"/>
        </w:rPr>
        <w:t xml:space="preserve"> y ticagrelor, la potencia es mayor y el tiempo de acción es más rápido en comparación con </w:t>
      </w:r>
      <w:proofErr w:type="spellStart"/>
      <w:r w:rsidRPr="00413132">
        <w:rPr>
          <w:rFonts w:eastAsia="Calibri"/>
          <w:bCs/>
          <w:lang w:val="es-ES" w:eastAsia="en-US"/>
        </w:rPr>
        <w:t>clopidogrel</w:t>
      </w:r>
      <w:proofErr w:type="spellEnd"/>
      <w:r w:rsidRPr="00413132">
        <w:rPr>
          <w:rFonts w:eastAsia="Calibri"/>
          <w:bCs/>
          <w:lang w:val="es-ES" w:eastAsia="en-US"/>
        </w:rPr>
        <w:t xml:space="preserve">. El ticagrelor, a diferencia del </w:t>
      </w:r>
      <w:proofErr w:type="spellStart"/>
      <w:r w:rsidRPr="00413132">
        <w:rPr>
          <w:rFonts w:eastAsia="Calibri"/>
          <w:bCs/>
          <w:lang w:val="es-ES" w:eastAsia="en-US"/>
        </w:rPr>
        <w:t>clopidogrel</w:t>
      </w:r>
      <w:proofErr w:type="spellEnd"/>
      <w:r w:rsidRPr="00413132">
        <w:rPr>
          <w:rFonts w:eastAsia="Calibri"/>
          <w:bCs/>
          <w:lang w:val="es-ES" w:eastAsia="en-US"/>
        </w:rPr>
        <w:t xml:space="preserve"> y </w:t>
      </w:r>
      <w:proofErr w:type="spellStart"/>
      <w:r w:rsidRPr="00413132">
        <w:rPr>
          <w:rFonts w:eastAsia="Calibri"/>
          <w:bCs/>
          <w:lang w:val="es-ES" w:eastAsia="en-US"/>
        </w:rPr>
        <w:t>prasugrel</w:t>
      </w:r>
      <w:proofErr w:type="spellEnd"/>
      <w:r w:rsidRPr="00413132">
        <w:rPr>
          <w:rFonts w:eastAsia="Calibri"/>
          <w:bCs/>
          <w:lang w:val="es-ES" w:eastAsia="en-US"/>
        </w:rPr>
        <w:t xml:space="preserve">, sí es </w:t>
      </w:r>
      <w:proofErr w:type="gramStart"/>
      <w:r w:rsidRPr="00413132">
        <w:rPr>
          <w:rFonts w:eastAsia="Calibri"/>
          <w:bCs/>
          <w:lang w:val="es-ES" w:eastAsia="en-US"/>
        </w:rPr>
        <w:t>reversible.</w:t>
      </w:r>
      <w:r w:rsidRPr="00413132">
        <w:rPr>
          <w:rFonts w:eastAsia="Calibri"/>
          <w:bCs/>
          <w:vertAlign w:val="superscript"/>
          <w:lang w:val="es-ES" w:eastAsia="en-US"/>
        </w:rPr>
        <w:t>(</w:t>
      </w:r>
      <w:proofErr w:type="gramEnd"/>
      <w:r w:rsidRPr="00413132">
        <w:rPr>
          <w:rFonts w:eastAsia="Calibri"/>
          <w:bCs/>
          <w:vertAlign w:val="superscript"/>
          <w:lang w:val="es-ES" w:eastAsia="en-US"/>
        </w:rPr>
        <w:t>25)</w:t>
      </w:r>
    </w:p>
    <w:p w14:paraId="2A0420DC" w14:textId="77777777" w:rsidR="00413132" w:rsidRPr="00413132" w:rsidRDefault="00413132" w:rsidP="00413132">
      <w:pPr>
        <w:spacing w:line="360" w:lineRule="auto"/>
        <w:jc w:val="both"/>
        <w:rPr>
          <w:rFonts w:eastAsia="Calibri"/>
          <w:bCs/>
          <w:vertAlign w:val="superscript"/>
          <w:lang w:val="es-ES" w:eastAsia="en-US"/>
        </w:rPr>
      </w:pPr>
    </w:p>
    <w:p w14:paraId="7B6D5057" w14:textId="24421D4F" w:rsidR="00413132" w:rsidRPr="00413132" w:rsidRDefault="00413132" w:rsidP="00413132">
      <w:pPr>
        <w:spacing w:line="360" w:lineRule="auto"/>
        <w:jc w:val="center"/>
        <w:rPr>
          <w:rFonts w:eastAsia="Calibri"/>
          <w:sz w:val="22"/>
          <w:szCs w:val="22"/>
          <w:lang w:val="es-CU" w:eastAsia="en-US"/>
        </w:rPr>
      </w:pPr>
      <w:r w:rsidRPr="00413132">
        <w:rPr>
          <w:rFonts w:eastAsia="Calibri"/>
          <w:b/>
          <w:bCs/>
          <w:sz w:val="22"/>
          <w:szCs w:val="22"/>
          <w:lang w:val="es-ES" w:eastAsia="en-US"/>
        </w:rPr>
        <w:t>Tabla 3 -</w:t>
      </w:r>
      <w:r w:rsidRPr="00413132">
        <w:rPr>
          <w:rFonts w:eastAsia="Calibri"/>
          <w:sz w:val="22"/>
          <w:szCs w:val="22"/>
          <w:lang w:val="es-ES" w:eastAsia="en-US"/>
        </w:rPr>
        <w:t xml:space="preserve"> Recomendaciones sobre el uso de fármacos antitrombóticos en pacientes programados para procedimientos endoscópicos</w:t>
      </w:r>
    </w:p>
    <w:p w14:paraId="2BB01131" w14:textId="60848FA9" w:rsidR="00413132" w:rsidRPr="00413132" w:rsidRDefault="00413132" w:rsidP="00413132">
      <w:pPr>
        <w:spacing w:line="360" w:lineRule="auto"/>
        <w:jc w:val="center"/>
        <w:rPr>
          <w:rFonts w:eastAsia="Calibri"/>
          <w:sz w:val="16"/>
          <w:szCs w:val="16"/>
          <w:lang w:val="es-ES" w:eastAsia="en-US"/>
        </w:rPr>
      </w:pPr>
      <w:r w:rsidRPr="00413132">
        <w:rPr>
          <w:rFonts w:eastAsia="Calibri"/>
          <w:noProof/>
          <w:sz w:val="16"/>
          <w:szCs w:val="16"/>
          <w:lang w:val="es-ES" w:eastAsia="en-US"/>
        </w:rPr>
        <w:drawing>
          <wp:inline distT="0" distB="0" distL="0" distR="0" wp14:anchorId="2D55D981" wp14:editId="214C0F89">
            <wp:extent cx="3867150" cy="362902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3629025"/>
                    </a:xfrm>
                    <a:prstGeom prst="rect">
                      <a:avLst/>
                    </a:prstGeom>
                    <a:noFill/>
                    <a:ln>
                      <a:noFill/>
                    </a:ln>
                  </pic:spPr>
                </pic:pic>
              </a:graphicData>
            </a:graphic>
          </wp:inline>
        </w:drawing>
      </w:r>
    </w:p>
    <w:p w14:paraId="1C905ABF" w14:textId="77777777" w:rsidR="00413132" w:rsidRPr="00413132" w:rsidRDefault="00413132" w:rsidP="00413132">
      <w:pPr>
        <w:spacing w:line="360" w:lineRule="auto"/>
        <w:jc w:val="center"/>
        <w:rPr>
          <w:rFonts w:eastAsia="Calibri"/>
          <w:sz w:val="16"/>
          <w:szCs w:val="16"/>
          <w:lang w:val="es-ES" w:eastAsia="en-US"/>
        </w:rPr>
      </w:pPr>
      <w:r w:rsidRPr="00413132">
        <w:rPr>
          <w:rFonts w:eastAsia="Calibri"/>
          <w:sz w:val="16"/>
          <w:szCs w:val="16"/>
          <w:lang w:val="es-ES" w:eastAsia="en-US"/>
        </w:rPr>
        <w:t xml:space="preserve">ASGE: Sociedad Americana de Endoscopia Gastrointestinal; C: continuar; ESGE: Sociedad Europea de Endoscopia Gastrointestinal; JGES: la Sociedad japonesa de Endoscopia Gastroenterológica; S: suspender; </w:t>
      </w:r>
      <w:proofErr w:type="spellStart"/>
      <w:r w:rsidRPr="00413132">
        <w:rPr>
          <w:rFonts w:eastAsia="Calibri"/>
          <w:sz w:val="16"/>
          <w:szCs w:val="16"/>
          <w:lang w:val="es-ES" w:eastAsia="en-US"/>
        </w:rPr>
        <w:t>TxP</w:t>
      </w:r>
      <w:proofErr w:type="spellEnd"/>
      <w:r w:rsidRPr="00413132">
        <w:rPr>
          <w:rFonts w:eastAsia="Calibri"/>
          <w:sz w:val="16"/>
          <w:szCs w:val="16"/>
          <w:lang w:val="es-ES" w:eastAsia="en-US"/>
        </w:rPr>
        <w:t>: terapia de puente.</w:t>
      </w:r>
    </w:p>
    <w:p w14:paraId="68F611F9" w14:textId="77777777" w:rsidR="00413132" w:rsidRPr="00413132" w:rsidRDefault="00413132" w:rsidP="00413132">
      <w:pPr>
        <w:spacing w:line="360" w:lineRule="auto"/>
        <w:jc w:val="center"/>
        <w:rPr>
          <w:rFonts w:eastAsia="Calibri"/>
          <w:sz w:val="16"/>
          <w:szCs w:val="16"/>
          <w:lang w:val="es-ES" w:eastAsia="en-US"/>
        </w:rPr>
      </w:pPr>
      <w:r w:rsidRPr="00413132">
        <w:rPr>
          <w:rFonts w:eastAsia="Calibri"/>
          <w:sz w:val="16"/>
          <w:szCs w:val="16"/>
          <w:lang w:val="es-ES" w:eastAsia="en-US"/>
        </w:rPr>
        <w:t>a: Individualizar en el caso, sobre todo en doble o triple terapia.</w:t>
      </w:r>
    </w:p>
    <w:p w14:paraId="431C6D53" w14:textId="77777777" w:rsidR="00413132" w:rsidRPr="00413132" w:rsidRDefault="00413132" w:rsidP="00413132">
      <w:pPr>
        <w:spacing w:line="360" w:lineRule="auto"/>
        <w:jc w:val="center"/>
        <w:rPr>
          <w:rFonts w:eastAsia="Calibri"/>
          <w:sz w:val="16"/>
          <w:szCs w:val="16"/>
          <w:lang w:val="es-ES" w:eastAsia="en-US"/>
        </w:rPr>
      </w:pPr>
      <w:r w:rsidRPr="00413132">
        <w:rPr>
          <w:rFonts w:eastAsia="Calibri"/>
          <w:sz w:val="16"/>
          <w:szCs w:val="16"/>
          <w:lang w:val="es-ES" w:eastAsia="en-US"/>
        </w:rPr>
        <w:t>b: Continua en procedimientos diagnósticos sin biopsias.</w:t>
      </w:r>
    </w:p>
    <w:p w14:paraId="349AEA43" w14:textId="77777777" w:rsidR="00413132" w:rsidRPr="00413132" w:rsidRDefault="00413132" w:rsidP="00413132">
      <w:pPr>
        <w:spacing w:line="360" w:lineRule="auto"/>
        <w:jc w:val="center"/>
        <w:rPr>
          <w:rFonts w:eastAsia="Calibri"/>
          <w:sz w:val="16"/>
          <w:szCs w:val="16"/>
          <w:lang w:val="es-ES" w:eastAsia="en-US"/>
        </w:rPr>
      </w:pPr>
      <w:r w:rsidRPr="00413132">
        <w:rPr>
          <w:rFonts w:eastAsia="Calibri"/>
          <w:sz w:val="16"/>
          <w:szCs w:val="16"/>
          <w:lang w:val="es-ES" w:eastAsia="en-US"/>
        </w:rPr>
        <w:t>c Con o sin sustitución por aspirina.</w:t>
      </w:r>
    </w:p>
    <w:p w14:paraId="3619CF67" w14:textId="77777777" w:rsidR="00413132" w:rsidRPr="00413132" w:rsidRDefault="00413132" w:rsidP="00413132">
      <w:pPr>
        <w:spacing w:line="360" w:lineRule="auto"/>
        <w:jc w:val="center"/>
        <w:rPr>
          <w:rFonts w:eastAsia="Calibri"/>
          <w:bCs/>
          <w:sz w:val="16"/>
          <w:szCs w:val="16"/>
          <w:lang w:val="es-ES" w:eastAsia="en-US"/>
        </w:rPr>
      </w:pPr>
      <w:r w:rsidRPr="00413132">
        <w:rPr>
          <w:rFonts w:eastAsia="Calibri"/>
          <w:sz w:val="16"/>
          <w:szCs w:val="16"/>
          <w:lang w:val="es-ES" w:eastAsia="en-US"/>
        </w:rPr>
        <w:t xml:space="preserve">d De ser posible, retrasar los procedimientos endoscópicos, de no ser posible se suspende la </w:t>
      </w:r>
      <w:proofErr w:type="spellStart"/>
      <w:r w:rsidRPr="00413132">
        <w:rPr>
          <w:rFonts w:eastAsia="Calibri"/>
          <w:sz w:val="16"/>
          <w:szCs w:val="16"/>
          <w:lang w:val="es-ES" w:eastAsia="en-US"/>
        </w:rPr>
        <w:t>tienopiridina</w:t>
      </w:r>
      <w:proofErr w:type="spellEnd"/>
      <w:r w:rsidRPr="00413132">
        <w:rPr>
          <w:rFonts w:eastAsia="Calibri"/>
          <w:sz w:val="16"/>
          <w:szCs w:val="16"/>
          <w:lang w:val="es-ES" w:eastAsia="en-US"/>
        </w:rPr>
        <w:t xml:space="preserve"> y se sustituye por aspirina.</w:t>
      </w:r>
    </w:p>
    <w:p w14:paraId="17366BB3" w14:textId="77777777" w:rsidR="00413132" w:rsidRPr="00413132" w:rsidRDefault="00413132" w:rsidP="00413132">
      <w:pPr>
        <w:spacing w:line="360" w:lineRule="auto"/>
        <w:jc w:val="center"/>
        <w:rPr>
          <w:rFonts w:eastAsia="Calibri"/>
          <w:bCs/>
          <w:sz w:val="16"/>
          <w:szCs w:val="16"/>
          <w:lang w:val="es-ES" w:eastAsia="en-US"/>
        </w:rPr>
      </w:pPr>
      <w:r w:rsidRPr="00413132">
        <w:rPr>
          <w:rFonts w:eastAsia="Calibri"/>
          <w:bCs/>
          <w:sz w:val="16"/>
          <w:szCs w:val="16"/>
          <w:lang w:val="es-ES" w:eastAsia="en-US"/>
        </w:rPr>
        <w:t xml:space="preserve">Fuente: </w:t>
      </w:r>
      <w:r w:rsidRPr="00413132">
        <w:rPr>
          <w:rFonts w:eastAsia="Calibri"/>
          <w:bCs/>
          <w:i/>
          <w:iCs/>
          <w:sz w:val="16"/>
          <w:szCs w:val="16"/>
          <w:lang w:val="es-ES" w:eastAsia="en-US"/>
        </w:rPr>
        <w:t>Aguilar-Olivos</w:t>
      </w:r>
      <w:r w:rsidRPr="00413132">
        <w:rPr>
          <w:rFonts w:eastAsia="Calibri"/>
          <w:bCs/>
          <w:sz w:val="16"/>
          <w:szCs w:val="16"/>
          <w:lang w:val="es-ES" w:eastAsia="en-US"/>
        </w:rPr>
        <w:t xml:space="preserve"> y </w:t>
      </w:r>
      <w:proofErr w:type="gramStart"/>
      <w:r w:rsidRPr="00413132">
        <w:rPr>
          <w:rFonts w:eastAsia="Calibri"/>
          <w:bCs/>
          <w:sz w:val="16"/>
          <w:szCs w:val="16"/>
          <w:lang w:val="es-ES" w:eastAsia="en-US"/>
        </w:rPr>
        <w:t>otros.</w:t>
      </w:r>
      <w:r w:rsidRPr="00413132">
        <w:rPr>
          <w:rFonts w:eastAsia="Calibri"/>
          <w:bCs/>
          <w:sz w:val="16"/>
          <w:szCs w:val="16"/>
          <w:vertAlign w:val="superscript"/>
          <w:lang w:val="es-ES" w:eastAsia="en-US"/>
        </w:rPr>
        <w:t>(</w:t>
      </w:r>
      <w:proofErr w:type="gramEnd"/>
      <w:r w:rsidRPr="00413132">
        <w:rPr>
          <w:rFonts w:eastAsia="Calibri"/>
          <w:bCs/>
          <w:sz w:val="16"/>
          <w:szCs w:val="16"/>
          <w:vertAlign w:val="superscript"/>
          <w:lang w:val="es-ES" w:eastAsia="en-US"/>
        </w:rPr>
        <w:t>5)</w:t>
      </w:r>
    </w:p>
    <w:p w14:paraId="1DCE7E3B" w14:textId="77777777" w:rsidR="00413132" w:rsidRPr="00413132" w:rsidRDefault="00413132" w:rsidP="00413132">
      <w:pPr>
        <w:spacing w:line="360" w:lineRule="auto"/>
        <w:jc w:val="both"/>
        <w:rPr>
          <w:rFonts w:eastAsia="Calibri"/>
          <w:bCs/>
          <w:lang w:val="es-ES" w:eastAsia="en-US"/>
        </w:rPr>
      </w:pPr>
    </w:p>
    <w:p w14:paraId="15CD6CDC" w14:textId="77777777" w:rsidR="00413132" w:rsidRPr="00413132" w:rsidRDefault="00413132" w:rsidP="00413132">
      <w:pPr>
        <w:spacing w:line="360" w:lineRule="auto"/>
        <w:jc w:val="both"/>
        <w:rPr>
          <w:rFonts w:eastAsia="Calibri"/>
          <w:lang w:val="es-ES" w:eastAsia="en-US"/>
        </w:rPr>
      </w:pPr>
      <w:r w:rsidRPr="00413132">
        <w:rPr>
          <w:rFonts w:eastAsia="Calibri"/>
          <w:lang w:val="es-ES" w:eastAsia="en-US"/>
        </w:rPr>
        <w:lastRenderedPageBreak/>
        <w:t>La terapia antiagregante combinada (ejemplo: aspirina + </w:t>
      </w:r>
      <w:proofErr w:type="spellStart"/>
      <w:r w:rsidRPr="00413132">
        <w:rPr>
          <w:rFonts w:eastAsia="Calibri"/>
          <w:lang w:val="es-ES" w:eastAsia="en-US"/>
        </w:rPr>
        <w:t>clopidogrel</w:t>
      </w:r>
      <w:proofErr w:type="spellEnd"/>
      <w:r w:rsidRPr="00413132">
        <w:rPr>
          <w:rFonts w:eastAsia="Calibri"/>
          <w:lang w:val="es-ES" w:eastAsia="en-US"/>
        </w:rPr>
        <w:t xml:space="preserve">, </w:t>
      </w:r>
      <w:proofErr w:type="spellStart"/>
      <w:r w:rsidRPr="00413132">
        <w:rPr>
          <w:rFonts w:eastAsia="Calibri"/>
          <w:lang w:val="es-ES" w:eastAsia="en-US"/>
        </w:rPr>
        <w:t>prasugrel</w:t>
      </w:r>
      <w:proofErr w:type="spellEnd"/>
      <w:r w:rsidRPr="00413132">
        <w:rPr>
          <w:rFonts w:eastAsia="Calibri"/>
          <w:lang w:val="es-ES" w:eastAsia="en-US"/>
        </w:rPr>
        <w:t xml:space="preserve"> o ticagrelor) está indicada para prevenir trombosis de </w:t>
      </w:r>
      <w:proofErr w:type="spellStart"/>
      <w:r w:rsidRPr="00413132">
        <w:rPr>
          <w:rFonts w:eastAsia="Calibri"/>
          <w:i/>
          <w:iCs/>
          <w:lang w:val="es-ES" w:eastAsia="en-US"/>
        </w:rPr>
        <w:t>stents</w:t>
      </w:r>
      <w:proofErr w:type="spellEnd"/>
      <w:r w:rsidRPr="00413132">
        <w:rPr>
          <w:rFonts w:eastAsia="Calibri"/>
          <w:i/>
          <w:iCs/>
          <w:lang w:val="es-ES" w:eastAsia="en-US"/>
        </w:rPr>
        <w:t xml:space="preserve"> </w:t>
      </w:r>
      <w:r w:rsidRPr="00413132">
        <w:rPr>
          <w:rFonts w:eastAsia="Calibri"/>
          <w:lang w:val="es-ES" w:eastAsia="en-US"/>
        </w:rPr>
        <w:t xml:space="preserve">coronarios. Cuando se trata de un </w:t>
      </w:r>
      <w:proofErr w:type="spellStart"/>
      <w:r w:rsidRPr="00413132">
        <w:rPr>
          <w:rFonts w:eastAsia="Calibri"/>
          <w:i/>
          <w:iCs/>
          <w:lang w:val="es-ES" w:eastAsia="en-US"/>
        </w:rPr>
        <w:t>stent</w:t>
      </w:r>
      <w:proofErr w:type="spellEnd"/>
      <w:r w:rsidRPr="00413132">
        <w:rPr>
          <w:rFonts w:eastAsia="Calibri"/>
          <w:i/>
          <w:iCs/>
          <w:lang w:val="es-ES" w:eastAsia="en-US"/>
        </w:rPr>
        <w:t xml:space="preserve"> </w:t>
      </w:r>
      <w:r w:rsidRPr="00413132">
        <w:rPr>
          <w:rFonts w:eastAsia="Calibri"/>
          <w:lang w:val="es-ES" w:eastAsia="en-US"/>
        </w:rPr>
        <w:t xml:space="preserve">medicado, el tiempo mínimo recomendado para mantenerla es de 12 meses. En el caso de un </w:t>
      </w:r>
      <w:proofErr w:type="spellStart"/>
      <w:r w:rsidRPr="00413132">
        <w:rPr>
          <w:rFonts w:eastAsia="Calibri"/>
          <w:i/>
          <w:iCs/>
          <w:lang w:val="es-ES" w:eastAsia="en-US"/>
        </w:rPr>
        <w:t>stent</w:t>
      </w:r>
      <w:proofErr w:type="spellEnd"/>
      <w:r w:rsidRPr="00413132">
        <w:rPr>
          <w:rFonts w:eastAsia="Calibri"/>
          <w:i/>
          <w:iCs/>
          <w:lang w:val="es-ES" w:eastAsia="en-US"/>
        </w:rPr>
        <w:t xml:space="preserve"> </w:t>
      </w:r>
      <w:r w:rsidRPr="00413132">
        <w:rPr>
          <w:rFonts w:eastAsia="Calibri"/>
          <w:lang w:val="es-ES" w:eastAsia="en-US"/>
        </w:rPr>
        <w:t>no medicado, un mes y más adelante, el sujeto deberá continuar con monoterapia con aspirina, por tiempo indefinido. La terapia antiagregante combinada, aumenta el riesgo de sangrado, ya sea espontáneo o durante procedimientos endoscópicos (</w:t>
      </w:r>
      <w:proofErr w:type="spellStart"/>
      <w:r w:rsidRPr="00413132">
        <w:rPr>
          <w:rFonts w:eastAsia="Calibri"/>
          <w:lang w:val="es-ES" w:eastAsia="en-US"/>
        </w:rPr>
        <w:t>clopidogrel</w:t>
      </w:r>
      <w:proofErr w:type="spellEnd"/>
      <w:r w:rsidRPr="00413132">
        <w:rPr>
          <w:rFonts w:eastAsia="Calibri"/>
          <w:lang w:val="es-ES" w:eastAsia="en-US"/>
        </w:rPr>
        <w:t> &gt; aspirina, ticagrelor + aspirina &gt; </w:t>
      </w:r>
      <w:proofErr w:type="spellStart"/>
      <w:r w:rsidRPr="00413132">
        <w:rPr>
          <w:rFonts w:eastAsia="Calibri"/>
          <w:lang w:val="es-ES" w:eastAsia="en-US"/>
        </w:rPr>
        <w:t>clopidogrel</w:t>
      </w:r>
      <w:proofErr w:type="spellEnd"/>
      <w:r w:rsidRPr="00413132">
        <w:rPr>
          <w:rFonts w:eastAsia="Calibri"/>
          <w:lang w:val="es-ES" w:eastAsia="en-US"/>
        </w:rPr>
        <w:t xml:space="preserve"> + aspirina, y </w:t>
      </w:r>
      <w:proofErr w:type="spellStart"/>
      <w:r w:rsidRPr="00413132">
        <w:rPr>
          <w:rFonts w:eastAsia="Calibri"/>
          <w:lang w:val="es-ES" w:eastAsia="en-US"/>
        </w:rPr>
        <w:t>prasugrel</w:t>
      </w:r>
      <w:proofErr w:type="spellEnd"/>
      <w:r w:rsidRPr="00413132">
        <w:rPr>
          <w:rFonts w:eastAsia="Calibri"/>
          <w:lang w:val="es-ES" w:eastAsia="en-US"/>
        </w:rPr>
        <w:t xml:space="preserve"> + aspirina &gt; que cualquier otra combinación). En caso de que una persona presentara un sangrado o requiriera una endoscopia durante el tiempo en que se encuentra bajo tratamiento antiagregante doble, resultaría lógico suspender dicha terapia, sin </w:t>
      </w:r>
      <w:proofErr w:type="gramStart"/>
      <w:r w:rsidRPr="00413132">
        <w:rPr>
          <w:rFonts w:eastAsia="Calibri"/>
          <w:lang w:val="es-ES" w:eastAsia="en-US"/>
        </w:rPr>
        <w:t>embargo</w:t>
      </w:r>
      <w:proofErr w:type="gramEnd"/>
      <w:r w:rsidRPr="00413132">
        <w:rPr>
          <w:rFonts w:eastAsia="Calibri"/>
          <w:lang w:val="es-ES" w:eastAsia="en-US"/>
        </w:rPr>
        <w:t xml:space="preserve"> esto aumenta la posibilidad de presentar trombosis del </w:t>
      </w:r>
      <w:proofErr w:type="spellStart"/>
      <w:r w:rsidRPr="00413132">
        <w:rPr>
          <w:rFonts w:eastAsia="Calibri"/>
          <w:i/>
          <w:iCs/>
          <w:lang w:val="es-ES" w:eastAsia="en-US"/>
        </w:rPr>
        <w:t>stent</w:t>
      </w:r>
      <w:proofErr w:type="spellEnd"/>
      <w:r w:rsidRPr="00413132">
        <w:rPr>
          <w:rFonts w:eastAsia="Calibri"/>
          <w:lang w:val="es-ES" w:eastAsia="en-US"/>
        </w:rPr>
        <w:t xml:space="preserve">, infarto agudo al miocardio, e incluso, muerte. Dicho riesgo es mayor durante los primeros cinco días desde la suspensión, por lo que en casos de sangrado gastrointestinal agudo, la interrupción deberá limitarse a ese </w:t>
      </w:r>
      <w:proofErr w:type="gramStart"/>
      <w:r w:rsidRPr="00413132">
        <w:rPr>
          <w:rFonts w:eastAsia="Calibri"/>
          <w:lang w:val="es-ES" w:eastAsia="en-US"/>
        </w:rPr>
        <w:t>intervalo.</w:t>
      </w:r>
      <w:r w:rsidRPr="00413132">
        <w:rPr>
          <w:rFonts w:eastAsia="Calibri"/>
          <w:vertAlign w:val="superscript"/>
          <w:lang w:val="es-ES" w:eastAsia="en-US"/>
        </w:rPr>
        <w:t>(</w:t>
      </w:r>
      <w:proofErr w:type="gramEnd"/>
      <w:r w:rsidRPr="00413132">
        <w:rPr>
          <w:rFonts w:eastAsia="Calibri"/>
          <w:vertAlign w:val="superscript"/>
          <w:lang w:val="es-ES" w:eastAsia="en-US"/>
        </w:rPr>
        <w:t>26)</w:t>
      </w:r>
      <w:r w:rsidRPr="00413132">
        <w:rPr>
          <w:rFonts w:eastAsia="Calibri"/>
          <w:lang w:val="es-ES" w:eastAsia="en-US"/>
        </w:rPr>
        <w:t xml:space="preserve"> En la figura 1</w:t>
      </w:r>
      <w:r w:rsidRPr="00413132">
        <w:rPr>
          <w:rFonts w:eastAsia="Calibri"/>
          <w:i/>
          <w:iCs/>
          <w:lang w:val="es-ES" w:eastAsia="en-US"/>
        </w:rPr>
        <w:t xml:space="preserve"> </w:t>
      </w:r>
      <w:r w:rsidRPr="00413132">
        <w:rPr>
          <w:rFonts w:eastAsia="Calibri"/>
          <w:lang w:val="es-ES" w:eastAsia="en-US"/>
        </w:rPr>
        <w:t xml:space="preserve">se muestra el manejo de este tipo de enfermos. </w:t>
      </w:r>
    </w:p>
    <w:p w14:paraId="04D5FC15" w14:textId="77777777" w:rsidR="00413132" w:rsidRPr="00413132" w:rsidRDefault="00413132" w:rsidP="00413132">
      <w:pPr>
        <w:spacing w:line="360" w:lineRule="auto"/>
        <w:jc w:val="both"/>
        <w:rPr>
          <w:rFonts w:eastAsia="Calibri"/>
          <w:lang w:val="es-ES" w:eastAsia="en-US"/>
        </w:rPr>
      </w:pPr>
    </w:p>
    <w:p w14:paraId="20346209" w14:textId="59D6690E" w:rsidR="00413132" w:rsidRPr="00413132" w:rsidRDefault="00413132" w:rsidP="00413132">
      <w:pPr>
        <w:spacing w:line="360" w:lineRule="auto"/>
        <w:jc w:val="center"/>
        <w:rPr>
          <w:rFonts w:eastAsia="Calibri"/>
          <w:iCs/>
          <w:sz w:val="16"/>
          <w:szCs w:val="16"/>
          <w:lang w:val="es-ES" w:eastAsia="en-US"/>
        </w:rPr>
      </w:pPr>
      <w:r w:rsidRPr="00413132">
        <w:rPr>
          <w:rFonts w:eastAsia="Calibri"/>
          <w:iCs/>
          <w:noProof/>
          <w:sz w:val="16"/>
          <w:szCs w:val="16"/>
          <w:lang w:val="es-ES" w:eastAsia="en-US"/>
        </w:rPr>
        <w:drawing>
          <wp:inline distT="0" distB="0" distL="0" distR="0" wp14:anchorId="5185EE0C" wp14:editId="5162E41F">
            <wp:extent cx="5143500" cy="352425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3524250"/>
                    </a:xfrm>
                    <a:prstGeom prst="rect">
                      <a:avLst/>
                    </a:prstGeom>
                    <a:noFill/>
                    <a:ln>
                      <a:noFill/>
                    </a:ln>
                  </pic:spPr>
                </pic:pic>
              </a:graphicData>
            </a:graphic>
          </wp:inline>
        </w:drawing>
      </w:r>
    </w:p>
    <w:p w14:paraId="14A1B3C9" w14:textId="77777777" w:rsidR="00413132" w:rsidRPr="00413132" w:rsidRDefault="00413132" w:rsidP="00413132">
      <w:pPr>
        <w:spacing w:line="360" w:lineRule="auto"/>
        <w:jc w:val="center"/>
        <w:rPr>
          <w:rFonts w:eastAsia="Calibri"/>
          <w:iCs/>
          <w:sz w:val="16"/>
          <w:szCs w:val="16"/>
          <w:lang w:val="es-ES" w:eastAsia="en-US"/>
        </w:rPr>
      </w:pPr>
      <w:r w:rsidRPr="00413132">
        <w:rPr>
          <w:rFonts w:eastAsia="Calibri"/>
          <w:iCs/>
          <w:sz w:val="16"/>
          <w:szCs w:val="16"/>
          <w:lang w:val="es-ES" w:eastAsia="en-US"/>
        </w:rPr>
        <w:t>Leyenda: CI: Cardiopatía isquémica</w:t>
      </w:r>
      <w:r w:rsidRPr="00413132">
        <w:rPr>
          <w:rFonts w:eastAsia="Calibri"/>
          <w:i/>
          <w:iCs/>
          <w:sz w:val="16"/>
          <w:szCs w:val="16"/>
          <w:lang w:val="es-ES" w:eastAsia="en-US"/>
        </w:rPr>
        <w:t xml:space="preserve">; </w:t>
      </w:r>
      <w:r w:rsidRPr="00413132">
        <w:rPr>
          <w:rFonts w:eastAsia="Calibri"/>
          <w:iCs/>
          <w:sz w:val="16"/>
          <w:szCs w:val="16"/>
          <w:lang w:val="es-ES" w:eastAsia="en-US"/>
        </w:rPr>
        <w:t>EVC: Enfermedad vascular cerebral; EVP: Enfermedad vascular periférica.</w:t>
      </w:r>
    </w:p>
    <w:p w14:paraId="1A7AE88F" w14:textId="77777777" w:rsidR="00413132" w:rsidRPr="00413132" w:rsidRDefault="00413132" w:rsidP="00413132">
      <w:pPr>
        <w:spacing w:line="360" w:lineRule="auto"/>
        <w:jc w:val="center"/>
        <w:rPr>
          <w:rFonts w:eastAsia="Calibri"/>
          <w:bCs/>
          <w:iCs/>
          <w:sz w:val="16"/>
          <w:szCs w:val="16"/>
          <w:vertAlign w:val="superscript"/>
          <w:lang w:val="es-ES" w:eastAsia="en-US"/>
        </w:rPr>
      </w:pPr>
      <w:r w:rsidRPr="00413132">
        <w:rPr>
          <w:rFonts w:eastAsia="Calibri"/>
          <w:bCs/>
          <w:iCs/>
          <w:sz w:val="16"/>
          <w:szCs w:val="16"/>
          <w:lang w:val="es-ES" w:eastAsia="en-US"/>
        </w:rPr>
        <w:t xml:space="preserve">Fuente: </w:t>
      </w:r>
      <w:r w:rsidRPr="00413132">
        <w:rPr>
          <w:rFonts w:eastAsia="Calibri"/>
          <w:bCs/>
          <w:i/>
          <w:sz w:val="16"/>
          <w:szCs w:val="16"/>
          <w:lang w:val="es-ES" w:eastAsia="en-US"/>
        </w:rPr>
        <w:t>Estradas Trujillo</w:t>
      </w:r>
      <w:r w:rsidRPr="00413132">
        <w:rPr>
          <w:rFonts w:eastAsia="Calibri"/>
          <w:bCs/>
          <w:iCs/>
          <w:sz w:val="16"/>
          <w:szCs w:val="16"/>
          <w:lang w:val="es-ES" w:eastAsia="en-US"/>
        </w:rPr>
        <w:t xml:space="preserve"> y </w:t>
      </w:r>
      <w:proofErr w:type="gramStart"/>
      <w:r w:rsidRPr="00413132">
        <w:rPr>
          <w:rFonts w:eastAsia="Calibri"/>
          <w:bCs/>
          <w:iCs/>
          <w:sz w:val="16"/>
          <w:szCs w:val="16"/>
          <w:lang w:val="es-ES" w:eastAsia="en-US"/>
        </w:rPr>
        <w:t>otros.</w:t>
      </w:r>
      <w:r w:rsidRPr="00413132">
        <w:rPr>
          <w:rFonts w:eastAsia="Calibri"/>
          <w:b/>
          <w:bCs/>
          <w:iCs/>
          <w:sz w:val="16"/>
          <w:szCs w:val="16"/>
          <w:vertAlign w:val="superscript"/>
          <w:lang w:val="es-ES" w:eastAsia="en-US"/>
        </w:rPr>
        <w:t>(</w:t>
      </w:r>
      <w:proofErr w:type="gramEnd"/>
      <w:r w:rsidRPr="00413132">
        <w:rPr>
          <w:rFonts w:eastAsia="Calibri"/>
          <w:bCs/>
          <w:iCs/>
          <w:sz w:val="16"/>
          <w:szCs w:val="16"/>
          <w:vertAlign w:val="superscript"/>
          <w:lang w:val="es-ES" w:eastAsia="en-US"/>
        </w:rPr>
        <w:t>22)</w:t>
      </w:r>
    </w:p>
    <w:p w14:paraId="783874D0" w14:textId="77777777" w:rsidR="00413132" w:rsidRPr="00413132" w:rsidRDefault="00413132" w:rsidP="00413132">
      <w:pPr>
        <w:spacing w:line="360" w:lineRule="auto"/>
        <w:jc w:val="center"/>
        <w:rPr>
          <w:rFonts w:eastAsia="Calibri"/>
          <w:iCs/>
          <w:sz w:val="22"/>
          <w:szCs w:val="22"/>
          <w:lang w:val="es-ES" w:eastAsia="en-US"/>
        </w:rPr>
      </w:pPr>
      <w:r w:rsidRPr="00413132">
        <w:rPr>
          <w:rFonts w:eastAsia="Calibri"/>
          <w:b/>
          <w:bCs/>
          <w:iCs/>
          <w:sz w:val="22"/>
          <w:szCs w:val="22"/>
          <w:lang w:val="es-ES" w:eastAsia="en-US"/>
        </w:rPr>
        <w:t>Fig. 1 -</w:t>
      </w:r>
      <w:r w:rsidRPr="00413132">
        <w:rPr>
          <w:rFonts w:eastAsia="Calibri"/>
          <w:iCs/>
          <w:sz w:val="22"/>
          <w:szCs w:val="22"/>
          <w:lang w:val="es-ES" w:eastAsia="en-US"/>
        </w:rPr>
        <w:t xml:space="preserve"> Manejo de los pacientes con </w:t>
      </w:r>
      <w:proofErr w:type="spellStart"/>
      <w:r w:rsidRPr="00413132">
        <w:rPr>
          <w:rFonts w:eastAsia="Calibri"/>
          <w:i/>
          <w:sz w:val="22"/>
          <w:szCs w:val="22"/>
          <w:lang w:val="es-ES" w:eastAsia="en-US"/>
        </w:rPr>
        <w:t>stent</w:t>
      </w:r>
      <w:proofErr w:type="spellEnd"/>
      <w:r w:rsidRPr="00413132">
        <w:rPr>
          <w:rFonts w:eastAsia="Calibri"/>
          <w:iCs/>
          <w:sz w:val="22"/>
          <w:szCs w:val="22"/>
          <w:lang w:val="es-ES" w:eastAsia="en-US"/>
        </w:rPr>
        <w:t xml:space="preserve"> que serán sometidos a procedimientos endoscópicos y que se encuentran bajo tratamiento antiagregante con antagonistas de los receptores P2Y12.</w:t>
      </w:r>
    </w:p>
    <w:p w14:paraId="28E6389D" w14:textId="77777777" w:rsidR="00413132" w:rsidRPr="00413132" w:rsidRDefault="00413132" w:rsidP="00413132">
      <w:pPr>
        <w:spacing w:line="360" w:lineRule="auto"/>
        <w:jc w:val="both"/>
        <w:rPr>
          <w:rFonts w:eastAsia="Calibri"/>
          <w:bCs/>
          <w:iCs/>
          <w:vertAlign w:val="superscript"/>
          <w:lang w:val="es-ES" w:eastAsia="en-US"/>
        </w:rPr>
      </w:pPr>
    </w:p>
    <w:p w14:paraId="2316ABFD" w14:textId="77777777" w:rsidR="00413132" w:rsidRPr="00413132" w:rsidRDefault="00413132" w:rsidP="00413132">
      <w:pPr>
        <w:spacing w:line="360" w:lineRule="auto"/>
        <w:jc w:val="center"/>
        <w:rPr>
          <w:rFonts w:eastAsia="Calibri"/>
          <w:b/>
          <w:bCs/>
          <w:iCs/>
          <w:sz w:val="28"/>
          <w:szCs w:val="28"/>
          <w:lang w:val="es-ES" w:eastAsia="en-US"/>
        </w:rPr>
      </w:pPr>
      <w:r w:rsidRPr="00413132">
        <w:rPr>
          <w:rFonts w:eastAsia="Calibri"/>
          <w:b/>
          <w:bCs/>
          <w:iCs/>
          <w:sz w:val="28"/>
          <w:szCs w:val="28"/>
          <w:lang w:val="es-ES" w:eastAsia="en-US"/>
        </w:rPr>
        <w:t>Terapia puente</w:t>
      </w:r>
    </w:p>
    <w:p w14:paraId="37D0D14B" w14:textId="77777777" w:rsidR="00413132" w:rsidRPr="00413132" w:rsidRDefault="00413132" w:rsidP="00413132">
      <w:pPr>
        <w:spacing w:line="360" w:lineRule="auto"/>
        <w:jc w:val="both"/>
        <w:rPr>
          <w:rFonts w:eastAsia="Calibri"/>
          <w:lang w:val="es-ES" w:eastAsia="en-US"/>
        </w:rPr>
      </w:pPr>
      <w:r w:rsidRPr="00413132">
        <w:rPr>
          <w:rFonts w:eastAsia="Calibri"/>
          <w:bCs/>
          <w:iCs/>
          <w:lang w:val="es-ES" w:eastAsia="en-US"/>
        </w:rPr>
        <w:t>Se considera terapia puente cuando se necesita disminuir o anular el efecto de los fármacos, en este caso los antiagregantes plaquetarios.</w:t>
      </w:r>
    </w:p>
    <w:p w14:paraId="60F9EF8E" w14:textId="77777777" w:rsidR="00413132" w:rsidRPr="00413132" w:rsidRDefault="00413132" w:rsidP="00413132">
      <w:pPr>
        <w:spacing w:line="360" w:lineRule="auto"/>
        <w:jc w:val="both"/>
        <w:rPr>
          <w:rFonts w:eastAsia="Calibri"/>
          <w:bCs/>
          <w:iCs/>
          <w:lang w:val="es-ES" w:eastAsia="en-US"/>
        </w:rPr>
      </w:pPr>
      <w:r w:rsidRPr="00413132">
        <w:rPr>
          <w:rFonts w:eastAsia="Calibri"/>
          <w:bCs/>
          <w:iCs/>
          <w:lang w:val="es-ES" w:eastAsia="en-US"/>
        </w:rPr>
        <w:t xml:space="preserve">La experiencia con la terapia puente en el campo de la antiagregación, tanto en la literatura como en la práctica clínica es muy escasa. Un error frecuente consiste en considerar la utilización de heparinas en este contexto, ya que puede producir un efecto contrario al deseado, al aumentar la reactividad plaquetaria. </w:t>
      </w:r>
    </w:p>
    <w:p w14:paraId="6F67F519" w14:textId="77777777" w:rsidR="00413132" w:rsidRPr="00413132" w:rsidRDefault="00413132" w:rsidP="00413132">
      <w:pPr>
        <w:spacing w:line="360" w:lineRule="auto"/>
        <w:jc w:val="both"/>
        <w:rPr>
          <w:rFonts w:eastAsia="Calibri"/>
          <w:bCs/>
          <w:iCs/>
          <w:lang w:val="es-ES" w:eastAsia="en-US"/>
        </w:rPr>
      </w:pPr>
      <w:r w:rsidRPr="00413132">
        <w:rPr>
          <w:rFonts w:eastAsia="Calibri"/>
          <w:bCs/>
          <w:iCs/>
          <w:lang w:val="es-ES" w:eastAsia="en-US"/>
        </w:rPr>
        <w:t xml:space="preserve">En caso de que sea necesaria la terapia puente, se recomienda el uso de agentes antiplaquetarios y no los anticoagulantes, puesto que el uso de heparina puede ser perjudicial. Entre los antiagregantes plaquetarios intravenosos estudiados, destacan los fármacos inhibidores de la glucoproteína </w:t>
      </w:r>
      <w:proofErr w:type="spellStart"/>
      <w:r w:rsidRPr="00413132">
        <w:rPr>
          <w:rFonts w:eastAsia="Calibri"/>
          <w:bCs/>
          <w:iCs/>
          <w:lang w:val="es-ES" w:eastAsia="en-US"/>
        </w:rPr>
        <w:t>IIb</w:t>
      </w:r>
      <w:proofErr w:type="spellEnd"/>
      <w:r w:rsidRPr="00413132">
        <w:rPr>
          <w:rFonts w:eastAsia="Calibri"/>
          <w:bCs/>
          <w:iCs/>
          <w:lang w:val="es-ES" w:eastAsia="en-US"/>
        </w:rPr>
        <w:t>/</w:t>
      </w:r>
      <w:proofErr w:type="spellStart"/>
      <w:r w:rsidRPr="00413132">
        <w:rPr>
          <w:rFonts w:eastAsia="Calibri"/>
          <w:bCs/>
          <w:iCs/>
          <w:lang w:val="es-ES" w:eastAsia="en-US"/>
        </w:rPr>
        <w:t>IIIa</w:t>
      </w:r>
      <w:proofErr w:type="spellEnd"/>
      <w:r w:rsidRPr="00413132">
        <w:rPr>
          <w:rFonts w:eastAsia="Calibri"/>
          <w:bCs/>
          <w:iCs/>
          <w:lang w:val="es-ES" w:eastAsia="en-US"/>
        </w:rPr>
        <w:t xml:space="preserve"> (</w:t>
      </w:r>
      <w:proofErr w:type="spellStart"/>
      <w:r w:rsidRPr="00413132">
        <w:rPr>
          <w:rFonts w:eastAsia="Calibri"/>
          <w:bCs/>
          <w:iCs/>
          <w:lang w:val="es-ES" w:eastAsia="en-US"/>
        </w:rPr>
        <w:t>tirofibán</w:t>
      </w:r>
      <w:proofErr w:type="spellEnd"/>
      <w:r w:rsidRPr="00413132">
        <w:rPr>
          <w:rFonts w:eastAsia="Calibri"/>
          <w:bCs/>
          <w:iCs/>
          <w:lang w:val="es-ES" w:eastAsia="en-US"/>
        </w:rPr>
        <w:t xml:space="preserve">, </w:t>
      </w:r>
      <w:proofErr w:type="spellStart"/>
      <w:r w:rsidRPr="00413132">
        <w:rPr>
          <w:rFonts w:eastAsia="Calibri"/>
          <w:bCs/>
          <w:iCs/>
          <w:lang w:val="es-ES" w:eastAsia="en-US"/>
        </w:rPr>
        <w:t>eptifibatida</w:t>
      </w:r>
      <w:proofErr w:type="spellEnd"/>
      <w:r w:rsidRPr="00413132">
        <w:rPr>
          <w:rFonts w:eastAsia="Calibri"/>
          <w:bCs/>
          <w:iCs/>
          <w:lang w:val="es-ES" w:eastAsia="en-US"/>
        </w:rPr>
        <w:t xml:space="preserve">) y el inhibidor del receptor de ADP P2Y12 </w:t>
      </w:r>
      <w:proofErr w:type="spellStart"/>
      <w:r w:rsidRPr="00413132">
        <w:rPr>
          <w:rFonts w:eastAsia="Calibri"/>
          <w:bCs/>
          <w:iCs/>
          <w:lang w:val="es-ES" w:eastAsia="en-US"/>
        </w:rPr>
        <w:t>cangrelor</w:t>
      </w:r>
      <w:proofErr w:type="spellEnd"/>
      <w:r w:rsidRPr="00413132">
        <w:rPr>
          <w:rFonts w:eastAsia="Calibri"/>
          <w:bCs/>
          <w:iCs/>
          <w:lang w:val="es-ES" w:eastAsia="en-US"/>
        </w:rPr>
        <w:t xml:space="preserve">. El uso perioperatorio/endoscópico del </w:t>
      </w:r>
      <w:proofErr w:type="spellStart"/>
      <w:r w:rsidRPr="00413132">
        <w:rPr>
          <w:rFonts w:eastAsia="Calibri"/>
          <w:bCs/>
          <w:iCs/>
          <w:lang w:val="es-ES" w:eastAsia="en-US"/>
        </w:rPr>
        <w:t>tirofibán</w:t>
      </w:r>
      <w:proofErr w:type="spellEnd"/>
      <w:r w:rsidRPr="00413132">
        <w:rPr>
          <w:rFonts w:eastAsia="Calibri"/>
          <w:bCs/>
          <w:iCs/>
          <w:lang w:val="es-ES" w:eastAsia="en-US"/>
        </w:rPr>
        <w:t xml:space="preserve"> y la </w:t>
      </w:r>
      <w:proofErr w:type="spellStart"/>
      <w:r w:rsidRPr="00413132">
        <w:rPr>
          <w:rFonts w:eastAsia="Calibri"/>
          <w:bCs/>
          <w:iCs/>
          <w:lang w:val="es-ES" w:eastAsia="en-US"/>
        </w:rPr>
        <w:t>eptifibatida</w:t>
      </w:r>
      <w:proofErr w:type="spellEnd"/>
      <w:r w:rsidRPr="00413132">
        <w:rPr>
          <w:rFonts w:eastAsia="Calibri"/>
          <w:bCs/>
          <w:iCs/>
          <w:lang w:val="es-ES" w:eastAsia="en-US"/>
        </w:rPr>
        <w:t xml:space="preserve">, los 2 inhibidores intravenosos del receptor de la glucoproteína </w:t>
      </w:r>
      <w:proofErr w:type="spellStart"/>
      <w:r w:rsidRPr="00413132">
        <w:rPr>
          <w:rFonts w:eastAsia="Calibri"/>
          <w:bCs/>
          <w:iCs/>
          <w:lang w:val="es-ES" w:eastAsia="en-US"/>
        </w:rPr>
        <w:t>IIb</w:t>
      </w:r>
      <w:proofErr w:type="spellEnd"/>
      <w:r w:rsidRPr="00413132">
        <w:rPr>
          <w:rFonts w:eastAsia="Calibri"/>
          <w:bCs/>
          <w:iCs/>
          <w:lang w:val="es-ES" w:eastAsia="en-US"/>
        </w:rPr>
        <w:t>/</w:t>
      </w:r>
      <w:proofErr w:type="spellStart"/>
      <w:r w:rsidRPr="00413132">
        <w:rPr>
          <w:rFonts w:eastAsia="Calibri"/>
          <w:bCs/>
          <w:iCs/>
          <w:lang w:val="es-ES" w:eastAsia="en-US"/>
        </w:rPr>
        <w:t>IIIa</w:t>
      </w:r>
      <w:proofErr w:type="spellEnd"/>
      <w:r w:rsidRPr="00413132">
        <w:rPr>
          <w:rFonts w:eastAsia="Calibri"/>
          <w:bCs/>
          <w:iCs/>
          <w:lang w:val="es-ES" w:eastAsia="en-US"/>
        </w:rPr>
        <w:t xml:space="preserve"> de rápido mecanismo de acción, se ha evaluado en pequeños estudios en pacientes con alto riesgo trombótico con resultados </w:t>
      </w:r>
      <w:proofErr w:type="gramStart"/>
      <w:r w:rsidRPr="00413132">
        <w:rPr>
          <w:rFonts w:eastAsia="Calibri"/>
          <w:bCs/>
          <w:iCs/>
          <w:lang w:val="es-ES" w:eastAsia="en-US"/>
        </w:rPr>
        <w:t>controvertidos.</w:t>
      </w:r>
      <w:r w:rsidRPr="00413132">
        <w:rPr>
          <w:rFonts w:eastAsia="Calibri"/>
          <w:bCs/>
          <w:iCs/>
          <w:vertAlign w:val="superscript"/>
          <w:lang w:val="es-ES" w:eastAsia="en-US"/>
        </w:rPr>
        <w:t>(</w:t>
      </w:r>
      <w:proofErr w:type="gramEnd"/>
      <w:r w:rsidRPr="00413132">
        <w:rPr>
          <w:rFonts w:eastAsia="Calibri"/>
          <w:bCs/>
          <w:iCs/>
          <w:vertAlign w:val="superscript"/>
          <w:lang w:val="es-ES" w:eastAsia="en-US"/>
        </w:rPr>
        <w:t>27)</w:t>
      </w:r>
    </w:p>
    <w:p w14:paraId="0232AA1C" w14:textId="77777777" w:rsidR="00413132" w:rsidRPr="00413132" w:rsidRDefault="00413132" w:rsidP="00413132">
      <w:pPr>
        <w:spacing w:line="360" w:lineRule="auto"/>
        <w:jc w:val="both"/>
        <w:rPr>
          <w:rFonts w:eastAsia="Calibri"/>
          <w:bCs/>
          <w:iCs/>
          <w:vertAlign w:val="superscript"/>
          <w:lang w:val="es-ES" w:eastAsia="en-US"/>
        </w:rPr>
      </w:pPr>
      <w:r w:rsidRPr="00413132">
        <w:rPr>
          <w:rFonts w:eastAsia="Calibri"/>
          <w:bCs/>
          <w:iCs/>
          <w:lang w:val="es-ES" w:eastAsia="en-US"/>
        </w:rPr>
        <w:t xml:space="preserve">El </w:t>
      </w:r>
      <w:proofErr w:type="spellStart"/>
      <w:r w:rsidRPr="00413132">
        <w:rPr>
          <w:rFonts w:eastAsia="Calibri"/>
          <w:bCs/>
          <w:iCs/>
          <w:lang w:val="es-ES" w:eastAsia="en-US"/>
        </w:rPr>
        <w:t>cangrelor</w:t>
      </w:r>
      <w:proofErr w:type="spellEnd"/>
      <w:r w:rsidRPr="00413132">
        <w:rPr>
          <w:rFonts w:eastAsia="Calibri"/>
          <w:bCs/>
          <w:iCs/>
          <w:lang w:val="es-ES" w:eastAsia="en-US"/>
        </w:rPr>
        <w:t xml:space="preserve">, antagonista intravenoso y reversible del receptor plaquetario de ADP P2Y12, se ha evaluado en un estudio de fase II en pacientes, en doble antiagregación plaquetaria, sometidos a cirugía de </w:t>
      </w:r>
      <w:proofErr w:type="spellStart"/>
      <w:r w:rsidRPr="00413132">
        <w:rPr>
          <w:rFonts w:eastAsia="Calibri"/>
          <w:bCs/>
          <w:iCs/>
          <w:lang w:val="es-ES" w:eastAsia="en-US"/>
        </w:rPr>
        <w:t>revascularizacón</w:t>
      </w:r>
      <w:proofErr w:type="spellEnd"/>
      <w:r w:rsidRPr="00413132">
        <w:rPr>
          <w:rFonts w:eastAsia="Calibri"/>
          <w:bCs/>
          <w:iCs/>
          <w:lang w:val="es-ES" w:eastAsia="en-US"/>
        </w:rPr>
        <w:t xml:space="preserve"> coronaria. No hubo diferencias en la incidencia de eventos trombóticos en comparación con el grupo placebo, y se asoció con un pequeño aumento de las hemorragias menores, por lo que hay que tomar estas conclusiones con </w:t>
      </w:r>
      <w:proofErr w:type="gramStart"/>
      <w:r w:rsidRPr="00413132">
        <w:rPr>
          <w:rFonts w:eastAsia="Calibri"/>
          <w:bCs/>
          <w:iCs/>
          <w:lang w:val="es-ES" w:eastAsia="en-US"/>
        </w:rPr>
        <w:t>cautela.</w:t>
      </w:r>
      <w:r w:rsidRPr="00413132">
        <w:rPr>
          <w:rFonts w:eastAsia="Calibri"/>
          <w:bCs/>
          <w:iCs/>
          <w:vertAlign w:val="superscript"/>
          <w:lang w:val="es-ES" w:eastAsia="en-US"/>
        </w:rPr>
        <w:t>(</w:t>
      </w:r>
      <w:proofErr w:type="gramEnd"/>
      <w:r w:rsidRPr="00413132">
        <w:rPr>
          <w:rFonts w:eastAsia="Calibri"/>
          <w:bCs/>
          <w:iCs/>
          <w:vertAlign w:val="superscript"/>
          <w:lang w:val="es-ES" w:eastAsia="en-US"/>
        </w:rPr>
        <w:t>23)</w:t>
      </w:r>
    </w:p>
    <w:p w14:paraId="6CB4A88B" w14:textId="77777777" w:rsidR="00413132" w:rsidRPr="00413132" w:rsidRDefault="00413132" w:rsidP="00413132">
      <w:pPr>
        <w:spacing w:line="360" w:lineRule="auto"/>
        <w:jc w:val="both"/>
        <w:rPr>
          <w:rFonts w:eastAsia="Calibri"/>
          <w:bCs/>
          <w:lang w:val="es-ES" w:eastAsia="en-US"/>
        </w:rPr>
      </w:pPr>
      <w:r w:rsidRPr="00413132">
        <w:rPr>
          <w:rFonts w:eastAsia="Calibri"/>
          <w:lang w:val="es-ES" w:eastAsia="en-US"/>
        </w:rPr>
        <w:t xml:space="preserve">La </w:t>
      </w:r>
      <w:r w:rsidRPr="00413132">
        <w:rPr>
          <w:rFonts w:eastAsia="Calibri"/>
          <w:bCs/>
          <w:lang w:val="es-ES" w:eastAsia="en-US"/>
        </w:rPr>
        <w:t xml:space="preserve">antiagregación plaquetaria en pacientes que serán sometidos a procederes gastrointestinales intervencionistas se observa cada vez con mayor frecuencia. Esto hace necesario el conocimiento acerca de la valoración del riesgo de fenómenos trombóticos al interrumpir estos fármacos, junto con la determinación del riesgo potencial de sangrado según el procedimiento endoscópico realizado. </w:t>
      </w:r>
    </w:p>
    <w:p w14:paraId="69B2DB6D" w14:textId="77777777" w:rsidR="00413132" w:rsidRPr="00413132" w:rsidRDefault="00413132" w:rsidP="00413132">
      <w:pPr>
        <w:spacing w:line="360" w:lineRule="auto"/>
        <w:jc w:val="both"/>
        <w:rPr>
          <w:rFonts w:eastAsia="Calibri"/>
          <w:bCs/>
          <w:lang w:val="es-ES" w:eastAsia="en-US"/>
        </w:rPr>
      </w:pPr>
    </w:p>
    <w:p w14:paraId="0D98C9FB" w14:textId="77777777" w:rsidR="00413132" w:rsidRPr="00413132" w:rsidRDefault="00413132" w:rsidP="00413132">
      <w:pPr>
        <w:spacing w:line="360" w:lineRule="auto"/>
        <w:jc w:val="both"/>
        <w:rPr>
          <w:rFonts w:eastAsia="Calibri"/>
          <w:bCs/>
          <w:lang w:val="es-ES" w:eastAsia="en-US"/>
        </w:rPr>
      </w:pPr>
    </w:p>
    <w:p w14:paraId="39894C72" w14:textId="77777777" w:rsidR="00413132" w:rsidRPr="00413132" w:rsidRDefault="00413132" w:rsidP="00413132">
      <w:pPr>
        <w:spacing w:line="360" w:lineRule="auto"/>
        <w:jc w:val="center"/>
        <w:rPr>
          <w:rFonts w:eastAsia="Calibri"/>
          <w:sz w:val="32"/>
          <w:szCs w:val="32"/>
          <w:lang w:val="es-ES" w:eastAsia="en-US"/>
        </w:rPr>
      </w:pPr>
      <w:r w:rsidRPr="00413132">
        <w:rPr>
          <w:rFonts w:eastAsia="Calibri"/>
          <w:b/>
          <w:sz w:val="32"/>
          <w:szCs w:val="32"/>
          <w:lang w:val="es-ES" w:eastAsia="en-US"/>
        </w:rPr>
        <w:t>REFERENCIAS BIBLIOGRÁFICAS</w:t>
      </w:r>
    </w:p>
    <w:p w14:paraId="634675F9" w14:textId="77777777" w:rsidR="00413132" w:rsidRPr="00413132" w:rsidRDefault="00413132" w:rsidP="00413132">
      <w:pPr>
        <w:spacing w:line="360" w:lineRule="auto"/>
        <w:rPr>
          <w:rFonts w:eastAsia="Calibri"/>
          <w:lang w:val="es-CU" w:eastAsia="en-US"/>
        </w:rPr>
      </w:pPr>
      <w:r w:rsidRPr="00413132">
        <w:rPr>
          <w:rFonts w:eastAsia="Calibri"/>
          <w:lang w:val="es-ES" w:eastAsia="en-US"/>
        </w:rPr>
        <w:t xml:space="preserve">1. Zamora HM, Nazar JC, Lema F G. Nuevos anticoagulantes orales y antiagregantes plaquetarios, en el período perioperatorio de cirugía no cardíaca. Parte 2: Nuevos antiagregantes plaquetarios. </w:t>
      </w:r>
      <w:proofErr w:type="spellStart"/>
      <w:r w:rsidRPr="00413132">
        <w:rPr>
          <w:rFonts w:eastAsia="Calibri"/>
          <w:lang w:val="es-ES" w:eastAsia="en-US"/>
        </w:rPr>
        <w:t>Rev</w:t>
      </w:r>
      <w:proofErr w:type="spellEnd"/>
      <w:r w:rsidRPr="00413132">
        <w:rPr>
          <w:rFonts w:eastAsia="Calibri"/>
          <w:lang w:val="es-ES" w:eastAsia="en-US"/>
        </w:rPr>
        <w:t xml:space="preserve"> </w:t>
      </w:r>
      <w:proofErr w:type="spellStart"/>
      <w:r w:rsidRPr="00413132">
        <w:rPr>
          <w:rFonts w:eastAsia="Calibri"/>
          <w:lang w:val="es-ES" w:eastAsia="en-US"/>
        </w:rPr>
        <w:t>Chil</w:t>
      </w:r>
      <w:proofErr w:type="spellEnd"/>
      <w:r w:rsidRPr="00413132">
        <w:rPr>
          <w:rFonts w:eastAsia="Calibri"/>
          <w:lang w:val="es-ES" w:eastAsia="en-US"/>
        </w:rPr>
        <w:t xml:space="preserve"> </w:t>
      </w:r>
      <w:proofErr w:type="spellStart"/>
      <w:r w:rsidRPr="00413132">
        <w:rPr>
          <w:rFonts w:eastAsia="Calibri"/>
          <w:lang w:val="es-ES" w:eastAsia="en-US"/>
        </w:rPr>
        <w:lastRenderedPageBreak/>
        <w:t>Anest</w:t>
      </w:r>
      <w:proofErr w:type="spellEnd"/>
      <w:r w:rsidRPr="00413132">
        <w:rPr>
          <w:rFonts w:eastAsia="Calibri"/>
          <w:lang w:val="es-ES" w:eastAsia="en-US"/>
        </w:rPr>
        <w:t xml:space="preserve">. 2018 [acceso: 7/04/2020]; 47(4)233-239. Disponible en: </w:t>
      </w:r>
      <w:hyperlink r:id="rId16" w:history="1">
        <w:r w:rsidRPr="00413132">
          <w:rPr>
            <w:rFonts w:eastAsia="Calibri"/>
            <w:color w:val="0563C1"/>
            <w:spacing w:val="-2"/>
            <w:u w:val="single"/>
            <w:shd w:val="clear" w:color="auto" w:fill="F9F9F9"/>
            <w:lang w:val="es-CU" w:eastAsia="en-US"/>
          </w:rPr>
          <w:t>https://revistachilenadeanestesia.cl/PII/revchilanestv47n04.04.pdf</w:t>
        </w:r>
      </w:hyperlink>
      <w:r w:rsidRPr="00413132">
        <w:rPr>
          <w:rFonts w:eastAsia="Calibri"/>
          <w:spacing w:val="-2"/>
          <w:shd w:val="clear" w:color="auto" w:fill="F9F9F9"/>
          <w:lang w:val="es-CU" w:eastAsia="en-US"/>
        </w:rPr>
        <w:t xml:space="preserve"> </w:t>
      </w:r>
    </w:p>
    <w:p w14:paraId="2128B304" w14:textId="77777777" w:rsidR="00413132" w:rsidRPr="00413132" w:rsidRDefault="00413132" w:rsidP="00413132">
      <w:pPr>
        <w:spacing w:line="360" w:lineRule="auto"/>
        <w:rPr>
          <w:rFonts w:eastAsia="Calibri"/>
          <w:color w:val="0070C0"/>
          <w:lang w:val="es-ES" w:eastAsia="en-US"/>
        </w:rPr>
      </w:pPr>
      <w:r w:rsidRPr="00413132">
        <w:rPr>
          <w:rFonts w:eastAsia="Calibri"/>
          <w:lang w:val="es-CU" w:eastAsia="en-US"/>
        </w:rPr>
        <w:t xml:space="preserve">2. </w:t>
      </w:r>
      <w:r w:rsidRPr="00413132">
        <w:rPr>
          <w:rFonts w:eastAsia="Calibri"/>
          <w:lang w:val="es-ES" w:eastAsia="en-US"/>
        </w:rPr>
        <w:t xml:space="preserve">González-Bárcenas ML, Pérez-Aisa A. </w:t>
      </w:r>
      <w:r w:rsidRPr="00413132">
        <w:rPr>
          <w:rFonts w:eastAsia="Calibri"/>
          <w:bCs/>
          <w:lang w:val="es-ES" w:eastAsia="en-US"/>
        </w:rPr>
        <w:t xml:space="preserve">Manejo de la antiagregación y anticoagulación </w:t>
      </w:r>
      <w:proofErr w:type="spellStart"/>
      <w:r w:rsidRPr="00413132">
        <w:rPr>
          <w:rFonts w:eastAsia="Calibri"/>
          <w:bCs/>
          <w:lang w:val="es-ES" w:eastAsia="en-US"/>
        </w:rPr>
        <w:t>periendoscópica</w:t>
      </w:r>
      <w:proofErr w:type="spellEnd"/>
      <w:r w:rsidRPr="00413132">
        <w:rPr>
          <w:rFonts w:eastAsia="Calibri"/>
          <w:bCs/>
          <w:lang w:val="es-ES" w:eastAsia="en-US"/>
        </w:rPr>
        <w:t xml:space="preserve">: introducción a antiagregantes y anticoagulantes orales más novedosos. </w:t>
      </w:r>
      <w:proofErr w:type="spellStart"/>
      <w:r w:rsidRPr="00413132">
        <w:rPr>
          <w:rFonts w:eastAsia="Calibri"/>
          <w:bCs/>
          <w:iCs/>
          <w:lang w:val="es-ES" w:eastAsia="en-US"/>
        </w:rPr>
        <w:t>Rev</w:t>
      </w:r>
      <w:proofErr w:type="spellEnd"/>
      <w:r w:rsidRPr="00413132">
        <w:rPr>
          <w:rFonts w:eastAsia="Calibri"/>
          <w:bCs/>
          <w:iCs/>
          <w:lang w:val="es-ES" w:eastAsia="en-US"/>
        </w:rPr>
        <w:t xml:space="preserve"> </w:t>
      </w:r>
      <w:proofErr w:type="spellStart"/>
      <w:r w:rsidRPr="00413132">
        <w:rPr>
          <w:rFonts w:eastAsia="Calibri"/>
          <w:bCs/>
          <w:iCs/>
          <w:lang w:val="es-ES" w:eastAsia="en-US"/>
        </w:rPr>
        <w:t>Esp</w:t>
      </w:r>
      <w:proofErr w:type="spellEnd"/>
      <w:r w:rsidRPr="00413132">
        <w:rPr>
          <w:rFonts w:eastAsia="Calibri"/>
          <w:bCs/>
          <w:iCs/>
          <w:lang w:val="es-ES" w:eastAsia="en-US"/>
        </w:rPr>
        <w:t xml:space="preserve"> </w:t>
      </w:r>
      <w:proofErr w:type="spellStart"/>
      <w:r w:rsidRPr="00413132">
        <w:rPr>
          <w:rFonts w:eastAsia="Calibri"/>
          <w:bCs/>
          <w:iCs/>
          <w:lang w:val="es-ES" w:eastAsia="en-US"/>
        </w:rPr>
        <w:t>Enferm</w:t>
      </w:r>
      <w:proofErr w:type="spellEnd"/>
      <w:r w:rsidRPr="00413132">
        <w:rPr>
          <w:rFonts w:eastAsia="Calibri"/>
          <w:bCs/>
          <w:iCs/>
          <w:lang w:val="es-ES" w:eastAsia="en-US"/>
        </w:rPr>
        <w:t xml:space="preserve"> </w:t>
      </w:r>
      <w:proofErr w:type="spellStart"/>
      <w:r w:rsidRPr="00413132">
        <w:rPr>
          <w:rFonts w:eastAsia="Calibri"/>
          <w:bCs/>
          <w:iCs/>
          <w:lang w:val="es-ES" w:eastAsia="en-US"/>
        </w:rPr>
        <w:t>Dig</w:t>
      </w:r>
      <w:proofErr w:type="spellEnd"/>
      <w:r w:rsidRPr="00413132">
        <w:rPr>
          <w:rFonts w:eastAsia="Calibri"/>
          <w:bCs/>
          <w:iCs/>
          <w:lang w:val="es-ES" w:eastAsia="en-US"/>
        </w:rPr>
        <w:t xml:space="preserve">. 2016 [acceso: 21/03/2020];108(2):89-96. </w:t>
      </w:r>
      <w:r w:rsidRPr="00413132">
        <w:rPr>
          <w:rFonts w:eastAsia="Calibri"/>
          <w:lang w:val="es-ES" w:eastAsia="en-US"/>
        </w:rPr>
        <w:t xml:space="preserve">Disponible en: </w:t>
      </w:r>
      <w:hyperlink r:id="rId17" w:history="1">
        <w:r w:rsidRPr="00413132">
          <w:rPr>
            <w:rFonts w:eastAsia="Calibri"/>
            <w:color w:val="0563C1"/>
            <w:u w:val="single"/>
            <w:lang w:val="es-ES" w:eastAsia="en-US"/>
          </w:rPr>
          <w:t>https://www.reed.es/ArticuloFicha.aspx?id=598&amp;hst=0&amp;idR=33&amp;tp=1</w:t>
        </w:r>
      </w:hyperlink>
      <w:r w:rsidRPr="00413132">
        <w:rPr>
          <w:rFonts w:eastAsia="Calibri"/>
          <w:color w:val="0070C0"/>
          <w:lang w:val="es-ES" w:eastAsia="en-US"/>
        </w:rPr>
        <w:t xml:space="preserve"> </w:t>
      </w:r>
    </w:p>
    <w:p w14:paraId="316866F6" w14:textId="77777777" w:rsidR="00413132" w:rsidRPr="00413132" w:rsidRDefault="00413132" w:rsidP="00413132">
      <w:pPr>
        <w:spacing w:line="360" w:lineRule="auto"/>
        <w:rPr>
          <w:lang w:val="es-ES" w:eastAsia="es-ES"/>
        </w:rPr>
      </w:pPr>
      <w:r w:rsidRPr="00413132">
        <w:rPr>
          <w:rFonts w:eastAsia="Calibri"/>
          <w:lang w:val="es-ES" w:eastAsia="en-US"/>
        </w:rPr>
        <w:t xml:space="preserve">3. </w:t>
      </w:r>
      <w:proofErr w:type="spellStart"/>
      <w:r w:rsidRPr="00413132">
        <w:rPr>
          <w:rFonts w:eastAsia="Calibri"/>
          <w:bCs/>
          <w:iCs/>
          <w:lang w:val="es-ES" w:eastAsia="en-US"/>
        </w:rPr>
        <w:t>Kono</w:t>
      </w:r>
      <w:proofErr w:type="spellEnd"/>
      <w:r w:rsidRPr="00413132">
        <w:rPr>
          <w:rFonts w:eastAsia="Calibri"/>
          <w:bCs/>
          <w:iCs/>
          <w:lang w:val="es-ES" w:eastAsia="en-US"/>
        </w:rPr>
        <w:t xml:space="preserve"> Y, </w:t>
      </w:r>
      <w:proofErr w:type="spellStart"/>
      <w:r w:rsidRPr="00413132">
        <w:rPr>
          <w:rFonts w:eastAsia="Calibri"/>
          <w:bCs/>
          <w:iCs/>
          <w:lang w:val="es-ES" w:eastAsia="en-US"/>
        </w:rPr>
        <w:t>Matsubara</w:t>
      </w:r>
      <w:proofErr w:type="spellEnd"/>
      <w:r w:rsidRPr="00413132">
        <w:rPr>
          <w:rFonts w:eastAsia="Calibri"/>
          <w:bCs/>
          <w:iCs/>
          <w:lang w:val="es-ES" w:eastAsia="en-US"/>
        </w:rPr>
        <w:t xml:space="preserve"> M, </w:t>
      </w:r>
      <w:proofErr w:type="spellStart"/>
      <w:r w:rsidRPr="00413132">
        <w:rPr>
          <w:rFonts w:eastAsia="Calibri"/>
          <w:bCs/>
          <w:iCs/>
          <w:lang w:val="es-ES" w:eastAsia="en-US"/>
        </w:rPr>
        <w:t>Toyokawa</w:t>
      </w:r>
      <w:proofErr w:type="spellEnd"/>
      <w:r w:rsidRPr="00413132">
        <w:rPr>
          <w:rFonts w:eastAsia="Calibri"/>
          <w:bCs/>
          <w:iCs/>
          <w:lang w:val="es-ES" w:eastAsia="en-US"/>
        </w:rPr>
        <w:t xml:space="preserve"> T, </w:t>
      </w:r>
      <w:proofErr w:type="spellStart"/>
      <w:r w:rsidRPr="00413132">
        <w:rPr>
          <w:lang w:val="es-ES" w:eastAsia="es-ES"/>
        </w:rPr>
        <w:t>Takenaka</w:t>
      </w:r>
      <w:proofErr w:type="spellEnd"/>
      <w:r w:rsidRPr="00413132">
        <w:rPr>
          <w:lang w:val="es-ES" w:eastAsia="es-ES"/>
        </w:rPr>
        <w:t xml:space="preserve"> R, Suzuki S, </w:t>
      </w:r>
      <w:proofErr w:type="spellStart"/>
      <w:r w:rsidRPr="00413132">
        <w:rPr>
          <w:lang w:val="es-ES" w:eastAsia="es-ES"/>
        </w:rPr>
        <w:t>Nasu</w:t>
      </w:r>
      <w:proofErr w:type="spellEnd"/>
      <w:r w:rsidRPr="00413132">
        <w:rPr>
          <w:lang w:val="es-ES" w:eastAsia="es-ES"/>
        </w:rPr>
        <w:t xml:space="preserve"> J, </w:t>
      </w:r>
      <w:r w:rsidRPr="00413132">
        <w:rPr>
          <w:rFonts w:eastAsia="Calibri"/>
          <w:bCs/>
          <w:iCs/>
          <w:lang w:val="es-ES" w:eastAsia="en-US"/>
        </w:rPr>
        <w:t xml:space="preserve">et al. </w:t>
      </w:r>
      <w:r w:rsidRPr="00413132">
        <w:rPr>
          <w:rFonts w:eastAsia="Calibri"/>
          <w:bCs/>
          <w:iCs/>
          <w:lang w:val="en-US" w:eastAsia="en-US"/>
        </w:rPr>
        <w:t xml:space="preserve">Multicenter prospective study on the safety of upper gastrointestinal endoscopic procedures in antithrombotic drug users. </w:t>
      </w:r>
      <w:proofErr w:type="spellStart"/>
      <w:r w:rsidRPr="00413132">
        <w:rPr>
          <w:rFonts w:eastAsia="Calibri"/>
          <w:bCs/>
          <w:iCs/>
          <w:lang w:val="es-ES" w:eastAsia="en-US"/>
        </w:rPr>
        <w:t>Dig</w:t>
      </w:r>
      <w:proofErr w:type="spellEnd"/>
      <w:r w:rsidRPr="00413132">
        <w:rPr>
          <w:rFonts w:eastAsia="Calibri"/>
          <w:bCs/>
          <w:iCs/>
          <w:lang w:val="es-ES" w:eastAsia="en-US"/>
        </w:rPr>
        <w:t xml:space="preserve"> </w:t>
      </w:r>
      <w:proofErr w:type="spellStart"/>
      <w:r w:rsidRPr="00413132">
        <w:rPr>
          <w:rFonts w:eastAsia="Calibri"/>
          <w:bCs/>
          <w:iCs/>
          <w:lang w:val="es-ES" w:eastAsia="en-US"/>
        </w:rPr>
        <w:t>Dis</w:t>
      </w:r>
      <w:proofErr w:type="spellEnd"/>
      <w:r w:rsidRPr="00413132">
        <w:rPr>
          <w:rFonts w:eastAsia="Calibri"/>
          <w:bCs/>
          <w:iCs/>
          <w:lang w:val="es-ES" w:eastAsia="en-US"/>
        </w:rPr>
        <w:t xml:space="preserve"> </w:t>
      </w:r>
      <w:proofErr w:type="spellStart"/>
      <w:r w:rsidRPr="00413132">
        <w:rPr>
          <w:rFonts w:eastAsia="Calibri"/>
          <w:bCs/>
          <w:iCs/>
          <w:lang w:val="es-ES" w:eastAsia="en-US"/>
        </w:rPr>
        <w:t>Sci</w:t>
      </w:r>
      <w:proofErr w:type="spellEnd"/>
      <w:r w:rsidRPr="00413132">
        <w:rPr>
          <w:rFonts w:eastAsia="Calibri"/>
          <w:bCs/>
          <w:iCs/>
          <w:lang w:val="es-ES" w:eastAsia="en-US"/>
        </w:rPr>
        <w:t xml:space="preserve">. 2017 [acceso: 20/03/2020]; 62:730-8. </w:t>
      </w:r>
      <w:r w:rsidRPr="00413132">
        <w:rPr>
          <w:rFonts w:eastAsia="Calibri"/>
          <w:lang w:val="es-ES" w:eastAsia="en-US"/>
        </w:rPr>
        <w:t xml:space="preserve">Disponible en: </w:t>
      </w:r>
      <w:hyperlink r:id="rId18" w:history="1">
        <w:r w:rsidRPr="00413132">
          <w:rPr>
            <w:rFonts w:eastAsia="Calibri"/>
            <w:color w:val="0563C1"/>
            <w:u w:val="single"/>
            <w:lang w:val="es-ES" w:eastAsia="en-US"/>
          </w:rPr>
          <w:t>https://link.springer.com/article/10.1007%2Fs10620-016-4437-2</w:t>
        </w:r>
      </w:hyperlink>
      <w:r w:rsidRPr="00413132">
        <w:rPr>
          <w:rFonts w:eastAsia="Calibri"/>
          <w:color w:val="5B9BD5"/>
          <w:lang w:val="es-ES" w:eastAsia="en-US"/>
        </w:rPr>
        <w:t xml:space="preserve"> </w:t>
      </w:r>
    </w:p>
    <w:p w14:paraId="0D42C24A" w14:textId="77777777" w:rsidR="00413132" w:rsidRPr="00413132" w:rsidRDefault="00413132" w:rsidP="00413132">
      <w:pPr>
        <w:spacing w:line="360" w:lineRule="auto"/>
        <w:rPr>
          <w:rFonts w:eastAsia="Calibri"/>
          <w:bCs/>
          <w:iCs/>
          <w:lang w:val="es-ES" w:eastAsia="en-US"/>
        </w:rPr>
      </w:pPr>
      <w:r w:rsidRPr="00413132">
        <w:rPr>
          <w:rFonts w:eastAsia="Calibri"/>
          <w:bCs/>
          <w:iCs/>
          <w:lang w:val="en-US" w:eastAsia="en-US"/>
        </w:rPr>
        <w:t xml:space="preserve">4. Di </w:t>
      </w:r>
      <w:proofErr w:type="spellStart"/>
      <w:r w:rsidRPr="00413132">
        <w:rPr>
          <w:rFonts w:eastAsia="Calibri"/>
          <w:bCs/>
          <w:iCs/>
          <w:lang w:val="en-US" w:eastAsia="en-US"/>
        </w:rPr>
        <w:t>Minno</w:t>
      </w:r>
      <w:proofErr w:type="spellEnd"/>
      <w:r w:rsidRPr="00413132">
        <w:rPr>
          <w:rFonts w:eastAsia="Calibri"/>
          <w:bCs/>
          <w:iCs/>
          <w:lang w:val="en-US" w:eastAsia="en-US"/>
        </w:rPr>
        <w:t xml:space="preserve"> A, </w:t>
      </w:r>
      <w:proofErr w:type="spellStart"/>
      <w:r w:rsidRPr="00413132">
        <w:rPr>
          <w:rFonts w:eastAsia="Calibri"/>
          <w:bCs/>
          <w:iCs/>
          <w:lang w:val="en-US" w:eastAsia="en-US"/>
        </w:rPr>
        <w:t>Spadarella</w:t>
      </w:r>
      <w:proofErr w:type="spellEnd"/>
      <w:r w:rsidRPr="00413132">
        <w:rPr>
          <w:rFonts w:eastAsia="Calibri"/>
          <w:bCs/>
          <w:iCs/>
          <w:lang w:val="en-US" w:eastAsia="en-US"/>
        </w:rPr>
        <w:t xml:space="preserve"> G, </w:t>
      </w:r>
      <w:proofErr w:type="spellStart"/>
      <w:r w:rsidRPr="00413132">
        <w:rPr>
          <w:rFonts w:eastAsia="Calibri"/>
          <w:bCs/>
          <w:iCs/>
          <w:lang w:val="en-US" w:eastAsia="en-US"/>
        </w:rPr>
        <w:t>Prisco</w:t>
      </w:r>
      <w:proofErr w:type="spellEnd"/>
      <w:r w:rsidRPr="00413132">
        <w:rPr>
          <w:rFonts w:eastAsia="Calibri"/>
          <w:bCs/>
          <w:iCs/>
          <w:lang w:val="en-US" w:eastAsia="en-US"/>
        </w:rPr>
        <w:t xml:space="preserve"> D, </w:t>
      </w:r>
      <w:proofErr w:type="spellStart"/>
      <w:r w:rsidRPr="00413132">
        <w:rPr>
          <w:rFonts w:eastAsia="Calibri"/>
          <w:bCs/>
          <w:iCs/>
          <w:lang w:val="en-US" w:eastAsia="en-US"/>
        </w:rPr>
        <w:t>Scalera</w:t>
      </w:r>
      <w:proofErr w:type="spellEnd"/>
      <w:r w:rsidRPr="00413132">
        <w:rPr>
          <w:rFonts w:eastAsia="Calibri"/>
          <w:bCs/>
          <w:iCs/>
          <w:lang w:val="en-US" w:eastAsia="en-US"/>
        </w:rPr>
        <w:t xml:space="preserve"> A, Ricciardi E, Di </w:t>
      </w:r>
      <w:proofErr w:type="spellStart"/>
      <w:r w:rsidRPr="00413132">
        <w:rPr>
          <w:rFonts w:eastAsia="Calibri"/>
          <w:bCs/>
          <w:iCs/>
          <w:lang w:val="en-US" w:eastAsia="en-US"/>
        </w:rPr>
        <w:t>Minno</w:t>
      </w:r>
      <w:proofErr w:type="spellEnd"/>
      <w:r w:rsidRPr="00413132">
        <w:rPr>
          <w:rFonts w:eastAsia="Calibri"/>
          <w:bCs/>
          <w:iCs/>
          <w:lang w:val="en-US" w:eastAsia="en-US"/>
        </w:rPr>
        <w:t xml:space="preserve"> G. </w:t>
      </w:r>
      <w:proofErr w:type="spellStart"/>
      <w:r w:rsidRPr="00413132">
        <w:rPr>
          <w:rFonts w:eastAsia="Calibri"/>
          <w:bCs/>
          <w:iCs/>
          <w:lang w:val="en-US" w:eastAsia="en-US"/>
        </w:rPr>
        <w:t>Antithromboticdrugs</w:t>
      </w:r>
      <w:proofErr w:type="spellEnd"/>
      <w:r w:rsidRPr="00413132">
        <w:rPr>
          <w:rFonts w:eastAsia="Calibri"/>
          <w:bCs/>
          <w:iCs/>
          <w:lang w:val="en-US" w:eastAsia="en-US"/>
        </w:rPr>
        <w:t xml:space="preserve">, patient characteristics, and gastrointestinal </w:t>
      </w:r>
      <w:proofErr w:type="spellStart"/>
      <w:proofErr w:type="gramStart"/>
      <w:r w:rsidRPr="00413132">
        <w:rPr>
          <w:rFonts w:eastAsia="Calibri"/>
          <w:bCs/>
          <w:iCs/>
          <w:lang w:val="en-US" w:eastAsia="en-US"/>
        </w:rPr>
        <w:t>bleeding:Clinical</w:t>
      </w:r>
      <w:proofErr w:type="spellEnd"/>
      <w:proofErr w:type="gramEnd"/>
      <w:r w:rsidRPr="00413132">
        <w:rPr>
          <w:rFonts w:eastAsia="Calibri"/>
          <w:bCs/>
          <w:iCs/>
          <w:lang w:val="en-US" w:eastAsia="en-US"/>
        </w:rPr>
        <w:t xml:space="preserve"> translation and areas of research. </w:t>
      </w:r>
      <w:proofErr w:type="spellStart"/>
      <w:r w:rsidRPr="00413132">
        <w:rPr>
          <w:rFonts w:eastAsia="Calibri"/>
          <w:bCs/>
          <w:iCs/>
          <w:lang w:val="es-ES" w:eastAsia="en-US"/>
        </w:rPr>
        <w:t>Blood</w:t>
      </w:r>
      <w:proofErr w:type="spellEnd"/>
      <w:r w:rsidRPr="00413132">
        <w:rPr>
          <w:rFonts w:eastAsia="Calibri"/>
          <w:bCs/>
          <w:iCs/>
          <w:lang w:val="es-ES" w:eastAsia="en-US"/>
        </w:rPr>
        <w:t xml:space="preserve"> Rev. 2015 [acceso: 20/03/2020]; 29:335-43. </w:t>
      </w:r>
      <w:r w:rsidRPr="00413132">
        <w:rPr>
          <w:rFonts w:eastAsia="Calibri"/>
          <w:lang w:val="es-ES" w:eastAsia="en-US"/>
        </w:rPr>
        <w:t xml:space="preserve">Disponible en: </w:t>
      </w:r>
      <w:hyperlink r:id="rId19" w:history="1">
        <w:r w:rsidRPr="00413132">
          <w:rPr>
            <w:rFonts w:eastAsia="Calibri"/>
            <w:bCs/>
            <w:iCs/>
            <w:color w:val="0563C1"/>
            <w:u w:val="single"/>
            <w:lang w:val="es-ES" w:eastAsia="en-US"/>
          </w:rPr>
          <w:t>https://www.sciencedirect.com/science/article/abs/pii/S0268960X15000272</w:t>
        </w:r>
      </w:hyperlink>
      <w:r w:rsidRPr="00413132">
        <w:rPr>
          <w:rFonts w:eastAsia="Calibri"/>
          <w:bCs/>
          <w:iCs/>
          <w:color w:val="0070C0"/>
          <w:lang w:val="es-ES" w:eastAsia="en-US"/>
        </w:rPr>
        <w:t xml:space="preserve"> </w:t>
      </w:r>
    </w:p>
    <w:p w14:paraId="552438F8" w14:textId="77777777" w:rsidR="00413132" w:rsidRPr="00413132" w:rsidRDefault="00413132" w:rsidP="00413132">
      <w:pPr>
        <w:spacing w:line="360" w:lineRule="auto"/>
        <w:rPr>
          <w:rFonts w:eastAsia="Calibri"/>
          <w:lang w:val="es-CU" w:eastAsia="en-US"/>
        </w:rPr>
      </w:pPr>
      <w:r w:rsidRPr="00413132">
        <w:rPr>
          <w:rFonts w:eastAsia="Calibri"/>
          <w:bCs/>
          <w:lang w:val="es-ES" w:eastAsia="en-US"/>
        </w:rPr>
        <w:t xml:space="preserve">5. Aguilar-Olivos NE, Ramírez-Polo AI, Téllez-Ávila FI. Manejo de antitrombóticos en pacientes que requieren procedimientos endoscópicos. Endoscopia. 2015 [acceso: 20/03/2020];27(4):180-187. Disponible en: </w:t>
      </w:r>
      <w:r w:rsidRPr="00413132">
        <w:rPr>
          <w:rFonts w:eastAsia="Calibri"/>
          <w:color w:val="0070C0"/>
          <w:lang w:val="es-ES" w:eastAsia="en-US"/>
        </w:rPr>
        <w:t>https://www.clinicalkey.es/#!/content/playContent/1-s2.0-S0188989315000780?returnurl=https:%2F%2Flinkinghub.elsevier.com%2Fretrieve%2Fpii%2FS0188989315000780%3Fshowall%3Dtrue&amp;referrer=</w:t>
      </w:r>
    </w:p>
    <w:p w14:paraId="69AA62C0" w14:textId="77777777" w:rsidR="00413132" w:rsidRPr="00413132" w:rsidRDefault="00413132" w:rsidP="00413132">
      <w:pPr>
        <w:spacing w:line="360" w:lineRule="auto"/>
        <w:rPr>
          <w:rFonts w:eastAsia="Calibri"/>
          <w:color w:val="231F20"/>
          <w:lang w:val="es-ES" w:eastAsia="en-US"/>
        </w:rPr>
      </w:pPr>
      <w:r w:rsidRPr="00413132">
        <w:rPr>
          <w:rFonts w:eastAsia="Calibri"/>
          <w:bCs/>
          <w:iCs/>
          <w:lang w:val="es-ES" w:eastAsia="en-US"/>
        </w:rPr>
        <w:t xml:space="preserve">6. Cedeño MJA, Rivas RN, </w:t>
      </w:r>
      <w:proofErr w:type="spellStart"/>
      <w:r w:rsidRPr="00413132">
        <w:rPr>
          <w:rFonts w:eastAsia="Calibri"/>
          <w:bCs/>
          <w:iCs/>
          <w:lang w:val="es-ES" w:eastAsia="en-US"/>
        </w:rPr>
        <w:t>Tuliano</w:t>
      </w:r>
      <w:proofErr w:type="spellEnd"/>
      <w:r w:rsidRPr="00413132">
        <w:rPr>
          <w:rFonts w:eastAsia="Calibri"/>
          <w:bCs/>
          <w:iCs/>
          <w:lang w:val="es-ES" w:eastAsia="en-US"/>
        </w:rPr>
        <w:t xml:space="preserve"> CRA. Manejo odontológico en pacientes con terapia antiagregante plaquetaria. </w:t>
      </w:r>
      <w:proofErr w:type="spellStart"/>
      <w:r w:rsidRPr="00413132">
        <w:rPr>
          <w:rFonts w:eastAsia="Calibri"/>
          <w:bCs/>
          <w:iCs/>
          <w:lang w:val="es-ES" w:eastAsia="en-US"/>
        </w:rPr>
        <w:t>Rev</w:t>
      </w:r>
      <w:proofErr w:type="spellEnd"/>
      <w:r w:rsidRPr="00413132">
        <w:rPr>
          <w:rFonts w:eastAsia="Calibri"/>
          <w:bCs/>
          <w:iCs/>
          <w:lang w:val="es-ES" w:eastAsia="en-US"/>
        </w:rPr>
        <w:t xml:space="preserve"> </w:t>
      </w:r>
      <w:proofErr w:type="spellStart"/>
      <w:r w:rsidRPr="00413132">
        <w:rPr>
          <w:rFonts w:eastAsia="Calibri"/>
          <w:bCs/>
          <w:iCs/>
          <w:lang w:val="es-ES" w:eastAsia="en-US"/>
        </w:rPr>
        <w:t>Odont</w:t>
      </w:r>
      <w:proofErr w:type="spellEnd"/>
      <w:r w:rsidRPr="00413132">
        <w:rPr>
          <w:rFonts w:eastAsia="Calibri"/>
          <w:bCs/>
          <w:iCs/>
          <w:lang w:val="es-ES" w:eastAsia="en-US"/>
        </w:rPr>
        <w:t xml:space="preserve"> Mex. 2013 [acceso: 20/03/2020]; 17(4):256-60. Disponible en: </w:t>
      </w:r>
      <w:hyperlink r:id="rId20" w:history="1">
        <w:r w:rsidRPr="00413132">
          <w:rPr>
            <w:rFonts w:eastAsia="Calibri"/>
            <w:bCs/>
            <w:iCs/>
            <w:color w:val="0563C1"/>
            <w:u w:val="single"/>
            <w:lang w:val="es-ES" w:eastAsia="en-US"/>
          </w:rPr>
          <w:t>https://www.sciencedirect.com/science/article/pii/S1870199X13720457</w:t>
        </w:r>
      </w:hyperlink>
      <w:r w:rsidRPr="00413132">
        <w:rPr>
          <w:rFonts w:eastAsia="Calibri"/>
          <w:bCs/>
          <w:iCs/>
          <w:color w:val="0070C0"/>
          <w:lang w:val="es-ES" w:eastAsia="en-US"/>
        </w:rPr>
        <w:t xml:space="preserve"> </w:t>
      </w:r>
    </w:p>
    <w:p w14:paraId="489B45BA" w14:textId="77777777" w:rsidR="00413132" w:rsidRPr="00413132" w:rsidRDefault="00413132" w:rsidP="00413132">
      <w:pPr>
        <w:spacing w:line="360" w:lineRule="auto"/>
        <w:rPr>
          <w:rFonts w:eastAsia="Calibri"/>
          <w:color w:val="0070C0"/>
          <w:lang w:val="es-ES" w:eastAsia="en-US"/>
        </w:rPr>
      </w:pPr>
      <w:r w:rsidRPr="00413132">
        <w:rPr>
          <w:rFonts w:eastAsia="Calibri"/>
          <w:color w:val="231F20"/>
          <w:lang w:val="es-ES" w:eastAsia="en-US"/>
        </w:rPr>
        <w:t xml:space="preserve">7. </w:t>
      </w:r>
      <w:proofErr w:type="spellStart"/>
      <w:r w:rsidRPr="00413132">
        <w:rPr>
          <w:rFonts w:eastAsia="Calibri"/>
          <w:bCs/>
          <w:lang w:val="es-ES" w:eastAsia="en-US"/>
        </w:rPr>
        <w:t>Samama</w:t>
      </w:r>
      <w:proofErr w:type="spellEnd"/>
      <w:r w:rsidRPr="00413132">
        <w:rPr>
          <w:rFonts w:eastAsia="Calibri"/>
          <w:bCs/>
          <w:lang w:val="es-ES" w:eastAsia="en-US"/>
        </w:rPr>
        <w:t xml:space="preserve"> CM, </w:t>
      </w:r>
      <w:proofErr w:type="spellStart"/>
      <w:r w:rsidRPr="00413132">
        <w:rPr>
          <w:rFonts w:eastAsia="LPFAK O+ MTSYB"/>
          <w:bCs/>
          <w:lang w:val="es-ES" w:eastAsia="en-US"/>
        </w:rPr>
        <w:t>Godier</w:t>
      </w:r>
      <w:proofErr w:type="spellEnd"/>
      <w:r w:rsidRPr="00413132">
        <w:rPr>
          <w:rFonts w:eastAsia="LPFAK O+ MTSYB"/>
          <w:bCs/>
          <w:lang w:val="es-ES" w:eastAsia="en-US"/>
        </w:rPr>
        <w:t xml:space="preserve"> A. </w:t>
      </w:r>
      <w:r w:rsidRPr="00413132">
        <w:rPr>
          <w:rFonts w:eastAsia="Calibri"/>
          <w:bCs/>
          <w:lang w:val="es-ES" w:eastAsia="en-US"/>
        </w:rPr>
        <w:t xml:space="preserve">Recomendaciones sencillas sobre el uso de agentes antiplaquetarios: por fin un documento ameno. </w:t>
      </w:r>
      <w:proofErr w:type="spellStart"/>
      <w:r w:rsidRPr="00413132">
        <w:rPr>
          <w:rFonts w:eastAsia="Calibri"/>
          <w:lang w:val="es-ES" w:eastAsia="en-US"/>
        </w:rPr>
        <w:t>Rev</w:t>
      </w:r>
      <w:proofErr w:type="spellEnd"/>
      <w:r w:rsidRPr="00413132">
        <w:rPr>
          <w:rFonts w:eastAsia="Calibri"/>
          <w:lang w:val="es-ES" w:eastAsia="en-US"/>
        </w:rPr>
        <w:t xml:space="preserve"> </w:t>
      </w:r>
      <w:proofErr w:type="spellStart"/>
      <w:r w:rsidRPr="00413132">
        <w:rPr>
          <w:rFonts w:eastAsia="Calibri"/>
          <w:lang w:val="es-ES" w:eastAsia="en-US"/>
        </w:rPr>
        <w:t>Esp</w:t>
      </w:r>
      <w:proofErr w:type="spellEnd"/>
      <w:r w:rsidRPr="00413132">
        <w:rPr>
          <w:rFonts w:eastAsia="Calibri"/>
          <w:lang w:val="es-ES" w:eastAsia="en-US"/>
        </w:rPr>
        <w:t xml:space="preserve"> </w:t>
      </w:r>
      <w:proofErr w:type="spellStart"/>
      <w:r w:rsidRPr="00413132">
        <w:rPr>
          <w:rFonts w:eastAsia="Calibri"/>
          <w:lang w:val="es-ES" w:eastAsia="en-US"/>
        </w:rPr>
        <w:t>Anestesiol</w:t>
      </w:r>
      <w:proofErr w:type="spellEnd"/>
      <w:r w:rsidRPr="00413132">
        <w:rPr>
          <w:rFonts w:eastAsia="Calibri"/>
          <w:lang w:val="es-ES" w:eastAsia="en-US"/>
        </w:rPr>
        <w:t xml:space="preserve"> </w:t>
      </w:r>
      <w:proofErr w:type="spellStart"/>
      <w:r w:rsidRPr="00413132">
        <w:rPr>
          <w:rFonts w:eastAsia="Calibri"/>
          <w:lang w:val="es-ES" w:eastAsia="en-US"/>
        </w:rPr>
        <w:t>Reanim</w:t>
      </w:r>
      <w:proofErr w:type="spellEnd"/>
      <w:r w:rsidRPr="00413132">
        <w:rPr>
          <w:rFonts w:eastAsia="Calibri"/>
          <w:lang w:val="es-ES" w:eastAsia="en-US"/>
        </w:rPr>
        <w:t>. 2019 [acceso: 20/03/2020];</w:t>
      </w:r>
      <w:r w:rsidRPr="00413132">
        <w:rPr>
          <w:rFonts w:eastAsia="Calibri"/>
          <w:bCs/>
          <w:lang w:val="es-ES" w:eastAsia="en-US"/>
        </w:rPr>
        <w:t>66(1)</w:t>
      </w:r>
      <w:r w:rsidRPr="00413132">
        <w:rPr>
          <w:rFonts w:eastAsia="Calibri"/>
          <w:lang w:val="es-ES" w:eastAsia="en-US"/>
        </w:rPr>
        <w:t xml:space="preserve">:1-2. Disponible en: </w:t>
      </w:r>
      <w:r w:rsidRPr="00413132">
        <w:rPr>
          <w:rFonts w:eastAsia="Calibri"/>
          <w:color w:val="0070C0"/>
          <w:lang w:val="es-ES" w:eastAsia="en-US"/>
        </w:rPr>
        <w:t>https://www.clinicalkey.es/#!/content/playContent/1-s2.0-S0034935618302275?returnurl=https:%2F%2Flinkinghub.elsevier.com%2Fretrieve%2Fpii%2FS0034935618302275%3Fshowall%3Dtrue&amp;referrer=</w:t>
      </w:r>
    </w:p>
    <w:p w14:paraId="07CED295" w14:textId="77777777" w:rsidR="00413132" w:rsidRPr="00413132" w:rsidRDefault="00413132" w:rsidP="00413132">
      <w:pPr>
        <w:spacing w:line="360" w:lineRule="auto"/>
        <w:rPr>
          <w:bCs/>
          <w:color w:val="0070C0"/>
          <w:lang w:val="es-ES" w:eastAsia="en-US"/>
        </w:rPr>
      </w:pPr>
      <w:r w:rsidRPr="00413132">
        <w:rPr>
          <w:bCs/>
          <w:lang w:val="es-ES" w:eastAsia="en-US"/>
        </w:rPr>
        <w:lastRenderedPageBreak/>
        <w:t xml:space="preserve">8. Nazar C, Contreras CJI, Molina PI, Fuentes HR. Manejo perioperatorio de pacientes usuarios de antiagregantes plaquetarios. </w:t>
      </w:r>
      <w:proofErr w:type="spellStart"/>
      <w:r w:rsidRPr="00413132">
        <w:rPr>
          <w:lang w:val="es-ES" w:eastAsia="en-US"/>
        </w:rPr>
        <w:t>Rev</w:t>
      </w:r>
      <w:proofErr w:type="spellEnd"/>
      <w:r w:rsidRPr="00413132">
        <w:rPr>
          <w:lang w:val="es-ES" w:eastAsia="en-US"/>
        </w:rPr>
        <w:t xml:space="preserve"> </w:t>
      </w:r>
      <w:proofErr w:type="spellStart"/>
      <w:r w:rsidRPr="00413132">
        <w:rPr>
          <w:lang w:val="es-ES" w:eastAsia="en-US"/>
        </w:rPr>
        <w:t>Chil</w:t>
      </w:r>
      <w:proofErr w:type="spellEnd"/>
      <w:r w:rsidRPr="00413132">
        <w:rPr>
          <w:lang w:val="es-ES" w:eastAsia="en-US"/>
        </w:rPr>
        <w:t xml:space="preserve"> Cir. 2018 [acceso: 20/03/2020]; 70(3):291-9. Disponible en: </w:t>
      </w:r>
      <w:r w:rsidRPr="00413132">
        <w:rPr>
          <w:color w:val="0070C0"/>
          <w:lang w:val="es-ES" w:eastAsia="en-US"/>
        </w:rPr>
        <w:t>https://scielo.conicyt.cl/scielo.php?pid=S0718-40262018000300291&amp;script=sci_arttext&amp;tlng=e</w:t>
      </w:r>
    </w:p>
    <w:p w14:paraId="247141B9" w14:textId="77777777" w:rsidR="00413132" w:rsidRPr="00413132" w:rsidRDefault="00413132" w:rsidP="00413132">
      <w:pPr>
        <w:spacing w:line="360" w:lineRule="auto"/>
        <w:rPr>
          <w:bCs/>
          <w:color w:val="0070C0"/>
          <w:lang w:val="es-ES" w:eastAsia="en-US"/>
        </w:rPr>
      </w:pPr>
      <w:r w:rsidRPr="00413132">
        <w:rPr>
          <w:bCs/>
          <w:lang w:val="es-ES" w:eastAsia="en-US"/>
        </w:rPr>
        <w:t xml:space="preserve">9. Gómez-Gómez B, Rodríguez-Weber FL, Díaz-Greene E.J. Fisiología plaquetaria, </w:t>
      </w:r>
      <w:proofErr w:type="spellStart"/>
      <w:r w:rsidRPr="00413132">
        <w:rPr>
          <w:bCs/>
          <w:lang w:val="es-ES" w:eastAsia="en-US"/>
        </w:rPr>
        <w:t>agregometría</w:t>
      </w:r>
      <w:proofErr w:type="spellEnd"/>
      <w:r w:rsidRPr="00413132">
        <w:rPr>
          <w:bCs/>
          <w:lang w:val="es-ES" w:eastAsia="en-US"/>
        </w:rPr>
        <w:t xml:space="preserve"> plaquetaria y su utilidad clínica. </w:t>
      </w:r>
      <w:proofErr w:type="spellStart"/>
      <w:r w:rsidRPr="00413132">
        <w:rPr>
          <w:bCs/>
          <w:lang w:val="es-ES" w:eastAsia="en-US"/>
        </w:rPr>
        <w:t>Med</w:t>
      </w:r>
      <w:proofErr w:type="spellEnd"/>
      <w:r w:rsidRPr="00413132">
        <w:rPr>
          <w:bCs/>
          <w:lang w:val="es-ES" w:eastAsia="en-US"/>
        </w:rPr>
        <w:t xml:space="preserve"> </w:t>
      </w:r>
      <w:proofErr w:type="spellStart"/>
      <w:r w:rsidRPr="00413132">
        <w:rPr>
          <w:bCs/>
          <w:lang w:val="es-ES" w:eastAsia="en-US"/>
        </w:rPr>
        <w:t>Int</w:t>
      </w:r>
      <w:proofErr w:type="spellEnd"/>
      <w:r w:rsidRPr="00413132">
        <w:rPr>
          <w:bCs/>
          <w:lang w:val="es-ES" w:eastAsia="en-US"/>
        </w:rPr>
        <w:t xml:space="preserve"> Méx. 2018 mar [acceso: 20/03/2020]; 34(2):244-263. Disponible en: </w:t>
      </w:r>
      <w:hyperlink r:id="rId21" w:history="1">
        <w:r w:rsidRPr="00413132">
          <w:rPr>
            <w:bCs/>
            <w:color w:val="0563C1"/>
            <w:u w:val="single"/>
            <w:lang w:val="es-ES" w:eastAsia="en-US"/>
          </w:rPr>
          <w:t>https://www.medigraphic.com/cgi-bin/new/resumen.cgi?IDARTICULO=78719</w:t>
        </w:r>
      </w:hyperlink>
      <w:r w:rsidRPr="00413132">
        <w:rPr>
          <w:bCs/>
          <w:color w:val="0070C0"/>
          <w:lang w:val="es-ES" w:eastAsia="en-US"/>
        </w:rPr>
        <w:t xml:space="preserve"> </w:t>
      </w:r>
    </w:p>
    <w:p w14:paraId="27F31466" w14:textId="77777777" w:rsidR="00413132" w:rsidRPr="00413132" w:rsidRDefault="00413132" w:rsidP="00413132">
      <w:pPr>
        <w:spacing w:line="360" w:lineRule="auto"/>
        <w:rPr>
          <w:bCs/>
          <w:color w:val="0070C0"/>
          <w:lang w:val="es-ES" w:eastAsia="en-US"/>
        </w:rPr>
      </w:pPr>
      <w:r w:rsidRPr="00413132">
        <w:rPr>
          <w:bCs/>
          <w:lang w:val="en-US" w:eastAsia="en-US"/>
        </w:rPr>
        <w:t xml:space="preserve">10. </w:t>
      </w:r>
      <w:proofErr w:type="spellStart"/>
      <w:r w:rsidRPr="00413132">
        <w:rPr>
          <w:bCs/>
          <w:lang w:val="en-US" w:eastAsia="en-US"/>
        </w:rPr>
        <w:t>Cattaneo</w:t>
      </w:r>
      <w:proofErr w:type="spellEnd"/>
      <w:r w:rsidRPr="00413132">
        <w:rPr>
          <w:bCs/>
          <w:lang w:val="en-US" w:eastAsia="en-US"/>
        </w:rPr>
        <w:t xml:space="preserve"> M. P2Y</w:t>
      </w:r>
      <w:r w:rsidRPr="00413132">
        <w:rPr>
          <w:bCs/>
          <w:vertAlign w:val="subscript"/>
          <w:lang w:val="en-US" w:eastAsia="en-US"/>
        </w:rPr>
        <w:t>12</w:t>
      </w:r>
      <w:r w:rsidRPr="00413132">
        <w:rPr>
          <w:bCs/>
          <w:lang w:val="en-US" w:eastAsia="en-US"/>
        </w:rPr>
        <w:t xml:space="preserve"> receptor: structure and function. </w:t>
      </w:r>
      <w:r w:rsidRPr="00413132">
        <w:rPr>
          <w:bCs/>
          <w:lang w:val="es-CU" w:eastAsia="en-US"/>
        </w:rPr>
        <w:t xml:space="preserve">J. </w:t>
      </w:r>
      <w:proofErr w:type="spellStart"/>
      <w:r w:rsidRPr="00413132">
        <w:rPr>
          <w:bCs/>
          <w:lang w:val="es-CU" w:eastAsia="en-US"/>
        </w:rPr>
        <w:t>Thromb</w:t>
      </w:r>
      <w:proofErr w:type="spellEnd"/>
      <w:r w:rsidRPr="00413132">
        <w:rPr>
          <w:bCs/>
          <w:lang w:val="es-CU" w:eastAsia="en-US"/>
        </w:rPr>
        <w:t xml:space="preserve">. </w:t>
      </w:r>
      <w:proofErr w:type="spellStart"/>
      <w:r w:rsidRPr="00413132">
        <w:rPr>
          <w:bCs/>
          <w:lang w:val="es-ES" w:eastAsia="en-US"/>
        </w:rPr>
        <w:t>Haemost</w:t>
      </w:r>
      <w:proofErr w:type="spellEnd"/>
      <w:r w:rsidRPr="00413132">
        <w:rPr>
          <w:bCs/>
          <w:lang w:val="es-ES" w:eastAsia="en-US"/>
        </w:rPr>
        <w:t>. 2015[acceso: 20/03/2020];13(1):10-6</w:t>
      </w:r>
      <w:r w:rsidRPr="00413132">
        <w:rPr>
          <w:bCs/>
          <w:color w:val="0070C0"/>
          <w:lang w:val="es-ES" w:eastAsia="en-US"/>
        </w:rPr>
        <w:t xml:space="preserve">. </w:t>
      </w:r>
      <w:r w:rsidRPr="00413132">
        <w:rPr>
          <w:bCs/>
          <w:lang w:val="es-ES" w:eastAsia="en-US"/>
        </w:rPr>
        <w:t>Disponible en:</w:t>
      </w:r>
      <w:r w:rsidRPr="00413132">
        <w:rPr>
          <w:b/>
          <w:bCs/>
          <w:lang w:val="es-ES" w:eastAsia="en-US"/>
        </w:rPr>
        <w:t xml:space="preserve"> </w:t>
      </w:r>
      <w:hyperlink r:id="rId22" w:history="1">
        <w:r w:rsidRPr="00413132">
          <w:rPr>
            <w:bCs/>
            <w:color w:val="0563C1"/>
            <w:u w:val="single"/>
            <w:lang w:val="es-ES" w:eastAsia="en-US"/>
          </w:rPr>
          <w:t>https://onlinelibrary.wiley.com/doi/full/10.1111/jth.12952</w:t>
        </w:r>
      </w:hyperlink>
      <w:r w:rsidRPr="00413132">
        <w:rPr>
          <w:bCs/>
          <w:color w:val="0070C0"/>
          <w:lang w:val="es-ES" w:eastAsia="en-US"/>
        </w:rPr>
        <w:t xml:space="preserve"> </w:t>
      </w:r>
    </w:p>
    <w:p w14:paraId="33625DC1" w14:textId="77777777" w:rsidR="00413132" w:rsidRPr="00413132" w:rsidRDefault="00413132" w:rsidP="00413132">
      <w:pPr>
        <w:autoSpaceDE w:val="0"/>
        <w:autoSpaceDN w:val="0"/>
        <w:adjustRightInd w:val="0"/>
        <w:spacing w:line="360" w:lineRule="auto"/>
        <w:rPr>
          <w:rFonts w:eastAsia="Calibri"/>
          <w:color w:val="0070C0"/>
          <w:lang w:val="es-ES" w:eastAsia="en-US"/>
        </w:rPr>
      </w:pPr>
      <w:r w:rsidRPr="00413132">
        <w:rPr>
          <w:rFonts w:eastAsia="Calibri"/>
          <w:lang w:val="es-ES" w:eastAsia="en-US"/>
        </w:rPr>
        <w:t>11. Campuzano-Maya G. Inhibidores del receptor plaquetario P2Y</w:t>
      </w:r>
      <w:r w:rsidRPr="00413132">
        <w:rPr>
          <w:rFonts w:eastAsia="Calibri"/>
          <w:vertAlign w:val="subscript"/>
          <w:lang w:val="es-ES" w:eastAsia="en-US"/>
        </w:rPr>
        <w:t>12</w:t>
      </w:r>
      <w:r w:rsidRPr="00413132">
        <w:rPr>
          <w:rFonts w:eastAsia="Calibri"/>
          <w:lang w:val="es-ES" w:eastAsia="en-US"/>
        </w:rPr>
        <w:t xml:space="preserve">. Parte 1 y 2:  escenario de acción, farmacología, aplicación clínica y limitaciones de su uso. Medicina &amp; Laboratorio. 2017 enero [acceso: 20/03/2020]; 23(1-2):13-14. Disponible en: </w:t>
      </w:r>
      <w:hyperlink r:id="rId23" w:history="1">
        <w:r w:rsidRPr="00413132">
          <w:rPr>
            <w:rFonts w:eastAsia="Calibri"/>
            <w:color w:val="0563C1"/>
            <w:u w:val="single"/>
            <w:lang w:val="es-ES" w:eastAsia="en-US"/>
          </w:rPr>
          <w:t>https://medicinaylaboratorio.com/index.php/myl/article/view/57/43</w:t>
        </w:r>
      </w:hyperlink>
      <w:r w:rsidRPr="00413132">
        <w:rPr>
          <w:rFonts w:eastAsia="Calibri"/>
          <w:color w:val="0070C0"/>
          <w:lang w:val="es-ES" w:eastAsia="en-US"/>
        </w:rPr>
        <w:t xml:space="preserve"> </w:t>
      </w:r>
    </w:p>
    <w:p w14:paraId="5FB380A4" w14:textId="77777777" w:rsidR="00413132" w:rsidRPr="00413132" w:rsidRDefault="00413132" w:rsidP="00413132">
      <w:pPr>
        <w:autoSpaceDE w:val="0"/>
        <w:autoSpaceDN w:val="0"/>
        <w:adjustRightInd w:val="0"/>
        <w:spacing w:line="360" w:lineRule="auto"/>
        <w:rPr>
          <w:rFonts w:eastAsia="Calibri"/>
          <w:color w:val="0070C0"/>
          <w:lang w:val="es-CU" w:eastAsia="en-US"/>
        </w:rPr>
      </w:pPr>
      <w:r w:rsidRPr="00413132">
        <w:rPr>
          <w:rFonts w:eastAsia="Calibri"/>
          <w:lang w:val="en-US" w:eastAsia="en-US"/>
        </w:rPr>
        <w:t xml:space="preserve">12. Bye AP, Unsworth AJ, Gibbins JM. Platelet signaling: a complex interplay between inhibitory and </w:t>
      </w:r>
      <w:proofErr w:type="spellStart"/>
      <w:r w:rsidRPr="00413132">
        <w:rPr>
          <w:rFonts w:eastAsia="Calibri"/>
          <w:lang w:val="en-US" w:eastAsia="en-US"/>
        </w:rPr>
        <w:t>activatory</w:t>
      </w:r>
      <w:proofErr w:type="spellEnd"/>
      <w:r w:rsidRPr="00413132">
        <w:rPr>
          <w:rFonts w:eastAsia="Calibri"/>
          <w:lang w:val="en-US" w:eastAsia="en-US"/>
        </w:rPr>
        <w:t xml:space="preserve"> networks. </w:t>
      </w:r>
      <w:r w:rsidRPr="00413132">
        <w:rPr>
          <w:rFonts w:eastAsia="Calibri"/>
          <w:lang w:val="es-CU" w:eastAsia="en-US"/>
        </w:rPr>
        <w:t xml:space="preserve">J. </w:t>
      </w:r>
      <w:proofErr w:type="spellStart"/>
      <w:r w:rsidRPr="00413132">
        <w:rPr>
          <w:rFonts w:eastAsia="Calibri"/>
          <w:lang w:val="es-CU" w:eastAsia="en-US"/>
        </w:rPr>
        <w:t>Thromb</w:t>
      </w:r>
      <w:proofErr w:type="spellEnd"/>
      <w:r w:rsidRPr="00413132">
        <w:rPr>
          <w:rFonts w:eastAsia="Calibri"/>
          <w:lang w:val="es-CU" w:eastAsia="en-US"/>
        </w:rPr>
        <w:t xml:space="preserve">. </w:t>
      </w:r>
      <w:proofErr w:type="spellStart"/>
      <w:r w:rsidRPr="00413132">
        <w:rPr>
          <w:rFonts w:eastAsia="Calibri"/>
          <w:lang w:val="es-CU" w:eastAsia="en-US"/>
        </w:rPr>
        <w:t>Haemost</w:t>
      </w:r>
      <w:proofErr w:type="spellEnd"/>
      <w:r w:rsidRPr="00413132">
        <w:rPr>
          <w:rFonts w:eastAsia="Calibri"/>
          <w:lang w:val="es-CU" w:eastAsia="en-US"/>
        </w:rPr>
        <w:t xml:space="preserve">. 2016 [acceso: 20/03/2020]; 14:918–30. Disponible en: </w:t>
      </w:r>
      <w:hyperlink r:id="rId24" w:history="1">
        <w:r w:rsidRPr="00413132">
          <w:rPr>
            <w:rFonts w:eastAsia="Calibri"/>
            <w:color w:val="0563C1"/>
            <w:u w:val="single"/>
            <w:lang w:val="es-CU" w:eastAsia="en-US"/>
          </w:rPr>
          <w:t>https://onlinelibrary.wiley.com/doi/epdf/10.1111/jth.13302</w:t>
        </w:r>
      </w:hyperlink>
      <w:r w:rsidRPr="00413132">
        <w:rPr>
          <w:rFonts w:eastAsia="Calibri"/>
          <w:color w:val="0070C0"/>
          <w:lang w:val="es-CU" w:eastAsia="en-US"/>
        </w:rPr>
        <w:t xml:space="preserve"> </w:t>
      </w:r>
    </w:p>
    <w:p w14:paraId="045AF105" w14:textId="77777777" w:rsidR="00413132" w:rsidRPr="00413132" w:rsidRDefault="00413132" w:rsidP="00413132">
      <w:pPr>
        <w:autoSpaceDE w:val="0"/>
        <w:autoSpaceDN w:val="0"/>
        <w:adjustRightInd w:val="0"/>
        <w:spacing w:line="360" w:lineRule="auto"/>
        <w:rPr>
          <w:rFonts w:eastAsia="Calibri"/>
          <w:iCs/>
          <w:color w:val="0070C0"/>
          <w:lang w:val="en-US" w:eastAsia="en-US"/>
        </w:rPr>
      </w:pPr>
      <w:r w:rsidRPr="00413132">
        <w:rPr>
          <w:rFonts w:eastAsia="Calibri"/>
          <w:lang w:val="es-CU" w:eastAsia="en-US"/>
        </w:rPr>
        <w:t xml:space="preserve">13. Rana A, </w:t>
      </w:r>
      <w:proofErr w:type="spellStart"/>
      <w:r w:rsidRPr="00413132">
        <w:rPr>
          <w:rFonts w:eastAsia="Calibri"/>
          <w:lang w:val="es-CU" w:eastAsia="en-US"/>
        </w:rPr>
        <w:t>Westein</w:t>
      </w:r>
      <w:proofErr w:type="spellEnd"/>
      <w:r w:rsidRPr="00413132">
        <w:rPr>
          <w:rFonts w:eastAsia="Calibri"/>
          <w:lang w:val="es-CU" w:eastAsia="en-US"/>
        </w:rPr>
        <w:t xml:space="preserve"> E, Niego B, </w:t>
      </w:r>
      <w:proofErr w:type="spellStart"/>
      <w:r w:rsidRPr="00413132">
        <w:rPr>
          <w:rFonts w:eastAsia="Calibri"/>
          <w:lang w:val="es-CU" w:eastAsia="en-US"/>
        </w:rPr>
        <w:t>Hagemeyer</w:t>
      </w:r>
      <w:proofErr w:type="spellEnd"/>
      <w:r w:rsidRPr="00413132">
        <w:rPr>
          <w:rFonts w:eastAsia="Calibri"/>
          <w:lang w:val="es-CU" w:eastAsia="en-US"/>
        </w:rPr>
        <w:t xml:space="preserve"> CE. </w:t>
      </w:r>
      <w:r w:rsidRPr="00413132">
        <w:rPr>
          <w:rFonts w:eastAsia="Calibri"/>
          <w:lang w:val="en-US" w:eastAsia="en-US"/>
        </w:rPr>
        <w:t xml:space="preserve">Shear-dependent platelet aggregation: mechanisms and therapeutic opportunities. </w:t>
      </w:r>
      <w:r w:rsidRPr="00413132">
        <w:rPr>
          <w:rFonts w:eastAsia="Calibri"/>
          <w:iCs/>
          <w:lang w:val="en-US" w:eastAsia="en-US"/>
        </w:rPr>
        <w:t xml:space="preserve">Frontiers in Cardiovascular Med. 2019 </w:t>
      </w:r>
      <w:proofErr w:type="spellStart"/>
      <w:r w:rsidRPr="00413132">
        <w:rPr>
          <w:rFonts w:eastAsia="Calibri"/>
          <w:iCs/>
          <w:lang w:val="en-US" w:eastAsia="en-US"/>
        </w:rPr>
        <w:t>sep</w:t>
      </w:r>
      <w:proofErr w:type="spellEnd"/>
      <w:r w:rsidRPr="00413132">
        <w:rPr>
          <w:rFonts w:eastAsia="Calibri"/>
          <w:iCs/>
          <w:lang w:val="en-US" w:eastAsia="en-US"/>
        </w:rPr>
        <w:t xml:space="preserve"> [</w:t>
      </w:r>
      <w:proofErr w:type="spellStart"/>
      <w:r w:rsidRPr="00413132">
        <w:rPr>
          <w:rFonts w:eastAsia="Calibri"/>
          <w:iCs/>
          <w:lang w:val="en-US" w:eastAsia="en-US"/>
        </w:rPr>
        <w:t>acceso</w:t>
      </w:r>
      <w:proofErr w:type="spellEnd"/>
      <w:r w:rsidRPr="00413132">
        <w:rPr>
          <w:rFonts w:eastAsia="Calibri"/>
          <w:iCs/>
          <w:lang w:val="en-US" w:eastAsia="en-US"/>
        </w:rPr>
        <w:t xml:space="preserve">: 20/03/2020]; 6:141. Disponible </w:t>
      </w:r>
      <w:proofErr w:type="spellStart"/>
      <w:r w:rsidRPr="00413132">
        <w:rPr>
          <w:rFonts w:eastAsia="Calibri"/>
          <w:iCs/>
          <w:lang w:val="en-US" w:eastAsia="en-US"/>
        </w:rPr>
        <w:t>en</w:t>
      </w:r>
      <w:proofErr w:type="spellEnd"/>
      <w:r w:rsidRPr="00413132">
        <w:rPr>
          <w:rFonts w:eastAsia="Calibri"/>
          <w:iCs/>
          <w:lang w:val="en-US" w:eastAsia="en-US"/>
        </w:rPr>
        <w:t xml:space="preserve">: </w:t>
      </w:r>
      <w:hyperlink r:id="rId25" w:history="1">
        <w:r w:rsidRPr="00413132">
          <w:rPr>
            <w:rFonts w:eastAsia="Calibri"/>
            <w:iCs/>
            <w:color w:val="0563C1"/>
            <w:u w:val="single"/>
            <w:lang w:val="en-US" w:eastAsia="en-US"/>
          </w:rPr>
          <w:t>https://www.ncbi.nlm.nih.gov/pmc/articles/PMC6763557/</w:t>
        </w:r>
      </w:hyperlink>
      <w:r w:rsidRPr="00413132">
        <w:rPr>
          <w:rFonts w:eastAsia="Calibri"/>
          <w:iCs/>
          <w:color w:val="0070C0"/>
          <w:lang w:val="en-US" w:eastAsia="en-US"/>
        </w:rPr>
        <w:t xml:space="preserve"> </w:t>
      </w:r>
    </w:p>
    <w:p w14:paraId="2FDCED56" w14:textId="77777777" w:rsidR="00413132" w:rsidRPr="00413132" w:rsidRDefault="00413132" w:rsidP="00413132">
      <w:pPr>
        <w:autoSpaceDE w:val="0"/>
        <w:autoSpaceDN w:val="0"/>
        <w:adjustRightInd w:val="0"/>
        <w:spacing w:line="360" w:lineRule="auto"/>
        <w:rPr>
          <w:rFonts w:eastAsia="Calibri"/>
          <w:i/>
          <w:iCs/>
          <w:color w:val="0070C0"/>
          <w:lang w:val="es-CU" w:eastAsia="en-US"/>
        </w:rPr>
      </w:pPr>
      <w:r w:rsidRPr="00413132">
        <w:rPr>
          <w:rFonts w:eastAsia="Calibri"/>
          <w:lang w:val="en-US" w:eastAsia="en-US"/>
        </w:rPr>
        <w:t xml:space="preserve">14. </w:t>
      </w:r>
      <w:proofErr w:type="spellStart"/>
      <w:r w:rsidRPr="00413132">
        <w:rPr>
          <w:rFonts w:eastAsia="Calibri"/>
          <w:lang w:val="en-US" w:eastAsia="en-US"/>
        </w:rPr>
        <w:t>Derszniak</w:t>
      </w:r>
      <w:proofErr w:type="spellEnd"/>
      <w:r w:rsidRPr="00413132">
        <w:rPr>
          <w:rFonts w:eastAsia="Calibri"/>
          <w:lang w:val="en-US" w:eastAsia="en-US"/>
        </w:rPr>
        <w:t xml:space="preserve"> K., </w:t>
      </w:r>
      <w:proofErr w:type="spellStart"/>
      <w:r w:rsidRPr="00413132">
        <w:rPr>
          <w:rFonts w:eastAsia="Calibri"/>
          <w:lang w:val="en-US" w:eastAsia="en-US"/>
        </w:rPr>
        <w:t>Przyborowski</w:t>
      </w:r>
      <w:proofErr w:type="spellEnd"/>
      <w:r w:rsidRPr="00413132">
        <w:rPr>
          <w:rFonts w:eastAsia="Calibri"/>
          <w:lang w:val="en-US" w:eastAsia="en-US"/>
        </w:rPr>
        <w:t xml:space="preserve"> K., </w:t>
      </w:r>
      <w:proofErr w:type="spellStart"/>
      <w:r w:rsidRPr="00413132">
        <w:rPr>
          <w:rFonts w:eastAsia="Calibri"/>
          <w:lang w:val="en-US" w:eastAsia="en-US"/>
        </w:rPr>
        <w:t>Matyjaszczyk</w:t>
      </w:r>
      <w:proofErr w:type="spellEnd"/>
      <w:r w:rsidRPr="00413132">
        <w:rPr>
          <w:rFonts w:eastAsia="Calibri"/>
          <w:lang w:val="en-US" w:eastAsia="en-US"/>
        </w:rPr>
        <w:t xml:space="preserve"> K, </w:t>
      </w:r>
      <w:proofErr w:type="spellStart"/>
      <w:r w:rsidRPr="00413132">
        <w:rPr>
          <w:rFonts w:eastAsia="Calibri"/>
          <w:lang w:val="en-US" w:eastAsia="en-US"/>
        </w:rPr>
        <w:t>Moorlag</w:t>
      </w:r>
      <w:proofErr w:type="spellEnd"/>
      <w:r w:rsidRPr="00413132">
        <w:rPr>
          <w:rFonts w:eastAsia="Calibri"/>
          <w:lang w:val="en-US" w:eastAsia="en-US"/>
        </w:rPr>
        <w:t xml:space="preserve"> M, de Laat B, </w:t>
      </w:r>
      <w:proofErr w:type="spellStart"/>
      <w:r w:rsidRPr="00413132">
        <w:rPr>
          <w:rFonts w:eastAsia="Calibri"/>
          <w:lang w:val="en-US" w:eastAsia="en-US"/>
        </w:rPr>
        <w:t>Nowakowska</w:t>
      </w:r>
      <w:proofErr w:type="spellEnd"/>
      <w:r w:rsidRPr="00413132">
        <w:rPr>
          <w:rFonts w:eastAsia="Calibri"/>
          <w:lang w:val="en-US" w:eastAsia="en-US"/>
        </w:rPr>
        <w:t xml:space="preserve"> M, </w:t>
      </w:r>
      <w:proofErr w:type="spellStart"/>
      <w:r w:rsidRPr="00413132">
        <w:rPr>
          <w:rFonts w:eastAsia="Calibri"/>
          <w:lang w:val="en-US" w:eastAsia="en-US"/>
        </w:rPr>
        <w:t>Chlopicki</w:t>
      </w:r>
      <w:proofErr w:type="spellEnd"/>
      <w:r w:rsidRPr="00413132">
        <w:rPr>
          <w:rFonts w:eastAsia="Calibri"/>
          <w:lang w:val="en-US" w:eastAsia="en-US"/>
        </w:rPr>
        <w:t xml:space="preserve"> S. Comparison of Effects of Anti-thrombin AptamersHD1 and HD22 on Aggregation of Human Platelets, Thrombin Generation, Fibrin Formation, and Thrombus Formation Under Flow Conditions. </w:t>
      </w:r>
      <w:r w:rsidRPr="00413132">
        <w:rPr>
          <w:rFonts w:eastAsia="Calibri"/>
          <w:lang w:val="es-CU" w:eastAsia="en-US"/>
        </w:rPr>
        <w:t xml:space="preserve">Front. </w:t>
      </w:r>
      <w:proofErr w:type="spellStart"/>
      <w:r w:rsidRPr="00413132">
        <w:rPr>
          <w:rFonts w:eastAsia="Calibri"/>
          <w:lang w:val="es-CU" w:eastAsia="en-US"/>
        </w:rPr>
        <w:t>Pharmacol</w:t>
      </w:r>
      <w:proofErr w:type="spellEnd"/>
      <w:r w:rsidRPr="00413132">
        <w:rPr>
          <w:rFonts w:eastAsia="Calibri"/>
          <w:lang w:val="es-CU" w:eastAsia="en-US"/>
        </w:rPr>
        <w:t xml:space="preserve">. 2019 feb [acceso: 20/03/2020]; 10:68. Disponible en: </w:t>
      </w:r>
      <w:hyperlink r:id="rId26" w:history="1">
        <w:r w:rsidRPr="00413132">
          <w:rPr>
            <w:rFonts w:eastAsia="Calibri"/>
            <w:color w:val="0563C1"/>
            <w:u w:val="single"/>
            <w:lang w:val="es-CU" w:eastAsia="en-US"/>
          </w:rPr>
          <w:t>https://www.ncbi.nlm.nih.gov/pmc/articles/PMC6391317/</w:t>
        </w:r>
      </w:hyperlink>
      <w:r w:rsidRPr="00413132">
        <w:rPr>
          <w:rFonts w:eastAsia="Calibri"/>
          <w:color w:val="0070C0"/>
          <w:lang w:val="es-CU" w:eastAsia="en-US"/>
        </w:rPr>
        <w:t xml:space="preserve"> </w:t>
      </w:r>
    </w:p>
    <w:p w14:paraId="4989CFA3" w14:textId="77777777" w:rsidR="00413132" w:rsidRPr="00413132" w:rsidRDefault="00413132" w:rsidP="00413132">
      <w:pPr>
        <w:autoSpaceDE w:val="0"/>
        <w:autoSpaceDN w:val="0"/>
        <w:adjustRightInd w:val="0"/>
        <w:spacing w:line="360" w:lineRule="auto"/>
        <w:rPr>
          <w:rFonts w:eastAsia="Calibri"/>
          <w:bCs/>
          <w:iCs/>
          <w:lang w:val="es-ES" w:eastAsia="en-US"/>
        </w:rPr>
      </w:pPr>
      <w:r w:rsidRPr="00413132">
        <w:rPr>
          <w:rFonts w:eastAsia="Calibri"/>
          <w:bCs/>
          <w:lang w:val="es-CU" w:eastAsia="en-US"/>
        </w:rPr>
        <w:t xml:space="preserve">15. </w:t>
      </w:r>
      <w:proofErr w:type="spellStart"/>
      <w:r w:rsidRPr="00413132">
        <w:rPr>
          <w:rFonts w:eastAsia="Calibri"/>
          <w:bCs/>
          <w:lang w:val="es-CU" w:eastAsia="en-US"/>
        </w:rPr>
        <w:t>Bonow</w:t>
      </w:r>
      <w:proofErr w:type="spellEnd"/>
      <w:r w:rsidRPr="00413132">
        <w:rPr>
          <w:rFonts w:eastAsia="Calibri"/>
          <w:bCs/>
          <w:lang w:val="es-CU" w:eastAsia="en-US"/>
        </w:rPr>
        <w:t xml:space="preserve"> RO, Mann DL, </w:t>
      </w:r>
      <w:proofErr w:type="spellStart"/>
      <w:r w:rsidRPr="00413132">
        <w:rPr>
          <w:rFonts w:eastAsia="Calibri"/>
          <w:bCs/>
          <w:lang w:val="es-CU" w:eastAsia="en-US"/>
        </w:rPr>
        <w:t>Zipes</w:t>
      </w:r>
      <w:proofErr w:type="spellEnd"/>
      <w:r w:rsidRPr="00413132">
        <w:rPr>
          <w:rFonts w:eastAsia="Calibri"/>
          <w:bCs/>
          <w:lang w:val="es-CU" w:eastAsia="en-US"/>
        </w:rPr>
        <w:t xml:space="preserve"> DZ, </w:t>
      </w:r>
      <w:r w:rsidRPr="00413132">
        <w:rPr>
          <w:rFonts w:eastAsia="Calibri"/>
          <w:bCs/>
          <w:lang w:val="es-ES" w:eastAsia="en-US"/>
        </w:rPr>
        <w:t>Libby P.</w:t>
      </w:r>
      <w:r w:rsidRPr="00413132">
        <w:rPr>
          <w:rFonts w:eastAsia="Calibri"/>
          <w:bCs/>
          <w:iCs/>
          <w:lang w:val="es-ES" w:eastAsia="en-US"/>
        </w:rPr>
        <w:t xml:space="preserve"> Hemostasia, trombosis, fibrinólisis y enfermedad cardiovascular. En: Mann DL, </w:t>
      </w:r>
      <w:proofErr w:type="spellStart"/>
      <w:r w:rsidRPr="00413132">
        <w:rPr>
          <w:rFonts w:eastAsia="Calibri"/>
          <w:bCs/>
          <w:iCs/>
          <w:lang w:val="es-ES" w:eastAsia="en-US"/>
        </w:rPr>
        <w:t>Zipes</w:t>
      </w:r>
      <w:proofErr w:type="spellEnd"/>
      <w:r w:rsidRPr="00413132">
        <w:rPr>
          <w:rFonts w:eastAsia="Calibri"/>
          <w:bCs/>
          <w:iCs/>
          <w:lang w:val="es-ES" w:eastAsia="en-US"/>
        </w:rPr>
        <w:t xml:space="preserve"> DP, </w:t>
      </w:r>
      <w:proofErr w:type="spellStart"/>
      <w:r w:rsidRPr="00413132">
        <w:rPr>
          <w:rFonts w:eastAsia="Calibri"/>
          <w:bCs/>
          <w:iCs/>
          <w:lang w:val="es-ES" w:eastAsia="en-US"/>
        </w:rPr>
        <w:t>Bonow</w:t>
      </w:r>
      <w:proofErr w:type="spellEnd"/>
      <w:r w:rsidRPr="00413132">
        <w:rPr>
          <w:rFonts w:eastAsia="Calibri"/>
          <w:bCs/>
          <w:iCs/>
          <w:lang w:val="es-ES" w:eastAsia="en-US"/>
        </w:rPr>
        <w:t xml:space="preserve"> RO. </w:t>
      </w:r>
      <w:proofErr w:type="spellStart"/>
      <w:r w:rsidRPr="00413132">
        <w:rPr>
          <w:rFonts w:eastAsia="Calibri"/>
          <w:bCs/>
          <w:iCs/>
          <w:lang w:val="es-ES" w:eastAsia="en-US"/>
        </w:rPr>
        <w:t>Braunwald</w:t>
      </w:r>
      <w:proofErr w:type="spellEnd"/>
      <w:r w:rsidRPr="00413132">
        <w:rPr>
          <w:rFonts w:eastAsia="Calibri"/>
          <w:bCs/>
          <w:iCs/>
          <w:lang w:val="es-ES" w:eastAsia="en-US"/>
        </w:rPr>
        <w:t xml:space="preserve">: Tratado de cardiología. Barcelona: </w:t>
      </w:r>
      <w:r w:rsidRPr="00413132">
        <w:rPr>
          <w:rFonts w:eastAsia="Calibri"/>
          <w:bCs/>
          <w:lang w:val="es-ES" w:eastAsia="en-US"/>
        </w:rPr>
        <w:t>Elsevier España, S.L;</w:t>
      </w:r>
      <w:r w:rsidRPr="00413132">
        <w:rPr>
          <w:rFonts w:eastAsia="Calibri"/>
          <w:bCs/>
          <w:iCs/>
          <w:lang w:val="es-ES" w:eastAsia="en-US"/>
        </w:rPr>
        <w:t xml:space="preserve"> 2013. p. 1868-1892.</w:t>
      </w:r>
    </w:p>
    <w:p w14:paraId="46EF806C" w14:textId="77777777" w:rsidR="00413132" w:rsidRPr="00413132" w:rsidRDefault="00413132" w:rsidP="00413132">
      <w:pPr>
        <w:autoSpaceDE w:val="0"/>
        <w:autoSpaceDN w:val="0"/>
        <w:adjustRightInd w:val="0"/>
        <w:spacing w:line="360" w:lineRule="auto"/>
        <w:rPr>
          <w:rFonts w:eastAsia="Calibri"/>
          <w:i/>
          <w:iCs/>
          <w:lang w:val="es-ES" w:eastAsia="en-US"/>
        </w:rPr>
      </w:pPr>
      <w:r w:rsidRPr="00413132">
        <w:rPr>
          <w:rFonts w:eastAsia="Calibri"/>
          <w:bCs/>
          <w:iCs/>
          <w:lang w:val="es-ES" w:eastAsia="en-US"/>
        </w:rPr>
        <w:t>16. Sierra P, Gómez-</w:t>
      </w:r>
      <w:proofErr w:type="spellStart"/>
      <w:r w:rsidRPr="00413132">
        <w:rPr>
          <w:rFonts w:eastAsia="Calibri"/>
          <w:bCs/>
          <w:iCs/>
          <w:lang w:val="es-ES" w:eastAsia="en-US"/>
        </w:rPr>
        <w:t>Luqueb</w:t>
      </w:r>
      <w:proofErr w:type="spellEnd"/>
      <w:r w:rsidRPr="00413132">
        <w:rPr>
          <w:rFonts w:eastAsia="Calibri"/>
          <w:bCs/>
          <w:iCs/>
          <w:lang w:val="es-ES" w:eastAsia="en-US"/>
        </w:rPr>
        <w:t xml:space="preserve"> A, </w:t>
      </w:r>
      <w:proofErr w:type="spellStart"/>
      <w:r w:rsidRPr="00413132">
        <w:rPr>
          <w:rFonts w:eastAsia="Calibri"/>
          <w:bCs/>
          <w:iCs/>
          <w:lang w:val="es-ES" w:eastAsia="en-US"/>
        </w:rPr>
        <w:t>Llauc</w:t>
      </w:r>
      <w:proofErr w:type="spellEnd"/>
      <w:r w:rsidRPr="00413132">
        <w:rPr>
          <w:rFonts w:eastAsia="Calibri"/>
          <w:bCs/>
          <w:iCs/>
          <w:lang w:val="es-ES" w:eastAsia="en-US"/>
        </w:rPr>
        <w:t xml:space="preserve"> JV, </w:t>
      </w:r>
      <w:proofErr w:type="spellStart"/>
      <w:r w:rsidRPr="00413132">
        <w:rPr>
          <w:rFonts w:eastAsia="Calibri"/>
          <w:bCs/>
          <w:iCs/>
          <w:lang w:val="es-ES" w:eastAsia="en-US"/>
        </w:rPr>
        <w:t>Ferrandisd</w:t>
      </w:r>
      <w:proofErr w:type="spellEnd"/>
      <w:r w:rsidRPr="00413132">
        <w:rPr>
          <w:rFonts w:eastAsia="Calibri"/>
          <w:bCs/>
          <w:iCs/>
          <w:lang w:val="es-ES" w:eastAsia="en-US"/>
        </w:rPr>
        <w:t xml:space="preserve"> R, </w:t>
      </w:r>
      <w:proofErr w:type="spellStart"/>
      <w:r w:rsidRPr="00413132">
        <w:rPr>
          <w:rFonts w:eastAsia="Calibri"/>
          <w:bCs/>
          <w:iCs/>
          <w:lang w:val="es-ES" w:eastAsia="en-US"/>
        </w:rPr>
        <w:t>Cassinelloe</w:t>
      </w:r>
      <w:proofErr w:type="spellEnd"/>
      <w:r w:rsidRPr="00413132">
        <w:rPr>
          <w:rFonts w:eastAsia="Calibri"/>
          <w:bCs/>
          <w:iCs/>
          <w:lang w:val="es-ES" w:eastAsia="en-US"/>
        </w:rPr>
        <w:t xml:space="preserve"> C, Hidalgo F. Recomendaciones de manejo perioperatorio de antiagregantes plaquetarios en cirugía no cardíaca. Grupo de trabajo de la Sección de Hemostasia, Medicina Transfusional y Fluidoterapia de la Sociedad Española de </w:t>
      </w:r>
      <w:r w:rsidRPr="00413132">
        <w:rPr>
          <w:rFonts w:eastAsia="Calibri"/>
          <w:bCs/>
          <w:iCs/>
          <w:lang w:val="es-ES" w:eastAsia="en-US"/>
        </w:rPr>
        <w:lastRenderedPageBreak/>
        <w:t xml:space="preserve">Anestesiología, Reanimación y Terapéutica del Dolor (SEDAR). Actualización de la Guía de práctica clínica 2018. Rev. Esp. </w:t>
      </w:r>
      <w:proofErr w:type="spellStart"/>
      <w:r w:rsidRPr="00413132">
        <w:rPr>
          <w:rFonts w:eastAsia="Calibri"/>
          <w:bCs/>
          <w:iCs/>
          <w:lang w:val="es-ES" w:eastAsia="en-US"/>
        </w:rPr>
        <w:t>Anestesiol</w:t>
      </w:r>
      <w:proofErr w:type="spellEnd"/>
      <w:r w:rsidRPr="00413132">
        <w:rPr>
          <w:rFonts w:eastAsia="Calibri"/>
          <w:bCs/>
          <w:iCs/>
          <w:lang w:val="es-ES" w:eastAsia="en-US"/>
        </w:rPr>
        <w:t xml:space="preserve">. </w:t>
      </w:r>
      <w:proofErr w:type="spellStart"/>
      <w:r w:rsidRPr="00413132">
        <w:rPr>
          <w:rFonts w:eastAsia="Calibri"/>
          <w:bCs/>
          <w:iCs/>
          <w:lang w:val="es-ES" w:eastAsia="en-US"/>
        </w:rPr>
        <w:t>Reanim</w:t>
      </w:r>
      <w:proofErr w:type="spellEnd"/>
      <w:r w:rsidRPr="00413132">
        <w:rPr>
          <w:rFonts w:eastAsia="Calibri"/>
          <w:bCs/>
          <w:iCs/>
          <w:lang w:val="es-ES" w:eastAsia="en-US"/>
        </w:rPr>
        <w:t xml:space="preserve">. 2019[acceso: 20/03/2020]; 66(1):18-36. </w:t>
      </w:r>
      <w:r w:rsidRPr="00413132">
        <w:rPr>
          <w:rFonts w:eastAsia="Calibri"/>
          <w:lang w:val="es-ES" w:eastAsia="en-US"/>
        </w:rPr>
        <w:t>Disponible en:</w:t>
      </w:r>
    </w:p>
    <w:p w14:paraId="6D1E91C3" w14:textId="77777777" w:rsidR="00413132" w:rsidRPr="00413132" w:rsidRDefault="00413132" w:rsidP="00413132">
      <w:pPr>
        <w:autoSpaceDE w:val="0"/>
        <w:autoSpaceDN w:val="0"/>
        <w:adjustRightInd w:val="0"/>
        <w:spacing w:line="360" w:lineRule="auto"/>
        <w:rPr>
          <w:rFonts w:eastAsia="Calibri"/>
          <w:iCs/>
          <w:color w:val="0070C0"/>
          <w:lang w:val="es-ES" w:eastAsia="en-US"/>
        </w:rPr>
      </w:pPr>
      <w:hyperlink r:id="rId27" w:anchor="!/content/playContent/1-s2.0-S0034935618301385?returnurl=https:%2F%2Flinkinghub.elsevier.com%2Fretrieve%2Fpii%2FS0034935618301385%3Fshowall%3Dtrue&amp;referrer" w:history="1">
        <w:r w:rsidRPr="00413132">
          <w:rPr>
            <w:rFonts w:eastAsia="Calibri"/>
            <w:iCs/>
            <w:color w:val="0563C1"/>
            <w:u w:val="single"/>
            <w:lang w:val="es-ES" w:eastAsia="en-US"/>
          </w:rPr>
          <w:t>https://www.clinicalkey.es/#!/content/playContent/1-s2.0-S0034935618301385?returnurl=https:%2F%2Flinkinghub.elsevier.com%2Fretrieve%2Fpii%2FS0034935618301385%3Fshowall%3Dtrue&amp;referrer</w:t>
        </w:r>
      </w:hyperlink>
      <w:r w:rsidRPr="00413132">
        <w:rPr>
          <w:rFonts w:eastAsia="Calibri"/>
          <w:iCs/>
          <w:color w:val="0070C0"/>
          <w:lang w:val="es-ES" w:eastAsia="en-US"/>
        </w:rPr>
        <w:t>=</w:t>
      </w:r>
    </w:p>
    <w:p w14:paraId="48CAE092" w14:textId="77777777" w:rsidR="00413132" w:rsidRPr="00413132" w:rsidRDefault="00413132" w:rsidP="00413132">
      <w:pPr>
        <w:autoSpaceDE w:val="0"/>
        <w:autoSpaceDN w:val="0"/>
        <w:adjustRightInd w:val="0"/>
        <w:spacing w:line="360" w:lineRule="auto"/>
        <w:rPr>
          <w:rFonts w:eastAsia="Calibri"/>
          <w:bCs/>
          <w:iCs/>
          <w:color w:val="5B9BD5"/>
          <w:lang w:val="en-US" w:eastAsia="en-US"/>
        </w:rPr>
      </w:pPr>
      <w:r w:rsidRPr="00413132">
        <w:rPr>
          <w:rFonts w:eastAsia="Calibri"/>
          <w:bCs/>
          <w:iCs/>
          <w:lang w:val="en-US" w:eastAsia="en-US"/>
        </w:rPr>
        <w:t xml:space="preserve">17. </w:t>
      </w:r>
      <w:proofErr w:type="spellStart"/>
      <w:r w:rsidRPr="00413132">
        <w:rPr>
          <w:rFonts w:eastAsia="Calibri"/>
          <w:bCs/>
          <w:iCs/>
          <w:lang w:val="en-US" w:eastAsia="en-US"/>
        </w:rPr>
        <w:t>Bittl</w:t>
      </w:r>
      <w:proofErr w:type="spellEnd"/>
      <w:r w:rsidRPr="00413132">
        <w:rPr>
          <w:rFonts w:eastAsia="Calibri"/>
          <w:bCs/>
          <w:iCs/>
          <w:lang w:val="en-US" w:eastAsia="en-US"/>
        </w:rPr>
        <w:t xml:space="preserve"> J A, Baber U, Bradley SM, </w:t>
      </w:r>
      <w:proofErr w:type="spellStart"/>
      <w:r w:rsidRPr="00413132">
        <w:rPr>
          <w:rFonts w:eastAsia="Calibri"/>
          <w:bCs/>
          <w:iCs/>
          <w:lang w:val="en-US" w:eastAsia="en-US"/>
        </w:rPr>
        <w:t>Wijeysundera</w:t>
      </w:r>
      <w:proofErr w:type="spellEnd"/>
      <w:r w:rsidRPr="00413132">
        <w:rPr>
          <w:rFonts w:eastAsia="Calibri"/>
          <w:bCs/>
          <w:iCs/>
          <w:lang w:val="en-US" w:eastAsia="en-US"/>
        </w:rPr>
        <w:t xml:space="preserve"> DN. Duration of Dual Antiplatelet Therapy: A Systematic Review for the 2016ACC/AHA Guideline Focused </w:t>
      </w:r>
      <w:proofErr w:type="spellStart"/>
      <w:r w:rsidRPr="00413132">
        <w:rPr>
          <w:rFonts w:eastAsia="Calibri"/>
          <w:bCs/>
          <w:iCs/>
          <w:lang w:val="en-US" w:eastAsia="en-US"/>
        </w:rPr>
        <w:t>Updateon</w:t>
      </w:r>
      <w:proofErr w:type="spellEnd"/>
      <w:r w:rsidRPr="00413132">
        <w:rPr>
          <w:rFonts w:eastAsia="Calibri"/>
          <w:bCs/>
          <w:iCs/>
          <w:lang w:val="en-US" w:eastAsia="en-US"/>
        </w:rPr>
        <w:t xml:space="preserve"> Duration of Dual Antiplatelet Therapy in Patients </w:t>
      </w:r>
      <w:proofErr w:type="gramStart"/>
      <w:r w:rsidRPr="00413132">
        <w:rPr>
          <w:rFonts w:eastAsia="Calibri"/>
          <w:bCs/>
          <w:iCs/>
          <w:lang w:val="en-US" w:eastAsia="en-US"/>
        </w:rPr>
        <w:t>With</w:t>
      </w:r>
      <w:proofErr w:type="gramEnd"/>
      <w:r w:rsidRPr="00413132">
        <w:rPr>
          <w:rFonts w:eastAsia="Calibri"/>
          <w:bCs/>
          <w:iCs/>
          <w:lang w:val="en-US" w:eastAsia="en-US"/>
        </w:rPr>
        <w:t xml:space="preserve"> Coronary Artery Disease. J. </w:t>
      </w:r>
      <w:proofErr w:type="spellStart"/>
      <w:r w:rsidRPr="00413132">
        <w:rPr>
          <w:rFonts w:eastAsia="Calibri"/>
          <w:bCs/>
          <w:iCs/>
          <w:lang w:val="en-US" w:eastAsia="en-US"/>
        </w:rPr>
        <w:t>Ame</w:t>
      </w:r>
      <w:proofErr w:type="spellEnd"/>
      <w:r w:rsidRPr="00413132">
        <w:rPr>
          <w:rFonts w:eastAsia="Calibri"/>
          <w:bCs/>
          <w:iCs/>
          <w:lang w:val="en-US" w:eastAsia="en-US"/>
        </w:rPr>
        <w:t>. Coll.  Cardiology.2016 Sept [</w:t>
      </w:r>
      <w:proofErr w:type="spellStart"/>
      <w:r w:rsidRPr="00413132">
        <w:rPr>
          <w:rFonts w:eastAsia="Calibri"/>
          <w:bCs/>
          <w:iCs/>
          <w:lang w:val="en-US" w:eastAsia="en-US"/>
        </w:rPr>
        <w:t>acceso</w:t>
      </w:r>
      <w:proofErr w:type="spellEnd"/>
      <w:r w:rsidRPr="00413132">
        <w:rPr>
          <w:rFonts w:eastAsia="Calibri"/>
          <w:bCs/>
          <w:iCs/>
          <w:lang w:val="en-US" w:eastAsia="en-US"/>
        </w:rPr>
        <w:t xml:space="preserve">: 20/03/2020]; 68(10):1116-39. Disponible </w:t>
      </w:r>
      <w:proofErr w:type="spellStart"/>
      <w:r w:rsidRPr="00413132">
        <w:rPr>
          <w:rFonts w:eastAsia="Calibri"/>
          <w:bCs/>
          <w:iCs/>
          <w:lang w:val="en-US" w:eastAsia="en-US"/>
        </w:rPr>
        <w:t>en</w:t>
      </w:r>
      <w:proofErr w:type="spellEnd"/>
      <w:r w:rsidRPr="00413132">
        <w:rPr>
          <w:rFonts w:eastAsia="Calibri"/>
          <w:bCs/>
          <w:iCs/>
          <w:lang w:val="en-US" w:eastAsia="en-US"/>
        </w:rPr>
        <w:t xml:space="preserve">: </w:t>
      </w:r>
      <w:hyperlink r:id="rId28" w:history="1">
        <w:r w:rsidRPr="00413132">
          <w:rPr>
            <w:rFonts w:eastAsia="Calibri"/>
            <w:bCs/>
            <w:iCs/>
            <w:color w:val="0563C1"/>
            <w:u w:val="single"/>
            <w:lang w:val="en-US" w:eastAsia="en-US"/>
          </w:rPr>
          <w:t>https://doi.org/10.1016/j.jacc.2016.03.512</w:t>
        </w:r>
      </w:hyperlink>
      <w:r w:rsidRPr="00413132">
        <w:rPr>
          <w:rFonts w:eastAsia="Calibri"/>
          <w:bCs/>
          <w:iCs/>
          <w:color w:val="5B9BD5"/>
          <w:lang w:val="en-US" w:eastAsia="en-US"/>
        </w:rPr>
        <w:t xml:space="preserve"> </w:t>
      </w:r>
    </w:p>
    <w:p w14:paraId="2A162F43" w14:textId="77777777" w:rsidR="00413132" w:rsidRPr="00413132" w:rsidRDefault="00413132" w:rsidP="00413132">
      <w:pPr>
        <w:autoSpaceDE w:val="0"/>
        <w:autoSpaceDN w:val="0"/>
        <w:adjustRightInd w:val="0"/>
        <w:spacing w:line="360" w:lineRule="auto"/>
        <w:rPr>
          <w:rFonts w:eastAsia="Calibri"/>
          <w:bCs/>
          <w:iCs/>
          <w:lang w:val="es-CU" w:eastAsia="en-US"/>
        </w:rPr>
      </w:pPr>
      <w:r w:rsidRPr="00413132">
        <w:rPr>
          <w:rFonts w:eastAsia="Calibri"/>
          <w:bCs/>
          <w:iCs/>
          <w:lang w:val="en-US" w:eastAsia="en-US"/>
        </w:rPr>
        <w:t xml:space="preserve">18. </w:t>
      </w:r>
      <w:proofErr w:type="spellStart"/>
      <w:r w:rsidRPr="00413132">
        <w:rPr>
          <w:rFonts w:eastAsia="Calibri"/>
          <w:color w:val="131413"/>
          <w:lang w:val="en-US" w:eastAsia="en-US"/>
        </w:rPr>
        <w:t>Gelbenegger</w:t>
      </w:r>
      <w:proofErr w:type="spellEnd"/>
      <w:r w:rsidRPr="00413132">
        <w:rPr>
          <w:rFonts w:eastAsia="Calibri"/>
          <w:color w:val="131413"/>
          <w:lang w:val="en-US" w:eastAsia="en-US"/>
        </w:rPr>
        <w:t xml:space="preserve"> G, </w:t>
      </w:r>
      <w:proofErr w:type="spellStart"/>
      <w:r w:rsidRPr="00413132">
        <w:rPr>
          <w:rFonts w:eastAsia="Calibri"/>
          <w:color w:val="131413"/>
          <w:lang w:val="en-US" w:eastAsia="en-US"/>
        </w:rPr>
        <w:t>Postula</w:t>
      </w:r>
      <w:proofErr w:type="spellEnd"/>
      <w:r w:rsidRPr="00413132">
        <w:rPr>
          <w:rFonts w:eastAsia="Calibri"/>
          <w:color w:val="131413"/>
          <w:lang w:val="en-US" w:eastAsia="en-US"/>
        </w:rPr>
        <w:t xml:space="preserve"> M, </w:t>
      </w:r>
      <w:proofErr w:type="spellStart"/>
      <w:r w:rsidRPr="00413132">
        <w:rPr>
          <w:rFonts w:eastAsia="Calibri"/>
          <w:color w:val="131413"/>
          <w:lang w:val="en-US" w:eastAsia="en-US"/>
        </w:rPr>
        <w:t>Pecen</w:t>
      </w:r>
      <w:proofErr w:type="spellEnd"/>
      <w:r w:rsidRPr="00413132">
        <w:rPr>
          <w:rFonts w:eastAsia="Calibri"/>
          <w:color w:val="131413"/>
          <w:lang w:val="en-US" w:eastAsia="en-US"/>
        </w:rPr>
        <w:t xml:space="preserve"> L, Halvorsen S, </w:t>
      </w:r>
      <w:proofErr w:type="spellStart"/>
      <w:r w:rsidRPr="00413132">
        <w:rPr>
          <w:rFonts w:eastAsia="Calibri"/>
          <w:color w:val="131413"/>
          <w:lang w:val="en-US" w:eastAsia="en-US"/>
        </w:rPr>
        <w:t>Lesiak</w:t>
      </w:r>
      <w:proofErr w:type="spellEnd"/>
      <w:r w:rsidRPr="00413132">
        <w:rPr>
          <w:rFonts w:eastAsia="Calibri"/>
          <w:color w:val="131413"/>
          <w:lang w:val="en-US" w:eastAsia="en-US"/>
        </w:rPr>
        <w:t xml:space="preserve"> M, </w:t>
      </w:r>
      <w:proofErr w:type="spellStart"/>
      <w:r w:rsidRPr="00413132">
        <w:rPr>
          <w:rFonts w:eastAsia="Calibri"/>
          <w:color w:val="131413"/>
          <w:lang w:val="en-US" w:eastAsia="en-US"/>
        </w:rPr>
        <w:t>Schoergenhofer</w:t>
      </w:r>
      <w:proofErr w:type="spellEnd"/>
      <w:r w:rsidRPr="00413132">
        <w:rPr>
          <w:rFonts w:eastAsia="Calibri"/>
          <w:color w:val="131413"/>
          <w:lang w:val="en-US" w:eastAsia="en-US"/>
        </w:rPr>
        <w:t xml:space="preserve"> C, et al. </w:t>
      </w:r>
      <w:r w:rsidRPr="00413132">
        <w:rPr>
          <w:rFonts w:eastAsia="Calibri"/>
          <w:bCs/>
          <w:iCs/>
          <w:lang w:val="en-US" w:eastAsia="en-US"/>
        </w:rPr>
        <w:t xml:space="preserve">Aspirin for primary prevention of cardiovascular disease: a meta-analysis with a particular focus on subgroups.  </w:t>
      </w:r>
      <w:r w:rsidRPr="00413132">
        <w:rPr>
          <w:rFonts w:eastAsia="Calibri"/>
          <w:bCs/>
          <w:iCs/>
          <w:lang w:val="es-CU" w:eastAsia="en-US"/>
        </w:rPr>
        <w:t xml:space="preserve">Medicine 2019 [acceso: 23/03/2020]; 17:198. Disponible en: </w:t>
      </w:r>
    </w:p>
    <w:p w14:paraId="301FD83C" w14:textId="77777777" w:rsidR="00413132" w:rsidRPr="00413132" w:rsidRDefault="00413132" w:rsidP="00413132">
      <w:pPr>
        <w:autoSpaceDE w:val="0"/>
        <w:autoSpaceDN w:val="0"/>
        <w:adjustRightInd w:val="0"/>
        <w:spacing w:line="360" w:lineRule="auto"/>
        <w:rPr>
          <w:rFonts w:eastAsia="Calibri"/>
          <w:bCs/>
          <w:iCs/>
          <w:color w:val="0070C0"/>
          <w:lang w:val="es-CU" w:eastAsia="en-US"/>
        </w:rPr>
      </w:pPr>
      <w:hyperlink r:id="rId29" w:history="1">
        <w:r w:rsidRPr="00413132">
          <w:rPr>
            <w:rFonts w:eastAsia="Calibri"/>
            <w:bCs/>
            <w:iCs/>
            <w:color w:val="0563C1"/>
            <w:u w:val="single"/>
            <w:lang w:val="es-CU" w:eastAsia="en-US"/>
          </w:rPr>
          <w:t>https://link.springer.com/article/10.1186/s12916-019-1428-0</w:t>
        </w:r>
      </w:hyperlink>
    </w:p>
    <w:p w14:paraId="50B746CB" w14:textId="77777777" w:rsidR="00413132" w:rsidRPr="00413132" w:rsidRDefault="00413132" w:rsidP="00413132">
      <w:pPr>
        <w:autoSpaceDE w:val="0"/>
        <w:autoSpaceDN w:val="0"/>
        <w:adjustRightInd w:val="0"/>
        <w:spacing w:line="360" w:lineRule="auto"/>
        <w:rPr>
          <w:rFonts w:eastAsia="Calibri"/>
          <w:bCs/>
          <w:iCs/>
          <w:color w:val="0070C0"/>
          <w:lang w:val="es-CU" w:eastAsia="en-US"/>
        </w:rPr>
      </w:pPr>
      <w:r w:rsidRPr="00413132">
        <w:rPr>
          <w:rFonts w:eastAsia="Calibri"/>
          <w:bCs/>
          <w:iCs/>
          <w:lang w:val="en-US" w:eastAsia="en-US"/>
        </w:rPr>
        <w:t xml:space="preserve">19.  Yamaguchi T, Shirai T, </w:t>
      </w:r>
      <w:proofErr w:type="spellStart"/>
      <w:r w:rsidRPr="00413132">
        <w:rPr>
          <w:rFonts w:eastAsia="Calibri"/>
          <w:bCs/>
          <w:iCs/>
          <w:lang w:val="en-US" w:eastAsia="en-US"/>
        </w:rPr>
        <w:t>Yoshiba</w:t>
      </w:r>
      <w:proofErr w:type="spellEnd"/>
      <w:r w:rsidRPr="00413132">
        <w:rPr>
          <w:rFonts w:eastAsia="Calibri"/>
          <w:bCs/>
          <w:iCs/>
          <w:lang w:val="en-US" w:eastAsia="en-US"/>
        </w:rPr>
        <w:t xml:space="preserve"> S, Abe K, Ikeda Y. Pharmacodynamic assessment of prasugrel and </w:t>
      </w:r>
      <w:proofErr w:type="spellStart"/>
      <w:r w:rsidRPr="00413132">
        <w:rPr>
          <w:rFonts w:eastAsia="Calibri"/>
          <w:bCs/>
          <w:iCs/>
          <w:lang w:val="en-US" w:eastAsia="en-US"/>
        </w:rPr>
        <w:t>clopidogrelin</w:t>
      </w:r>
      <w:proofErr w:type="spellEnd"/>
      <w:r w:rsidRPr="00413132">
        <w:rPr>
          <w:rFonts w:eastAsia="Calibri"/>
          <w:bCs/>
          <w:iCs/>
          <w:lang w:val="en-US" w:eastAsia="en-US"/>
        </w:rPr>
        <w:t xml:space="preserve"> patients with non‑cardioembolic stroke: a multicenter, randomized, active‑control clinical trial. </w:t>
      </w:r>
      <w:r w:rsidRPr="00413132">
        <w:rPr>
          <w:rFonts w:eastAsia="Calibri"/>
          <w:bCs/>
          <w:iCs/>
          <w:lang w:val="es-CU" w:eastAsia="en-US"/>
        </w:rPr>
        <w:t xml:space="preserve">J. T. </w:t>
      </w:r>
      <w:proofErr w:type="spellStart"/>
      <w:r w:rsidRPr="00413132">
        <w:rPr>
          <w:rFonts w:eastAsia="Calibri"/>
          <w:bCs/>
          <w:iCs/>
          <w:lang w:val="es-CU" w:eastAsia="en-US"/>
        </w:rPr>
        <w:t>Thromb</w:t>
      </w:r>
      <w:proofErr w:type="spellEnd"/>
      <w:r w:rsidRPr="00413132">
        <w:rPr>
          <w:rFonts w:eastAsia="Calibri"/>
          <w:bCs/>
          <w:iCs/>
          <w:lang w:val="es-CU" w:eastAsia="en-US"/>
        </w:rPr>
        <w:t>. 2020 [acceso: 20/03/2020</w:t>
      </w:r>
      <w:proofErr w:type="gramStart"/>
      <w:r w:rsidRPr="00413132">
        <w:rPr>
          <w:rFonts w:eastAsia="Calibri"/>
          <w:bCs/>
          <w:iCs/>
          <w:lang w:val="es-CU" w:eastAsia="en-US"/>
        </w:rPr>
        <w:t>];49:10</w:t>
      </w:r>
      <w:proofErr w:type="gramEnd"/>
      <w:r w:rsidRPr="00413132">
        <w:rPr>
          <w:rFonts w:eastAsia="Calibri"/>
          <w:bCs/>
          <w:iCs/>
          <w:lang w:val="es-CU" w:eastAsia="en-US"/>
        </w:rPr>
        <w:t xml:space="preserve">–17. Disponible en: </w:t>
      </w:r>
      <w:hyperlink r:id="rId30" w:history="1">
        <w:r w:rsidRPr="00413132">
          <w:rPr>
            <w:rFonts w:eastAsia="Calibri"/>
            <w:color w:val="0563C1"/>
            <w:u w:val="single"/>
            <w:lang w:val="es-CU" w:eastAsia="en-US"/>
          </w:rPr>
          <w:t>https://link.springer.com/article/10.1007/s11239-019-01926-6</w:t>
        </w:r>
      </w:hyperlink>
      <w:r w:rsidRPr="00413132">
        <w:rPr>
          <w:rFonts w:eastAsia="Calibri"/>
          <w:color w:val="0070C0"/>
          <w:lang w:val="es-CU" w:eastAsia="en-US"/>
        </w:rPr>
        <w:t xml:space="preserve"> </w:t>
      </w:r>
    </w:p>
    <w:p w14:paraId="2223C126" w14:textId="77777777" w:rsidR="00413132" w:rsidRPr="00413132" w:rsidRDefault="00413132" w:rsidP="00413132">
      <w:pPr>
        <w:autoSpaceDE w:val="0"/>
        <w:autoSpaceDN w:val="0"/>
        <w:adjustRightInd w:val="0"/>
        <w:spacing w:line="360" w:lineRule="auto"/>
        <w:rPr>
          <w:rFonts w:eastAsia="Calibri"/>
          <w:bCs/>
          <w:iCs/>
          <w:lang w:val="en-US" w:eastAsia="en-US"/>
        </w:rPr>
      </w:pPr>
      <w:r w:rsidRPr="00413132">
        <w:rPr>
          <w:rFonts w:eastAsia="Calibri"/>
          <w:bCs/>
          <w:iCs/>
          <w:lang w:val="en-US" w:eastAsia="en-US"/>
        </w:rPr>
        <w:t>20.  Krishnamurthy A, Keeble C, Anderson M</w:t>
      </w:r>
      <w:r w:rsidRPr="00413132">
        <w:rPr>
          <w:rFonts w:eastAsia="Calibri"/>
          <w:bCs/>
          <w:i/>
          <w:iCs/>
          <w:lang w:val="en-US" w:eastAsia="en-US"/>
        </w:rPr>
        <w:t xml:space="preserve">, </w:t>
      </w:r>
      <w:r w:rsidRPr="00413132">
        <w:rPr>
          <w:rFonts w:eastAsia="Calibri"/>
          <w:bCs/>
          <w:iCs/>
          <w:lang w:val="en-US" w:eastAsia="en-US"/>
        </w:rPr>
        <w:t>Somers K, Burton-Wood N, Harland C, et al. Real-world comparison of clopidogrel, prasugrel and ticagrelor in patients</w:t>
      </w:r>
    </w:p>
    <w:p w14:paraId="50B59BC1" w14:textId="77777777" w:rsidR="00413132" w:rsidRPr="00413132" w:rsidRDefault="00413132" w:rsidP="00413132">
      <w:pPr>
        <w:autoSpaceDE w:val="0"/>
        <w:autoSpaceDN w:val="0"/>
        <w:adjustRightInd w:val="0"/>
        <w:spacing w:line="360" w:lineRule="auto"/>
        <w:rPr>
          <w:rFonts w:eastAsia="Calibri"/>
          <w:bCs/>
          <w:iCs/>
          <w:color w:val="0070C0"/>
          <w:lang w:val="es-CU" w:eastAsia="en-US"/>
        </w:rPr>
      </w:pPr>
      <w:r w:rsidRPr="00413132">
        <w:rPr>
          <w:rFonts w:eastAsia="Calibri"/>
          <w:bCs/>
          <w:iCs/>
          <w:lang w:val="en-US" w:eastAsia="en-US"/>
        </w:rPr>
        <w:t xml:space="preserve">undergoing primary percutaneous coronary intervention. </w:t>
      </w:r>
      <w:r w:rsidRPr="00413132">
        <w:rPr>
          <w:rFonts w:eastAsia="Calibri"/>
          <w:bCs/>
          <w:iCs/>
          <w:lang w:val="es-CU" w:eastAsia="en-US"/>
        </w:rPr>
        <w:t xml:space="preserve">Open Heart. 2019 [acceso: 20/03/2020]; </w:t>
      </w:r>
      <w:proofErr w:type="gramStart"/>
      <w:r w:rsidRPr="00413132">
        <w:rPr>
          <w:rFonts w:eastAsia="Calibri"/>
          <w:bCs/>
          <w:iCs/>
          <w:lang w:val="es-CU" w:eastAsia="en-US"/>
        </w:rPr>
        <w:t>6:e</w:t>
      </w:r>
      <w:proofErr w:type="gramEnd"/>
      <w:r w:rsidRPr="00413132">
        <w:rPr>
          <w:rFonts w:eastAsia="Calibri"/>
          <w:bCs/>
          <w:iCs/>
          <w:lang w:val="es-CU" w:eastAsia="en-US"/>
        </w:rPr>
        <w:t xml:space="preserve">000951. Disponible en: </w:t>
      </w:r>
      <w:hyperlink r:id="rId31" w:history="1">
        <w:r w:rsidRPr="00413132">
          <w:rPr>
            <w:rFonts w:eastAsia="Calibri"/>
            <w:bCs/>
            <w:iCs/>
            <w:color w:val="0563C1"/>
            <w:u w:val="single"/>
            <w:lang w:val="es-CU" w:eastAsia="en-US"/>
          </w:rPr>
          <w:t>https://openheart.bmj.com/content/6/1/e000951.full</w:t>
        </w:r>
      </w:hyperlink>
      <w:r w:rsidRPr="00413132">
        <w:rPr>
          <w:rFonts w:eastAsia="Calibri"/>
          <w:bCs/>
          <w:iCs/>
          <w:color w:val="0070C0"/>
          <w:lang w:val="es-CU" w:eastAsia="en-US"/>
        </w:rPr>
        <w:t xml:space="preserve"> </w:t>
      </w:r>
    </w:p>
    <w:p w14:paraId="622529DB" w14:textId="77777777" w:rsidR="00413132" w:rsidRPr="00413132" w:rsidRDefault="00413132" w:rsidP="00413132">
      <w:pPr>
        <w:autoSpaceDE w:val="0"/>
        <w:autoSpaceDN w:val="0"/>
        <w:adjustRightInd w:val="0"/>
        <w:spacing w:line="360" w:lineRule="auto"/>
        <w:rPr>
          <w:rFonts w:eastAsia="Calibri"/>
          <w:bCs/>
          <w:iCs/>
          <w:color w:val="0070C0"/>
          <w:lang w:val="es-CU" w:eastAsia="en-US"/>
        </w:rPr>
      </w:pPr>
      <w:r w:rsidRPr="00413132">
        <w:rPr>
          <w:rFonts w:eastAsia="Calibri"/>
          <w:bCs/>
          <w:iCs/>
          <w:lang w:val="en-US" w:eastAsia="en-US"/>
        </w:rPr>
        <w:t xml:space="preserve">21. </w:t>
      </w:r>
      <w:proofErr w:type="spellStart"/>
      <w:r w:rsidRPr="00413132">
        <w:rPr>
          <w:rFonts w:eastAsia="Calibri"/>
          <w:bCs/>
          <w:iCs/>
          <w:lang w:val="en-US" w:eastAsia="en-US"/>
        </w:rPr>
        <w:t>Montalescot</w:t>
      </w:r>
      <w:proofErr w:type="spellEnd"/>
      <w:r w:rsidRPr="00413132">
        <w:rPr>
          <w:rFonts w:eastAsia="Calibri"/>
          <w:bCs/>
          <w:iCs/>
          <w:lang w:val="en-US" w:eastAsia="en-US"/>
        </w:rPr>
        <w:t xml:space="preserve"> G, </w:t>
      </w:r>
      <w:proofErr w:type="spellStart"/>
      <w:r w:rsidRPr="00413132">
        <w:rPr>
          <w:rFonts w:eastAsia="Calibri"/>
          <w:bCs/>
          <w:iCs/>
          <w:lang w:val="en-US" w:eastAsia="en-US"/>
        </w:rPr>
        <w:t>Sechtem</w:t>
      </w:r>
      <w:proofErr w:type="spellEnd"/>
      <w:r w:rsidRPr="00413132">
        <w:rPr>
          <w:rFonts w:eastAsia="Calibri"/>
          <w:bCs/>
          <w:iCs/>
          <w:lang w:val="en-US" w:eastAsia="en-US"/>
        </w:rPr>
        <w:t xml:space="preserve"> U, Achenbach S, Andreotti F, Arden C, </w:t>
      </w:r>
      <w:proofErr w:type="spellStart"/>
      <w:r w:rsidRPr="00413132">
        <w:rPr>
          <w:rFonts w:eastAsia="Calibri"/>
          <w:bCs/>
          <w:iCs/>
          <w:lang w:val="en-US" w:eastAsia="en-US"/>
        </w:rPr>
        <w:t>Budaj</w:t>
      </w:r>
      <w:proofErr w:type="spellEnd"/>
      <w:r w:rsidRPr="00413132">
        <w:rPr>
          <w:rFonts w:eastAsia="Calibri"/>
          <w:bCs/>
          <w:iCs/>
          <w:lang w:val="en-US" w:eastAsia="en-US"/>
        </w:rPr>
        <w:t xml:space="preserve"> A, et al. 2013 ESC guidelines on the management of stable coronary artery disease: </w:t>
      </w:r>
      <w:proofErr w:type="gramStart"/>
      <w:r w:rsidRPr="00413132">
        <w:rPr>
          <w:rFonts w:eastAsia="Calibri"/>
          <w:bCs/>
          <w:iCs/>
          <w:lang w:val="en-US" w:eastAsia="en-US"/>
        </w:rPr>
        <w:t>the</w:t>
      </w:r>
      <w:proofErr w:type="gramEnd"/>
      <w:r w:rsidRPr="00413132">
        <w:rPr>
          <w:rFonts w:eastAsia="Calibri"/>
          <w:bCs/>
          <w:iCs/>
          <w:lang w:val="en-US" w:eastAsia="en-US"/>
        </w:rPr>
        <w:t xml:space="preserve"> Task Force on the management of stable coronary artery disease of the European Society of Cardiology. </w:t>
      </w:r>
      <w:proofErr w:type="spellStart"/>
      <w:r w:rsidRPr="00413132">
        <w:rPr>
          <w:rFonts w:eastAsia="Calibri"/>
          <w:bCs/>
          <w:iCs/>
          <w:lang w:val="es-CU" w:eastAsia="en-US"/>
        </w:rPr>
        <w:t>Eur</w:t>
      </w:r>
      <w:proofErr w:type="spellEnd"/>
      <w:r w:rsidRPr="00413132">
        <w:rPr>
          <w:rFonts w:eastAsia="Calibri"/>
          <w:bCs/>
          <w:iCs/>
          <w:lang w:val="es-CU" w:eastAsia="en-US"/>
        </w:rPr>
        <w:t xml:space="preserve"> Heart J. 2013 [acceso: 20/03/2020]; 34:2949-3003.13. Disponible en: </w:t>
      </w:r>
      <w:hyperlink r:id="rId32" w:history="1">
        <w:r w:rsidRPr="00413132">
          <w:rPr>
            <w:rFonts w:eastAsia="Calibri"/>
            <w:bCs/>
            <w:iCs/>
            <w:color w:val="0563C1"/>
            <w:u w:val="single"/>
            <w:lang w:val="es-CU" w:eastAsia="en-US"/>
          </w:rPr>
          <w:t>https://academic.oup.com/eurheartj/article/34/38/2949/442952</w:t>
        </w:r>
      </w:hyperlink>
      <w:r w:rsidRPr="00413132">
        <w:rPr>
          <w:rFonts w:eastAsia="Calibri"/>
          <w:bCs/>
          <w:iCs/>
          <w:color w:val="0070C0"/>
          <w:lang w:val="es-CU" w:eastAsia="en-US"/>
        </w:rPr>
        <w:t xml:space="preserve"> </w:t>
      </w:r>
    </w:p>
    <w:p w14:paraId="46C3A23B" w14:textId="77777777" w:rsidR="00413132" w:rsidRPr="00413132" w:rsidRDefault="00413132" w:rsidP="00413132">
      <w:pPr>
        <w:autoSpaceDE w:val="0"/>
        <w:autoSpaceDN w:val="0"/>
        <w:adjustRightInd w:val="0"/>
        <w:spacing w:line="360" w:lineRule="auto"/>
        <w:rPr>
          <w:rFonts w:eastAsia="Calibri"/>
          <w:bCs/>
          <w:iCs/>
          <w:lang w:val="es-ES" w:eastAsia="en-US"/>
        </w:rPr>
      </w:pPr>
      <w:r w:rsidRPr="00413132">
        <w:rPr>
          <w:rFonts w:eastAsia="Calibri"/>
          <w:bCs/>
          <w:iCs/>
          <w:lang w:val="es-ES" w:eastAsia="en-US"/>
        </w:rPr>
        <w:t xml:space="preserve">22. Estradas Trujillo JA, Molina DA, </w:t>
      </w:r>
      <w:proofErr w:type="spellStart"/>
      <w:r w:rsidRPr="00413132">
        <w:rPr>
          <w:rFonts w:eastAsia="Calibri"/>
          <w:bCs/>
          <w:iCs/>
          <w:lang w:val="es-ES" w:eastAsia="en-US"/>
        </w:rPr>
        <w:t>Farca</w:t>
      </w:r>
      <w:proofErr w:type="spellEnd"/>
      <w:r w:rsidRPr="00413132">
        <w:rPr>
          <w:rFonts w:eastAsia="Calibri"/>
          <w:bCs/>
          <w:iCs/>
          <w:lang w:val="es-ES" w:eastAsia="en-US"/>
        </w:rPr>
        <w:t xml:space="preserve"> </w:t>
      </w:r>
      <w:proofErr w:type="spellStart"/>
      <w:r w:rsidRPr="00413132">
        <w:rPr>
          <w:rFonts w:eastAsia="Calibri"/>
          <w:bCs/>
          <w:iCs/>
          <w:lang w:val="es-ES" w:eastAsia="en-US"/>
        </w:rPr>
        <w:t>Belsaguy</w:t>
      </w:r>
      <w:proofErr w:type="spellEnd"/>
      <w:r w:rsidRPr="00413132">
        <w:rPr>
          <w:rFonts w:eastAsia="Calibri"/>
          <w:bCs/>
          <w:iCs/>
          <w:lang w:val="es-ES" w:eastAsia="en-US"/>
        </w:rPr>
        <w:t xml:space="preserve"> A, Salceda Otero J, Lozoya González D, Palomo </w:t>
      </w:r>
      <w:proofErr w:type="spellStart"/>
      <w:r w:rsidRPr="00413132">
        <w:rPr>
          <w:rFonts w:eastAsia="Calibri"/>
          <w:bCs/>
          <w:iCs/>
          <w:lang w:val="es-ES" w:eastAsia="en-US"/>
        </w:rPr>
        <w:t>Hoil</w:t>
      </w:r>
      <w:proofErr w:type="spellEnd"/>
      <w:r w:rsidRPr="00413132">
        <w:rPr>
          <w:rFonts w:eastAsia="Calibri"/>
          <w:bCs/>
          <w:iCs/>
          <w:lang w:val="es-ES" w:eastAsia="en-US"/>
        </w:rPr>
        <w:t xml:space="preserve"> RA. Uso de agentes anticoagulantes y antiagregantes plaquetarios durante procedimientos </w:t>
      </w:r>
      <w:r w:rsidRPr="00413132">
        <w:rPr>
          <w:rFonts w:eastAsia="Calibri"/>
          <w:bCs/>
          <w:iCs/>
          <w:lang w:val="es-ES" w:eastAsia="en-US"/>
        </w:rPr>
        <w:lastRenderedPageBreak/>
        <w:t xml:space="preserve">endoscópicos. </w:t>
      </w:r>
      <w:proofErr w:type="spellStart"/>
      <w:r w:rsidRPr="00413132">
        <w:rPr>
          <w:rFonts w:eastAsia="Calibri"/>
          <w:bCs/>
          <w:iCs/>
          <w:lang w:val="es-ES" w:eastAsia="en-US"/>
        </w:rPr>
        <w:t>An</w:t>
      </w:r>
      <w:proofErr w:type="spellEnd"/>
      <w:r w:rsidRPr="00413132">
        <w:rPr>
          <w:rFonts w:eastAsia="Calibri"/>
          <w:bCs/>
          <w:iCs/>
          <w:lang w:val="es-ES" w:eastAsia="en-US"/>
        </w:rPr>
        <w:t xml:space="preserve"> </w:t>
      </w:r>
      <w:proofErr w:type="spellStart"/>
      <w:r w:rsidRPr="00413132">
        <w:rPr>
          <w:rFonts w:eastAsia="Calibri"/>
          <w:bCs/>
          <w:iCs/>
          <w:lang w:val="es-ES" w:eastAsia="en-US"/>
        </w:rPr>
        <w:t>Med</w:t>
      </w:r>
      <w:proofErr w:type="spellEnd"/>
      <w:r w:rsidRPr="00413132">
        <w:rPr>
          <w:rFonts w:eastAsia="Calibri"/>
          <w:bCs/>
          <w:iCs/>
          <w:lang w:val="es-ES" w:eastAsia="en-US"/>
        </w:rPr>
        <w:t xml:space="preserve"> Mex. 2016[acceso: 20/03/2020]; 61(3):202-8. Disponible en: </w:t>
      </w:r>
      <w:hyperlink r:id="rId33" w:history="1">
        <w:r w:rsidRPr="00413132">
          <w:rPr>
            <w:rFonts w:eastAsia="Calibri"/>
            <w:bCs/>
            <w:iCs/>
            <w:color w:val="0563C1"/>
            <w:u w:val="single"/>
            <w:lang w:val="es-ES" w:eastAsia="en-US"/>
          </w:rPr>
          <w:t>https://www.medigraphic.com/pdfs/abc/bc-2016/bc163h.pdf</w:t>
        </w:r>
      </w:hyperlink>
      <w:r w:rsidRPr="00413132">
        <w:rPr>
          <w:rFonts w:eastAsia="Calibri"/>
          <w:bCs/>
          <w:iCs/>
          <w:lang w:val="es-ES" w:eastAsia="en-US"/>
        </w:rPr>
        <w:t xml:space="preserve"> </w:t>
      </w:r>
    </w:p>
    <w:p w14:paraId="5A338BF2" w14:textId="77777777" w:rsidR="00413132" w:rsidRPr="00413132" w:rsidRDefault="00413132" w:rsidP="00413132">
      <w:pPr>
        <w:autoSpaceDE w:val="0"/>
        <w:autoSpaceDN w:val="0"/>
        <w:adjustRightInd w:val="0"/>
        <w:spacing w:line="360" w:lineRule="auto"/>
        <w:rPr>
          <w:rFonts w:eastAsia="Calibri"/>
          <w:bCs/>
          <w:iCs/>
          <w:lang w:val="en-US" w:eastAsia="en-US"/>
        </w:rPr>
      </w:pPr>
      <w:r w:rsidRPr="00413132">
        <w:rPr>
          <w:rFonts w:eastAsia="Calibri"/>
          <w:bCs/>
          <w:iCs/>
          <w:lang w:val="en-US" w:eastAsia="en-US"/>
        </w:rPr>
        <w:t xml:space="preserve">23. </w:t>
      </w:r>
      <w:proofErr w:type="spellStart"/>
      <w:r w:rsidRPr="00413132">
        <w:rPr>
          <w:rFonts w:eastAsia="Calibri"/>
          <w:bCs/>
          <w:iCs/>
          <w:lang w:val="en-US" w:eastAsia="en-US"/>
        </w:rPr>
        <w:t>Valgimigli</w:t>
      </w:r>
      <w:proofErr w:type="spellEnd"/>
      <w:r w:rsidRPr="00413132">
        <w:rPr>
          <w:rFonts w:eastAsia="Calibri"/>
          <w:bCs/>
          <w:iCs/>
          <w:lang w:val="en-US" w:eastAsia="en-US"/>
        </w:rPr>
        <w:t xml:space="preserve"> M, Bueno H, Byrne RA, Collet JP, Costa F, </w:t>
      </w:r>
      <w:proofErr w:type="spellStart"/>
      <w:r w:rsidRPr="00413132">
        <w:rPr>
          <w:rFonts w:eastAsia="Calibri"/>
          <w:bCs/>
          <w:iCs/>
          <w:lang w:val="en-US" w:eastAsia="en-US"/>
        </w:rPr>
        <w:t>Jeppsson</w:t>
      </w:r>
      <w:proofErr w:type="spellEnd"/>
      <w:r w:rsidRPr="00413132">
        <w:rPr>
          <w:rFonts w:eastAsia="Calibri"/>
          <w:bCs/>
          <w:iCs/>
          <w:lang w:val="en-US" w:eastAsia="en-US"/>
        </w:rPr>
        <w:t xml:space="preserve"> A et al. 2017 ESC focused update on dual antiplatelet therapy in coronary artery disease developed in collaboration with EACTS. The Task Force for dual antiplatelet therapy in coronary artery disease of the European Society of Cardiology (ESC) and of the European Association for Cardio-Thoracic Surgery (EACTS). Eur Heart J. 2018 [</w:t>
      </w:r>
      <w:proofErr w:type="spellStart"/>
      <w:r w:rsidRPr="00413132">
        <w:rPr>
          <w:rFonts w:eastAsia="Calibri"/>
          <w:bCs/>
          <w:iCs/>
          <w:lang w:val="en-US" w:eastAsia="en-US"/>
        </w:rPr>
        <w:t>acceso</w:t>
      </w:r>
      <w:proofErr w:type="spellEnd"/>
      <w:r w:rsidRPr="00413132">
        <w:rPr>
          <w:rFonts w:eastAsia="Calibri"/>
          <w:bCs/>
          <w:iCs/>
          <w:lang w:val="en-US" w:eastAsia="en-US"/>
        </w:rPr>
        <w:t xml:space="preserve">: 20/03/2020]; 39:213–260.  </w:t>
      </w:r>
      <w:hyperlink r:id="rId34" w:history="1">
        <w:r w:rsidRPr="00413132">
          <w:rPr>
            <w:rFonts w:eastAsia="Calibri"/>
            <w:bCs/>
            <w:iCs/>
            <w:color w:val="0563C1"/>
            <w:u w:val="single"/>
            <w:lang w:val="en-US" w:eastAsia="en-US"/>
          </w:rPr>
          <w:t>https://www.researchgate.net/publication/319606682_2017_ESC_focused_update_on_dual_antiplatelet_therapy_in_coronary_artery_disease_developed_in_collaboration_with_EACTS</w:t>
        </w:r>
      </w:hyperlink>
      <w:r w:rsidRPr="00413132">
        <w:rPr>
          <w:rFonts w:eastAsia="Calibri"/>
          <w:bCs/>
          <w:iCs/>
          <w:lang w:val="en-US" w:eastAsia="en-US"/>
        </w:rPr>
        <w:t xml:space="preserve"> </w:t>
      </w:r>
    </w:p>
    <w:p w14:paraId="068CACF1" w14:textId="77777777" w:rsidR="00413132" w:rsidRPr="00413132" w:rsidRDefault="00413132" w:rsidP="00413132">
      <w:pPr>
        <w:autoSpaceDE w:val="0"/>
        <w:autoSpaceDN w:val="0"/>
        <w:adjustRightInd w:val="0"/>
        <w:spacing w:line="360" w:lineRule="auto"/>
        <w:rPr>
          <w:rFonts w:eastAsia="Calibri"/>
          <w:bCs/>
          <w:iCs/>
          <w:color w:val="5B9BD5"/>
          <w:lang w:val="es-ES" w:eastAsia="en-US"/>
        </w:rPr>
      </w:pPr>
      <w:r w:rsidRPr="00413132">
        <w:rPr>
          <w:rFonts w:eastAsia="Calibri"/>
          <w:bCs/>
          <w:iCs/>
          <w:lang w:val="es-ES" w:eastAsia="en-US"/>
        </w:rPr>
        <w:t>24.</w:t>
      </w:r>
      <w:r w:rsidRPr="00413132">
        <w:rPr>
          <w:rFonts w:eastAsia="Calibri"/>
          <w:lang w:val="es-ES" w:eastAsia="en-US"/>
        </w:rPr>
        <w:t xml:space="preserve"> Vivas D, Roldán I, Ferrandis R, Marín F, Roldán V, Tello-</w:t>
      </w:r>
      <w:proofErr w:type="spellStart"/>
      <w:r w:rsidRPr="00413132">
        <w:rPr>
          <w:rFonts w:eastAsia="Calibri"/>
          <w:lang w:val="es-ES" w:eastAsia="en-US"/>
        </w:rPr>
        <w:t>Montoliue</w:t>
      </w:r>
      <w:proofErr w:type="spellEnd"/>
      <w:r w:rsidRPr="00413132">
        <w:rPr>
          <w:rFonts w:eastAsia="Calibri"/>
          <w:lang w:val="es-ES" w:eastAsia="en-US"/>
        </w:rPr>
        <w:t xml:space="preserve"> A, et al. </w:t>
      </w:r>
      <w:r w:rsidRPr="00413132">
        <w:rPr>
          <w:rFonts w:eastAsia="Calibri"/>
          <w:bCs/>
          <w:iCs/>
          <w:lang w:val="es-ES" w:eastAsia="en-US"/>
        </w:rPr>
        <w:t xml:space="preserve">Manejo perioperatorio y </w:t>
      </w:r>
      <w:proofErr w:type="spellStart"/>
      <w:r w:rsidRPr="00413132">
        <w:rPr>
          <w:rFonts w:eastAsia="Calibri"/>
          <w:bCs/>
          <w:iCs/>
          <w:lang w:val="es-ES" w:eastAsia="en-US"/>
        </w:rPr>
        <w:t>periprocedimiento</w:t>
      </w:r>
      <w:proofErr w:type="spellEnd"/>
      <w:r w:rsidRPr="00413132">
        <w:rPr>
          <w:rFonts w:eastAsia="Calibri"/>
          <w:bCs/>
          <w:iCs/>
          <w:lang w:val="es-ES" w:eastAsia="en-US"/>
        </w:rPr>
        <w:t xml:space="preserve"> del tratamiento antitrombótico: documento de consenso. </w:t>
      </w:r>
      <w:proofErr w:type="spellStart"/>
      <w:r w:rsidRPr="00413132">
        <w:rPr>
          <w:rFonts w:eastAsia="Calibri"/>
          <w:bCs/>
          <w:iCs/>
          <w:lang w:val="es-ES" w:eastAsia="en-US"/>
        </w:rPr>
        <w:t>Rev</w:t>
      </w:r>
      <w:proofErr w:type="spellEnd"/>
      <w:r w:rsidRPr="00413132">
        <w:rPr>
          <w:rFonts w:eastAsia="Calibri"/>
          <w:bCs/>
          <w:iCs/>
          <w:lang w:val="es-ES" w:eastAsia="en-US"/>
        </w:rPr>
        <w:t xml:space="preserve"> </w:t>
      </w:r>
      <w:proofErr w:type="spellStart"/>
      <w:r w:rsidRPr="00413132">
        <w:rPr>
          <w:rFonts w:eastAsia="Calibri"/>
          <w:bCs/>
          <w:iCs/>
          <w:lang w:val="es-ES" w:eastAsia="en-US"/>
        </w:rPr>
        <w:t>Esp</w:t>
      </w:r>
      <w:proofErr w:type="spellEnd"/>
      <w:r w:rsidRPr="00413132">
        <w:rPr>
          <w:rFonts w:eastAsia="Calibri"/>
          <w:bCs/>
          <w:iCs/>
          <w:lang w:val="es-ES" w:eastAsia="en-US"/>
        </w:rPr>
        <w:t xml:space="preserve"> </w:t>
      </w:r>
      <w:proofErr w:type="spellStart"/>
      <w:r w:rsidRPr="00413132">
        <w:rPr>
          <w:rFonts w:eastAsia="Calibri"/>
          <w:bCs/>
          <w:iCs/>
          <w:lang w:val="es-ES" w:eastAsia="en-US"/>
        </w:rPr>
        <w:t>Cardiol</w:t>
      </w:r>
      <w:proofErr w:type="spellEnd"/>
      <w:r w:rsidRPr="00413132">
        <w:rPr>
          <w:rFonts w:eastAsia="Calibri"/>
          <w:bCs/>
          <w:iCs/>
          <w:lang w:val="es-ES" w:eastAsia="en-US"/>
        </w:rPr>
        <w:t xml:space="preserve">. 2018 [acceso: 21/03/2020];71(7):553–564.Disponible en: </w:t>
      </w:r>
      <w:hyperlink r:id="rId35" w:history="1">
        <w:r w:rsidRPr="00413132">
          <w:rPr>
            <w:rFonts w:eastAsia="Calibri"/>
            <w:bCs/>
            <w:iCs/>
            <w:color w:val="0563C1"/>
            <w:u w:val="single"/>
            <w:lang w:val="es-ES" w:eastAsia="en-US"/>
          </w:rPr>
          <w:t>https://www.revespcardiol.org/es-manejo-perioperatorio-periprocedimiento-del-tratamiento-articulo-S0300893218300034</w:t>
        </w:r>
      </w:hyperlink>
      <w:r w:rsidRPr="00413132">
        <w:rPr>
          <w:rFonts w:eastAsia="Calibri"/>
          <w:bCs/>
          <w:iCs/>
          <w:color w:val="5B9BD5"/>
          <w:lang w:val="es-ES" w:eastAsia="en-US"/>
        </w:rPr>
        <w:t xml:space="preserve"> </w:t>
      </w:r>
    </w:p>
    <w:p w14:paraId="5DD34DD9" w14:textId="77777777" w:rsidR="00413132" w:rsidRPr="00413132" w:rsidRDefault="00413132" w:rsidP="00413132">
      <w:pPr>
        <w:autoSpaceDE w:val="0"/>
        <w:autoSpaceDN w:val="0"/>
        <w:adjustRightInd w:val="0"/>
        <w:spacing w:line="360" w:lineRule="auto"/>
        <w:rPr>
          <w:rFonts w:eastAsia="Calibri"/>
          <w:bCs/>
          <w:iCs/>
          <w:color w:val="5B9BD5"/>
          <w:lang w:val="es-CU" w:eastAsia="en-US"/>
        </w:rPr>
      </w:pPr>
      <w:r w:rsidRPr="00413132">
        <w:rPr>
          <w:rFonts w:eastAsia="Calibri"/>
          <w:bCs/>
          <w:iCs/>
          <w:lang w:val="en-US" w:eastAsia="en-US"/>
        </w:rPr>
        <w:t xml:space="preserve">25. Korte W, </w:t>
      </w:r>
      <w:proofErr w:type="spellStart"/>
      <w:r w:rsidRPr="00413132">
        <w:rPr>
          <w:rFonts w:eastAsia="Calibri"/>
          <w:bCs/>
          <w:iCs/>
          <w:lang w:val="en-US" w:eastAsia="en-US"/>
        </w:rPr>
        <w:t>Cattaneo</w:t>
      </w:r>
      <w:proofErr w:type="spellEnd"/>
      <w:r w:rsidRPr="00413132">
        <w:rPr>
          <w:rFonts w:eastAsia="Calibri"/>
          <w:bCs/>
          <w:iCs/>
          <w:lang w:val="en-US" w:eastAsia="en-US"/>
        </w:rPr>
        <w:t xml:space="preserve"> M, </w:t>
      </w:r>
      <w:proofErr w:type="spellStart"/>
      <w:r w:rsidRPr="00413132">
        <w:rPr>
          <w:rFonts w:eastAsia="Calibri"/>
          <w:bCs/>
          <w:iCs/>
          <w:lang w:val="en-US" w:eastAsia="en-US"/>
        </w:rPr>
        <w:t>Chassot</w:t>
      </w:r>
      <w:proofErr w:type="spellEnd"/>
      <w:r w:rsidRPr="00413132">
        <w:rPr>
          <w:rFonts w:eastAsia="Calibri"/>
          <w:bCs/>
          <w:iCs/>
          <w:lang w:val="en-US" w:eastAsia="en-US"/>
        </w:rPr>
        <w:t xml:space="preserve"> PG, </w:t>
      </w:r>
      <w:proofErr w:type="spellStart"/>
      <w:r w:rsidRPr="00413132">
        <w:rPr>
          <w:rFonts w:eastAsia="Calibri"/>
          <w:bCs/>
          <w:iCs/>
          <w:lang w:val="en-US" w:eastAsia="en-US"/>
        </w:rPr>
        <w:t>Eichinger</w:t>
      </w:r>
      <w:proofErr w:type="spellEnd"/>
      <w:r w:rsidRPr="00413132">
        <w:rPr>
          <w:rFonts w:eastAsia="Calibri"/>
          <w:bCs/>
          <w:iCs/>
          <w:lang w:val="en-US" w:eastAsia="en-US"/>
        </w:rPr>
        <w:t xml:space="preserve"> S, von </w:t>
      </w:r>
      <w:proofErr w:type="spellStart"/>
      <w:r w:rsidRPr="00413132">
        <w:rPr>
          <w:rFonts w:eastAsia="Calibri"/>
          <w:bCs/>
          <w:iCs/>
          <w:lang w:val="en-US" w:eastAsia="en-US"/>
        </w:rPr>
        <w:t>HeymannC</w:t>
      </w:r>
      <w:proofErr w:type="spellEnd"/>
      <w:r w:rsidRPr="00413132">
        <w:rPr>
          <w:rFonts w:eastAsia="Calibri"/>
          <w:bCs/>
          <w:iCs/>
          <w:lang w:val="en-US" w:eastAsia="en-US"/>
        </w:rPr>
        <w:t xml:space="preserve">, Hofmann N, et al. Peri-operative management of </w:t>
      </w:r>
      <w:proofErr w:type="spellStart"/>
      <w:r w:rsidRPr="00413132">
        <w:rPr>
          <w:rFonts w:eastAsia="Calibri"/>
          <w:bCs/>
          <w:iCs/>
          <w:lang w:val="en-US" w:eastAsia="en-US"/>
        </w:rPr>
        <w:t>antiplatelettherapy</w:t>
      </w:r>
      <w:proofErr w:type="spellEnd"/>
      <w:r w:rsidRPr="00413132">
        <w:rPr>
          <w:rFonts w:eastAsia="Calibri"/>
          <w:bCs/>
          <w:iCs/>
          <w:lang w:val="en-US" w:eastAsia="en-US"/>
        </w:rPr>
        <w:t xml:space="preserve"> in patients with coronary artery disease: joint position paper by members of the working group on Perioperative </w:t>
      </w:r>
      <w:proofErr w:type="spellStart"/>
      <w:r w:rsidRPr="00413132">
        <w:rPr>
          <w:rFonts w:eastAsia="Calibri"/>
          <w:bCs/>
          <w:iCs/>
          <w:lang w:val="en-US" w:eastAsia="en-US"/>
        </w:rPr>
        <w:t>Haemostasis</w:t>
      </w:r>
      <w:proofErr w:type="spellEnd"/>
      <w:r w:rsidRPr="00413132">
        <w:rPr>
          <w:rFonts w:eastAsia="Calibri"/>
          <w:bCs/>
          <w:iCs/>
          <w:lang w:val="en-US" w:eastAsia="en-US"/>
        </w:rPr>
        <w:t xml:space="preserve"> of the Society on Thrombosis and </w:t>
      </w:r>
      <w:proofErr w:type="spellStart"/>
      <w:r w:rsidRPr="00413132">
        <w:rPr>
          <w:rFonts w:eastAsia="Calibri"/>
          <w:bCs/>
          <w:iCs/>
          <w:lang w:val="en-US" w:eastAsia="en-US"/>
        </w:rPr>
        <w:t>Haemostasis</w:t>
      </w:r>
      <w:proofErr w:type="spellEnd"/>
      <w:r w:rsidRPr="00413132">
        <w:rPr>
          <w:rFonts w:eastAsia="Calibri"/>
          <w:bCs/>
          <w:iCs/>
          <w:lang w:val="en-US" w:eastAsia="en-US"/>
        </w:rPr>
        <w:t xml:space="preserve"> Research (GTH), the working group on Perioperative Coagulation of the Austrian Society for Anesthesiology, Resuscitation and Intensive Care (ÖGARI) and the Working Group Thrombosis of the European Society for Cardiology (ESC). </w:t>
      </w:r>
      <w:proofErr w:type="spellStart"/>
      <w:r w:rsidRPr="00413132">
        <w:rPr>
          <w:rFonts w:eastAsia="Calibri"/>
          <w:bCs/>
          <w:iCs/>
          <w:lang w:val="en-US" w:eastAsia="en-US"/>
        </w:rPr>
        <w:t>Thromb</w:t>
      </w:r>
      <w:proofErr w:type="spellEnd"/>
      <w:r w:rsidRPr="00413132">
        <w:rPr>
          <w:rFonts w:eastAsia="Calibri"/>
          <w:bCs/>
          <w:iCs/>
          <w:lang w:val="en-US" w:eastAsia="en-US"/>
        </w:rPr>
        <w:t xml:space="preserve"> </w:t>
      </w:r>
      <w:proofErr w:type="spellStart"/>
      <w:r w:rsidRPr="00413132">
        <w:rPr>
          <w:rFonts w:eastAsia="Calibri"/>
          <w:bCs/>
          <w:iCs/>
          <w:lang w:val="en-US" w:eastAsia="en-US"/>
        </w:rPr>
        <w:t>Haemost</w:t>
      </w:r>
      <w:proofErr w:type="spellEnd"/>
      <w:r w:rsidRPr="00413132">
        <w:rPr>
          <w:rFonts w:eastAsia="Calibri"/>
          <w:bCs/>
          <w:iCs/>
          <w:lang w:val="en-US" w:eastAsia="en-US"/>
        </w:rPr>
        <w:t xml:space="preserve">. </w:t>
      </w:r>
      <w:r w:rsidRPr="00413132">
        <w:rPr>
          <w:rFonts w:eastAsia="Calibri"/>
          <w:bCs/>
          <w:iCs/>
          <w:lang w:val="es-CU" w:eastAsia="en-US"/>
        </w:rPr>
        <w:t xml:space="preserve">2011[acceso: 20/03/2020]; 105(5):743-749. Disponible en: </w:t>
      </w:r>
      <w:hyperlink r:id="rId36" w:history="1">
        <w:r w:rsidRPr="00413132">
          <w:rPr>
            <w:rFonts w:eastAsia="Calibri"/>
            <w:bCs/>
            <w:iCs/>
            <w:color w:val="0563C1"/>
            <w:u w:val="single"/>
            <w:lang w:val="es-CU" w:eastAsia="en-US"/>
          </w:rPr>
          <w:t>https://www.researchgate.net/publication/50851686_Peri-operative_management_of_antiplatelet_therapy_in_patients_with_coronary_artery_disease_Joint_position_paper_by_members_of_the_working_group_on_Perioperative_Haemostasis_of_the_Society_on_Thrombosi</w:t>
        </w:r>
      </w:hyperlink>
      <w:r w:rsidRPr="00413132">
        <w:rPr>
          <w:rFonts w:eastAsia="Calibri"/>
          <w:bCs/>
          <w:iCs/>
          <w:color w:val="5B9BD5"/>
          <w:lang w:val="es-CU" w:eastAsia="en-US"/>
        </w:rPr>
        <w:t xml:space="preserve"> </w:t>
      </w:r>
    </w:p>
    <w:p w14:paraId="0E5E75CC" w14:textId="77777777" w:rsidR="00413132" w:rsidRPr="00413132" w:rsidRDefault="00413132" w:rsidP="00413132">
      <w:pPr>
        <w:autoSpaceDE w:val="0"/>
        <w:autoSpaceDN w:val="0"/>
        <w:adjustRightInd w:val="0"/>
        <w:spacing w:line="360" w:lineRule="auto"/>
        <w:rPr>
          <w:rFonts w:eastAsia="Calibri"/>
          <w:bCs/>
          <w:iCs/>
          <w:color w:val="5B9BD5"/>
          <w:lang w:val="es-ES" w:eastAsia="en-US"/>
        </w:rPr>
      </w:pPr>
      <w:r w:rsidRPr="00413132">
        <w:rPr>
          <w:rFonts w:eastAsia="Calibri"/>
          <w:bCs/>
          <w:iCs/>
          <w:lang w:val="es-ES" w:eastAsia="en-US"/>
        </w:rPr>
        <w:t xml:space="preserve">26. </w:t>
      </w:r>
      <w:proofErr w:type="spellStart"/>
      <w:r w:rsidRPr="00413132">
        <w:rPr>
          <w:rFonts w:eastAsia="Calibri"/>
          <w:bCs/>
          <w:iCs/>
          <w:lang w:val="es-ES" w:eastAsia="en-US"/>
        </w:rPr>
        <w:t>Zeymer</w:t>
      </w:r>
      <w:proofErr w:type="spellEnd"/>
      <w:r w:rsidRPr="00413132">
        <w:rPr>
          <w:rFonts w:eastAsia="Calibri"/>
          <w:bCs/>
          <w:iCs/>
          <w:lang w:val="es-ES" w:eastAsia="en-US"/>
        </w:rPr>
        <w:t xml:space="preserve"> U, </w:t>
      </w:r>
      <w:proofErr w:type="spellStart"/>
      <w:r w:rsidRPr="00413132">
        <w:rPr>
          <w:rFonts w:eastAsia="Calibri"/>
          <w:bCs/>
          <w:iCs/>
          <w:lang w:val="es-ES" w:eastAsia="en-US"/>
        </w:rPr>
        <w:t>Hochadel</w:t>
      </w:r>
      <w:proofErr w:type="spellEnd"/>
      <w:r w:rsidRPr="00413132">
        <w:rPr>
          <w:rFonts w:eastAsia="Calibri"/>
          <w:bCs/>
          <w:iCs/>
          <w:lang w:val="es-ES" w:eastAsia="en-US"/>
        </w:rPr>
        <w:t xml:space="preserve"> M, Lauer B, Kaul N, </w:t>
      </w:r>
      <w:proofErr w:type="spellStart"/>
      <w:r w:rsidRPr="00413132">
        <w:rPr>
          <w:rFonts w:eastAsia="Calibri"/>
          <w:bCs/>
          <w:iCs/>
          <w:lang w:val="es-ES" w:eastAsia="en-US"/>
        </w:rPr>
        <w:t>Wöhrle</w:t>
      </w:r>
      <w:proofErr w:type="spellEnd"/>
      <w:r w:rsidRPr="00413132">
        <w:rPr>
          <w:rFonts w:eastAsia="Calibri"/>
          <w:bCs/>
          <w:iCs/>
          <w:lang w:val="es-ES" w:eastAsia="en-US"/>
        </w:rPr>
        <w:t xml:space="preserve"> J, </w:t>
      </w:r>
      <w:proofErr w:type="spellStart"/>
      <w:r w:rsidRPr="00413132">
        <w:rPr>
          <w:rFonts w:eastAsia="Calibri"/>
          <w:bCs/>
          <w:iCs/>
          <w:lang w:val="es-ES" w:eastAsia="en-US"/>
        </w:rPr>
        <w:t>Andresen</w:t>
      </w:r>
      <w:proofErr w:type="spellEnd"/>
      <w:r w:rsidRPr="00413132">
        <w:rPr>
          <w:rFonts w:eastAsia="Calibri"/>
          <w:bCs/>
          <w:iCs/>
          <w:lang w:val="es-ES" w:eastAsia="en-US"/>
        </w:rPr>
        <w:t xml:space="preserve"> D, et al. </w:t>
      </w:r>
      <w:r w:rsidRPr="00413132">
        <w:rPr>
          <w:rFonts w:eastAsia="Calibri"/>
          <w:bCs/>
          <w:iCs/>
          <w:lang w:val="en-US" w:eastAsia="en-US"/>
        </w:rPr>
        <w:t xml:space="preserve">Use, efficacy and safety of prasugrel in patients with ST segment elevation myocardial infarction scheduled for primary percutaneous coronary intervention in clinical practice. Results of the prospective ATACS-registry. Int J </w:t>
      </w:r>
      <w:proofErr w:type="spellStart"/>
      <w:r w:rsidRPr="00413132">
        <w:rPr>
          <w:rFonts w:eastAsia="Calibri"/>
          <w:bCs/>
          <w:iCs/>
          <w:lang w:val="en-US" w:eastAsia="en-US"/>
        </w:rPr>
        <w:t>Cardiol</w:t>
      </w:r>
      <w:proofErr w:type="spellEnd"/>
      <w:r w:rsidRPr="00413132">
        <w:rPr>
          <w:rFonts w:eastAsia="Calibri"/>
          <w:bCs/>
          <w:iCs/>
          <w:lang w:val="en-US" w:eastAsia="en-US"/>
        </w:rPr>
        <w:t xml:space="preserve">. </w:t>
      </w:r>
      <w:r w:rsidRPr="00413132">
        <w:rPr>
          <w:rFonts w:eastAsia="Calibri"/>
          <w:bCs/>
          <w:iCs/>
          <w:lang w:val="es-ES" w:eastAsia="en-US"/>
        </w:rPr>
        <w:t xml:space="preserve">2015 [acceso: 19/02/2020]; </w:t>
      </w:r>
      <w:r w:rsidRPr="00413132">
        <w:rPr>
          <w:rFonts w:eastAsia="Calibri"/>
          <w:lang w:val="es-ES" w:eastAsia="en-US"/>
        </w:rPr>
        <w:t>84:122-7.</w:t>
      </w:r>
      <w:r w:rsidRPr="00413132">
        <w:rPr>
          <w:rFonts w:eastAsia="Calibri"/>
          <w:bCs/>
          <w:iCs/>
          <w:lang w:val="es-ES" w:eastAsia="en-US"/>
        </w:rPr>
        <w:t xml:space="preserve"> Disponible en: </w:t>
      </w:r>
      <w:hyperlink r:id="rId37" w:history="1">
        <w:r w:rsidRPr="00413132">
          <w:rPr>
            <w:rFonts w:eastAsia="Calibri"/>
            <w:color w:val="0563C1"/>
            <w:u w:val="single"/>
            <w:lang w:val="es-ES" w:eastAsia="en-US"/>
          </w:rPr>
          <w:t>https://www.internationaljournalofcardiology.com/article/S0167-5273%2815%2900074-1/fulltext</w:t>
        </w:r>
      </w:hyperlink>
      <w:r w:rsidRPr="00413132">
        <w:rPr>
          <w:rFonts w:eastAsia="Calibri"/>
          <w:color w:val="5B9BD5"/>
          <w:lang w:val="es-ES" w:eastAsia="en-US"/>
        </w:rPr>
        <w:t xml:space="preserve"> </w:t>
      </w:r>
    </w:p>
    <w:p w14:paraId="58D9BF2B" w14:textId="77777777" w:rsidR="00413132" w:rsidRPr="00413132" w:rsidRDefault="00413132" w:rsidP="00413132">
      <w:pPr>
        <w:autoSpaceDE w:val="0"/>
        <w:autoSpaceDN w:val="0"/>
        <w:adjustRightInd w:val="0"/>
        <w:spacing w:line="360" w:lineRule="auto"/>
        <w:rPr>
          <w:rFonts w:eastAsia="Calibri"/>
          <w:bCs/>
          <w:iCs/>
          <w:color w:val="5B9BD5"/>
          <w:lang w:val="es-CU" w:eastAsia="en-US"/>
        </w:rPr>
      </w:pPr>
      <w:r w:rsidRPr="00413132">
        <w:rPr>
          <w:rFonts w:eastAsia="Calibri"/>
          <w:bCs/>
          <w:iCs/>
          <w:lang w:val="en-US" w:eastAsia="en-US"/>
        </w:rPr>
        <w:lastRenderedPageBreak/>
        <w:t xml:space="preserve">27. </w:t>
      </w:r>
      <w:proofErr w:type="spellStart"/>
      <w:r w:rsidRPr="00413132">
        <w:rPr>
          <w:rFonts w:eastAsia="Calibri"/>
          <w:bCs/>
          <w:iCs/>
          <w:lang w:val="en-US" w:eastAsia="en-US"/>
        </w:rPr>
        <w:t>Angiolillo</w:t>
      </w:r>
      <w:proofErr w:type="spellEnd"/>
      <w:r w:rsidRPr="00413132">
        <w:rPr>
          <w:rFonts w:eastAsia="Calibri"/>
          <w:bCs/>
          <w:iCs/>
          <w:lang w:val="en-US" w:eastAsia="en-US"/>
        </w:rPr>
        <w:t xml:space="preserve"> DJ, </w:t>
      </w:r>
      <w:proofErr w:type="spellStart"/>
      <w:r w:rsidRPr="00413132">
        <w:rPr>
          <w:rFonts w:eastAsia="Calibri"/>
          <w:bCs/>
          <w:iCs/>
          <w:lang w:val="en-US" w:eastAsia="en-US"/>
        </w:rPr>
        <w:t>Firstenberg</w:t>
      </w:r>
      <w:proofErr w:type="spellEnd"/>
      <w:r w:rsidRPr="00413132">
        <w:rPr>
          <w:rFonts w:eastAsia="Calibri"/>
          <w:bCs/>
          <w:iCs/>
          <w:lang w:val="en-US" w:eastAsia="en-US"/>
        </w:rPr>
        <w:t xml:space="preserve"> MS, Price </w:t>
      </w:r>
      <w:proofErr w:type="gramStart"/>
      <w:r w:rsidRPr="00413132">
        <w:rPr>
          <w:rFonts w:eastAsia="Calibri"/>
          <w:bCs/>
          <w:iCs/>
          <w:lang w:val="en-US" w:eastAsia="en-US"/>
        </w:rPr>
        <w:t xml:space="preserve">MJ, </w:t>
      </w:r>
      <w:r w:rsidRPr="00413132">
        <w:rPr>
          <w:rFonts w:eastAsia="Calibri"/>
          <w:lang w:val="en-US" w:eastAsia="en-US"/>
        </w:rPr>
        <w:t xml:space="preserve"> E</w:t>
      </w:r>
      <w:proofErr w:type="gramEnd"/>
      <w:r w:rsidRPr="00413132">
        <w:rPr>
          <w:rFonts w:eastAsia="Calibri"/>
          <w:lang w:val="en-US" w:eastAsia="en-US"/>
        </w:rPr>
        <w:t xml:space="preserve"> </w:t>
      </w:r>
      <w:proofErr w:type="spellStart"/>
      <w:r w:rsidRPr="00413132">
        <w:rPr>
          <w:rFonts w:eastAsia="Calibri"/>
          <w:lang w:val="en-US" w:eastAsia="en-US"/>
        </w:rPr>
        <w:t>Tummala</w:t>
      </w:r>
      <w:proofErr w:type="spellEnd"/>
      <w:r w:rsidRPr="00413132">
        <w:rPr>
          <w:rFonts w:eastAsia="Calibri"/>
          <w:lang w:val="en-US" w:eastAsia="en-US"/>
        </w:rPr>
        <w:t xml:space="preserve"> P</w:t>
      </w:r>
      <w:r w:rsidRPr="00413132">
        <w:rPr>
          <w:rFonts w:eastAsia="Calibri"/>
          <w:bCs/>
          <w:iCs/>
          <w:lang w:val="en-US" w:eastAsia="en-US"/>
        </w:rPr>
        <w:t xml:space="preserve">, </w:t>
      </w:r>
      <w:proofErr w:type="spellStart"/>
      <w:r w:rsidRPr="00413132">
        <w:rPr>
          <w:rFonts w:eastAsia="Calibri"/>
          <w:bCs/>
          <w:iCs/>
          <w:lang w:val="en-US" w:eastAsia="en-US"/>
        </w:rPr>
        <w:t>Hutyra</w:t>
      </w:r>
      <w:proofErr w:type="spellEnd"/>
      <w:r w:rsidRPr="00413132">
        <w:rPr>
          <w:rFonts w:eastAsia="Calibri"/>
          <w:bCs/>
          <w:iCs/>
          <w:lang w:val="en-US" w:eastAsia="en-US"/>
        </w:rPr>
        <w:t xml:space="preserve"> M, </w:t>
      </w:r>
      <w:proofErr w:type="spellStart"/>
      <w:r w:rsidRPr="00413132">
        <w:rPr>
          <w:rFonts w:eastAsia="Calibri"/>
          <w:bCs/>
          <w:iCs/>
          <w:lang w:val="en-US" w:eastAsia="en-US"/>
        </w:rPr>
        <w:t>Welsby</w:t>
      </w:r>
      <w:proofErr w:type="spellEnd"/>
      <w:r w:rsidRPr="00413132">
        <w:rPr>
          <w:rFonts w:eastAsia="Calibri"/>
          <w:bCs/>
          <w:iCs/>
          <w:lang w:val="en-US" w:eastAsia="en-US"/>
        </w:rPr>
        <w:t xml:space="preserve">, I, et al. Bridging antiplatelet therapy with </w:t>
      </w:r>
      <w:proofErr w:type="spellStart"/>
      <w:r w:rsidRPr="00413132">
        <w:rPr>
          <w:rFonts w:eastAsia="Calibri"/>
          <w:bCs/>
          <w:iCs/>
          <w:lang w:val="en-US" w:eastAsia="en-US"/>
        </w:rPr>
        <w:t>cangrelor</w:t>
      </w:r>
      <w:proofErr w:type="spellEnd"/>
      <w:r w:rsidRPr="00413132">
        <w:rPr>
          <w:rFonts w:eastAsia="Calibri"/>
          <w:bCs/>
          <w:iCs/>
          <w:lang w:val="en-US" w:eastAsia="en-US"/>
        </w:rPr>
        <w:t xml:space="preserve"> in patients undergoing cardiac surgery: a randomized controlled trial. </w:t>
      </w:r>
      <w:r w:rsidRPr="00413132">
        <w:rPr>
          <w:rFonts w:eastAsia="Calibri"/>
          <w:bCs/>
          <w:iCs/>
          <w:lang w:val="es-CU" w:eastAsia="en-US"/>
        </w:rPr>
        <w:t xml:space="preserve">JAMA. 2012[acceso: 20/03/2020]; </w:t>
      </w:r>
      <w:r w:rsidRPr="00413132">
        <w:rPr>
          <w:rFonts w:ascii="Calibri" w:eastAsia="Calibri" w:hAnsi="Calibri"/>
          <w:sz w:val="22"/>
          <w:szCs w:val="22"/>
          <w:lang w:val="es-CU" w:eastAsia="en-US"/>
        </w:rPr>
        <w:t>56(5):207-208</w:t>
      </w:r>
      <w:r w:rsidRPr="00413132">
        <w:rPr>
          <w:rFonts w:eastAsia="Calibri"/>
          <w:bCs/>
          <w:iCs/>
          <w:lang w:val="es-CU" w:eastAsia="en-US"/>
        </w:rPr>
        <w:t xml:space="preserve">. Disponible en: </w:t>
      </w:r>
      <w:hyperlink r:id="rId38" w:history="1">
        <w:r w:rsidRPr="00413132">
          <w:rPr>
            <w:rFonts w:eastAsia="Calibri"/>
            <w:bCs/>
            <w:iCs/>
            <w:color w:val="0563C1"/>
            <w:u w:val="single"/>
            <w:lang w:val="es-CU" w:eastAsia="en-US"/>
          </w:rPr>
          <w:t>https://www.researchgate.net/publication/221755306_Bridging_Antiplatelet_Therapy_With_Cangrelor_in_Patients_Undergoing_Cardiac_Surgery_A_Randomized_Controlled_Trial</w:t>
        </w:r>
      </w:hyperlink>
      <w:r w:rsidRPr="00413132">
        <w:rPr>
          <w:rFonts w:eastAsia="Calibri"/>
          <w:bCs/>
          <w:iCs/>
          <w:color w:val="5B9BD5"/>
          <w:lang w:val="es-CU" w:eastAsia="en-US"/>
        </w:rPr>
        <w:t xml:space="preserve"> </w:t>
      </w:r>
    </w:p>
    <w:p w14:paraId="3487A6F8" w14:textId="77777777" w:rsidR="00413132" w:rsidRPr="00413132" w:rsidRDefault="00413132" w:rsidP="00413132">
      <w:pPr>
        <w:autoSpaceDE w:val="0"/>
        <w:autoSpaceDN w:val="0"/>
        <w:adjustRightInd w:val="0"/>
        <w:spacing w:line="360" w:lineRule="auto"/>
        <w:jc w:val="both"/>
        <w:rPr>
          <w:rFonts w:eastAsia="Calibri"/>
          <w:bCs/>
          <w:iCs/>
          <w:lang w:val="es-CU" w:eastAsia="en-US"/>
        </w:rPr>
      </w:pPr>
    </w:p>
    <w:p w14:paraId="531D4379" w14:textId="77777777" w:rsidR="00413132" w:rsidRPr="00413132" w:rsidRDefault="00413132" w:rsidP="00413132">
      <w:pPr>
        <w:autoSpaceDE w:val="0"/>
        <w:autoSpaceDN w:val="0"/>
        <w:adjustRightInd w:val="0"/>
        <w:spacing w:line="360" w:lineRule="auto"/>
        <w:jc w:val="both"/>
        <w:rPr>
          <w:rFonts w:eastAsia="Calibri"/>
          <w:b/>
          <w:bCs/>
          <w:color w:val="000000"/>
          <w:lang w:val="es-CU" w:eastAsia="en-US"/>
        </w:rPr>
      </w:pPr>
    </w:p>
    <w:p w14:paraId="24B24875" w14:textId="77777777" w:rsidR="00413132" w:rsidRPr="00413132" w:rsidRDefault="00413132" w:rsidP="00413132">
      <w:pPr>
        <w:autoSpaceDE w:val="0"/>
        <w:autoSpaceDN w:val="0"/>
        <w:adjustRightInd w:val="0"/>
        <w:spacing w:line="360" w:lineRule="auto"/>
        <w:jc w:val="center"/>
        <w:rPr>
          <w:rFonts w:eastAsia="Calibri"/>
          <w:b/>
          <w:bCs/>
          <w:color w:val="000000"/>
          <w:lang w:val="es-ES" w:eastAsia="en-US"/>
        </w:rPr>
      </w:pPr>
      <w:r w:rsidRPr="00413132">
        <w:rPr>
          <w:rFonts w:eastAsia="Calibri"/>
          <w:b/>
          <w:bCs/>
          <w:color w:val="000000"/>
          <w:lang w:val="es-ES" w:eastAsia="en-US"/>
        </w:rPr>
        <w:t>Conflictos de intereses</w:t>
      </w:r>
    </w:p>
    <w:p w14:paraId="66927FA0" w14:textId="77777777" w:rsidR="00413132" w:rsidRPr="00413132" w:rsidRDefault="00413132" w:rsidP="00413132">
      <w:pPr>
        <w:spacing w:line="360" w:lineRule="auto"/>
        <w:jc w:val="both"/>
        <w:rPr>
          <w:rFonts w:eastAsia="Calibri"/>
          <w:bCs/>
          <w:iCs/>
          <w:lang w:val="es-ES" w:eastAsia="en-US"/>
        </w:rPr>
      </w:pPr>
      <w:r w:rsidRPr="00413132">
        <w:rPr>
          <w:rFonts w:eastAsia="Calibri"/>
          <w:lang w:val="es-ES" w:eastAsia="en-US"/>
        </w:rPr>
        <w:t>No existen conflictos de intereses.</w:t>
      </w:r>
    </w:p>
    <w:p w14:paraId="102463FA" w14:textId="77777777" w:rsidR="00675476" w:rsidRPr="00413132" w:rsidRDefault="00675476" w:rsidP="00391509">
      <w:pPr>
        <w:rPr>
          <w:lang w:val="es-ES"/>
        </w:rPr>
      </w:pPr>
    </w:p>
    <w:sectPr w:rsidR="00675476" w:rsidRPr="00413132" w:rsidSect="00486BFA">
      <w:headerReference w:type="default" r:id="rId39"/>
      <w:footerReference w:type="even" r:id="rId40"/>
      <w:footerReference w:type="default" r:id="rId41"/>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4A657" w14:textId="77777777" w:rsidR="00CD502C" w:rsidRDefault="00CD502C">
      <w:r>
        <w:separator/>
      </w:r>
    </w:p>
  </w:endnote>
  <w:endnote w:type="continuationSeparator" w:id="0">
    <w:p w14:paraId="5E0806F7" w14:textId="77777777" w:rsidR="00CD502C" w:rsidRDefault="00CD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ZapfDingbatsITC">
    <w:altName w:val="Malgun Gothic Semilight"/>
    <w:panose1 w:val="00000000000000000000"/>
    <w:charset w:val="80"/>
    <w:family w:val="auto"/>
    <w:notTrueType/>
    <w:pitch w:val="default"/>
    <w:sig w:usb0="00000001" w:usb1="08070000" w:usb2="00000010" w:usb3="00000000" w:csb0="00020000" w:csb1="00000000"/>
  </w:font>
  <w:font w:name="LPFAK O+ MTSYB">
    <w:altName w:val="Arial Unicode MS"/>
    <w:panose1 w:val="00000000000000000000"/>
    <w:charset w:val="81"/>
    <w:family w:val="swiss"/>
    <w:notTrueType/>
    <w:pitch w:val="default"/>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276B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6052B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5AB12" w14:textId="36783DE0" w:rsidR="000F3690" w:rsidRPr="00AE044C" w:rsidRDefault="00413132"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AB65072" wp14:editId="34E45406">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E36F3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5240BA10" w14:textId="77777777" w:rsidR="00675476" w:rsidRPr="00AE044C" w:rsidRDefault="00CD502C" w:rsidP="00391509">
    <w:pPr>
      <w:pStyle w:val="Piedepgina"/>
      <w:ind w:right="360"/>
      <w:rPr>
        <w:sz w:val="22"/>
        <w:szCs w:val="22"/>
      </w:rPr>
    </w:pPr>
    <w:hyperlink r:id="rId1" w:history="1">
      <w:r w:rsidR="00391509" w:rsidRPr="00AE044C">
        <w:rPr>
          <w:rStyle w:val="Hipervnculo"/>
          <w:sz w:val="22"/>
          <w:szCs w:val="22"/>
        </w:rPr>
        <w:t>http://scielo.sld.cu</w:t>
      </w:r>
    </w:hyperlink>
  </w:p>
  <w:p w14:paraId="182EE0A4" w14:textId="77777777" w:rsidR="00391509" w:rsidRPr="00AE044C" w:rsidRDefault="00CD502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96CAB79" w14:textId="091B42B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413132" w:rsidRPr="00413132">
      <w:rPr>
        <w:rFonts w:ascii="Verdana" w:hAnsi="Verdana"/>
        <w:noProof/>
        <w:sz w:val="18"/>
        <w:szCs w:val="18"/>
        <w:lang w:val="en-US" w:eastAsia="en-US"/>
      </w:rPr>
      <w:drawing>
        <wp:inline distT="0" distB="0" distL="0" distR="0" wp14:anchorId="7F3901B9" wp14:editId="5BAFFA1E">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B6B13" w14:textId="77777777" w:rsidR="00CD502C" w:rsidRDefault="00CD502C">
      <w:r>
        <w:separator/>
      </w:r>
    </w:p>
  </w:footnote>
  <w:footnote w:type="continuationSeparator" w:id="0">
    <w:p w14:paraId="4F0BB667" w14:textId="77777777" w:rsidR="00CD502C" w:rsidRDefault="00CD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BF93" w14:textId="48E108CB" w:rsidR="00CC376A" w:rsidRPr="00AE044C" w:rsidRDefault="00413132"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12EFEAD7" wp14:editId="2E106E07">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2C29C2">
      <w:rPr>
        <w:sz w:val="22"/>
        <w:szCs w:val="22"/>
      </w:rPr>
      <w:t>2021</w:t>
    </w:r>
    <w:r w:rsidR="003E03D5">
      <w:rPr>
        <w:sz w:val="22"/>
        <w:szCs w:val="22"/>
      </w:rPr>
      <w:t>;</w:t>
    </w:r>
    <w:r w:rsidR="002C29C2">
      <w:rPr>
        <w:sz w:val="22"/>
        <w:szCs w:val="22"/>
      </w:rPr>
      <w:t>50</w:t>
    </w:r>
    <w:r w:rsidR="00493701" w:rsidRPr="00AE044C">
      <w:rPr>
        <w:sz w:val="22"/>
        <w:szCs w:val="22"/>
      </w:rPr>
      <w:t>(</w:t>
    </w:r>
    <w:r w:rsidR="002C29C2">
      <w:rPr>
        <w:sz w:val="22"/>
        <w:szCs w:val="22"/>
      </w:rPr>
      <w:t>2</w:t>
    </w:r>
    <w:proofErr w:type="gramStart"/>
    <w:r w:rsidR="00493701" w:rsidRPr="00AE044C">
      <w:rPr>
        <w:sz w:val="22"/>
        <w:szCs w:val="22"/>
      </w:rPr>
      <w:t>)</w:t>
    </w:r>
    <w:r w:rsidR="00391509" w:rsidRPr="00AE044C">
      <w:rPr>
        <w:sz w:val="22"/>
        <w:szCs w:val="22"/>
      </w:rPr>
      <w:t>:</w:t>
    </w:r>
    <w:r w:rsidR="002C29C2">
      <w:rPr>
        <w:sz w:val="22"/>
        <w:szCs w:val="22"/>
      </w:rPr>
      <w:t>e</w:t>
    </w:r>
    <w:proofErr w:type="gramEnd"/>
    <w:r w:rsidR="002C29C2">
      <w:rPr>
        <w:sz w:val="22"/>
        <w:szCs w:val="22"/>
      </w:rPr>
      <w:t>0210702</w:t>
    </w:r>
  </w:p>
  <w:p w14:paraId="00C240B9" w14:textId="6C4B2B4E" w:rsidR="00A477DE" w:rsidRDefault="00413132">
    <w:r>
      <w:rPr>
        <w:noProof/>
      </w:rPr>
      <mc:AlternateContent>
        <mc:Choice Requires="wps">
          <w:drawing>
            <wp:anchor distT="0" distB="0" distL="114300" distR="114300" simplePos="0" relativeHeight="251657216" behindDoc="0" locked="0" layoutInCell="1" allowOverlap="1" wp14:anchorId="1910F5E7" wp14:editId="577CDD85">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8808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C3718"/>
    <w:multiLevelType w:val="hybridMultilevel"/>
    <w:tmpl w:val="3B629E1C"/>
    <w:lvl w:ilvl="0" w:tplc="F8B604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B5252"/>
    <w:multiLevelType w:val="hybridMultilevel"/>
    <w:tmpl w:val="B24811AE"/>
    <w:lvl w:ilvl="0" w:tplc="2BB4E2C6">
      <w:numFmt w:val="bullet"/>
      <w:lvlText w:val="•"/>
      <w:lvlJc w:val="left"/>
      <w:pPr>
        <w:ind w:left="480" w:hanging="360"/>
      </w:pPr>
      <w:rPr>
        <w:rFonts w:ascii="Times New Roman" w:eastAsia="Calibri"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B193653"/>
    <w:multiLevelType w:val="hybridMultilevel"/>
    <w:tmpl w:val="892CC354"/>
    <w:lvl w:ilvl="0" w:tplc="2BB4E2C6">
      <w:numFmt w:val="bullet"/>
      <w:lvlText w:val="•"/>
      <w:lvlJc w:val="left"/>
      <w:pPr>
        <w:ind w:left="480" w:hanging="360"/>
      </w:pPr>
      <w:rPr>
        <w:rFonts w:ascii="Times New Roman" w:eastAsia="Calibri" w:hAnsi="Times New Roman" w:cs="Times New Roman" w:hint="default"/>
      </w:rPr>
    </w:lvl>
    <w:lvl w:ilvl="1" w:tplc="5C0A0003" w:tentative="1">
      <w:start w:val="1"/>
      <w:numFmt w:val="bullet"/>
      <w:lvlText w:val="o"/>
      <w:lvlJc w:val="left"/>
      <w:pPr>
        <w:ind w:left="1200" w:hanging="360"/>
      </w:pPr>
      <w:rPr>
        <w:rFonts w:ascii="Courier New" w:hAnsi="Courier New" w:cs="Courier New" w:hint="default"/>
      </w:rPr>
    </w:lvl>
    <w:lvl w:ilvl="2" w:tplc="5C0A0005" w:tentative="1">
      <w:start w:val="1"/>
      <w:numFmt w:val="bullet"/>
      <w:lvlText w:val=""/>
      <w:lvlJc w:val="left"/>
      <w:pPr>
        <w:ind w:left="1920" w:hanging="360"/>
      </w:pPr>
      <w:rPr>
        <w:rFonts w:ascii="Wingdings" w:hAnsi="Wingdings" w:hint="default"/>
      </w:rPr>
    </w:lvl>
    <w:lvl w:ilvl="3" w:tplc="5C0A0001" w:tentative="1">
      <w:start w:val="1"/>
      <w:numFmt w:val="bullet"/>
      <w:lvlText w:val=""/>
      <w:lvlJc w:val="left"/>
      <w:pPr>
        <w:ind w:left="2640" w:hanging="360"/>
      </w:pPr>
      <w:rPr>
        <w:rFonts w:ascii="Symbol" w:hAnsi="Symbol" w:hint="default"/>
      </w:rPr>
    </w:lvl>
    <w:lvl w:ilvl="4" w:tplc="5C0A0003" w:tentative="1">
      <w:start w:val="1"/>
      <w:numFmt w:val="bullet"/>
      <w:lvlText w:val="o"/>
      <w:lvlJc w:val="left"/>
      <w:pPr>
        <w:ind w:left="3360" w:hanging="360"/>
      </w:pPr>
      <w:rPr>
        <w:rFonts w:ascii="Courier New" w:hAnsi="Courier New" w:cs="Courier New" w:hint="default"/>
      </w:rPr>
    </w:lvl>
    <w:lvl w:ilvl="5" w:tplc="5C0A0005" w:tentative="1">
      <w:start w:val="1"/>
      <w:numFmt w:val="bullet"/>
      <w:lvlText w:val=""/>
      <w:lvlJc w:val="left"/>
      <w:pPr>
        <w:ind w:left="4080" w:hanging="360"/>
      </w:pPr>
      <w:rPr>
        <w:rFonts w:ascii="Wingdings" w:hAnsi="Wingdings" w:hint="default"/>
      </w:rPr>
    </w:lvl>
    <w:lvl w:ilvl="6" w:tplc="5C0A0001" w:tentative="1">
      <w:start w:val="1"/>
      <w:numFmt w:val="bullet"/>
      <w:lvlText w:val=""/>
      <w:lvlJc w:val="left"/>
      <w:pPr>
        <w:ind w:left="4800" w:hanging="360"/>
      </w:pPr>
      <w:rPr>
        <w:rFonts w:ascii="Symbol" w:hAnsi="Symbol" w:hint="default"/>
      </w:rPr>
    </w:lvl>
    <w:lvl w:ilvl="7" w:tplc="5C0A0003" w:tentative="1">
      <w:start w:val="1"/>
      <w:numFmt w:val="bullet"/>
      <w:lvlText w:val="o"/>
      <w:lvlJc w:val="left"/>
      <w:pPr>
        <w:ind w:left="5520" w:hanging="360"/>
      </w:pPr>
      <w:rPr>
        <w:rFonts w:ascii="Courier New" w:hAnsi="Courier New" w:cs="Courier New" w:hint="default"/>
      </w:rPr>
    </w:lvl>
    <w:lvl w:ilvl="8" w:tplc="5C0A0005" w:tentative="1">
      <w:start w:val="1"/>
      <w:numFmt w:val="bullet"/>
      <w:lvlText w:val=""/>
      <w:lvlJc w:val="left"/>
      <w:pPr>
        <w:ind w:left="6240" w:hanging="360"/>
      </w:pPr>
      <w:rPr>
        <w:rFonts w:ascii="Wingdings" w:hAnsi="Wingdings" w:hint="default"/>
      </w:rPr>
    </w:lvl>
  </w:abstractNum>
  <w:abstractNum w:abstractNumId="3" w15:restartNumberingAfterBreak="0">
    <w:nsid w:val="2597469D"/>
    <w:multiLevelType w:val="hybridMultilevel"/>
    <w:tmpl w:val="90548B0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BE479D2"/>
    <w:multiLevelType w:val="hybridMultilevel"/>
    <w:tmpl w:val="3A2AD0E4"/>
    <w:lvl w:ilvl="0" w:tplc="4112CE4E">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003439"/>
    <w:multiLevelType w:val="hybridMultilevel"/>
    <w:tmpl w:val="8416E45E"/>
    <w:lvl w:ilvl="0" w:tplc="6E4CE0E2">
      <w:start w:val="1"/>
      <w:numFmt w:val="bullet"/>
      <w:lvlText w:val=""/>
      <w:lvlJc w:val="left"/>
      <w:pPr>
        <w:ind w:left="720" w:hanging="360"/>
      </w:pPr>
      <w:rPr>
        <w:rFonts w:ascii="Symbol" w:hAnsi="Symbol" w:hint="default"/>
        <w:lang w:val="es-C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A5FF3"/>
    <w:multiLevelType w:val="hybridMultilevel"/>
    <w:tmpl w:val="889A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F0630"/>
    <w:multiLevelType w:val="hybridMultilevel"/>
    <w:tmpl w:val="F4E2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579D4"/>
    <w:multiLevelType w:val="hybridMultilevel"/>
    <w:tmpl w:val="0674C8C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5ABC1BCD"/>
    <w:multiLevelType w:val="hybridMultilevel"/>
    <w:tmpl w:val="DB6E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13E11"/>
    <w:multiLevelType w:val="hybridMultilevel"/>
    <w:tmpl w:val="A5FC20E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9"/>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32"/>
    <w:rsid w:val="000F3690"/>
    <w:rsid w:val="001221D1"/>
    <w:rsid w:val="00180CE9"/>
    <w:rsid w:val="00230DD5"/>
    <w:rsid w:val="00257AED"/>
    <w:rsid w:val="002C29C2"/>
    <w:rsid w:val="00380D64"/>
    <w:rsid w:val="00391509"/>
    <w:rsid w:val="003E03D5"/>
    <w:rsid w:val="00413132"/>
    <w:rsid w:val="00486BFA"/>
    <w:rsid w:val="00493701"/>
    <w:rsid w:val="004E2065"/>
    <w:rsid w:val="005508A2"/>
    <w:rsid w:val="00566F71"/>
    <w:rsid w:val="005918BD"/>
    <w:rsid w:val="006173A6"/>
    <w:rsid w:val="00675476"/>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D502C"/>
    <w:rsid w:val="00CF50E0"/>
    <w:rsid w:val="00D85951"/>
    <w:rsid w:val="00DA5477"/>
    <w:rsid w:val="00E62606"/>
    <w:rsid w:val="00EC5A6B"/>
    <w:rsid w:val="00FC13A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A9A60"/>
  <w15:docId w15:val="{F7F267FF-791A-4D8D-8D21-93EC33A2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413132"/>
    <w:pPr>
      <w:keepNext/>
      <w:spacing w:before="240" w:after="60" w:line="276" w:lineRule="auto"/>
      <w:outlineLvl w:val="0"/>
    </w:pPr>
    <w:rPr>
      <w:rFonts w:ascii="Cambria" w:hAnsi="Cambria"/>
      <w:b/>
      <w:bCs/>
      <w:kern w:val="32"/>
      <w:sz w:val="32"/>
      <w:szCs w:val="3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413132"/>
    <w:rPr>
      <w:rFonts w:ascii="Cambria" w:hAnsi="Cambria"/>
      <w:b/>
      <w:bCs/>
      <w:kern w:val="32"/>
      <w:sz w:val="32"/>
      <w:szCs w:val="32"/>
      <w:lang w:val="x-none" w:eastAsia="x-none"/>
    </w:rPr>
  </w:style>
  <w:style w:type="numbering" w:customStyle="1" w:styleId="Sinlista1">
    <w:name w:val="Sin lista1"/>
    <w:next w:val="Sinlista"/>
    <w:uiPriority w:val="99"/>
    <w:semiHidden/>
    <w:unhideWhenUsed/>
    <w:rsid w:val="00413132"/>
  </w:style>
  <w:style w:type="paragraph" w:customStyle="1" w:styleId="author">
    <w:name w:val="author"/>
    <w:basedOn w:val="Normal"/>
    <w:rsid w:val="00413132"/>
    <w:pPr>
      <w:spacing w:before="100" w:beforeAutospacing="1" w:after="100" w:afterAutospacing="1"/>
    </w:pPr>
    <w:rPr>
      <w:b/>
      <w:bCs/>
      <w:sz w:val="23"/>
      <w:szCs w:val="23"/>
      <w:lang w:val="en-US" w:eastAsia="en-US"/>
    </w:rPr>
  </w:style>
  <w:style w:type="table" w:styleId="Tablaconcuadrcula">
    <w:name w:val="Table Grid"/>
    <w:basedOn w:val="Tablanormal"/>
    <w:uiPriority w:val="39"/>
    <w:rsid w:val="004131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3132"/>
    <w:pPr>
      <w:spacing w:after="160" w:line="259" w:lineRule="auto"/>
      <w:ind w:left="720"/>
      <w:contextualSpacing/>
    </w:pPr>
    <w:rPr>
      <w:rFonts w:ascii="Calibri" w:eastAsia="Calibri" w:hAnsi="Calibri"/>
      <w:sz w:val="22"/>
      <w:szCs w:val="22"/>
      <w:lang w:val="en-US" w:eastAsia="en-US"/>
    </w:rPr>
  </w:style>
  <w:style w:type="paragraph" w:customStyle="1" w:styleId="Default">
    <w:name w:val="Default"/>
    <w:rsid w:val="00413132"/>
    <w:pPr>
      <w:autoSpaceDE w:val="0"/>
      <w:autoSpaceDN w:val="0"/>
      <w:adjustRightInd w:val="0"/>
    </w:pPr>
    <w:rPr>
      <w:rFonts w:eastAsia="Calibri"/>
      <w:color w:val="000000"/>
      <w:sz w:val="24"/>
      <w:szCs w:val="24"/>
      <w:lang w:val="en-US" w:eastAsia="en-US"/>
    </w:rPr>
  </w:style>
  <w:style w:type="character" w:styleId="Refdecomentario">
    <w:name w:val="annotation reference"/>
    <w:uiPriority w:val="99"/>
    <w:semiHidden/>
    <w:unhideWhenUsed/>
    <w:rsid w:val="00413132"/>
    <w:rPr>
      <w:sz w:val="16"/>
      <w:szCs w:val="16"/>
    </w:rPr>
  </w:style>
  <w:style w:type="paragraph" w:styleId="Textocomentario">
    <w:name w:val="annotation text"/>
    <w:basedOn w:val="Normal"/>
    <w:link w:val="TextocomentarioCar"/>
    <w:uiPriority w:val="99"/>
    <w:unhideWhenUsed/>
    <w:qFormat/>
    <w:rsid w:val="00413132"/>
    <w:pPr>
      <w:spacing w:after="160" w:line="259" w:lineRule="auto"/>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qFormat/>
    <w:rsid w:val="00413132"/>
    <w:rPr>
      <w:rFonts w:ascii="Calibri" w:eastAsia="Calibri" w:hAnsi="Calibri"/>
      <w:lang w:val="en-US" w:eastAsia="en-US"/>
    </w:rPr>
  </w:style>
  <w:style w:type="paragraph" w:styleId="Asuntodelcomentario">
    <w:name w:val="annotation subject"/>
    <w:basedOn w:val="Textocomentario"/>
    <w:next w:val="Textocomentario"/>
    <w:link w:val="AsuntodelcomentarioCar"/>
    <w:uiPriority w:val="99"/>
    <w:semiHidden/>
    <w:unhideWhenUsed/>
    <w:rsid w:val="00413132"/>
    <w:rPr>
      <w:b/>
      <w:bCs/>
    </w:rPr>
  </w:style>
  <w:style w:type="character" w:customStyle="1" w:styleId="AsuntodelcomentarioCar">
    <w:name w:val="Asunto del comentario Car"/>
    <w:basedOn w:val="TextocomentarioCar"/>
    <w:link w:val="Asuntodelcomentario"/>
    <w:uiPriority w:val="99"/>
    <w:semiHidden/>
    <w:rsid w:val="00413132"/>
    <w:rPr>
      <w:rFonts w:ascii="Calibri" w:eastAsia="Calibri" w:hAnsi="Calibri"/>
      <w:b/>
      <w:bCs/>
      <w:lang w:val="en-US" w:eastAsia="en-US"/>
    </w:rPr>
  </w:style>
  <w:style w:type="character" w:styleId="Textoennegrita">
    <w:name w:val="Strong"/>
    <w:uiPriority w:val="22"/>
    <w:qFormat/>
    <w:rsid w:val="00413132"/>
    <w:rPr>
      <w:b/>
      <w:bCs/>
    </w:rPr>
  </w:style>
  <w:style w:type="character" w:styleId="nfasis">
    <w:name w:val="Emphasis"/>
    <w:uiPriority w:val="20"/>
    <w:qFormat/>
    <w:rsid w:val="00413132"/>
    <w:rPr>
      <w:i/>
      <w:iCs/>
    </w:rPr>
  </w:style>
  <w:style w:type="character" w:styleId="Mencinsinresolver">
    <w:name w:val="Unresolved Mention"/>
    <w:uiPriority w:val="99"/>
    <w:semiHidden/>
    <w:unhideWhenUsed/>
    <w:rsid w:val="00413132"/>
    <w:rPr>
      <w:color w:val="605E5C"/>
      <w:shd w:val="clear" w:color="auto" w:fill="E1DFDD"/>
    </w:rPr>
  </w:style>
  <w:style w:type="table" w:styleId="Tablanormal2">
    <w:name w:val="Plain Table 2"/>
    <w:basedOn w:val="Tablanormal"/>
    <w:uiPriority w:val="42"/>
    <w:rsid w:val="00413132"/>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3">
    <w:name w:val="Plain Table 3"/>
    <w:basedOn w:val="Tablanormal"/>
    <w:uiPriority w:val="43"/>
    <w:rsid w:val="00413132"/>
    <w:rPr>
      <w:rFonts w:ascii="Calibri" w:eastAsia="Calibri"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413132"/>
    <w:rPr>
      <w:rFonts w:ascii="Calibri" w:eastAsia="Calibri" w:hAnsi="Calibri"/>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
    <w:basedOn w:val="Tablanormal"/>
    <w:next w:val="Tablaconcuadrculaclara"/>
    <w:uiPriority w:val="40"/>
    <w:rsid w:val="00413132"/>
    <w:rPr>
      <w:rFonts w:ascii="Calibri" w:eastAsia="Calibri" w:hAnsi="Calibri"/>
    </w:rPr>
  </w:style>
  <w:style w:type="table" w:styleId="Tabladecuadrcula3">
    <w:name w:val="Grid Table 3"/>
    <w:basedOn w:val="Tablanormal"/>
    <w:uiPriority w:val="48"/>
    <w:rsid w:val="00413132"/>
    <w:rPr>
      <w:rFonts w:ascii="Calibri" w:eastAsia="Calibr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Sombreadomedio2-nfasis3">
    <w:name w:val="Medium Shading 2 Accent 3"/>
    <w:basedOn w:val="Tablanormal"/>
    <w:uiPriority w:val="64"/>
    <w:rsid w:val="0041313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rsid w:val="0041313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Listavistosa">
    <w:name w:val="Colorful List"/>
    <w:basedOn w:val="Tablanormal"/>
    <w:uiPriority w:val="72"/>
    <w:rsid w:val="00413132"/>
    <w:rPr>
      <w:rFonts w:ascii="Calibri" w:eastAsia="Calibri" w:hAnsi="Calibri"/>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adelista6concolores">
    <w:name w:val="List Table 6 Colorful"/>
    <w:basedOn w:val="Tablanormal"/>
    <w:uiPriority w:val="51"/>
    <w:rsid w:val="00413132"/>
    <w:rPr>
      <w:rFonts w:ascii="Calibri" w:eastAsia="Calibri" w:hAnsi="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4">
    <w:name w:val="Grid Table 4"/>
    <w:basedOn w:val="Tablanormal"/>
    <w:uiPriority w:val="49"/>
    <w:rsid w:val="00413132"/>
    <w:rPr>
      <w:rFonts w:ascii="Calibri" w:eastAsia="Calibr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2">
    <w:name w:val="Grid Table 2"/>
    <w:basedOn w:val="Tablanormal"/>
    <w:uiPriority w:val="47"/>
    <w:rsid w:val="00413132"/>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normal1">
    <w:name w:val="Plain Table 1"/>
    <w:basedOn w:val="Tablanormal"/>
    <w:uiPriority w:val="41"/>
    <w:rsid w:val="00413132"/>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413132"/>
    <w:rPr>
      <w:rFonts w:ascii="Calibri" w:eastAsia="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it">
    <w:name w:val="cit"/>
    <w:rsid w:val="00413132"/>
  </w:style>
  <w:style w:type="table" w:styleId="Tablaconcuadrcula1clara">
    <w:name w:val="Grid Table 1 Light"/>
    <w:basedOn w:val="Tablanormal"/>
    <w:uiPriority w:val="46"/>
    <w:rsid w:val="004131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41313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41313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41313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4131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217-5646" TargetMode="External"/><Relationship Id="rId13" Type="http://schemas.openxmlformats.org/officeDocument/2006/relationships/hyperlink" Target="mailto:anilaydis@infomed.sld.cu" TargetMode="External"/><Relationship Id="rId18" Type="http://schemas.openxmlformats.org/officeDocument/2006/relationships/hyperlink" Target="https://link.springer.com/article/10.1007%2Fs10620-016-4437-2" TargetMode="External"/><Relationship Id="rId26" Type="http://schemas.openxmlformats.org/officeDocument/2006/relationships/hyperlink" Target="https://www.ncbi.nlm.nih.gov/pmc/articles/PMC639131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medigraphic.com/cgi-bin/new/resumen.cgi?IDARTICULO=78719" TargetMode="External"/><Relationship Id="rId34" Type="http://schemas.openxmlformats.org/officeDocument/2006/relationships/hyperlink" Target="https://www.researchgate.net/publication/319606682_2017_ESC_focused_update_on_dual_antiplatelet_therapy_in_coronary_artery_disease_developed_in_collaboration_with_EACTS" TargetMode="External"/><Relationship Id="rId42" Type="http://schemas.openxmlformats.org/officeDocument/2006/relationships/fontTable" Target="fontTable.xml"/><Relationship Id="rId7" Type="http://schemas.openxmlformats.org/officeDocument/2006/relationships/hyperlink" Target="https://orcid.org/0000-0002-6178-9178" TargetMode="External"/><Relationship Id="rId12" Type="http://schemas.openxmlformats.org/officeDocument/2006/relationships/hyperlink" Target="https://orcid.org/000-0002-4518-8460" TargetMode="External"/><Relationship Id="rId17" Type="http://schemas.openxmlformats.org/officeDocument/2006/relationships/hyperlink" Target="https://www.reed.es/ArticuloFicha.aspx?id=598&amp;hst=0&amp;idR=33&amp;tp=1" TargetMode="External"/><Relationship Id="rId25" Type="http://schemas.openxmlformats.org/officeDocument/2006/relationships/hyperlink" Target="https://www.ncbi.nlm.nih.gov/pmc/articles/PMC6763557/" TargetMode="External"/><Relationship Id="rId33" Type="http://schemas.openxmlformats.org/officeDocument/2006/relationships/hyperlink" Target="https://www.medigraphic.com/pdfs/abc/bc-2016/bc163h.pdf" TargetMode="External"/><Relationship Id="rId38" Type="http://schemas.openxmlformats.org/officeDocument/2006/relationships/hyperlink" Target="https://www.researchgate.net/publication/221755306_Bridging_Antiplatelet_Therapy_With_Cangrelor_in_Patients_Undergoing_Cardiac_Surgery_A_Randomized_Controlled_Trial" TargetMode="External"/><Relationship Id="rId2" Type="http://schemas.openxmlformats.org/officeDocument/2006/relationships/styles" Target="styles.xml"/><Relationship Id="rId16" Type="http://schemas.openxmlformats.org/officeDocument/2006/relationships/hyperlink" Target="https://revistachilenadeanestesia.cl/PII/revchilanestv47n04.04.pdf" TargetMode="External"/><Relationship Id="rId20" Type="http://schemas.openxmlformats.org/officeDocument/2006/relationships/hyperlink" Target="https://www.sciencedirect.com/science/article/pii/S1870199X13720457" TargetMode="External"/><Relationship Id="rId29" Type="http://schemas.openxmlformats.org/officeDocument/2006/relationships/hyperlink" Target="https://link.springer.com/article/10.1186/s12916-019-1428-0"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847-2301" TargetMode="External"/><Relationship Id="rId24" Type="http://schemas.openxmlformats.org/officeDocument/2006/relationships/hyperlink" Target="https://onlinelibrary.wiley.com/doi/epdf/10.1111/jth.13302" TargetMode="External"/><Relationship Id="rId32" Type="http://schemas.openxmlformats.org/officeDocument/2006/relationships/hyperlink" Target="https://academic.oup.com/eurheartj/article/34/38/2949/442952" TargetMode="External"/><Relationship Id="rId37" Type="http://schemas.openxmlformats.org/officeDocument/2006/relationships/hyperlink" Target="https://www.internationaljournalofcardiology.com/article/S0167-5273%2815%2900074-1/fulltext"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medicinaylaboratorio.com/index.php/myl/article/view/57/43" TargetMode="External"/><Relationship Id="rId28" Type="http://schemas.openxmlformats.org/officeDocument/2006/relationships/hyperlink" Target="https://doi.org/10.1016/j.jacc.2016.03.512" TargetMode="External"/><Relationship Id="rId36" Type="http://schemas.openxmlformats.org/officeDocument/2006/relationships/hyperlink" Target="https://www.researchgate.net/publication/50851686_Peri-operative_management_of_antiplatelet_therapy_in_patients_with_coronary_artery_disease_Joint_position_paper_by_members_of_the_working_group_on_Perioperative_Haemostasis_of_the_Society_on_Thrombosi" TargetMode="External"/><Relationship Id="rId10" Type="http://schemas.openxmlformats.org/officeDocument/2006/relationships/hyperlink" Target="https://orcid.org/0000-0002-0057-1028" TargetMode="External"/><Relationship Id="rId19" Type="http://schemas.openxmlformats.org/officeDocument/2006/relationships/hyperlink" Target="https://www.sciencedirect.com/science/article/abs/pii/S0268960X15000272" TargetMode="External"/><Relationship Id="rId31" Type="http://schemas.openxmlformats.org/officeDocument/2006/relationships/hyperlink" Target="https://openheart.bmj.com/content/6/1/e000951.full" TargetMode="External"/><Relationship Id="rId4" Type="http://schemas.openxmlformats.org/officeDocument/2006/relationships/webSettings" Target="webSettings.xml"/><Relationship Id="rId9" Type="http://schemas.openxmlformats.org/officeDocument/2006/relationships/hyperlink" Target="https://orcid.org/0000-0001-7849-5451" TargetMode="External"/><Relationship Id="rId14" Type="http://schemas.openxmlformats.org/officeDocument/2006/relationships/image" Target="media/image1.gif"/><Relationship Id="rId22" Type="http://schemas.openxmlformats.org/officeDocument/2006/relationships/hyperlink" Target="https://onlinelibrary.wiley.com/doi/full/10.1111/jth.12952" TargetMode="External"/><Relationship Id="rId27" Type="http://schemas.openxmlformats.org/officeDocument/2006/relationships/hyperlink" Target="https://www.clinicalkey.es/" TargetMode="External"/><Relationship Id="rId30" Type="http://schemas.openxmlformats.org/officeDocument/2006/relationships/hyperlink" Target="https://link.springer.com/article/10.1007/s11239-019-01926-6" TargetMode="External"/><Relationship Id="rId35" Type="http://schemas.openxmlformats.org/officeDocument/2006/relationships/hyperlink" Target="https://www.revespcardiol.org/es-manejo-perioperatorio-periprocedimiento-del-tratamiento-articulo-S0300893218300034"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TotalTime>
  <Pages>20</Pages>
  <Words>6873</Words>
  <Characters>37805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44589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2021-03-31T23:26:00Z</dcterms:created>
  <dcterms:modified xsi:type="dcterms:W3CDTF">2021-03-31T23:29:00Z</dcterms:modified>
</cp:coreProperties>
</file>