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09C76" w14:textId="77777777" w:rsidR="00E04ABF" w:rsidRPr="00E04ABF" w:rsidRDefault="00E04ABF" w:rsidP="00E04ABF">
      <w:pPr>
        <w:kinsoku w:val="0"/>
        <w:overflowPunct w:val="0"/>
        <w:spacing w:line="360" w:lineRule="auto"/>
        <w:jc w:val="right"/>
        <w:textAlignment w:val="baseline"/>
        <w:rPr>
          <w:rFonts w:eastAsia="DengXian"/>
          <w:bCs/>
          <w:kern w:val="24"/>
          <w:sz w:val="20"/>
          <w:szCs w:val="20"/>
          <w:lang w:val="es-ES" w:eastAsia="zh-CN"/>
        </w:rPr>
      </w:pPr>
      <w:r w:rsidRPr="00E04ABF">
        <w:rPr>
          <w:rFonts w:eastAsia="DengXian"/>
          <w:bCs/>
          <w:kern w:val="24"/>
          <w:sz w:val="20"/>
          <w:szCs w:val="20"/>
          <w:lang w:val="es-ES" w:eastAsia="zh-CN"/>
        </w:rPr>
        <w:t>Artículo de investigación</w:t>
      </w:r>
    </w:p>
    <w:p w14:paraId="6F9F226C" w14:textId="77777777" w:rsidR="00E04ABF" w:rsidRPr="00E04ABF" w:rsidRDefault="00E04ABF" w:rsidP="00E04ABF">
      <w:pPr>
        <w:kinsoku w:val="0"/>
        <w:overflowPunct w:val="0"/>
        <w:spacing w:line="360" w:lineRule="auto"/>
        <w:jc w:val="center"/>
        <w:textAlignment w:val="baseline"/>
        <w:rPr>
          <w:rFonts w:eastAsia="DengXian"/>
          <w:b/>
          <w:bCs/>
          <w:kern w:val="24"/>
          <w:lang w:val="es-ES" w:eastAsia="zh-CN"/>
        </w:rPr>
      </w:pPr>
    </w:p>
    <w:p w14:paraId="46F8829E" w14:textId="77777777" w:rsidR="00E04ABF" w:rsidRPr="00E04ABF" w:rsidRDefault="00E04ABF" w:rsidP="00E04ABF">
      <w:pPr>
        <w:kinsoku w:val="0"/>
        <w:overflowPunct w:val="0"/>
        <w:spacing w:line="360" w:lineRule="auto"/>
        <w:jc w:val="center"/>
        <w:textAlignment w:val="baseline"/>
        <w:rPr>
          <w:b/>
          <w:sz w:val="28"/>
          <w:szCs w:val="28"/>
          <w:lang w:val="es-US" w:eastAsia="zh-CN"/>
        </w:rPr>
      </w:pPr>
      <w:r w:rsidRPr="00E04ABF">
        <w:rPr>
          <w:rFonts w:eastAsia="DengXian"/>
          <w:b/>
          <w:bCs/>
          <w:kern w:val="24"/>
          <w:sz w:val="28"/>
          <w:szCs w:val="28"/>
          <w:lang w:val="es-ES" w:eastAsia="zh-CN"/>
        </w:rPr>
        <w:t xml:space="preserve">Relación de los genotipos </w:t>
      </w:r>
      <w:r w:rsidRPr="00E04ABF">
        <w:rPr>
          <w:rFonts w:eastAsia="MS Mincho"/>
          <w:b/>
          <w:sz w:val="28"/>
          <w:szCs w:val="28"/>
          <w:lang w:val="es-MX" w:eastAsia="es-ES" w:bidi="en-US"/>
        </w:rPr>
        <w:t xml:space="preserve">CagA/VacA </w:t>
      </w:r>
      <w:r w:rsidRPr="00E04ABF">
        <w:rPr>
          <w:rFonts w:eastAsia="DengXian"/>
          <w:b/>
          <w:bCs/>
          <w:kern w:val="24"/>
          <w:sz w:val="28"/>
          <w:szCs w:val="28"/>
          <w:lang w:val="es-ES" w:eastAsia="zh-CN"/>
        </w:rPr>
        <w:t xml:space="preserve">del </w:t>
      </w:r>
      <w:r w:rsidRPr="00E04ABF">
        <w:rPr>
          <w:rFonts w:eastAsia="DengXian"/>
          <w:b/>
          <w:bCs/>
          <w:i/>
          <w:iCs/>
          <w:kern w:val="24"/>
          <w:sz w:val="28"/>
          <w:szCs w:val="28"/>
          <w:lang w:val="es-ES" w:eastAsia="zh-CN"/>
        </w:rPr>
        <w:t>Helicobacter pylori</w:t>
      </w:r>
      <w:r w:rsidRPr="00E04ABF">
        <w:rPr>
          <w:rFonts w:eastAsia="DengXian"/>
          <w:b/>
          <w:bCs/>
          <w:kern w:val="24"/>
          <w:sz w:val="28"/>
          <w:szCs w:val="28"/>
          <w:lang w:val="es-ES" w:eastAsia="zh-CN"/>
        </w:rPr>
        <w:t xml:space="preserve"> con lesiones precursoras de cáncer gástrico</w:t>
      </w:r>
    </w:p>
    <w:p w14:paraId="46B7CB21" w14:textId="77777777" w:rsidR="00E04ABF" w:rsidRPr="00E04ABF" w:rsidRDefault="00E04ABF" w:rsidP="00E04ABF">
      <w:pPr>
        <w:spacing w:line="360" w:lineRule="auto"/>
        <w:jc w:val="center"/>
        <w:rPr>
          <w:rFonts w:eastAsia="MS Mincho"/>
          <w:color w:val="000000"/>
          <w:sz w:val="28"/>
          <w:szCs w:val="28"/>
          <w:lang w:val="en-US" w:eastAsia="es-ES"/>
        </w:rPr>
      </w:pPr>
      <w:r w:rsidRPr="00E04ABF">
        <w:rPr>
          <w:rFonts w:eastAsia="MS Mincho"/>
          <w:color w:val="000000"/>
          <w:sz w:val="28"/>
          <w:szCs w:val="28"/>
          <w:lang w:val="en-US" w:eastAsia="es-ES"/>
        </w:rPr>
        <w:t xml:space="preserve">Relationship of CagA/VacA genotypes of </w:t>
      </w:r>
      <w:r w:rsidRPr="00E04ABF">
        <w:rPr>
          <w:rFonts w:eastAsia="MS Mincho"/>
          <w:i/>
          <w:color w:val="000000"/>
          <w:sz w:val="28"/>
          <w:szCs w:val="28"/>
          <w:lang w:val="en-US" w:eastAsia="es-ES"/>
        </w:rPr>
        <w:t>Helicobacter pylori</w:t>
      </w:r>
      <w:r w:rsidRPr="00E04ABF">
        <w:rPr>
          <w:rFonts w:eastAsia="MS Mincho"/>
          <w:color w:val="000000"/>
          <w:sz w:val="28"/>
          <w:szCs w:val="28"/>
          <w:lang w:val="en-US" w:eastAsia="es-ES"/>
        </w:rPr>
        <w:t xml:space="preserve"> with precursor lesions of gastric cancer</w:t>
      </w:r>
    </w:p>
    <w:p w14:paraId="13F881C4" w14:textId="77777777" w:rsidR="00E04ABF" w:rsidRPr="00E04ABF" w:rsidRDefault="00E04ABF" w:rsidP="00E04ABF">
      <w:pPr>
        <w:spacing w:line="360" w:lineRule="auto"/>
        <w:jc w:val="both"/>
        <w:rPr>
          <w:rFonts w:eastAsia="Calibri"/>
          <w:lang w:val="en-US" w:eastAsia="en-US"/>
        </w:rPr>
      </w:pPr>
    </w:p>
    <w:p w14:paraId="3F96E856" w14:textId="77777777" w:rsidR="00E04ABF" w:rsidRPr="00E04ABF" w:rsidRDefault="00E04ABF" w:rsidP="00E04ABF">
      <w:pPr>
        <w:spacing w:line="360" w:lineRule="auto"/>
        <w:jc w:val="both"/>
        <w:rPr>
          <w:rFonts w:eastAsia="Calibri"/>
          <w:lang w:val="es-ES" w:eastAsia="en-US"/>
        </w:rPr>
      </w:pPr>
      <w:r w:rsidRPr="00E04ABF">
        <w:rPr>
          <w:rFonts w:eastAsia="Calibri"/>
          <w:lang w:val="es-CU" w:eastAsia="en-US"/>
        </w:rPr>
        <w:t xml:space="preserve">Ludmila </w:t>
      </w:r>
      <w:r w:rsidRPr="00E04ABF">
        <w:rPr>
          <w:rFonts w:eastAsia="Calibri"/>
          <w:lang w:val="es-ES" w:eastAsia="en-US"/>
        </w:rPr>
        <w:t>Martínez Leyva</w:t>
      </w:r>
      <w:r w:rsidRPr="00E04ABF">
        <w:rPr>
          <w:rFonts w:eastAsia="Calibri"/>
          <w:vertAlign w:val="superscript"/>
          <w:lang w:val="es-ES" w:eastAsia="en-US"/>
        </w:rPr>
        <w:t xml:space="preserve">1* </w:t>
      </w:r>
      <w:hyperlink r:id="rId7" w:history="1">
        <w:r w:rsidRPr="00E04ABF">
          <w:rPr>
            <w:rFonts w:eastAsia="Calibri"/>
            <w:color w:val="0563C1"/>
            <w:u w:val="single"/>
            <w:lang w:val="es-US" w:eastAsia="en-US"/>
          </w:rPr>
          <w:t>https://orcid.org/0000-0002-4333-4030</w:t>
        </w:r>
      </w:hyperlink>
    </w:p>
    <w:p w14:paraId="1B5C048F" w14:textId="77777777" w:rsidR="00E04ABF" w:rsidRPr="00E04ABF" w:rsidRDefault="00E04ABF" w:rsidP="00E04ABF">
      <w:pPr>
        <w:spacing w:line="360" w:lineRule="auto"/>
        <w:jc w:val="both"/>
        <w:rPr>
          <w:rFonts w:eastAsia="Calibri"/>
          <w:lang w:val="es-ES" w:eastAsia="en-US"/>
        </w:rPr>
      </w:pPr>
      <w:r w:rsidRPr="00E04ABF">
        <w:rPr>
          <w:rFonts w:eastAsia="Calibri"/>
          <w:lang w:val="es-ES" w:eastAsia="en-US"/>
        </w:rPr>
        <w:t>Teresita de Jesús Montero González</w:t>
      </w:r>
      <w:r w:rsidRPr="00E04ABF">
        <w:rPr>
          <w:rFonts w:eastAsia="Calibri"/>
          <w:vertAlign w:val="superscript"/>
          <w:lang w:val="es-ES" w:eastAsia="en-US"/>
        </w:rPr>
        <w:t xml:space="preserve">2 </w:t>
      </w:r>
      <w:hyperlink r:id="rId8" w:history="1">
        <w:r w:rsidRPr="00E04ABF">
          <w:rPr>
            <w:rFonts w:eastAsia="Calibri"/>
            <w:color w:val="0563C1"/>
            <w:u w:val="single"/>
            <w:lang w:val="es-US" w:eastAsia="en-US"/>
          </w:rPr>
          <w:t>https://orcid.org/0000-0003-3372-6791</w:t>
        </w:r>
      </w:hyperlink>
    </w:p>
    <w:p w14:paraId="3427A935" w14:textId="77777777" w:rsidR="00E04ABF" w:rsidRPr="00E04ABF" w:rsidRDefault="00E04ABF" w:rsidP="00E04ABF">
      <w:pPr>
        <w:spacing w:line="360" w:lineRule="auto"/>
        <w:jc w:val="both"/>
        <w:rPr>
          <w:rFonts w:eastAsia="Calibri"/>
          <w:lang w:val="es-ES" w:eastAsia="en-US"/>
        </w:rPr>
      </w:pPr>
      <w:r w:rsidRPr="00E04ABF">
        <w:rPr>
          <w:rFonts w:eastAsia="Calibri"/>
          <w:lang w:val="es-ES" w:eastAsia="en-US"/>
        </w:rPr>
        <w:t>Felipe Neri Piñol Jiménez</w:t>
      </w:r>
      <w:r w:rsidRPr="00E04ABF">
        <w:rPr>
          <w:rFonts w:eastAsia="Calibri"/>
          <w:vertAlign w:val="superscript"/>
          <w:lang w:val="es-ES" w:eastAsia="en-US"/>
        </w:rPr>
        <w:t>3</w:t>
      </w:r>
      <w:r w:rsidRPr="00E04ABF">
        <w:rPr>
          <w:rFonts w:eastAsia="Calibri"/>
          <w:lang w:val="es-US" w:eastAsia="en-US"/>
        </w:rPr>
        <w:t xml:space="preserve"> </w:t>
      </w:r>
      <w:hyperlink r:id="rId9" w:history="1">
        <w:r w:rsidRPr="00E04ABF">
          <w:rPr>
            <w:rFonts w:eastAsia="Calibri"/>
            <w:color w:val="0563C1"/>
            <w:u w:val="single"/>
            <w:lang w:val="es-ES" w:eastAsia="en-US"/>
          </w:rPr>
          <w:t>https://orcid.org/0000-0003-0522-8875</w:t>
        </w:r>
      </w:hyperlink>
      <w:r w:rsidRPr="00E04ABF">
        <w:rPr>
          <w:rFonts w:eastAsia="Calibri"/>
          <w:lang w:val="es-ES" w:eastAsia="en-US"/>
        </w:rPr>
        <w:t xml:space="preserve"> </w:t>
      </w:r>
    </w:p>
    <w:p w14:paraId="70932620" w14:textId="77777777" w:rsidR="00E04ABF" w:rsidRPr="00E04ABF" w:rsidRDefault="00E04ABF" w:rsidP="00E04ABF">
      <w:pPr>
        <w:spacing w:line="360" w:lineRule="auto"/>
        <w:jc w:val="both"/>
        <w:rPr>
          <w:rFonts w:eastAsia="Calibri"/>
          <w:lang w:val="es-ES" w:eastAsia="en-US"/>
        </w:rPr>
      </w:pPr>
      <w:r w:rsidRPr="00E04ABF">
        <w:rPr>
          <w:rFonts w:eastAsia="Calibri"/>
          <w:lang w:val="es-ES" w:eastAsia="en-US"/>
        </w:rPr>
        <w:t>Amada Palomino Besada</w:t>
      </w:r>
      <w:r w:rsidRPr="00E04ABF">
        <w:rPr>
          <w:rFonts w:eastAsia="Calibri"/>
          <w:vertAlign w:val="superscript"/>
          <w:lang w:val="es-ES" w:eastAsia="en-US"/>
        </w:rPr>
        <w:t>1</w:t>
      </w:r>
      <w:r w:rsidRPr="00E04ABF">
        <w:rPr>
          <w:rFonts w:eastAsia="Calibri"/>
          <w:lang w:val="es-US" w:eastAsia="en-US"/>
        </w:rPr>
        <w:t xml:space="preserve"> </w:t>
      </w:r>
      <w:hyperlink r:id="rId10" w:history="1">
        <w:r w:rsidRPr="00E04ABF">
          <w:rPr>
            <w:rFonts w:eastAsia="Calibri"/>
            <w:color w:val="0563C1"/>
            <w:u w:val="single"/>
            <w:lang w:val="es-ES" w:eastAsia="en-US"/>
          </w:rPr>
          <w:t>https://orcid.org/0000-0002-4581-7693</w:t>
        </w:r>
      </w:hyperlink>
      <w:r w:rsidRPr="00E04ABF">
        <w:rPr>
          <w:rFonts w:eastAsia="Calibri"/>
          <w:lang w:val="es-ES" w:eastAsia="en-US"/>
        </w:rPr>
        <w:t xml:space="preserve"> </w:t>
      </w:r>
    </w:p>
    <w:p w14:paraId="582A8B97" w14:textId="77777777" w:rsidR="00E04ABF" w:rsidRPr="00E04ABF" w:rsidRDefault="00E04ABF" w:rsidP="00E04ABF">
      <w:pPr>
        <w:spacing w:line="360" w:lineRule="auto"/>
        <w:jc w:val="both"/>
        <w:rPr>
          <w:lang w:val="es-ES" w:eastAsia="es-ES"/>
        </w:rPr>
      </w:pPr>
      <w:r w:rsidRPr="00E04ABF">
        <w:rPr>
          <w:lang w:val="es-ES" w:eastAsia="es-ES"/>
        </w:rPr>
        <w:t>Osvaldo Miranda Gómez</w:t>
      </w:r>
      <w:r w:rsidRPr="00E04ABF">
        <w:rPr>
          <w:vertAlign w:val="superscript"/>
          <w:lang w:val="es-ES" w:eastAsia="es-ES"/>
        </w:rPr>
        <w:t>1</w:t>
      </w:r>
      <w:r w:rsidRPr="00E04ABF">
        <w:rPr>
          <w:lang w:val="es-ES" w:eastAsia="es-ES"/>
        </w:rPr>
        <w:t xml:space="preserve"> </w:t>
      </w:r>
      <w:hyperlink r:id="rId11" w:history="1">
        <w:r w:rsidRPr="00E04ABF">
          <w:rPr>
            <w:color w:val="0563C1"/>
            <w:u w:val="single"/>
            <w:lang w:val="es-ES" w:eastAsia="es-ES"/>
          </w:rPr>
          <w:t>https://orcid.org/0000-0002-7017-6808</w:t>
        </w:r>
      </w:hyperlink>
    </w:p>
    <w:p w14:paraId="733A0455" w14:textId="77777777" w:rsidR="00E04ABF" w:rsidRPr="00E04ABF" w:rsidRDefault="00E04ABF" w:rsidP="00E04ABF">
      <w:pPr>
        <w:spacing w:line="360" w:lineRule="auto"/>
        <w:rPr>
          <w:rFonts w:eastAsia="MS Mincho"/>
          <w:lang w:val="es-ES" w:eastAsia="es-ES"/>
        </w:rPr>
      </w:pPr>
      <w:r w:rsidRPr="00E04ABF">
        <w:rPr>
          <w:rFonts w:eastAsia="MS Mincho"/>
          <w:lang w:val="es-ES" w:eastAsia="es-ES"/>
        </w:rPr>
        <w:t>Danay Días Morejón</w:t>
      </w:r>
      <w:r w:rsidRPr="00E04ABF">
        <w:rPr>
          <w:rFonts w:eastAsia="MS Mincho"/>
          <w:vertAlign w:val="superscript"/>
          <w:lang w:val="es-ES" w:eastAsia="es-ES"/>
        </w:rPr>
        <w:t xml:space="preserve">1 </w:t>
      </w:r>
      <w:hyperlink r:id="rId12" w:history="1">
        <w:r w:rsidRPr="00E04ABF">
          <w:rPr>
            <w:rFonts w:eastAsia="MS Mincho"/>
            <w:color w:val="0563C1"/>
            <w:u w:val="single"/>
            <w:lang w:val="es-ES" w:eastAsia="es-ES"/>
          </w:rPr>
          <w:t>https://orcid.org/0000-0003-3426-3549</w:t>
        </w:r>
      </w:hyperlink>
    </w:p>
    <w:p w14:paraId="13C520FA" w14:textId="77777777" w:rsidR="00E04ABF" w:rsidRPr="00E04ABF" w:rsidRDefault="00E04ABF" w:rsidP="00E04ABF">
      <w:pPr>
        <w:spacing w:line="360" w:lineRule="auto"/>
        <w:rPr>
          <w:vertAlign w:val="superscript"/>
          <w:lang w:val="es-ES" w:eastAsia="es-ES"/>
        </w:rPr>
      </w:pPr>
    </w:p>
    <w:p w14:paraId="0C8EC01C" w14:textId="77777777" w:rsidR="00E04ABF" w:rsidRPr="00E04ABF" w:rsidRDefault="00E04ABF" w:rsidP="00E04ABF">
      <w:pPr>
        <w:spacing w:line="360" w:lineRule="auto"/>
        <w:jc w:val="both"/>
        <w:rPr>
          <w:rFonts w:eastAsia="Calibri"/>
          <w:lang w:val="es-ES" w:eastAsia="en-US"/>
        </w:rPr>
      </w:pPr>
      <w:r w:rsidRPr="00E04ABF">
        <w:rPr>
          <w:rFonts w:eastAsia="Calibri"/>
          <w:vertAlign w:val="superscript"/>
          <w:lang w:val="es-ES" w:eastAsia="en-US"/>
        </w:rPr>
        <w:t>1</w:t>
      </w:r>
      <w:r w:rsidRPr="00E04ABF">
        <w:rPr>
          <w:rFonts w:eastAsia="Calibri"/>
          <w:lang w:val="es-ES" w:eastAsia="en-US"/>
        </w:rPr>
        <w:t>Hospital Militar Central “Dr. Carlos J. Finlay”. La Habana, Cuba.</w:t>
      </w:r>
    </w:p>
    <w:p w14:paraId="5B6CA8DE" w14:textId="02EBAEC7" w:rsidR="00E04ABF" w:rsidRPr="00E04ABF" w:rsidRDefault="00E04ABF" w:rsidP="00E04ABF">
      <w:pPr>
        <w:spacing w:line="360" w:lineRule="auto"/>
        <w:jc w:val="both"/>
        <w:rPr>
          <w:rFonts w:eastAsia="Calibri"/>
          <w:lang w:val="es-ES" w:eastAsia="en-US"/>
        </w:rPr>
      </w:pPr>
      <w:r w:rsidRPr="00E04ABF">
        <w:rPr>
          <w:rFonts w:eastAsia="Calibri"/>
          <w:vertAlign w:val="superscript"/>
          <w:lang w:val="es-ES" w:eastAsia="en-US"/>
        </w:rPr>
        <w:t>2</w:t>
      </w:r>
      <w:r w:rsidRPr="00E04ABF">
        <w:rPr>
          <w:rFonts w:eastAsia="Calibri"/>
          <w:lang w:val="es-ES" w:eastAsia="en-US"/>
        </w:rPr>
        <w:t>Hospital Militar Central “Dr. Luis Día</w:t>
      </w:r>
      <w:r w:rsidR="002C65ED">
        <w:rPr>
          <w:rFonts w:eastAsia="Calibri"/>
          <w:lang w:val="es-ES" w:eastAsia="en-US"/>
        </w:rPr>
        <w:t>z</w:t>
      </w:r>
      <w:r w:rsidRPr="00E04ABF">
        <w:rPr>
          <w:rFonts w:eastAsia="Calibri"/>
          <w:lang w:val="es-ES" w:eastAsia="en-US"/>
        </w:rPr>
        <w:t xml:space="preserve"> Soto”. La Habana, Cuba.</w:t>
      </w:r>
    </w:p>
    <w:p w14:paraId="72973D6A" w14:textId="77777777" w:rsidR="00E04ABF" w:rsidRPr="00E04ABF" w:rsidRDefault="00E04ABF" w:rsidP="00E04ABF">
      <w:pPr>
        <w:spacing w:line="360" w:lineRule="auto"/>
        <w:jc w:val="both"/>
        <w:rPr>
          <w:rFonts w:eastAsia="Calibri"/>
          <w:lang w:val="es-ES" w:eastAsia="en-US"/>
        </w:rPr>
      </w:pPr>
      <w:r w:rsidRPr="00E04ABF">
        <w:rPr>
          <w:rFonts w:eastAsia="Calibri"/>
          <w:vertAlign w:val="superscript"/>
          <w:lang w:val="es-ES" w:eastAsia="en-US"/>
        </w:rPr>
        <w:t>3</w:t>
      </w:r>
      <w:r w:rsidRPr="00E04ABF">
        <w:rPr>
          <w:rFonts w:eastAsia="Calibri"/>
          <w:lang w:val="es-ES" w:eastAsia="en-US"/>
        </w:rPr>
        <w:t>Centro Nacional de Cirugía Endoscópica. La Habana, Cuba.</w:t>
      </w:r>
    </w:p>
    <w:p w14:paraId="2F1BF382" w14:textId="77777777" w:rsidR="00E04ABF" w:rsidRPr="00E04ABF" w:rsidRDefault="00E04ABF" w:rsidP="00E04ABF">
      <w:pPr>
        <w:spacing w:line="360" w:lineRule="auto"/>
        <w:jc w:val="both"/>
        <w:rPr>
          <w:rFonts w:eastAsia="Calibri"/>
          <w:lang w:val="es-ES" w:eastAsia="en-US"/>
        </w:rPr>
      </w:pPr>
      <w:r w:rsidRPr="00E04ABF">
        <w:rPr>
          <w:rFonts w:eastAsia="Calibri"/>
          <w:lang w:val="es-ES" w:eastAsia="en-US"/>
        </w:rPr>
        <w:t xml:space="preserve">*Autor para la correspondencia. Correo electrónico: ludmila@infomed.sld.cu   </w:t>
      </w:r>
    </w:p>
    <w:p w14:paraId="5E59A08F" w14:textId="77777777" w:rsidR="00E04ABF" w:rsidRPr="00E04ABF" w:rsidRDefault="00E04ABF" w:rsidP="00E04ABF">
      <w:pPr>
        <w:spacing w:line="360" w:lineRule="auto"/>
        <w:jc w:val="center"/>
        <w:rPr>
          <w:rFonts w:eastAsia="MS Mincho"/>
          <w:b/>
          <w:lang w:val="es-ES" w:eastAsia="es-ES"/>
        </w:rPr>
      </w:pPr>
    </w:p>
    <w:p w14:paraId="2F718217" w14:textId="77777777" w:rsidR="00E04ABF" w:rsidRPr="00E04ABF" w:rsidRDefault="00E04ABF" w:rsidP="00E04ABF">
      <w:pPr>
        <w:spacing w:line="360" w:lineRule="auto"/>
        <w:rPr>
          <w:rFonts w:eastAsia="MS Mincho"/>
          <w:b/>
          <w:lang w:val="es-ES" w:eastAsia="es-ES"/>
        </w:rPr>
      </w:pPr>
      <w:r w:rsidRPr="00E04ABF">
        <w:rPr>
          <w:rFonts w:eastAsia="MS Mincho"/>
          <w:b/>
          <w:lang w:val="es-ES" w:eastAsia="es-ES"/>
        </w:rPr>
        <w:t>RESUMEN</w:t>
      </w:r>
    </w:p>
    <w:p w14:paraId="309874AA" w14:textId="77777777" w:rsidR="00E04ABF" w:rsidRPr="00E04ABF" w:rsidRDefault="00E04ABF" w:rsidP="00E04ABF">
      <w:pPr>
        <w:autoSpaceDE w:val="0"/>
        <w:autoSpaceDN w:val="0"/>
        <w:adjustRightInd w:val="0"/>
        <w:spacing w:line="360" w:lineRule="auto"/>
        <w:jc w:val="both"/>
        <w:rPr>
          <w:rFonts w:eastAsia="MS Mincho"/>
          <w:lang w:val="es-ES" w:eastAsia="es-ES"/>
        </w:rPr>
      </w:pPr>
      <w:r w:rsidRPr="00E04ABF">
        <w:rPr>
          <w:rFonts w:eastAsia="MS Mincho"/>
          <w:b/>
          <w:lang w:val="es-ES" w:eastAsia="es-ES"/>
        </w:rPr>
        <w:t>Introducción</w:t>
      </w:r>
      <w:r w:rsidRPr="00E04ABF">
        <w:rPr>
          <w:rFonts w:eastAsia="MS Mincho"/>
          <w:lang w:val="es-ES" w:eastAsia="es-ES"/>
        </w:rPr>
        <w:t xml:space="preserve">: El </w:t>
      </w:r>
      <w:r w:rsidRPr="00E04ABF">
        <w:rPr>
          <w:rFonts w:eastAsia="MS Mincho"/>
          <w:i/>
          <w:lang w:val="es-ES" w:eastAsia="es-ES"/>
        </w:rPr>
        <w:t>Helicobacter pylori</w:t>
      </w:r>
      <w:r w:rsidRPr="00E04ABF">
        <w:rPr>
          <w:rFonts w:eastAsia="MS Mincho"/>
          <w:lang w:val="es-ES" w:eastAsia="es-ES"/>
        </w:rPr>
        <w:t xml:space="preserve"> predispone al cáncer gástrico. Los individuos con cepas CagA y VacA s1m1 desarrollan lesiones de la mucosa más graves.  El </w:t>
      </w:r>
      <w:r w:rsidRPr="00E04ABF">
        <w:rPr>
          <w:lang w:val="es-ES" w:eastAsia="es-ES"/>
        </w:rPr>
        <w:t xml:space="preserve">sistema </w:t>
      </w:r>
      <w:r w:rsidRPr="00E04ABF">
        <w:rPr>
          <w:rFonts w:eastAsia="MS Mincho"/>
          <w:i/>
          <w:iCs/>
          <w:lang w:val="es-US" w:eastAsia="es-ES"/>
        </w:rPr>
        <w:t>Operative Link on Gastritis Assessment</w:t>
      </w:r>
      <w:r w:rsidRPr="00E04ABF">
        <w:rPr>
          <w:rFonts w:eastAsia="MS Mincho"/>
          <w:lang w:val="es-ES" w:eastAsia="es-ES"/>
        </w:rPr>
        <w:t xml:space="preserve"> permite determinar el riesgo de cáncer y define la atrofia como la lesión típica de progresión de la gastritis crónica. </w:t>
      </w:r>
    </w:p>
    <w:p w14:paraId="63C05C19" w14:textId="77777777" w:rsidR="00E04ABF" w:rsidRPr="00E04ABF" w:rsidRDefault="00E04ABF" w:rsidP="00E04ABF">
      <w:pPr>
        <w:autoSpaceDE w:val="0"/>
        <w:autoSpaceDN w:val="0"/>
        <w:adjustRightInd w:val="0"/>
        <w:spacing w:line="360" w:lineRule="auto"/>
        <w:jc w:val="both"/>
        <w:rPr>
          <w:rFonts w:eastAsia="MS Mincho"/>
          <w:lang w:val="es-MX" w:eastAsia="es-ES" w:bidi="en-US"/>
        </w:rPr>
      </w:pPr>
      <w:r w:rsidRPr="00E04ABF">
        <w:rPr>
          <w:rFonts w:eastAsia="MS Mincho"/>
          <w:b/>
          <w:lang w:val="es-ES" w:eastAsia="es-ES"/>
        </w:rPr>
        <w:t>Objetivo</w:t>
      </w:r>
      <w:r w:rsidRPr="00E04ABF">
        <w:rPr>
          <w:rFonts w:eastAsia="MS Mincho"/>
          <w:lang w:val="es-ES" w:eastAsia="es-ES"/>
        </w:rPr>
        <w:t>:</w:t>
      </w:r>
      <w:r w:rsidRPr="00E04ABF">
        <w:rPr>
          <w:rFonts w:eastAsia="MS Mincho"/>
          <w:lang w:val="es-US" w:eastAsia="es-ES"/>
        </w:rPr>
        <w:t xml:space="preserve"> </w:t>
      </w:r>
      <w:r w:rsidRPr="00E04ABF">
        <w:rPr>
          <w:rFonts w:eastAsia="MS Mincho"/>
          <w:lang w:val="es-ES" w:eastAsia="es-ES"/>
        </w:rPr>
        <w:t xml:space="preserve">Relacionar los genotipos </w:t>
      </w:r>
      <w:r w:rsidRPr="00E04ABF">
        <w:rPr>
          <w:rFonts w:eastAsia="MS Mincho"/>
          <w:lang w:val="es-MX" w:eastAsia="es-ES" w:bidi="en-US"/>
        </w:rPr>
        <w:t xml:space="preserve">CagA y VacA </w:t>
      </w:r>
      <w:r w:rsidRPr="00E04ABF">
        <w:rPr>
          <w:rFonts w:eastAsia="MS Mincho"/>
          <w:lang w:val="es-ES" w:eastAsia="es-ES"/>
        </w:rPr>
        <w:t xml:space="preserve">del </w:t>
      </w:r>
      <w:r w:rsidRPr="00E04ABF">
        <w:rPr>
          <w:rFonts w:eastAsia="MS Mincho"/>
          <w:i/>
          <w:lang w:val="es-ES" w:eastAsia="es-ES"/>
        </w:rPr>
        <w:t>Helicobacter pylori</w:t>
      </w:r>
      <w:r w:rsidRPr="00E04ABF">
        <w:rPr>
          <w:rFonts w:eastAsia="MS Mincho"/>
          <w:lang w:val="es-ES" w:eastAsia="es-ES"/>
        </w:rPr>
        <w:t xml:space="preserve"> con lesiones precursoras de </w:t>
      </w:r>
      <w:r w:rsidRPr="00E04ABF">
        <w:rPr>
          <w:rFonts w:eastAsia="MS Mincho"/>
          <w:lang w:val="es-US" w:eastAsia="es-ES"/>
        </w:rPr>
        <w:t>cáncer gástrico</w:t>
      </w:r>
      <w:r w:rsidRPr="00E04ABF">
        <w:rPr>
          <w:rFonts w:eastAsia="MS Mincho"/>
          <w:lang w:val="es-MX" w:eastAsia="es-ES" w:bidi="en-US"/>
        </w:rPr>
        <w:t>.</w:t>
      </w:r>
    </w:p>
    <w:p w14:paraId="659A09B7" w14:textId="77777777" w:rsidR="00E04ABF" w:rsidRPr="00E04ABF" w:rsidRDefault="00E04ABF" w:rsidP="00E04ABF">
      <w:pPr>
        <w:autoSpaceDE w:val="0"/>
        <w:autoSpaceDN w:val="0"/>
        <w:adjustRightInd w:val="0"/>
        <w:spacing w:line="360" w:lineRule="auto"/>
        <w:jc w:val="both"/>
        <w:rPr>
          <w:snapToGrid w:val="0"/>
          <w:lang w:eastAsia="es-ES"/>
        </w:rPr>
      </w:pPr>
      <w:r w:rsidRPr="00E04ABF">
        <w:rPr>
          <w:rFonts w:eastAsia="MS Mincho"/>
          <w:b/>
          <w:lang w:val="es-ES" w:eastAsia="es-ES"/>
        </w:rPr>
        <w:t>Métodos</w:t>
      </w:r>
      <w:r w:rsidRPr="00E04ABF">
        <w:rPr>
          <w:rFonts w:eastAsia="MS Mincho"/>
          <w:lang w:val="es-ES" w:eastAsia="es-ES"/>
        </w:rPr>
        <w:t>: Se realizó</w:t>
      </w:r>
      <w:r w:rsidRPr="00E04ABF">
        <w:rPr>
          <w:lang w:eastAsia="es-ES"/>
        </w:rPr>
        <w:t xml:space="preserve"> un estudio descriptivo en 62 pacientes. Las </w:t>
      </w:r>
      <w:r w:rsidRPr="00E04ABF">
        <w:rPr>
          <w:rFonts w:eastAsia="MS Mincho"/>
          <w:lang w:eastAsia="es-ES"/>
        </w:rPr>
        <w:t xml:space="preserve">variables incluidas fueron los genotipos CagA y VacA del </w:t>
      </w:r>
      <w:r w:rsidRPr="00E04ABF">
        <w:rPr>
          <w:rFonts w:eastAsia="MS Mincho"/>
          <w:i/>
          <w:lang w:eastAsia="es-ES"/>
        </w:rPr>
        <w:t>Helicobacter pylori</w:t>
      </w:r>
      <w:r w:rsidRPr="00E04ABF">
        <w:rPr>
          <w:rFonts w:eastAsia="MS Mincho"/>
          <w:lang w:eastAsia="es-ES"/>
        </w:rPr>
        <w:t xml:space="preserve"> y los estadios de OLGA (0, I, II, III, IV), las cuales se relacionaron. Se emplearon como medidas de resumen para variables cualitativas la frecuencia absoluta y el porcentaje. </w:t>
      </w:r>
      <w:r w:rsidRPr="00E04ABF">
        <w:rPr>
          <w:rFonts w:eastAsia="MS Mincho"/>
          <w:lang w:eastAsia="es-ES"/>
        </w:rPr>
        <w:lastRenderedPageBreak/>
        <w:t>Para evaluar la asociación entre variables cualitativas se aplicó el test X</w:t>
      </w:r>
      <w:r w:rsidRPr="00E04ABF">
        <w:rPr>
          <w:rFonts w:eastAsia="MS Mincho"/>
          <w:vertAlign w:val="superscript"/>
          <w:lang w:eastAsia="es-ES"/>
        </w:rPr>
        <w:t>2</w:t>
      </w:r>
      <w:r w:rsidRPr="00E04ABF">
        <w:rPr>
          <w:rFonts w:eastAsia="MS Mincho"/>
          <w:lang w:eastAsia="es-ES"/>
        </w:rPr>
        <w:t xml:space="preserve"> (ji cuadrado). Se aceptó un nivel de significación estadística p ≤ 0,05. Para explorar la relación entre dos variables dicotómicas se utilizó el riesgo relativo.  S</w:t>
      </w:r>
      <w:r w:rsidRPr="00E04ABF">
        <w:rPr>
          <w:snapToGrid w:val="0"/>
          <w:lang w:eastAsia="es-ES"/>
        </w:rPr>
        <w:t>e trabajó con un nivel de confiabilidad del 95 %.</w:t>
      </w:r>
      <w:r w:rsidRPr="00E04ABF">
        <w:rPr>
          <w:rFonts w:eastAsia="Calibri"/>
          <w:bCs/>
          <w:lang w:val="es-US" w:eastAsia="zh-CN"/>
        </w:rPr>
        <w:t xml:space="preserve"> </w:t>
      </w:r>
    </w:p>
    <w:p w14:paraId="61739B21" w14:textId="77777777" w:rsidR="00E04ABF" w:rsidRPr="00E04ABF" w:rsidRDefault="00E04ABF" w:rsidP="00E04ABF">
      <w:pPr>
        <w:autoSpaceDE w:val="0"/>
        <w:autoSpaceDN w:val="0"/>
        <w:adjustRightInd w:val="0"/>
        <w:spacing w:line="360" w:lineRule="auto"/>
        <w:jc w:val="both"/>
        <w:rPr>
          <w:bCs/>
          <w:lang w:val="es-ES" w:eastAsia="es-ES"/>
        </w:rPr>
      </w:pPr>
      <w:r w:rsidRPr="00E04ABF">
        <w:rPr>
          <w:rFonts w:eastAsia="MS Mincho"/>
          <w:b/>
          <w:lang w:val="es-ES" w:eastAsia="es-ES"/>
        </w:rPr>
        <w:t>Resultados</w:t>
      </w:r>
      <w:r w:rsidRPr="00E04ABF">
        <w:rPr>
          <w:rFonts w:eastAsia="MS Mincho"/>
          <w:lang w:val="es-ES" w:eastAsia="es-ES"/>
        </w:rPr>
        <w:t xml:space="preserve">: </w:t>
      </w:r>
      <w:r w:rsidRPr="00E04ABF">
        <w:rPr>
          <w:rFonts w:eastAsia="Calibri"/>
          <w:lang w:val="es-ES" w:eastAsia="es-ES"/>
        </w:rPr>
        <w:t xml:space="preserve">El </w:t>
      </w:r>
      <w:r w:rsidRPr="00E04ABF">
        <w:rPr>
          <w:bCs/>
          <w:lang w:val="es-ES" w:eastAsia="es-ES"/>
        </w:rPr>
        <w:t>68 % de los pacientes con atrofia presentaron genotipo CagA y el 55 % genotipo VacA s1m1. El 6 % de los pacientes con CagA se encontraban en estadio 0; 11 % en estadio I; 40 % en estadio II y 16 % en estadio III.</w:t>
      </w:r>
      <w:r w:rsidRPr="00E04ABF">
        <w:rPr>
          <w:rFonts w:eastAsia="MS Mincho"/>
          <w:lang w:val="es-ES" w:eastAsia="es-ES"/>
        </w:rPr>
        <w:t xml:space="preserve"> </w:t>
      </w:r>
      <w:r w:rsidRPr="00E04ABF">
        <w:rPr>
          <w:bCs/>
          <w:lang w:val="es-ES" w:eastAsia="es-ES"/>
        </w:rPr>
        <w:t xml:space="preserve">El 37 % de los pacientes con VacA s1m1 estaban en estadio II. </w:t>
      </w:r>
    </w:p>
    <w:p w14:paraId="2B131F2D" w14:textId="77777777" w:rsidR="00E04ABF" w:rsidRPr="00E04ABF" w:rsidRDefault="00E04ABF" w:rsidP="00E04ABF">
      <w:pPr>
        <w:autoSpaceDE w:val="0"/>
        <w:autoSpaceDN w:val="0"/>
        <w:adjustRightInd w:val="0"/>
        <w:spacing w:line="360" w:lineRule="auto"/>
        <w:jc w:val="both"/>
        <w:rPr>
          <w:bCs/>
          <w:lang w:val="es-ES" w:eastAsia="es-ES"/>
        </w:rPr>
      </w:pPr>
      <w:r w:rsidRPr="00E04ABF">
        <w:rPr>
          <w:rFonts w:eastAsia="MS Mincho"/>
          <w:b/>
          <w:lang w:val="es-ES" w:eastAsia="es-ES"/>
        </w:rPr>
        <w:t>Conclusiones</w:t>
      </w:r>
      <w:r w:rsidRPr="00E04ABF">
        <w:rPr>
          <w:rFonts w:eastAsia="MS Mincho"/>
          <w:lang w:val="es-ES" w:eastAsia="es-ES"/>
        </w:rPr>
        <w:t>:</w:t>
      </w:r>
      <w:r w:rsidRPr="00E04ABF">
        <w:rPr>
          <w:rFonts w:eastAsia="MS Mincho"/>
          <w:bCs/>
          <w:lang w:val="es-ES" w:eastAsia="es-ES"/>
        </w:rPr>
        <w:t xml:space="preserve"> Lo</w:t>
      </w:r>
      <w:r w:rsidRPr="00E04ABF">
        <w:rPr>
          <w:bCs/>
          <w:lang w:val="es-ES" w:eastAsia="es-ES"/>
        </w:rPr>
        <w:t>s genotipos CagA y VacA s1m1 fueron los más frecuentes y se relacionaron con la presencia de atrofia gástrica.</w:t>
      </w:r>
    </w:p>
    <w:p w14:paraId="179FC130" w14:textId="77777777" w:rsidR="00E04ABF" w:rsidRPr="00E04ABF" w:rsidRDefault="00E04ABF" w:rsidP="00E04ABF">
      <w:pPr>
        <w:autoSpaceDE w:val="0"/>
        <w:autoSpaceDN w:val="0"/>
        <w:adjustRightInd w:val="0"/>
        <w:spacing w:line="360" w:lineRule="auto"/>
        <w:jc w:val="both"/>
        <w:rPr>
          <w:rFonts w:eastAsia="MS Mincho"/>
          <w:lang w:val="es-US" w:eastAsia="es-ES"/>
        </w:rPr>
      </w:pPr>
      <w:r w:rsidRPr="00E04ABF">
        <w:rPr>
          <w:rFonts w:eastAsia="MS Mincho"/>
          <w:b/>
          <w:lang w:val="es-US" w:eastAsia="es-ES"/>
        </w:rPr>
        <w:t>Palabras clave</w:t>
      </w:r>
      <w:r w:rsidRPr="00E04ABF">
        <w:rPr>
          <w:rFonts w:eastAsia="MS Mincho"/>
          <w:lang w:val="es-US" w:eastAsia="es-ES"/>
        </w:rPr>
        <w:t xml:space="preserve">: </w:t>
      </w:r>
      <w:r w:rsidRPr="00E04ABF">
        <w:rPr>
          <w:rFonts w:eastAsia="MS Mincho"/>
          <w:i/>
          <w:lang w:val="es-US" w:eastAsia="es-ES"/>
        </w:rPr>
        <w:t>Helicobacter pylori</w:t>
      </w:r>
      <w:r w:rsidRPr="00E04ABF">
        <w:rPr>
          <w:rFonts w:eastAsia="MS Mincho"/>
          <w:lang w:val="es-US" w:eastAsia="es-ES"/>
        </w:rPr>
        <w:t>; CagA; VacA; atrofia gástrica.</w:t>
      </w:r>
    </w:p>
    <w:p w14:paraId="66C31EFC" w14:textId="77777777" w:rsidR="00E04ABF" w:rsidRPr="00E04ABF" w:rsidRDefault="00E04ABF" w:rsidP="00E04ABF">
      <w:pPr>
        <w:spacing w:line="360" w:lineRule="auto"/>
        <w:jc w:val="both"/>
        <w:rPr>
          <w:rFonts w:eastAsia="Calibri"/>
          <w:b/>
          <w:lang w:val="es-US" w:eastAsia="en-US"/>
        </w:rPr>
      </w:pPr>
    </w:p>
    <w:p w14:paraId="66888D80" w14:textId="77777777" w:rsidR="00E04ABF" w:rsidRPr="00E04ABF" w:rsidRDefault="00E04ABF" w:rsidP="00E04ABF">
      <w:pPr>
        <w:spacing w:line="360" w:lineRule="auto"/>
        <w:jc w:val="both"/>
        <w:rPr>
          <w:rFonts w:eastAsia="Calibri"/>
          <w:lang w:val="en-US" w:eastAsia="en-US"/>
        </w:rPr>
      </w:pPr>
      <w:r w:rsidRPr="00E04ABF">
        <w:rPr>
          <w:rFonts w:eastAsia="Calibri"/>
          <w:b/>
          <w:lang w:val="en-US" w:eastAsia="en-US"/>
        </w:rPr>
        <w:t>ABSTRACT</w:t>
      </w:r>
    </w:p>
    <w:p w14:paraId="1FA94D2E" w14:textId="0AEC83AF" w:rsidR="00E04ABF" w:rsidRPr="00E04ABF" w:rsidRDefault="00E04ABF" w:rsidP="00E04A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E04ABF">
        <w:rPr>
          <w:b/>
          <w:lang w:val="en-US" w:eastAsia="es-ES"/>
        </w:rPr>
        <w:t>Introduction</w:t>
      </w:r>
      <w:r w:rsidRPr="00E04ABF">
        <w:rPr>
          <w:lang w:val="en-US" w:eastAsia="es-ES"/>
        </w:rPr>
        <w:t xml:space="preserve">: </w:t>
      </w:r>
      <w:r w:rsidRPr="00E04ABF">
        <w:rPr>
          <w:rFonts w:eastAsia="MS Mincho"/>
          <w:i/>
          <w:color w:val="000000"/>
          <w:lang w:val="en-US" w:eastAsia="es-ES"/>
        </w:rPr>
        <w:t>Helicobacter pylori</w:t>
      </w:r>
      <w:r w:rsidRPr="00E04ABF">
        <w:rPr>
          <w:rFonts w:eastAsia="MS Mincho"/>
          <w:color w:val="000000"/>
          <w:lang w:val="en-US" w:eastAsia="es-ES"/>
        </w:rPr>
        <w:t xml:space="preserve"> predisposes to gastric cancer.</w:t>
      </w:r>
      <w:r w:rsidRPr="00E04ABF">
        <w:rPr>
          <w:color w:val="000000"/>
          <w:lang w:val="en-US" w:eastAsia="es-ES"/>
        </w:rPr>
        <w:t xml:space="preserve"> </w:t>
      </w:r>
      <w:r w:rsidRPr="00E04ABF">
        <w:rPr>
          <w:rFonts w:eastAsia="MS Mincho"/>
          <w:color w:val="000000"/>
          <w:lang w:val="en-US" w:eastAsia="es-ES"/>
        </w:rPr>
        <w:t>Individuals with CagA</w:t>
      </w:r>
      <w:r w:rsidR="002C65ED">
        <w:rPr>
          <w:rFonts w:eastAsia="MS Mincho"/>
          <w:color w:val="000000"/>
          <w:lang w:val="en-US" w:eastAsia="es-ES"/>
        </w:rPr>
        <w:t xml:space="preserve"> </w:t>
      </w:r>
      <w:r w:rsidRPr="00E04ABF">
        <w:rPr>
          <w:rFonts w:eastAsia="MS Mincho"/>
          <w:color w:val="000000"/>
          <w:lang w:val="en-US" w:eastAsia="es-ES"/>
        </w:rPr>
        <w:t>and VacA s1m1 strains develop more severe mucosal lesions.</w:t>
      </w:r>
      <w:r w:rsidRPr="00E04ABF">
        <w:rPr>
          <w:color w:val="000000"/>
          <w:lang w:val="en-US" w:eastAsia="es-ES"/>
        </w:rPr>
        <w:t xml:space="preserve"> </w:t>
      </w:r>
      <w:r w:rsidRPr="00E04ABF">
        <w:rPr>
          <w:rFonts w:eastAsia="MS Mincho"/>
          <w:color w:val="000000"/>
          <w:lang w:val="en-US" w:eastAsia="es-ES"/>
        </w:rPr>
        <w:t>The Operative Link on Gastritis Assessment system allows determining the risk of cancer and defines atrophy as the typical lesion in the progression of chronic gastritis.</w:t>
      </w:r>
    </w:p>
    <w:p w14:paraId="3D02A3D8" w14:textId="77777777" w:rsidR="00E04ABF" w:rsidRPr="00E04ABF" w:rsidRDefault="00E04ABF" w:rsidP="00E04A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E04ABF">
        <w:rPr>
          <w:b/>
          <w:lang w:val="en-US" w:eastAsia="es-ES"/>
        </w:rPr>
        <w:t>Objective</w:t>
      </w:r>
      <w:r w:rsidRPr="00E04ABF">
        <w:rPr>
          <w:lang w:val="en-US" w:eastAsia="es-ES"/>
        </w:rPr>
        <w:t>:</w:t>
      </w:r>
      <w:r w:rsidRPr="00E04ABF">
        <w:rPr>
          <w:lang w:val="en" w:eastAsia="es-ES"/>
        </w:rPr>
        <w:t xml:space="preserve"> </w:t>
      </w:r>
      <w:r w:rsidRPr="00E04ABF">
        <w:rPr>
          <w:color w:val="000000"/>
          <w:lang w:val="en-US" w:eastAsia="es-ES"/>
        </w:rPr>
        <w:t xml:space="preserve">Relate the CagA and VacA genotypes of </w:t>
      </w:r>
      <w:r w:rsidRPr="00E04ABF">
        <w:rPr>
          <w:i/>
          <w:color w:val="000000"/>
          <w:lang w:val="en-US" w:eastAsia="es-ES"/>
        </w:rPr>
        <w:t>Helicobacter pylori</w:t>
      </w:r>
      <w:r w:rsidRPr="00E04ABF">
        <w:rPr>
          <w:color w:val="000000"/>
          <w:lang w:val="en-US" w:eastAsia="es-ES"/>
        </w:rPr>
        <w:t xml:space="preserve"> with precursor lesions of gastric cancer.</w:t>
      </w:r>
    </w:p>
    <w:p w14:paraId="29546FE9" w14:textId="44B48A07" w:rsidR="00E04ABF" w:rsidRPr="00E04ABF" w:rsidRDefault="00E04ABF" w:rsidP="00E04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E04ABF">
        <w:rPr>
          <w:b/>
          <w:lang w:val="en-US" w:eastAsia="es-ES"/>
        </w:rPr>
        <w:t>Methods</w:t>
      </w:r>
      <w:r w:rsidRPr="00E04ABF">
        <w:rPr>
          <w:lang w:val="en-US" w:eastAsia="es-ES"/>
        </w:rPr>
        <w:t xml:space="preserve">:  </w:t>
      </w:r>
      <w:r w:rsidRPr="00E04ABF">
        <w:rPr>
          <w:rFonts w:eastAsia="MS Mincho"/>
          <w:color w:val="000000"/>
          <w:lang w:val="en-US" w:eastAsia="es-ES"/>
        </w:rPr>
        <w:t>A descriptive study was carried out in 62 patients.</w:t>
      </w:r>
      <w:r w:rsidRPr="00E04ABF">
        <w:rPr>
          <w:color w:val="000000"/>
          <w:lang w:val="en-US" w:eastAsia="es-ES"/>
        </w:rPr>
        <w:t xml:space="preserve"> </w:t>
      </w:r>
      <w:r w:rsidRPr="00E04ABF">
        <w:rPr>
          <w:rFonts w:eastAsia="MS Mincho"/>
          <w:color w:val="000000"/>
          <w:lang w:val="en-US" w:eastAsia="es-ES"/>
        </w:rPr>
        <w:t xml:space="preserve">The variables included were the CagA and VacA genotypes of </w:t>
      </w:r>
      <w:r w:rsidRPr="00E04ABF">
        <w:rPr>
          <w:rFonts w:eastAsia="MS Mincho"/>
          <w:i/>
          <w:color w:val="000000"/>
          <w:lang w:val="en-US" w:eastAsia="es-ES"/>
        </w:rPr>
        <w:t>Helicobacter pylori</w:t>
      </w:r>
      <w:r w:rsidRPr="00E04ABF">
        <w:rPr>
          <w:rFonts w:eastAsia="MS Mincho"/>
          <w:color w:val="000000"/>
          <w:lang w:val="en-US" w:eastAsia="es-ES"/>
        </w:rPr>
        <w:t xml:space="preserve"> and the OLGA stages (0, I, II, III, IV), which were related.</w:t>
      </w:r>
      <w:r w:rsidRPr="00E04ABF">
        <w:rPr>
          <w:color w:val="000000"/>
          <w:lang w:val="en-US" w:eastAsia="es-ES"/>
        </w:rPr>
        <w:t xml:space="preserve"> </w:t>
      </w:r>
      <w:r w:rsidRPr="00E04ABF">
        <w:rPr>
          <w:rFonts w:eastAsia="MS Mincho"/>
          <w:color w:val="000000"/>
          <w:lang w:val="en-US" w:eastAsia="es-ES"/>
        </w:rPr>
        <w:t>The absolute frequency and the percentage were used as summary measures for qualitative variables.</w:t>
      </w:r>
      <w:r w:rsidRPr="00E04ABF">
        <w:rPr>
          <w:color w:val="000000"/>
          <w:lang w:val="en-US" w:eastAsia="es-ES"/>
        </w:rPr>
        <w:t xml:space="preserve"> </w:t>
      </w:r>
      <w:r w:rsidRPr="00E04ABF">
        <w:rPr>
          <w:rFonts w:eastAsia="MS Mincho"/>
          <w:color w:val="000000"/>
          <w:lang w:val="en-US" w:eastAsia="es-ES"/>
        </w:rPr>
        <w:t>To evaluate the association between qualitative variables, the X</w:t>
      </w:r>
      <w:r w:rsidRPr="00E04ABF">
        <w:rPr>
          <w:rFonts w:eastAsia="MS Mincho"/>
          <w:color w:val="000000"/>
          <w:vertAlign w:val="superscript"/>
          <w:lang w:val="en-US" w:eastAsia="es-ES"/>
        </w:rPr>
        <w:t>2</w:t>
      </w:r>
      <w:r w:rsidRPr="00E04ABF">
        <w:rPr>
          <w:rFonts w:eastAsia="MS Mincho"/>
          <w:color w:val="000000"/>
          <w:lang w:val="en-US" w:eastAsia="es-ES"/>
        </w:rPr>
        <w:t xml:space="preserve"> test (chi</w:t>
      </w:r>
      <w:r w:rsidR="002C65ED">
        <w:rPr>
          <w:rFonts w:eastAsia="MS Mincho"/>
          <w:color w:val="000000"/>
          <w:lang w:val="en-US" w:eastAsia="es-ES"/>
        </w:rPr>
        <w:t>-</w:t>
      </w:r>
      <w:r w:rsidRPr="00E04ABF">
        <w:rPr>
          <w:rFonts w:eastAsia="MS Mincho"/>
          <w:color w:val="000000"/>
          <w:lang w:val="en-US" w:eastAsia="es-ES"/>
        </w:rPr>
        <w:t>square) was applied.</w:t>
      </w:r>
      <w:r w:rsidRPr="00E04ABF">
        <w:rPr>
          <w:color w:val="000000"/>
          <w:lang w:val="en-US" w:eastAsia="es-ES"/>
        </w:rPr>
        <w:t xml:space="preserve"> </w:t>
      </w:r>
      <w:r w:rsidRPr="00E04ABF">
        <w:rPr>
          <w:rFonts w:eastAsia="MS Mincho"/>
          <w:color w:val="000000"/>
          <w:lang w:val="en-US" w:eastAsia="es-ES"/>
        </w:rPr>
        <w:t>A level of statistical significance p≤0.05 was accepted.</w:t>
      </w:r>
      <w:r w:rsidRPr="00E04ABF">
        <w:rPr>
          <w:color w:val="000000"/>
          <w:lang w:val="en-US" w:eastAsia="es-ES"/>
        </w:rPr>
        <w:t xml:space="preserve"> </w:t>
      </w:r>
      <w:r w:rsidRPr="00E04ABF">
        <w:rPr>
          <w:rFonts w:eastAsia="MS Mincho"/>
          <w:color w:val="000000"/>
          <w:lang w:val="en-US" w:eastAsia="es-ES"/>
        </w:rPr>
        <w:t>To explore the relationship between two dichotomous variables, the relative risk was used.</w:t>
      </w:r>
      <w:r w:rsidRPr="00E04ABF">
        <w:rPr>
          <w:color w:val="000000"/>
          <w:lang w:val="en-US" w:eastAsia="es-ES"/>
        </w:rPr>
        <w:t xml:space="preserve"> </w:t>
      </w:r>
      <w:r w:rsidRPr="00E04ABF">
        <w:rPr>
          <w:rFonts w:eastAsia="MS Mincho"/>
          <w:color w:val="000000"/>
          <w:lang w:val="en-US" w:eastAsia="es-ES"/>
        </w:rPr>
        <w:t>We worked with a confidence level of 95 %.</w:t>
      </w:r>
    </w:p>
    <w:p w14:paraId="2755FA57" w14:textId="77777777" w:rsidR="00E04ABF" w:rsidRPr="00E04ABF" w:rsidRDefault="00E04ABF" w:rsidP="00E04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E04ABF">
        <w:rPr>
          <w:b/>
          <w:lang w:val="en-US" w:eastAsia="es-ES"/>
        </w:rPr>
        <w:t>Development</w:t>
      </w:r>
      <w:r w:rsidRPr="00E04ABF">
        <w:rPr>
          <w:lang w:val="en-US" w:eastAsia="es-ES"/>
        </w:rPr>
        <w:t>:</w:t>
      </w:r>
      <w:r w:rsidRPr="00E04ABF">
        <w:rPr>
          <w:lang w:val="en" w:eastAsia="es-ES"/>
        </w:rPr>
        <w:t xml:space="preserve"> </w:t>
      </w:r>
      <w:r w:rsidRPr="00E04ABF">
        <w:rPr>
          <w:rFonts w:eastAsia="MS Mincho"/>
          <w:color w:val="000000"/>
          <w:lang w:val="en-US" w:eastAsia="es-ES"/>
        </w:rPr>
        <w:t>68 % of the patients with atrophy had a CagA genotype and 55 % had a VacA s1m1 genotype.</w:t>
      </w:r>
      <w:r w:rsidRPr="00E04ABF">
        <w:rPr>
          <w:color w:val="000000"/>
          <w:lang w:val="en-US" w:eastAsia="es-ES"/>
        </w:rPr>
        <w:t xml:space="preserve"> </w:t>
      </w:r>
      <w:r w:rsidRPr="00E04ABF">
        <w:rPr>
          <w:rFonts w:eastAsia="MS Mincho"/>
          <w:color w:val="000000"/>
          <w:lang w:val="en-US" w:eastAsia="es-ES"/>
        </w:rPr>
        <w:t>6 % of the patients with CagA were in stage 0;</w:t>
      </w:r>
      <w:r w:rsidRPr="00E04ABF">
        <w:rPr>
          <w:color w:val="000000"/>
          <w:lang w:val="en-US" w:eastAsia="es-ES"/>
        </w:rPr>
        <w:t xml:space="preserve"> </w:t>
      </w:r>
      <w:r w:rsidRPr="00E04ABF">
        <w:rPr>
          <w:rFonts w:eastAsia="MS Mincho"/>
          <w:color w:val="000000"/>
          <w:lang w:val="en-US" w:eastAsia="es-ES"/>
        </w:rPr>
        <w:t>11 % in stage I;</w:t>
      </w:r>
      <w:r w:rsidRPr="00E04ABF">
        <w:rPr>
          <w:color w:val="000000"/>
          <w:lang w:val="en-US" w:eastAsia="es-ES"/>
        </w:rPr>
        <w:t xml:space="preserve"> </w:t>
      </w:r>
      <w:r w:rsidRPr="00E04ABF">
        <w:rPr>
          <w:rFonts w:eastAsia="MS Mincho"/>
          <w:color w:val="000000"/>
          <w:lang w:val="en-US" w:eastAsia="es-ES"/>
        </w:rPr>
        <w:t>40 % in stage II and 16 % in stage III.</w:t>
      </w:r>
      <w:r w:rsidRPr="00E04ABF">
        <w:rPr>
          <w:color w:val="000000"/>
          <w:lang w:val="en-US" w:eastAsia="es-ES"/>
        </w:rPr>
        <w:t xml:space="preserve"> </w:t>
      </w:r>
      <w:r w:rsidRPr="00E04ABF">
        <w:rPr>
          <w:rFonts w:eastAsia="MS Mincho"/>
          <w:color w:val="000000"/>
          <w:lang w:val="en-US" w:eastAsia="es-ES"/>
        </w:rPr>
        <w:t>37 % of the patients with VacA s1m1 were stage II.</w:t>
      </w:r>
    </w:p>
    <w:p w14:paraId="28719407" w14:textId="77777777" w:rsidR="00E04ABF" w:rsidRPr="00E04ABF" w:rsidRDefault="00E04ABF" w:rsidP="00E04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E04ABF">
        <w:rPr>
          <w:b/>
          <w:lang w:val="en-US" w:eastAsia="es-ES"/>
        </w:rPr>
        <w:t>Conclusions</w:t>
      </w:r>
      <w:r w:rsidRPr="00E04ABF">
        <w:rPr>
          <w:lang w:val="en-US" w:eastAsia="es-ES"/>
        </w:rPr>
        <w:t>:</w:t>
      </w:r>
      <w:r w:rsidRPr="00E04ABF">
        <w:rPr>
          <w:lang w:val="en" w:eastAsia="es-ES"/>
        </w:rPr>
        <w:t xml:space="preserve"> The CagA and VacA s1m1 genotypes were the most frequent and were related to the presence of gastric atrophy.</w:t>
      </w:r>
    </w:p>
    <w:p w14:paraId="2848A1C4" w14:textId="77777777" w:rsidR="00E04ABF" w:rsidRPr="00E04ABF" w:rsidRDefault="00E04ABF" w:rsidP="00E04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E04ABF">
        <w:rPr>
          <w:b/>
          <w:lang w:val="en-US" w:eastAsia="es-ES"/>
        </w:rPr>
        <w:t>Keywords</w:t>
      </w:r>
      <w:r w:rsidRPr="00E04ABF">
        <w:rPr>
          <w:lang w:val="en-US" w:eastAsia="es-ES"/>
        </w:rPr>
        <w:t>:</w:t>
      </w:r>
      <w:r w:rsidRPr="00E04ABF">
        <w:rPr>
          <w:lang w:val="en" w:eastAsia="es-ES"/>
        </w:rPr>
        <w:t xml:space="preserve"> </w:t>
      </w:r>
      <w:r w:rsidRPr="00E04ABF">
        <w:rPr>
          <w:i/>
          <w:lang w:val="en" w:eastAsia="es-ES"/>
        </w:rPr>
        <w:t>Helicobacter pylori</w:t>
      </w:r>
      <w:r w:rsidRPr="00E04ABF">
        <w:rPr>
          <w:lang w:val="en" w:eastAsia="es-ES"/>
        </w:rPr>
        <w:t>; CagA; VacA; gastric atrophy.</w:t>
      </w:r>
    </w:p>
    <w:p w14:paraId="0572B226" w14:textId="77777777" w:rsidR="00E04ABF" w:rsidRPr="00E04ABF" w:rsidRDefault="00E04ABF" w:rsidP="00E04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p>
    <w:p w14:paraId="1C291C65" w14:textId="77777777" w:rsidR="00E04ABF" w:rsidRPr="00E04ABF" w:rsidRDefault="00E04ABF" w:rsidP="00E04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p>
    <w:p w14:paraId="70331832" w14:textId="77777777" w:rsidR="00E04ABF" w:rsidRPr="00E04ABF" w:rsidRDefault="00E04ABF" w:rsidP="00E04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CU" w:eastAsia="es-ES"/>
        </w:rPr>
      </w:pPr>
      <w:r w:rsidRPr="00E04ABF">
        <w:rPr>
          <w:lang w:val="es-CU" w:eastAsia="es-ES"/>
        </w:rPr>
        <w:t>Recibido: 13/05/2020</w:t>
      </w:r>
    </w:p>
    <w:p w14:paraId="73341745" w14:textId="77777777" w:rsidR="00E04ABF" w:rsidRPr="00E04ABF" w:rsidRDefault="00E04ABF" w:rsidP="00E04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CU" w:eastAsia="es-ES"/>
        </w:rPr>
      </w:pPr>
      <w:r w:rsidRPr="00E04ABF">
        <w:rPr>
          <w:lang w:val="es-CU" w:eastAsia="es-ES"/>
        </w:rPr>
        <w:t>Aprobado: 02/02/2021</w:t>
      </w:r>
    </w:p>
    <w:p w14:paraId="306D9B7E" w14:textId="77777777" w:rsidR="00E04ABF" w:rsidRPr="00E04ABF" w:rsidRDefault="00E04ABF" w:rsidP="00E04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CU" w:eastAsia="es-ES"/>
        </w:rPr>
      </w:pPr>
    </w:p>
    <w:p w14:paraId="77F2FA20" w14:textId="77777777" w:rsidR="00E04ABF" w:rsidRPr="00E04ABF" w:rsidRDefault="00E04ABF" w:rsidP="00E04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CU" w:eastAsia="es-ES"/>
        </w:rPr>
      </w:pPr>
    </w:p>
    <w:p w14:paraId="3F729729" w14:textId="77777777" w:rsidR="00E04ABF" w:rsidRPr="00E04ABF" w:rsidRDefault="00E04ABF" w:rsidP="00E04ABF">
      <w:pPr>
        <w:tabs>
          <w:tab w:val="left" w:pos="2049"/>
          <w:tab w:val="left" w:pos="6210"/>
        </w:tabs>
        <w:autoSpaceDE w:val="0"/>
        <w:autoSpaceDN w:val="0"/>
        <w:adjustRightInd w:val="0"/>
        <w:spacing w:line="360" w:lineRule="auto"/>
        <w:jc w:val="center"/>
        <w:rPr>
          <w:rFonts w:eastAsia="MS Mincho"/>
          <w:b/>
          <w:sz w:val="32"/>
          <w:szCs w:val="32"/>
          <w:lang w:val="es-ES" w:eastAsia="es-ES"/>
        </w:rPr>
      </w:pPr>
      <w:r w:rsidRPr="00E04ABF">
        <w:rPr>
          <w:rFonts w:eastAsia="MS Mincho"/>
          <w:b/>
          <w:sz w:val="32"/>
          <w:szCs w:val="32"/>
          <w:lang w:val="es-ES" w:eastAsia="es-ES"/>
        </w:rPr>
        <w:t>INTRODUCCIÓN</w:t>
      </w:r>
    </w:p>
    <w:p w14:paraId="2A1DCB59" w14:textId="77777777" w:rsidR="00E04ABF" w:rsidRPr="00E04ABF" w:rsidRDefault="00E04ABF" w:rsidP="00E04ABF">
      <w:pPr>
        <w:autoSpaceDE w:val="0"/>
        <w:autoSpaceDN w:val="0"/>
        <w:adjustRightInd w:val="0"/>
        <w:spacing w:line="360" w:lineRule="auto"/>
        <w:jc w:val="both"/>
        <w:rPr>
          <w:rFonts w:eastAsia="TimesNewRomanPSMT"/>
          <w:lang w:val="es-US" w:eastAsia="zh-CN"/>
        </w:rPr>
      </w:pPr>
      <w:r w:rsidRPr="00E04ABF">
        <w:rPr>
          <w:rFonts w:eastAsia="TimesNewRomanPSMT"/>
          <w:lang w:val="es-US" w:eastAsia="zh-CN"/>
        </w:rPr>
        <w:t xml:space="preserve">El estómago humano, órgano que muchos pensaban fuese estéril por su elevado contenido en ácido clorhídrico, puede ser colonizado por </w:t>
      </w:r>
      <w:r w:rsidRPr="00E04ABF">
        <w:rPr>
          <w:rFonts w:eastAsia="Calibri"/>
          <w:i/>
          <w:iCs/>
          <w:lang w:val="es-US" w:eastAsia="zh-CN"/>
        </w:rPr>
        <w:t>Helicobacter pylori (H. pylori), una</w:t>
      </w:r>
      <w:r w:rsidRPr="00E04ABF">
        <w:rPr>
          <w:rFonts w:eastAsia="TimesNewRomanPSMT"/>
          <w:lang w:val="es-US" w:eastAsia="zh-CN"/>
        </w:rPr>
        <w:t xml:space="preserve"> bacteria gram negativa, que afecta a más del 50 % de la población mundial.</w:t>
      </w:r>
      <w:r w:rsidRPr="00E04ABF">
        <w:rPr>
          <w:rFonts w:eastAsia="TimesNewRomanPSMT"/>
          <w:vertAlign w:val="superscript"/>
          <w:lang w:val="es-US" w:eastAsia="zh-CN"/>
        </w:rPr>
        <w:t>(1)</w:t>
      </w:r>
      <w:r w:rsidRPr="00E04ABF">
        <w:rPr>
          <w:rFonts w:eastAsia="TimesNewRomanPSMT"/>
          <w:lang w:val="es-US" w:eastAsia="zh-CN"/>
        </w:rPr>
        <w:t xml:space="preserve"> </w:t>
      </w:r>
    </w:p>
    <w:p w14:paraId="540EEBCC" w14:textId="77777777" w:rsidR="00E04ABF" w:rsidRPr="00E04ABF" w:rsidRDefault="00E04ABF" w:rsidP="00E04ABF">
      <w:pPr>
        <w:autoSpaceDE w:val="0"/>
        <w:autoSpaceDN w:val="0"/>
        <w:adjustRightInd w:val="0"/>
        <w:spacing w:line="360" w:lineRule="auto"/>
        <w:jc w:val="both"/>
        <w:rPr>
          <w:rFonts w:eastAsia="Calibri"/>
          <w:lang w:val="es-US" w:eastAsia="zh-CN"/>
        </w:rPr>
      </w:pPr>
      <w:r w:rsidRPr="00E04ABF">
        <w:rPr>
          <w:rFonts w:eastAsia="TimesNewRomanPSMT"/>
          <w:lang w:val="es-US" w:eastAsia="zh-CN"/>
        </w:rPr>
        <w:t>Este germen, está relacionado con el desarrollo de úlceras gástricas y duodenales, linfoma y cáncer gástrico (CG).</w:t>
      </w:r>
      <w:r w:rsidRPr="00E04ABF">
        <w:rPr>
          <w:rFonts w:eastAsia="Calibri"/>
          <w:vertAlign w:val="superscript"/>
          <w:lang w:val="es-US" w:eastAsia="zh-CN"/>
        </w:rPr>
        <w:t>(2)</w:t>
      </w:r>
      <w:r w:rsidRPr="00E04ABF">
        <w:rPr>
          <w:rFonts w:eastAsia="Calibri"/>
          <w:lang w:val="es-US" w:eastAsia="zh-CN"/>
        </w:rPr>
        <w:t xml:space="preserve"> </w:t>
      </w:r>
      <w:r w:rsidRPr="00E04ABF">
        <w:rPr>
          <w:rFonts w:eastAsia="TimesNewRomanPSMT"/>
          <w:lang w:val="es-US" w:eastAsia="zh-CN"/>
        </w:rPr>
        <w:t xml:space="preserve">Sin embargo, no todos los infectados desarrollan enfermedad clínica. Este comportamiento se relaciona </w:t>
      </w:r>
      <w:r w:rsidRPr="00E04ABF">
        <w:rPr>
          <w:rFonts w:eastAsia="Calibri"/>
          <w:lang w:val="es-US" w:eastAsia="zh-CN"/>
        </w:rPr>
        <w:t>con factores genéticos, ambientales y el genotipo de la cepa que coloniza la mucosa gástrica.</w:t>
      </w:r>
      <w:r w:rsidRPr="00E04ABF">
        <w:rPr>
          <w:rFonts w:eastAsia="Calibri"/>
          <w:vertAlign w:val="superscript"/>
          <w:lang w:val="es-US" w:eastAsia="zh-CN"/>
        </w:rPr>
        <w:t>(3)</w:t>
      </w:r>
      <w:r w:rsidRPr="00E04ABF">
        <w:rPr>
          <w:rFonts w:eastAsia="Calibri"/>
          <w:lang w:val="es-US" w:eastAsia="zh-CN"/>
        </w:rPr>
        <w:t xml:space="preserve"> </w:t>
      </w:r>
    </w:p>
    <w:p w14:paraId="5B78E279" w14:textId="77777777" w:rsidR="00E04ABF" w:rsidRPr="00E04ABF" w:rsidRDefault="00E04ABF" w:rsidP="00E04ABF">
      <w:pPr>
        <w:autoSpaceDE w:val="0"/>
        <w:autoSpaceDN w:val="0"/>
        <w:adjustRightInd w:val="0"/>
        <w:spacing w:line="360" w:lineRule="auto"/>
        <w:jc w:val="both"/>
        <w:rPr>
          <w:rFonts w:eastAsia="MS Mincho"/>
          <w:shd w:val="clear" w:color="auto" w:fill="FFFFFF"/>
          <w:lang w:val="es-ES" w:eastAsia="es-ES"/>
        </w:rPr>
      </w:pPr>
      <w:r w:rsidRPr="00E04ABF">
        <w:rPr>
          <w:rFonts w:eastAsia="MS Mincho"/>
          <w:shd w:val="clear" w:color="auto" w:fill="FFFFFF"/>
          <w:lang w:val="es-ES" w:eastAsia="es-ES"/>
        </w:rPr>
        <w:t xml:space="preserve">La infección por </w:t>
      </w:r>
      <w:r w:rsidRPr="00E04ABF">
        <w:rPr>
          <w:rFonts w:eastAsia="MS Mincho"/>
          <w:i/>
          <w:shd w:val="clear" w:color="auto" w:fill="FFFFFF"/>
          <w:lang w:val="es-ES" w:eastAsia="es-ES"/>
        </w:rPr>
        <w:t>H. pylori</w:t>
      </w:r>
      <w:r w:rsidRPr="00E04ABF">
        <w:rPr>
          <w:rFonts w:eastAsia="MS Mincho"/>
          <w:shd w:val="clear" w:color="auto" w:fill="FFFFFF"/>
          <w:lang w:val="es-ES" w:eastAsia="es-ES"/>
        </w:rPr>
        <w:t xml:space="preserve"> es la principal causa de gastritis crónica,</w:t>
      </w:r>
      <w:r w:rsidRPr="00E04ABF">
        <w:rPr>
          <w:rFonts w:eastAsia="MS Mincho"/>
          <w:shd w:val="clear" w:color="auto" w:fill="FFFFFF"/>
          <w:vertAlign w:val="superscript"/>
          <w:lang w:val="es-ES" w:eastAsia="es-ES"/>
        </w:rPr>
        <w:t>(4)</w:t>
      </w:r>
      <w:r w:rsidRPr="00E04ABF">
        <w:rPr>
          <w:rFonts w:eastAsia="MS Mincho"/>
          <w:shd w:val="clear" w:color="auto" w:fill="FFFFFF"/>
          <w:lang w:val="es-ES" w:eastAsia="es-ES"/>
        </w:rPr>
        <w:t xml:space="preserve"> en la que evolutivamente, pueden surgir, producto de la inflamación causada</w:t>
      </w:r>
      <w:r w:rsidRPr="00E04ABF">
        <w:rPr>
          <w:rFonts w:eastAsia="MS Mincho"/>
          <w:color w:val="FF0000"/>
          <w:shd w:val="clear" w:color="auto" w:fill="FFFFFF"/>
          <w:lang w:val="es-ES" w:eastAsia="es-ES"/>
        </w:rPr>
        <w:t xml:space="preserve"> </w:t>
      </w:r>
      <w:r w:rsidRPr="00E04ABF">
        <w:rPr>
          <w:rFonts w:eastAsia="MS Mincho"/>
          <w:shd w:val="clear" w:color="auto" w:fill="FFFFFF"/>
          <w:lang w:val="es-ES" w:eastAsia="es-ES"/>
        </w:rPr>
        <w:t>en la mucosa gástrica por esta bacteria, la atrofia, la</w:t>
      </w:r>
      <w:r w:rsidRPr="00E04ABF">
        <w:rPr>
          <w:rFonts w:eastAsia="MS Mincho"/>
          <w:color w:val="0070C0"/>
          <w:shd w:val="clear" w:color="auto" w:fill="FFFFFF"/>
          <w:lang w:val="es-ES" w:eastAsia="es-ES"/>
        </w:rPr>
        <w:t xml:space="preserve"> </w:t>
      </w:r>
      <w:r w:rsidRPr="00E04ABF">
        <w:rPr>
          <w:rFonts w:eastAsia="MS Mincho"/>
          <w:shd w:val="clear" w:color="auto" w:fill="FFFFFF"/>
          <w:lang w:val="es-ES" w:eastAsia="es-ES"/>
        </w:rPr>
        <w:t>metaplasia intestinal (MI) y la displasia. Precisamente, a través d</w:t>
      </w:r>
      <w:r w:rsidRPr="00E04ABF">
        <w:rPr>
          <w:rFonts w:eastAsia="Calibri"/>
          <w:lang w:val="es-US" w:eastAsia="zh-CN"/>
        </w:rPr>
        <w:t xml:space="preserve">el sistema </w:t>
      </w:r>
      <w:r w:rsidRPr="00E04ABF">
        <w:rPr>
          <w:rFonts w:eastAsia="Calibri"/>
          <w:i/>
          <w:lang w:val="es-US" w:eastAsia="zh-CN"/>
        </w:rPr>
        <w:t xml:space="preserve">Operative Link on Gastritis Assessment </w:t>
      </w:r>
      <w:r w:rsidRPr="00E04ABF">
        <w:rPr>
          <w:rFonts w:eastAsia="Calibri"/>
          <w:iCs/>
          <w:lang w:val="es-US" w:eastAsia="zh-CN"/>
        </w:rPr>
        <w:t>(OLGA)</w:t>
      </w:r>
      <w:r w:rsidRPr="00E04ABF">
        <w:rPr>
          <w:rFonts w:eastAsia="Calibri"/>
          <w:lang w:val="es-US" w:eastAsia="zh-CN"/>
        </w:rPr>
        <w:t xml:space="preserve"> se puede determinar el riesgo de CG, el cual define la atrofia gástrica (AG) como la lesión típica de progresión de la gastritis crónica</w:t>
      </w:r>
      <w:r w:rsidRPr="00E04ABF">
        <w:rPr>
          <w:rFonts w:eastAsia="Calibri"/>
          <w:vertAlign w:val="superscript"/>
          <w:lang w:val="es-US" w:eastAsia="zh-CN"/>
        </w:rPr>
        <w:t xml:space="preserve">(2) </w:t>
      </w:r>
      <w:r w:rsidRPr="00E04ABF">
        <w:rPr>
          <w:rFonts w:eastAsia="Calibri"/>
          <w:lang w:val="es-US" w:eastAsia="zh-CN"/>
        </w:rPr>
        <w:t xml:space="preserve">y </w:t>
      </w:r>
      <w:r w:rsidRPr="00E04ABF">
        <w:rPr>
          <w:rFonts w:eastAsia="MS Mincho"/>
          <w:shd w:val="clear" w:color="auto" w:fill="FFFFFF"/>
          <w:lang w:val="es-ES" w:eastAsia="es-ES"/>
        </w:rPr>
        <w:t>está considerada como una lesión precursora de CG.</w:t>
      </w:r>
      <w:r w:rsidRPr="00E04ABF">
        <w:rPr>
          <w:rFonts w:eastAsia="MS Mincho"/>
          <w:shd w:val="clear" w:color="auto" w:fill="FFFFFF"/>
          <w:vertAlign w:val="superscript"/>
          <w:lang w:val="es-ES" w:eastAsia="es-ES"/>
        </w:rPr>
        <w:t>(5)</w:t>
      </w:r>
    </w:p>
    <w:p w14:paraId="47953557" w14:textId="77777777" w:rsidR="00E04ABF" w:rsidRPr="00E04ABF" w:rsidRDefault="00E04ABF" w:rsidP="00E04ABF">
      <w:pPr>
        <w:tabs>
          <w:tab w:val="left" w:pos="2049"/>
          <w:tab w:val="left" w:pos="6210"/>
        </w:tabs>
        <w:autoSpaceDE w:val="0"/>
        <w:autoSpaceDN w:val="0"/>
        <w:adjustRightInd w:val="0"/>
        <w:spacing w:line="360" w:lineRule="auto"/>
        <w:jc w:val="both"/>
        <w:rPr>
          <w:rFonts w:eastAsia="MS Mincho"/>
          <w:shd w:val="clear" w:color="auto" w:fill="FFFFFF"/>
          <w:vertAlign w:val="superscript"/>
          <w:lang w:val="es-ES" w:eastAsia="es-ES"/>
        </w:rPr>
      </w:pPr>
      <w:r w:rsidRPr="00E04ABF">
        <w:rPr>
          <w:rFonts w:eastAsia="MS Mincho"/>
          <w:shd w:val="clear" w:color="auto" w:fill="FFFFFF"/>
          <w:lang w:val="es-ES" w:eastAsia="es-ES"/>
        </w:rPr>
        <w:t>En la práctica médica, el diagnóstico de estas lesiones premalignas se dificulta en los pacientes que permanecen asintomáticos o con síntomas inespecíficos de dispepsia. Esto requiere de una historia clínica y estudios endoscópicos del tracto digestivo superior, con la realización de un número suficiente de biopsias gástricas ya que la distribución de las lesiones no es uniforme, como tampoco es la colonización de la mucosa gástrica por la bacteria.</w:t>
      </w:r>
      <w:r w:rsidRPr="00E04ABF">
        <w:rPr>
          <w:rFonts w:eastAsia="MS Mincho"/>
          <w:shd w:val="clear" w:color="auto" w:fill="FFFFFF"/>
          <w:vertAlign w:val="superscript"/>
          <w:lang w:val="es-ES" w:eastAsia="es-ES"/>
        </w:rPr>
        <w:t>(6)</w:t>
      </w:r>
    </w:p>
    <w:p w14:paraId="422C2E56" w14:textId="77777777" w:rsidR="00E04ABF" w:rsidRPr="00E04ABF" w:rsidRDefault="00E04ABF" w:rsidP="00E04ABF">
      <w:pPr>
        <w:tabs>
          <w:tab w:val="left" w:pos="2049"/>
          <w:tab w:val="left" w:pos="6210"/>
        </w:tabs>
        <w:autoSpaceDE w:val="0"/>
        <w:autoSpaceDN w:val="0"/>
        <w:adjustRightInd w:val="0"/>
        <w:spacing w:line="360" w:lineRule="auto"/>
        <w:jc w:val="both"/>
        <w:rPr>
          <w:rFonts w:eastAsia="MS Mincho"/>
          <w:b/>
          <w:vertAlign w:val="superscript"/>
          <w:lang w:val="es-ES" w:eastAsia="es-ES"/>
        </w:rPr>
      </w:pPr>
      <w:r w:rsidRPr="00E04ABF">
        <w:rPr>
          <w:rFonts w:eastAsia="MS Mincho"/>
          <w:shd w:val="clear" w:color="auto" w:fill="FFFFFF"/>
          <w:lang w:val="es-ES" w:eastAsia="es-ES"/>
        </w:rPr>
        <w:t>Resulta vital el diagnóstico precoz de lesiones premalignas gástricas, con el objetivo de brindarle al paciente el seguimiento y tratamiento adecuados. Esto también facilita el diagnóstico precoz o en etapas iniciales del CG. Las etapas avanzadas ofrecen muy pocas opciones de tratamiento curativo al enfermo.</w:t>
      </w:r>
      <w:r w:rsidRPr="00E04ABF">
        <w:rPr>
          <w:rFonts w:eastAsia="MS Mincho"/>
          <w:shd w:val="clear" w:color="auto" w:fill="FFFFFF"/>
          <w:vertAlign w:val="superscript"/>
          <w:lang w:val="es-ES" w:eastAsia="es-ES"/>
        </w:rPr>
        <w:t>(7)</w:t>
      </w:r>
      <w:r w:rsidRPr="00E04ABF">
        <w:rPr>
          <w:rFonts w:eastAsia="MS Mincho"/>
          <w:shd w:val="clear" w:color="auto" w:fill="FFFFFF"/>
          <w:lang w:val="es-ES" w:eastAsia="es-ES"/>
        </w:rPr>
        <w:t xml:space="preserve"> </w:t>
      </w:r>
    </w:p>
    <w:p w14:paraId="33FA6A04" w14:textId="77777777" w:rsidR="00E04ABF" w:rsidRPr="00E04ABF" w:rsidRDefault="00E04ABF" w:rsidP="00E04ABF">
      <w:pPr>
        <w:autoSpaceDE w:val="0"/>
        <w:autoSpaceDN w:val="0"/>
        <w:adjustRightInd w:val="0"/>
        <w:spacing w:line="360" w:lineRule="auto"/>
        <w:jc w:val="both"/>
        <w:rPr>
          <w:rFonts w:eastAsia="MS Mincho"/>
          <w:lang w:val="es-ES" w:eastAsia="es-ES"/>
        </w:rPr>
      </w:pPr>
      <w:r w:rsidRPr="00E04ABF">
        <w:rPr>
          <w:rFonts w:eastAsia="MS Mincho"/>
          <w:lang w:val="es-ES" w:eastAsia="es-ES"/>
        </w:rPr>
        <w:lastRenderedPageBreak/>
        <w:t xml:space="preserve">Se ha demostrado que la bacteria </w:t>
      </w:r>
      <w:r w:rsidRPr="00E04ABF">
        <w:rPr>
          <w:rFonts w:eastAsia="MS Mincho"/>
          <w:i/>
          <w:shd w:val="clear" w:color="auto" w:fill="FFFFFF"/>
          <w:lang w:val="es-ES" w:eastAsia="es-ES"/>
        </w:rPr>
        <w:t>H. pylori</w:t>
      </w:r>
      <w:r w:rsidRPr="00E04ABF">
        <w:rPr>
          <w:rFonts w:eastAsia="MS Mincho"/>
          <w:shd w:val="clear" w:color="auto" w:fill="FFFFFF"/>
          <w:lang w:val="es-ES" w:eastAsia="es-ES"/>
        </w:rPr>
        <w:t xml:space="preserve"> </w:t>
      </w:r>
      <w:r w:rsidRPr="00E04ABF">
        <w:rPr>
          <w:rFonts w:eastAsia="MS Mincho"/>
          <w:lang w:val="es-ES" w:eastAsia="es-ES"/>
        </w:rPr>
        <w:t>cuenta con diversos factores de virulencia que contribuyen al daño de la mucosa. De sus dos tipos de cepas (tipo I y tipo II), el tipo I (que expresa CagA y VacA) es el más virulento. En las cepas tipo II no se expresan estos marcadores.</w:t>
      </w:r>
      <w:r w:rsidRPr="00E04ABF">
        <w:rPr>
          <w:rFonts w:eastAsia="MS Mincho"/>
          <w:vertAlign w:val="superscript"/>
          <w:lang w:val="es-ES" w:eastAsia="es-ES"/>
        </w:rPr>
        <w:t xml:space="preserve">(8) </w:t>
      </w:r>
      <w:r w:rsidRPr="00E04ABF">
        <w:rPr>
          <w:rFonts w:eastAsia="MS Mincho"/>
          <w:lang w:val="es-ES" w:eastAsia="es-ES"/>
        </w:rPr>
        <w:t xml:space="preserve"> </w:t>
      </w:r>
    </w:p>
    <w:p w14:paraId="28C1EDF3" w14:textId="77777777" w:rsidR="00E04ABF" w:rsidRPr="00E04ABF" w:rsidRDefault="00E04ABF" w:rsidP="00E04ABF">
      <w:pPr>
        <w:autoSpaceDE w:val="0"/>
        <w:autoSpaceDN w:val="0"/>
        <w:adjustRightInd w:val="0"/>
        <w:spacing w:line="360" w:lineRule="auto"/>
        <w:jc w:val="both"/>
        <w:rPr>
          <w:rFonts w:eastAsia="MS Mincho"/>
          <w:vertAlign w:val="superscript"/>
          <w:lang w:val="es-US" w:eastAsia="es-ES"/>
        </w:rPr>
      </w:pPr>
      <w:r w:rsidRPr="00E04ABF">
        <w:rPr>
          <w:rFonts w:eastAsia="MS Mincho"/>
          <w:lang w:val="es-ES" w:eastAsia="es-ES"/>
        </w:rPr>
        <w:t xml:space="preserve">Los </w:t>
      </w:r>
      <w:r w:rsidRPr="00E04ABF">
        <w:rPr>
          <w:lang w:val="es-ES" w:eastAsia="es-ES"/>
        </w:rPr>
        <w:t>pacientes con cepas</w:t>
      </w:r>
      <w:r w:rsidRPr="00E04ABF">
        <w:rPr>
          <w:i/>
          <w:lang w:val="es-ES" w:eastAsia="es-ES"/>
        </w:rPr>
        <w:t xml:space="preserve"> </w:t>
      </w:r>
      <w:r w:rsidRPr="00E04ABF">
        <w:rPr>
          <w:lang w:val="es-ES" w:eastAsia="es-ES"/>
        </w:rPr>
        <w:t xml:space="preserve">CagA positivas presentan mayor gravedad de la inflamación en la mucosa gástrica y tienen mayor probabilidad de desarrollar </w:t>
      </w:r>
      <w:r w:rsidRPr="00E04ABF">
        <w:rPr>
          <w:rFonts w:eastAsia="MS Mincho"/>
          <w:lang w:val="es-ES" w:eastAsia="es-ES"/>
        </w:rPr>
        <w:t xml:space="preserve">úlcera péptica, gastritis crónica atrófica (GCA) y adenocarcinoma gástrico, que aquellos </w:t>
      </w:r>
      <w:r w:rsidRPr="00E04ABF">
        <w:rPr>
          <w:lang w:val="es-ES" w:eastAsia="es-ES"/>
        </w:rPr>
        <w:t>con cepas CagA negativas.</w:t>
      </w:r>
      <w:r w:rsidRPr="00E04ABF">
        <w:rPr>
          <w:vertAlign w:val="superscript"/>
          <w:lang w:val="es-ES" w:eastAsia="es-ES"/>
        </w:rPr>
        <w:t xml:space="preserve">(9) </w:t>
      </w:r>
      <w:r w:rsidRPr="00E04ABF">
        <w:rPr>
          <w:rFonts w:eastAsia="MS Mincho"/>
          <w:lang w:val="es-ES" w:eastAsia="es-ES"/>
        </w:rPr>
        <w:t>En el caso de VacA, este se ha relacionado con el desarrollo de procesos tumorales al inducir la expresión del factor de crecimiento vascular endotelial.</w:t>
      </w:r>
      <w:bookmarkStart w:id="0" w:name="_Toc513039391"/>
      <w:bookmarkStart w:id="1" w:name="_Toc35371587"/>
      <w:r w:rsidRPr="00E04ABF">
        <w:rPr>
          <w:rFonts w:eastAsia="MS Mincho"/>
          <w:lang w:val="es-ES" w:eastAsia="es-ES"/>
        </w:rPr>
        <w:t xml:space="preserve"> </w:t>
      </w:r>
      <w:r w:rsidRPr="00E04ABF">
        <w:rPr>
          <w:rFonts w:eastAsia="MS Mincho"/>
          <w:lang w:val="es-US" w:eastAsia="es-ES"/>
        </w:rPr>
        <w:t>VacA está asociada al desarrollo de úlcera y adenocarcinoma gástrico. Se conocen tres tipos de cepas: s1m1, s1m2 y s2m2, de ahí la diversidad genética de VacA. Las dos primeras son muy toxigénicas, a diferencia de las cepas s2m2, que tienen poca citotoxicidad. Las</w:t>
      </w:r>
      <w:r w:rsidRPr="00E04ABF">
        <w:rPr>
          <w:lang w:val="es-ES" w:eastAsia="es-ES"/>
        </w:rPr>
        <w:t xml:space="preserve"> cepas VacA s1m1 están asociadas a una enfermedad más grave.</w:t>
      </w:r>
      <w:r w:rsidRPr="00E04ABF">
        <w:rPr>
          <w:vertAlign w:val="superscript"/>
          <w:lang w:val="es-ES" w:eastAsia="es-ES"/>
        </w:rPr>
        <w:t>(10)</w:t>
      </w:r>
    </w:p>
    <w:p w14:paraId="32D25C98" w14:textId="77777777" w:rsidR="00E04ABF" w:rsidRPr="00E04ABF" w:rsidRDefault="00E04ABF" w:rsidP="00E04ABF">
      <w:pPr>
        <w:spacing w:line="360" w:lineRule="auto"/>
        <w:jc w:val="both"/>
        <w:rPr>
          <w:rFonts w:eastAsia="MS Mincho"/>
          <w:lang w:val="es-ES" w:eastAsia="es-ES"/>
        </w:rPr>
      </w:pPr>
      <w:r w:rsidRPr="00E04ABF">
        <w:rPr>
          <w:rFonts w:eastAsia="MS Mincho"/>
          <w:lang w:val="es-US" w:eastAsia="es-ES"/>
        </w:rPr>
        <w:t xml:space="preserve">Esta investigación se realizó con el </w:t>
      </w:r>
      <w:r w:rsidRPr="00E04ABF">
        <w:rPr>
          <w:rFonts w:eastAsia="MS Mincho"/>
          <w:lang w:val="es-ES" w:eastAsia="es-ES"/>
        </w:rPr>
        <w:t xml:space="preserve">objetivo de relacionar los genotipos </w:t>
      </w:r>
      <w:r w:rsidRPr="00E04ABF">
        <w:rPr>
          <w:rFonts w:eastAsia="MS Mincho"/>
          <w:lang w:val="es-MX" w:eastAsia="es-ES" w:bidi="en-US"/>
        </w:rPr>
        <w:t xml:space="preserve">CagA y VacA </w:t>
      </w:r>
      <w:r w:rsidRPr="00E04ABF">
        <w:rPr>
          <w:rFonts w:eastAsia="MS Mincho"/>
          <w:lang w:val="es-ES" w:eastAsia="es-ES"/>
        </w:rPr>
        <w:t xml:space="preserve">del </w:t>
      </w:r>
      <w:r w:rsidRPr="00E04ABF">
        <w:rPr>
          <w:rFonts w:eastAsia="MS Mincho"/>
          <w:i/>
          <w:lang w:val="es-ES" w:eastAsia="es-ES"/>
        </w:rPr>
        <w:t>Helicobacter pylori</w:t>
      </w:r>
      <w:r w:rsidRPr="00E04ABF">
        <w:rPr>
          <w:rFonts w:eastAsia="MS Mincho"/>
          <w:lang w:val="es-ES" w:eastAsia="es-ES"/>
        </w:rPr>
        <w:t xml:space="preserve"> con lesiones precursoras de CG.</w:t>
      </w:r>
    </w:p>
    <w:p w14:paraId="4B36FA7A" w14:textId="77777777" w:rsidR="00E04ABF" w:rsidRPr="00E04ABF" w:rsidRDefault="00E04ABF" w:rsidP="00E04ABF">
      <w:pPr>
        <w:spacing w:line="360" w:lineRule="auto"/>
        <w:jc w:val="both"/>
        <w:rPr>
          <w:rFonts w:eastAsia="MS Mincho"/>
          <w:lang w:val="es-ES" w:eastAsia="es-ES"/>
        </w:rPr>
      </w:pPr>
    </w:p>
    <w:p w14:paraId="1733EA32" w14:textId="77777777" w:rsidR="00E04ABF" w:rsidRPr="00E04ABF" w:rsidRDefault="00E04ABF" w:rsidP="00E04ABF">
      <w:pPr>
        <w:spacing w:line="360" w:lineRule="auto"/>
        <w:jc w:val="center"/>
        <w:rPr>
          <w:rFonts w:eastAsia="MS Mincho"/>
          <w:b/>
          <w:lang w:val="es-ES" w:eastAsia="es-ES"/>
        </w:rPr>
      </w:pPr>
    </w:p>
    <w:p w14:paraId="3DAC4BC4" w14:textId="77777777" w:rsidR="00E04ABF" w:rsidRPr="00E04ABF" w:rsidRDefault="00E04ABF" w:rsidP="00E04ABF">
      <w:pPr>
        <w:spacing w:line="360" w:lineRule="auto"/>
        <w:jc w:val="center"/>
        <w:rPr>
          <w:rFonts w:eastAsia="MS Mincho"/>
          <w:b/>
          <w:sz w:val="32"/>
          <w:szCs w:val="32"/>
          <w:lang w:val="es-ES" w:eastAsia="es-ES"/>
        </w:rPr>
      </w:pPr>
      <w:r w:rsidRPr="00E04ABF">
        <w:rPr>
          <w:rFonts w:eastAsia="MS Mincho"/>
          <w:b/>
          <w:sz w:val="32"/>
          <w:szCs w:val="32"/>
          <w:lang w:val="es-ES" w:eastAsia="es-ES"/>
        </w:rPr>
        <w:t>MÉTODOS</w:t>
      </w:r>
    </w:p>
    <w:bookmarkEnd w:id="0"/>
    <w:bookmarkEnd w:id="1"/>
    <w:p w14:paraId="15E3829C" w14:textId="77777777" w:rsidR="00E04ABF" w:rsidRPr="00E04ABF" w:rsidRDefault="00E04ABF" w:rsidP="00E04ABF">
      <w:pPr>
        <w:autoSpaceDE w:val="0"/>
        <w:autoSpaceDN w:val="0"/>
        <w:adjustRightInd w:val="0"/>
        <w:spacing w:line="360" w:lineRule="auto"/>
        <w:jc w:val="both"/>
        <w:rPr>
          <w:rFonts w:eastAsia="Calibri"/>
          <w:color w:val="FF0000"/>
          <w:lang w:val="es-US" w:eastAsia="zh-CN"/>
        </w:rPr>
      </w:pPr>
      <w:r w:rsidRPr="00E04ABF">
        <w:rPr>
          <w:rFonts w:eastAsia="Calibri"/>
          <w:bCs/>
          <w:lang w:val="es-US" w:eastAsia="zh-CN"/>
        </w:rPr>
        <w:t xml:space="preserve">Se realizó un estudio descriptivo, en el Hospital </w:t>
      </w:r>
      <w:r w:rsidRPr="00E04ABF">
        <w:rPr>
          <w:rFonts w:eastAsia="MS Mincho"/>
          <w:lang w:val="es-ES" w:eastAsia="es-ES"/>
        </w:rPr>
        <w:t>“Dr. Carlos J. Finlay”</w:t>
      </w:r>
      <w:r w:rsidRPr="00E04ABF">
        <w:rPr>
          <w:rFonts w:eastAsia="Calibri"/>
          <w:bCs/>
          <w:lang w:val="es-US" w:eastAsia="zh-CN"/>
        </w:rPr>
        <w:t xml:space="preserve">. Fueron incluidos 62 pacientes, con biopsias gástricas positivas para </w:t>
      </w:r>
      <w:r w:rsidRPr="00E04ABF">
        <w:rPr>
          <w:rFonts w:eastAsia="Calibri"/>
          <w:bCs/>
          <w:i/>
          <w:lang w:val="es-US" w:eastAsia="zh-CN"/>
        </w:rPr>
        <w:t>H. pylori,</w:t>
      </w:r>
      <w:r w:rsidRPr="00E04ABF">
        <w:rPr>
          <w:rFonts w:eastAsia="Calibri"/>
          <w:bCs/>
          <w:lang w:val="es-US" w:eastAsia="zh-CN"/>
        </w:rPr>
        <w:t xml:space="preserve"> con las combinaciones</w:t>
      </w:r>
      <w:r w:rsidRPr="00E04ABF">
        <w:rPr>
          <w:rFonts w:eastAsia="MS Mincho"/>
          <w:lang w:val="es-ES" w:eastAsia="es-ES"/>
        </w:rPr>
        <w:t xml:space="preserve"> genotípicas CagA/VacA. </w:t>
      </w:r>
      <w:r w:rsidRPr="00E04ABF">
        <w:rPr>
          <w:rFonts w:eastAsia="Calibri"/>
          <w:bCs/>
          <w:color w:val="00B0F0"/>
          <w:lang w:val="es-US" w:eastAsia="zh-CN"/>
        </w:rPr>
        <w:t xml:space="preserve"> </w:t>
      </w:r>
    </w:p>
    <w:p w14:paraId="54165D6F" w14:textId="77777777" w:rsidR="00E04ABF" w:rsidRPr="00E04ABF" w:rsidRDefault="00E04ABF" w:rsidP="00E04ABF">
      <w:pPr>
        <w:autoSpaceDE w:val="0"/>
        <w:autoSpaceDN w:val="0"/>
        <w:adjustRightInd w:val="0"/>
        <w:spacing w:line="360" w:lineRule="auto"/>
        <w:jc w:val="both"/>
        <w:rPr>
          <w:rFonts w:eastAsia="MS Mincho"/>
          <w:lang w:eastAsia="es-ES"/>
        </w:rPr>
      </w:pPr>
      <w:r w:rsidRPr="00E04ABF">
        <w:rPr>
          <w:rFonts w:eastAsia="MS Mincho"/>
          <w:lang w:eastAsia="es-ES"/>
        </w:rPr>
        <w:t>Fueron</w:t>
      </w:r>
      <w:r w:rsidRPr="00E04ABF">
        <w:rPr>
          <w:rFonts w:eastAsia="MS Mincho"/>
          <w:color w:val="FF0000"/>
          <w:lang w:eastAsia="es-ES"/>
        </w:rPr>
        <w:t xml:space="preserve"> </w:t>
      </w:r>
      <w:r w:rsidRPr="00E04ABF">
        <w:rPr>
          <w:rFonts w:eastAsia="MS Mincho"/>
          <w:lang w:eastAsia="es-ES"/>
        </w:rPr>
        <w:t xml:space="preserve">analizadas como variables independientes los genotipos del </w:t>
      </w:r>
      <w:bookmarkStart w:id="2" w:name="_Hlk51849799"/>
      <w:r w:rsidRPr="00E04ABF">
        <w:rPr>
          <w:rFonts w:eastAsia="MS Mincho"/>
          <w:i/>
          <w:lang w:eastAsia="es-ES"/>
        </w:rPr>
        <w:t>H. pylori</w:t>
      </w:r>
      <w:r w:rsidRPr="00E04ABF">
        <w:rPr>
          <w:rFonts w:eastAsia="MS Mincho"/>
          <w:lang w:eastAsia="es-ES"/>
        </w:rPr>
        <w:t xml:space="preserve"> </w:t>
      </w:r>
      <w:bookmarkEnd w:id="2"/>
      <w:r w:rsidRPr="00E04ABF">
        <w:rPr>
          <w:rFonts w:eastAsia="MS Mincho"/>
          <w:lang w:eastAsia="es-ES"/>
        </w:rPr>
        <w:t>(CagA y VacA) y como variables dependientes los estadios de OLGA (0, I, II, III, IV).</w:t>
      </w:r>
    </w:p>
    <w:p w14:paraId="790B3F17" w14:textId="77777777" w:rsidR="00E04ABF" w:rsidRPr="00E04ABF" w:rsidRDefault="00E04ABF" w:rsidP="00E04ABF">
      <w:pPr>
        <w:autoSpaceDE w:val="0"/>
        <w:autoSpaceDN w:val="0"/>
        <w:adjustRightInd w:val="0"/>
        <w:spacing w:line="360" w:lineRule="auto"/>
        <w:jc w:val="both"/>
        <w:rPr>
          <w:rFonts w:eastAsia="Calibri"/>
          <w:bCs/>
          <w:lang w:val="es-US" w:eastAsia="zh-CN"/>
        </w:rPr>
      </w:pPr>
      <w:r w:rsidRPr="00E04ABF">
        <w:rPr>
          <w:rFonts w:eastAsia="Calibri"/>
          <w:bCs/>
          <w:lang w:val="es-US" w:eastAsia="zh-CN"/>
        </w:rPr>
        <w:t xml:space="preserve">Descripción del estudio: para la determinación del estadio de AG se revisaron las biopsias gástricas realizadas a los pacientes y se estableció, mediante el sistema </w:t>
      </w:r>
      <w:r w:rsidRPr="00E04ABF">
        <w:rPr>
          <w:rFonts w:eastAsia="Calibri"/>
          <w:bCs/>
          <w:i/>
          <w:lang w:val="es-US" w:eastAsia="zh-CN"/>
        </w:rPr>
        <w:t>OLGA</w:t>
      </w:r>
      <w:r w:rsidRPr="00E04ABF">
        <w:rPr>
          <w:rFonts w:eastAsia="Calibri"/>
          <w:bCs/>
          <w:lang w:val="es-US" w:eastAsia="zh-CN"/>
        </w:rPr>
        <w:t xml:space="preserve">, el estadio de atrofia. </w:t>
      </w:r>
    </w:p>
    <w:p w14:paraId="3F805868" w14:textId="77777777" w:rsidR="00E04ABF" w:rsidRPr="00E04ABF" w:rsidRDefault="00E04ABF" w:rsidP="00E04ABF">
      <w:pPr>
        <w:autoSpaceDE w:val="0"/>
        <w:autoSpaceDN w:val="0"/>
        <w:adjustRightInd w:val="0"/>
        <w:spacing w:line="360" w:lineRule="auto"/>
        <w:jc w:val="both"/>
        <w:rPr>
          <w:rFonts w:eastAsia="Calibri"/>
          <w:bCs/>
          <w:vertAlign w:val="superscript"/>
          <w:lang w:val="es-US" w:eastAsia="zh-CN"/>
        </w:rPr>
      </w:pPr>
      <w:r w:rsidRPr="00E04ABF">
        <w:rPr>
          <w:rFonts w:eastAsia="Calibri"/>
          <w:bCs/>
          <w:lang w:val="es-US" w:eastAsia="zh-CN"/>
        </w:rPr>
        <w:t xml:space="preserve">Los estadios de AG, según el sistema </w:t>
      </w:r>
      <w:r w:rsidRPr="00E04ABF">
        <w:rPr>
          <w:rFonts w:eastAsia="Calibri"/>
          <w:bCs/>
          <w:i/>
          <w:lang w:val="es-US" w:eastAsia="zh-CN"/>
        </w:rPr>
        <w:t xml:space="preserve">OLGA, </w:t>
      </w:r>
      <w:r w:rsidRPr="00E04ABF">
        <w:rPr>
          <w:rFonts w:eastAsia="Calibri"/>
          <w:bCs/>
          <w:lang w:val="es-US" w:eastAsia="zh-CN"/>
        </w:rPr>
        <w:t>se describen a continuación:</w:t>
      </w:r>
      <w:r w:rsidRPr="00E04ABF">
        <w:rPr>
          <w:rFonts w:eastAsia="Calibri"/>
          <w:bCs/>
          <w:vertAlign w:val="superscript"/>
          <w:lang w:val="es-US" w:eastAsia="zh-CN"/>
        </w:rPr>
        <w:t>(5)</w:t>
      </w:r>
    </w:p>
    <w:p w14:paraId="39CC5BC8" w14:textId="77777777" w:rsidR="00E04ABF" w:rsidRPr="00E04ABF" w:rsidRDefault="00E04ABF" w:rsidP="00E04ABF">
      <w:pPr>
        <w:autoSpaceDE w:val="0"/>
        <w:autoSpaceDN w:val="0"/>
        <w:adjustRightInd w:val="0"/>
        <w:spacing w:line="360" w:lineRule="auto"/>
        <w:jc w:val="both"/>
        <w:rPr>
          <w:rFonts w:eastAsia="Calibri"/>
          <w:bCs/>
          <w:vertAlign w:val="superscript"/>
          <w:lang w:val="es-US" w:eastAsia="zh-CN"/>
        </w:rPr>
      </w:pPr>
    </w:p>
    <w:p w14:paraId="6FE9E4DD" w14:textId="77777777" w:rsidR="00E04ABF" w:rsidRPr="00E04ABF" w:rsidRDefault="00E04ABF" w:rsidP="00E04ABF">
      <w:pPr>
        <w:numPr>
          <w:ilvl w:val="0"/>
          <w:numId w:val="1"/>
        </w:numPr>
        <w:autoSpaceDE w:val="0"/>
        <w:autoSpaceDN w:val="0"/>
        <w:adjustRightInd w:val="0"/>
        <w:spacing w:line="360" w:lineRule="auto"/>
        <w:jc w:val="both"/>
        <w:rPr>
          <w:rFonts w:eastAsia="Calibri"/>
          <w:bCs/>
          <w:lang w:val="es-US" w:eastAsia="zh-CN"/>
        </w:rPr>
      </w:pPr>
      <w:r w:rsidRPr="00E04ABF">
        <w:rPr>
          <w:rFonts w:eastAsia="Calibri"/>
          <w:bCs/>
          <w:lang w:val="es-US" w:eastAsia="zh-CN"/>
        </w:rPr>
        <w:t>Estadio 0: sin atrofia en antro, ni en cuerpo.</w:t>
      </w:r>
    </w:p>
    <w:p w14:paraId="7AFDF0FC" w14:textId="77777777" w:rsidR="00E04ABF" w:rsidRPr="00E04ABF" w:rsidRDefault="00E04ABF" w:rsidP="00E04ABF">
      <w:pPr>
        <w:numPr>
          <w:ilvl w:val="0"/>
          <w:numId w:val="1"/>
        </w:numPr>
        <w:autoSpaceDE w:val="0"/>
        <w:autoSpaceDN w:val="0"/>
        <w:adjustRightInd w:val="0"/>
        <w:spacing w:line="360" w:lineRule="auto"/>
        <w:jc w:val="both"/>
        <w:rPr>
          <w:rFonts w:eastAsia="Calibri"/>
          <w:bCs/>
          <w:lang w:val="es-US" w:eastAsia="zh-CN"/>
        </w:rPr>
      </w:pPr>
      <w:r w:rsidRPr="00E04ABF">
        <w:rPr>
          <w:rFonts w:eastAsia="Calibri"/>
          <w:bCs/>
          <w:lang w:val="es-US" w:eastAsia="zh-CN"/>
        </w:rPr>
        <w:t>Estadio I: antro sin atrofia o atrofia leve y cuerpo con atrofia.</w:t>
      </w:r>
    </w:p>
    <w:p w14:paraId="7B12F9BD" w14:textId="77777777" w:rsidR="00E04ABF" w:rsidRPr="00E04ABF" w:rsidRDefault="00E04ABF" w:rsidP="00E04ABF">
      <w:pPr>
        <w:numPr>
          <w:ilvl w:val="0"/>
          <w:numId w:val="1"/>
        </w:numPr>
        <w:autoSpaceDE w:val="0"/>
        <w:autoSpaceDN w:val="0"/>
        <w:adjustRightInd w:val="0"/>
        <w:spacing w:line="360" w:lineRule="auto"/>
        <w:jc w:val="both"/>
        <w:rPr>
          <w:rFonts w:eastAsia="Calibri"/>
          <w:bCs/>
          <w:lang w:val="es-US" w:eastAsia="zh-CN"/>
        </w:rPr>
      </w:pPr>
      <w:r w:rsidRPr="00E04ABF">
        <w:rPr>
          <w:rFonts w:eastAsia="Calibri"/>
          <w:bCs/>
          <w:lang w:val="es-US" w:eastAsia="zh-CN"/>
        </w:rPr>
        <w:t>Estadio II: antro sin atrofia o atrofia leve y cuerpo con atrofia moderada, antro sin atrofia y atrofia intensa en cuerpo, antro con atrofia moderada y cuerpo sin atrofia o atrofia leve, antro con atrofia intensa y cuerpo sin atrofia.</w:t>
      </w:r>
    </w:p>
    <w:p w14:paraId="2203D427" w14:textId="77777777" w:rsidR="00E04ABF" w:rsidRPr="00E04ABF" w:rsidRDefault="00E04ABF" w:rsidP="00E04ABF">
      <w:pPr>
        <w:numPr>
          <w:ilvl w:val="0"/>
          <w:numId w:val="1"/>
        </w:numPr>
        <w:autoSpaceDE w:val="0"/>
        <w:autoSpaceDN w:val="0"/>
        <w:adjustRightInd w:val="0"/>
        <w:spacing w:line="360" w:lineRule="auto"/>
        <w:jc w:val="both"/>
        <w:rPr>
          <w:rFonts w:eastAsia="Calibri"/>
          <w:bCs/>
          <w:lang w:val="es-US" w:eastAsia="zh-CN"/>
        </w:rPr>
      </w:pPr>
      <w:r w:rsidRPr="00E04ABF">
        <w:rPr>
          <w:rFonts w:eastAsia="Calibri"/>
          <w:bCs/>
          <w:lang w:val="es-US" w:eastAsia="zh-CN"/>
        </w:rPr>
        <w:lastRenderedPageBreak/>
        <w:t>Estadio III: antro con atrofia intensa y cuerpo sin atrofia o atrofia leve, antro y cuerpo con atrofia o antro con atrofia leve y cuerpo con atrofia intensa.</w:t>
      </w:r>
    </w:p>
    <w:p w14:paraId="07EEA5D4" w14:textId="77777777" w:rsidR="00E04ABF" w:rsidRPr="00E04ABF" w:rsidRDefault="00E04ABF" w:rsidP="00E04ABF">
      <w:pPr>
        <w:numPr>
          <w:ilvl w:val="0"/>
          <w:numId w:val="1"/>
        </w:numPr>
        <w:autoSpaceDE w:val="0"/>
        <w:autoSpaceDN w:val="0"/>
        <w:adjustRightInd w:val="0"/>
        <w:spacing w:line="360" w:lineRule="auto"/>
        <w:jc w:val="both"/>
        <w:rPr>
          <w:rFonts w:eastAsia="Calibri"/>
          <w:bCs/>
          <w:lang w:val="es-US" w:eastAsia="zh-CN"/>
        </w:rPr>
      </w:pPr>
      <w:r w:rsidRPr="00E04ABF">
        <w:rPr>
          <w:rFonts w:eastAsia="Calibri"/>
          <w:bCs/>
          <w:lang w:val="es-US" w:eastAsia="zh-CN"/>
        </w:rPr>
        <w:t>Estadio IV: antro con atrofia moderada e intensa en cuerpo, antro con atrofia intensa y moderada en cuerpo o antro y cuerpo con atrofia intensa.</w:t>
      </w:r>
    </w:p>
    <w:p w14:paraId="695C5855" w14:textId="77777777" w:rsidR="00E04ABF" w:rsidRPr="00E04ABF" w:rsidRDefault="00E04ABF" w:rsidP="00E04ABF">
      <w:pPr>
        <w:autoSpaceDE w:val="0"/>
        <w:autoSpaceDN w:val="0"/>
        <w:adjustRightInd w:val="0"/>
        <w:spacing w:line="360" w:lineRule="auto"/>
        <w:jc w:val="both"/>
        <w:rPr>
          <w:lang w:eastAsia="es-ES"/>
        </w:rPr>
      </w:pPr>
    </w:p>
    <w:p w14:paraId="16B59610" w14:textId="77777777" w:rsidR="00E04ABF" w:rsidRPr="00E04ABF" w:rsidRDefault="00E04ABF" w:rsidP="00E04ABF">
      <w:pPr>
        <w:autoSpaceDE w:val="0"/>
        <w:autoSpaceDN w:val="0"/>
        <w:adjustRightInd w:val="0"/>
        <w:spacing w:line="360" w:lineRule="auto"/>
        <w:jc w:val="both"/>
        <w:rPr>
          <w:rFonts w:eastAsia="Calibri"/>
          <w:bCs/>
          <w:lang w:val="es-US" w:eastAsia="zh-CN"/>
        </w:rPr>
      </w:pPr>
      <w:r w:rsidRPr="00E04ABF">
        <w:rPr>
          <w:lang w:eastAsia="es-ES"/>
        </w:rPr>
        <w:t>Análisis estadístico: se emplearon como medidas de resumen para variables cualitativas la frecuencia absoluta y el porcentaje. Para evaluar la asociación entre variables cualitativas se aplicó el test X</w:t>
      </w:r>
      <w:r w:rsidRPr="00E04ABF">
        <w:rPr>
          <w:vertAlign w:val="superscript"/>
          <w:lang w:eastAsia="es-ES"/>
        </w:rPr>
        <w:t xml:space="preserve">2 </w:t>
      </w:r>
      <w:r w:rsidRPr="00E04ABF">
        <w:rPr>
          <w:lang w:eastAsia="es-ES"/>
        </w:rPr>
        <w:t xml:space="preserve">(ji cuadrado). Se aceptó un nivel de significación estadística p ≤ 0,05. Se calculó el riesgo relativo (RR) entre el genotipo CagA y la citotoxina VacA, así como entre el genotipo CagA y los estadios OLGA, así como entre el genotipo CagA y VacAs1m1 y la AG. Se calcularon los intervalos de confianza (IC) </w:t>
      </w:r>
      <w:r w:rsidRPr="00E04ABF">
        <w:rPr>
          <w:snapToGrid w:val="0"/>
          <w:lang w:eastAsia="es-ES"/>
        </w:rPr>
        <w:t>con un nivel de confiabilidad del 95 %.</w:t>
      </w:r>
      <w:r w:rsidRPr="00E04ABF">
        <w:rPr>
          <w:rFonts w:eastAsia="Calibri"/>
          <w:bCs/>
          <w:lang w:val="es-US" w:eastAsia="zh-CN"/>
        </w:rPr>
        <w:t xml:space="preserve"> </w:t>
      </w:r>
    </w:p>
    <w:p w14:paraId="4F4AADD7" w14:textId="77777777" w:rsidR="00E04ABF" w:rsidRPr="00E04ABF" w:rsidRDefault="00E04ABF" w:rsidP="00E04ABF">
      <w:pPr>
        <w:autoSpaceDE w:val="0"/>
        <w:autoSpaceDN w:val="0"/>
        <w:adjustRightInd w:val="0"/>
        <w:spacing w:line="360" w:lineRule="auto"/>
        <w:jc w:val="both"/>
        <w:rPr>
          <w:rFonts w:eastAsia="Calibri"/>
          <w:lang w:val="es-US" w:eastAsia="zh-CN"/>
        </w:rPr>
      </w:pPr>
      <w:r w:rsidRPr="00E04ABF">
        <w:rPr>
          <w:rFonts w:eastAsia="Calibri"/>
          <w:bCs/>
          <w:lang w:val="es-US" w:eastAsia="zh-CN"/>
        </w:rPr>
        <w:t>Consideraciones éticas: l</w:t>
      </w:r>
      <w:r w:rsidRPr="00E04ABF">
        <w:rPr>
          <w:rFonts w:eastAsia="Calibri"/>
          <w:lang w:val="es-US" w:eastAsia="zh-CN"/>
        </w:rPr>
        <w:t xml:space="preserve">a información obtenida en la revisión de las biopsias gástricas solo se utilizó con fines de la investigación, sin revelar la identidad de los pacientes.  </w:t>
      </w:r>
    </w:p>
    <w:p w14:paraId="7EFBFCA0" w14:textId="77777777" w:rsidR="00E04ABF" w:rsidRPr="00E04ABF" w:rsidRDefault="00E04ABF" w:rsidP="00E04ABF">
      <w:pPr>
        <w:spacing w:line="360" w:lineRule="auto"/>
        <w:jc w:val="both"/>
        <w:rPr>
          <w:snapToGrid w:val="0"/>
          <w:lang w:eastAsia="es-ES"/>
        </w:rPr>
      </w:pPr>
    </w:p>
    <w:p w14:paraId="24177911" w14:textId="77777777" w:rsidR="00E04ABF" w:rsidRPr="00E04ABF" w:rsidRDefault="00E04ABF" w:rsidP="00E04ABF">
      <w:pPr>
        <w:spacing w:line="360" w:lineRule="auto"/>
        <w:jc w:val="center"/>
        <w:rPr>
          <w:rFonts w:eastAsia="MS Mincho"/>
          <w:b/>
          <w:lang w:val="es-ES" w:eastAsia="es-ES"/>
        </w:rPr>
      </w:pPr>
    </w:p>
    <w:p w14:paraId="338C4D3B" w14:textId="77777777" w:rsidR="00E04ABF" w:rsidRPr="00E04ABF" w:rsidRDefault="00E04ABF" w:rsidP="00E04ABF">
      <w:pPr>
        <w:spacing w:line="360" w:lineRule="auto"/>
        <w:jc w:val="center"/>
        <w:rPr>
          <w:rFonts w:eastAsia="MS Mincho"/>
          <w:b/>
          <w:sz w:val="32"/>
          <w:szCs w:val="32"/>
          <w:lang w:val="es-ES" w:eastAsia="es-ES"/>
        </w:rPr>
      </w:pPr>
      <w:r w:rsidRPr="00E04ABF">
        <w:rPr>
          <w:rFonts w:eastAsia="MS Mincho"/>
          <w:b/>
          <w:sz w:val="32"/>
          <w:szCs w:val="32"/>
          <w:lang w:val="es-ES" w:eastAsia="es-ES"/>
        </w:rPr>
        <w:t>RESULTADOS</w:t>
      </w:r>
    </w:p>
    <w:p w14:paraId="287B91EC" w14:textId="77777777" w:rsidR="00E04ABF" w:rsidRPr="00E04ABF" w:rsidRDefault="00E04ABF" w:rsidP="00E04ABF">
      <w:pPr>
        <w:autoSpaceDE w:val="0"/>
        <w:autoSpaceDN w:val="0"/>
        <w:adjustRightInd w:val="0"/>
        <w:spacing w:line="360" w:lineRule="auto"/>
        <w:jc w:val="both"/>
        <w:rPr>
          <w:rFonts w:eastAsia="Calibri"/>
          <w:lang w:val="es-ES" w:eastAsia="es-ES"/>
        </w:rPr>
      </w:pPr>
      <w:r w:rsidRPr="00E04ABF">
        <w:rPr>
          <w:rFonts w:eastAsia="Calibri"/>
          <w:lang w:val="es-ES" w:eastAsia="es-ES"/>
        </w:rPr>
        <w:t xml:space="preserve">De los 62 pacientes estudiados con </w:t>
      </w:r>
      <w:r w:rsidRPr="00E04ABF">
        <w:rPr>
          <w:rFonts w:eastAsia="MS Mincho"/>
          <w:i/>
          <w:lang w:eastAsia="es-ES"/>
        </w:rPr>
        <w:t>H. pylori,</w:t>
      </w:r>
      <w:r w:rsidRPr="00E04ABF">
        <w:rPr>
          <w:rFonts w:eastAsia="Calibri"/>
          <w:lang w:val="es-ES" w:eastAsia="es-ES"/>
        </w:rPr>
        <w:t xml:space="preserve"> 46 (74 %) resultaron CagA positivos, de ellos, el 56 % tenían VacA s1m1, con una significación estadística de p = 0,00002</w:t>
      </w:r>
      <w:r w:rsidRPr="00E04ABF">
        <w:rPr>
          <w:rFonts w:eastAsia="MS Mincho"/>
          <w:lang w:val="es-ES" w:eastAsia="es-ES"/>
        </w:rPr>
        <w:t xml:space="preserve">. Solo en el 6 %, se identificaron los </w:t>
      </w:r>
      <w:r w:rsidRPr="00E04ABF">
        <w:rPr>
          <w:rFonts w:eastAsia="Calibri"/>
          <w:lang w:val="es-ES" w:eastAsia="es-ES"/>
        </w:rPr>
        <w:t xml:space="preserve">genotipos VacA s2m2 y 11 % VacA s1m2.  </w:t>
      </w:r>
    </w:p>
    <w:p w14:paraId="2799DB22" w14:textId="77777777" w:rsidR="00E04ABF" w:rsidRPr="00E04ABF" w:rsidRDefault="00E04ABF" w:rsidP="00E04ABF">
      <w:pPr>
        <w:tabs>
          <w:tab w:val="left" w:pos="1890"/>
        </w:tabs>
        <w:autoSpaceDE w:val="0"/>
        <w:autoSpaceDN w:val="0"/>
        <w:adjustRightInd w:val="0"/>
        <w:spacing w:line="360" w:lineRule="auto"/>
        <w:jc w:val="both"/>
        <w:rPr>
          <w:rFonts w:eastAsia="Calibri"/>
          <w:lang w:val="es-ES" w:eastAsia="es-ES"/>
        </w:rPr>
      </w:pPr>
      <w:r w:rsidRPr="00E04ABF">
        <w:rPr>
          <w:rFonts w:eastAsia="Calibri"/>
          <w:color w:val="221E1F"/>
          <w:lang w:val="es-ES" w:eastAsia="es-ES"/>
        </w:rPr>
        <w:t xml:space="preserve">En la figura 1 se refleja la asociación entre el genotipo CagA y los estadios de OLGA. De los pacientes con CagA, el 6 % (p = 0,2383) se encontraba en estadio 0 (RR = 1,52; IC 95 % = 0,92 - 2,51); 11 % (p = 0,2792; RR = 0,91; IC 95 % = 0,70-1,19) en estadio I; 40 % en estadio II (p = 0,0570; RR = 0,75; IC 95 % = 0,57 - 0,99) y 16 % en estadio III (p = 0,1081; RR = 1,36; IC 95 % = 1,04 - 1,79). Como se aprecia, el mayor por ciento de pacientes con CagA estaban en un estadio de atrofia que no es de alto riesgo para CG (estadio II), pero hay que señalar que aunque no fue significativo </w:t>
      </w:r>
      <w:r w:rsidRPr="00E04ABF">
        <w:rPr>
          <w:rFonts w:eastAsia="Calibri"/>
          <w:lang w:val="es-ES" w:eastAsia="es-ES"/>
        </w:rPr>
        <w:t xml:space="preserve">estadísticamente, </w:t>
      </w:r>
      <w:r w:rsidRPr="00E04ABF">
        <w:rPr>
          <w:rFonts w:eastAsia="Calibri"/>
          <w:color w:val="221E1F"/>
          <w:lang w:val="es-ES" w:eastAsia="es-ES"/>
        </w:rPr>
        <w:t xml:space="preserve">hubo pacientes en estadio III (alto riesgo para CG) y en este caso, los resultados indican que </w:t>
      </w:r>
      <w:r w:rsidRPr="00E04ABF">
        <w:rPr>
          <w:rFonts w:eastAsia="Calibri"/>
          <w:lang w:val="es-ES" w:eastAsia="es-ES"/>
        </w:rPr>
        <w:t xml:space="preserve">constituyó un factor de riesgo. </w:t>
      </w:r>
    </w:p>
    <w:p w14:paraId="54787D5E" w14:textId="77777777" w:rsidR="00E04ABF" w:rsidRPr="00E04ABF" w:rsidRDefault="00E04ABF" w:rsidP="00E04ABF">
      <w:pPr>
        <w:tabs>
          <w:tab w:val="left" w:pos="1890"/>
        </w:tabs>
        <w:autoSpaceDE w:val="0"/>
        <w:autoSpaceDN w:val="0"/>
        <w:adjustRightInd w:val="0"/>
        <w:spacing w:line="360" w:lineRule="auto"/>
        <w:jc w:val="both"/>
        <w:rPr>
          <w:rFonts w:eastAsia="Calibri"/>
          <w:lang w:val="es-ES" w:eastAsia="es-ES"/>
        </w:rPr>
      </w:pPr>
    </w:p>
    <w:p w14:paraId="2D6E6D12" w14:textId="4353E3CD" w:rsidR="00E04ABF" w:rsidRPr="00E04ABF" w:rsidRDefault="00E04ABF" w:rsidP="00E04ABF">
      <w:pPr>
        <w:autoSpaceDE w:val="0"/>
        <w:autoSpaceDN w:val="0"/>
        <w:adjustRightInd w:val="0"/>
        <w:spacing w:line="360" w:lineRule="auto"/>
        <w:jc w:val="center"/>
        <w:rPr>
          <w:rFonts w:eastAsia="MS Mincho"/>
          <w:lang w:val="es-ES" w:eastAsia="es-ES"/>
        </w:rPr>
      </w:pPr>
      <w:r w:rsidRPr="00E04ABF">
        <w:rPr>
          <w:rFonts w:eastAsia="MS Mincho"/>
          <w:noProof/>
          <w:lang w:val="es-ES" w:eastAsia="es-ES"/>
        </w:rPr>
        <w:lastRenderedPageBreak/>
        <w:drawing>
          <wp:inline distT="0" distB="0" distL="0" distR="0" wp14:anchorId="4351CEA5" wp14:editId="046C21A8">
            <wp:extent cx="3985260" cy="2777490"/>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5260" cy="2777490"/>
                    </a:xfrm>
                    <a:prstGeom prst="rect">
                      <a:avLst/>
                    </a:prstGeom>
                    <a:noFill/>
                    <a:ln>
                      <a:noFill/>
                    </a:ln>
                  </pic:spPr>
                </pic:pic>
              </a:graphicData>
            </a:graphic>
          </wp:inline>
        </w:drawing>
      </w:r>
    </w:p>
    <w:p w14:paraId="005B10ED" w14:textId="77777777" w:rsidR="00E04ABF" w:rsidRPr="00E04ABF" w:rsidRDefault="00E04ABF" w:rsidP="00E04ABF">
      <w:pPr>
        <w:autoSpaceDE w:val="0"/>
        <w:autoSpaceDN w:val="0"/>
        <w:adjustRightInd w:val="0"/>
        <w:spacing w:line="360" w:lineRule="auto"/>
        <w:jc w:val="center"/>
        <w:rPr>
          <w:rFonts w:eastAsia="MS Mincho"/>
          <w:sz w:val="22"/>
          <w:szCs w:val="22"/>
          <w:lang w:val="es-ES" w:eastAsia="es-ES"/>
        </w:rPr>
      </w:pPr>
      <w:r w:rsidRPr="00E04ABF">
        <w:rPr>
          <w:rFonts w:eastAsia="MS Mincho"/>
          <w:b/>
          <w:sz w:val="22"/>
          <w:szCs w:val="22"/>
          <w:lang w:val="es-ES" w:eastAsia="es-ES"/>
        </w:rPr>
        <w:t>Fig. 1</w:t>
      </w:r>
      <w:r w:rsidRPr="00E04ABF">
        <w:rPr>
          <w:rFonts w:eastAsia="MS Mincho"/>
          <w:sz w:val="22"/>
          <w:szCs w:val="22"/>
          <w:lang w:val="es-ES" w:eastAsia="es-ES"/>
        </w:rPr>
        <w:t>- Asociación entre el genotipo CagA y los estadios de OLGA.</w:t>
      </w:r>
    </w:p>
    <w:p w14:paraId="40A50F37" w14:textId="77777777" w:rsidR="00E04ABF" w:rsidRPr="00E04ABF" w:rsidRDefault="00E04ABF" w:rsidP="00E04ABF">
      <w:pPr>
        <w:autoSpaceDE w:val="0"/>
        <w:autoSpaceDN w:val="0"/>
        <w:adjustRightInd w:val="0"/>
        <w:spacing w:line="360" w:lineRule="auto"/>
        <w:ind w:left="-142"/>
        <w:jc w:val="both"/>
        <w:rPr>
          <w:rFonts w:eastAsia="Calibri"/>
          <w:color w:val="221E1F"/>
          <w:lang w:val="es-ES" w:eastAsia="es-ES"/>
        </w:rPr>
      </w:pPr>
    </w:p>
    <w:p w14:paraId="174596E3" w14:textId="77777777" w:rsidR="00E04ABF" w:rsidRPr="00E04ABF" w:rsidRDefault="00E04ABF" w:rsidP="00E04ABF">
      <w:pPr>
        <w:autoSpaceDE w:val="0"/>
        <w:autoSpaceDN w:val="0"/>
        <w:adjustRightInd w:val="0"/>
        <w:spacing w:line="360" w:lineRule="auto"/>
        <w:ind w:left="-142"/>
        <w:jc w:val="both"/>
        <w:rPr>
          <w:rFonts w:eastAsia="Calibri"/>
          <w:color w:val="221E1F"/>
          <w:lang w:val="es-ES" w:eastAsia="es-ES"/>
        </w:rPr>
      </w:pPr>
      <w:r w:rsidRPr="00E04ABF">
        <w:rPr>
          <w:rFonts w:eastAsia="Calibri"/>
          <w:color w:val="221E1F"/>
          <w:lang w:val="es-ES" w:eastAsia="es-ES"/>
        </w:rPr>
        <w:t>Algo similar ocurrió con VacA, como se muestra en la figura 2. El 37 % de los pacientes con VacA s1m1 se ubicaron en el estadio II, con resultados cercanos al grado de significación estadística (p = 0,0650), pero no se comportó como un factor de riesgo (RR = 0,68; IC95 % = 0,46 - 1,00). No se encontraron pacientes en estadio 0 (p = 0,0060) con VacA s1m1, el 6 % (p = 0,3382; RR = 0,74; IC 95 % = 0,36-1,52) se encontró</w:t>
      </w:r>
      <w:r w:rsidRPr="00E04ABF">
        <w:rPr>
          <w:rFonts w:eastAsia="Calibri"/>
          <w:color w:val="00B0F0"/>
          <w:lang w:val="es-ES" w:eastAsia="es-ES"/>
        </w:rPr>
        <w:t xml:space="preserve"> </w:t>
      </w:r>
      <w:r w:rsidRPr="00E04ABF">
        <w:rPr>
          <w:rFonts w:eastAsia="Calibri"/>
          <w:color w:val="221E1F"/>
          <w:lang w:val="es-ES" w:eastAsia="es-ES"/>
        </w:rPr>
        <w:t xml:space="preserve">en estadio I y 13 % en estadio III (p = 0,6965; RR = 1,09; IC 95 % = 0,72 - 1,64). </w:t>
      </w:r>
    </w:p>
    <w:p w14:paraId="63BA4586" w14:textId="77777777" w:rsidR="00E04ABF" w:rsidRPr="00E04ABF" w:rsidRDefault="00E04ABF" w:rsidP="00E04ABF">
      <w:pPr>
        <w:autoSpaceDE w:val="0"/>
        <w:autoSpaceDN w:val="0"/>
        <w:adjustRightInd w:val="0"/>
        <w:spacing w:line="360" w:lineRule="auto"/>
        <w:ind w:left="-142"/>
        <w:jc w:val="both"/>
        <w:rPr>
          <w:rFonts w:eastAsia="Calibri"/>
          <w:color w:val="221E1F"/>
          <w:lang w:val="es-ES" w:eastAsia="es-ES"/>
        </w:rPr>
      </w:pPr>
    </w:p>
    <w:p w14:paraId="7C0A1552" w14:textId="09CF4567" w:rsidR="00E04ABF" w:rsidRPr="00E04ABF" w:rsidRDefault="00E04ABF" w:rsidP="00E04ABF">
      <w:pPr>
        <w:autoSpaceDE w:val="0"/>
        <w:autoSpaceDN w:val="0"/>
        <w:adjustRightInd w:val="0"/>
        <w:spacing w:line="360" w:lineRule="auto"/>
        <w:ind w:left="-142"/>
        <w:jc w:val="center"/>
        <w:rPr>
          <w:rFonts w:eastAsia="MS Mincho"/>
          <w:color w:val="FF0000"/>
          <w:lang w:val="es-ES" w:eastAsia="es-ES"/>
        </w:rPr>
      </w:pPr>
      <w:r w:rsidRPr="00E04ABF">
        <w:rPr>
          <w:rFonts w:eastAsia="MS Mincho"/>
          <w:noProof/>
          <w:color w:val="FF0000"/>
          <w:lang w:val="es-ES" w:eastAsia="es-ES"/>
        </w:rPr>
        <w:drawing>
          <wp:inline distT="0" distB="0" distL="0" distR="0" wp14:anchorId="347177CB" wp14:editId="368BFFB9">
            <wp:extent cx="3898984" cy="2508696"/>
            <wp:effectExtent l="0" t="0" r="6350" b="635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05004" cy="2512570"/>
                    </a:xfrm>
                    <a:prstGeom prst="rect">
                      <a:avLst/>
                    </a:prstGeom>
                    <a:noFill/>
                    <a:ln>
                      <a:noFill/>
                    </a:ln>
                  </pic:spPr>
                </pic:pic>
              </a:graphicData>
            </a:graphic>
          </wp:inline>
        </w:drawing>
      </w:r>
    </w:p>
    <w:p w14:paraId="29E0DD5B" w14:textId="77777777" w:rsidR="00E04ABF" w:rsidRPr="00E04ABF" w:rsidRDefault="00E04ABF" w:rsidP="00E04ABF">
      <w:pPr>
        <w:autoSpaceDE w:val="0"/>
        <w:autoSpaceDN w:val="0"/>
        <w:adjustRightInd w:val="0"/>
        <w:spacing w:line="360" w:lineRule="auto"/>
        <w:jc w:val="center"/>
        <w:rPr>
          <w:rFonts w:eastAsia="MS Mincho"/>
          <w:lang w:val="es-ES" w:eastAsia="es-ES"/>
        </w:rPr>
      </w:pPr>
      <w:r w:rsidRPr="00E04ABF">
        <w:rPr>
          <w:rFonts w:eastAsia="MS Mincho"/>
          <w:b/>
          <w:lang w:val="es-ES" w:eastAsia="es-ES"/>
        </w:rPr>
        <w:t xml:space="preserve">Fig. 2 </w:t>
      </w:r>
      <w:r w:rsidRPr="00E04ABF">
        <w:rPr>
          <w:rFonts w:eastAsia="MS Mincho"/>
          <w:lang w:val="es-ES" w:eastAsia="es-ES"/>
        </w:rPr>
        <w:t>- Asociación entre el genotipo VacA s1m1 y los estadios de OLGA.</w:t>
      </w:r>
    </w:p>
    <w:p w14:paraId="3298BB8F" w14:textId="77777777" w:rsidR="00E04ABF" w:rsidRPr="00E04ABF" w:rsidRDefault="00E04ABF" w:rsidP="00E04ABF">
      <w:pPr>
        <w:autoSpaceDE w:val="0"/>
        <w:autoSpaceDN w:val="0"/>
        <w:adjustRightInd w:val="0"/>
        <w:spacing w:line="360" w:lineRule="auto"/>
        <w:ind w:left="-142"/>
        <w:jc w:val="both"/>
        <w:rPr>
          <w:bCs/>
          <w:lang w:val="es-ES" w:eastAsia="es-ES"/>
        </w:rPr>
      </w:pPr>
    </w:p>
    <w:p w14:paraId="28602C13" w14:textId="77777777" w:rsidR="00E04ABF" w:rsidRPr="00E04ABF" w:rsidRDefault="00E04ABF" w:rsidP="00E04ABF">
      <w:pPr>
        <w:autoSpaceDE w:val="0"/>
        <w:autoSpaceDN w:val="0"/>
        <w:adjustRightInd w:val="0"/>
        <w:spacing w:line="360" w:lineRule="auto"/>
        <w:ind w:left="-142"/>
        <w:jc w:val="both"/>
        <w:rPr>
          <w:bCs/>
          <w:lang w:val="es-ES" w:eastAsia="es-ES"/>
        </w:rPr>
      </w:pPr>
      <w:r w:rsidRPr="00E04ABF">
        <w:rPr>
          <w:bCs/>
          <w:lang w:val="es-ES" w:eastAsia="es-ES"/>
        </w:rPr>
        <w:t xml:space="preserve">En la figura 3 se relaciona la presencia de CagA y VacA s1m1 con la presencia o no de AG, independientemente del estadio de OLGA. Se observó que el 68 % (p = 0,2736; RR = 1,12; IC 95 % = 0,87-1,45) de los pacientes con AG tenían genotipo CagA y el 55 % (p = 0,6200; RR = 0,95; IC95 % = 0,80 - 1,14) VacA s1m1. </w:t>
      </w:r>
    </w:p>
    <w:p w14:paraId="0C87A78D" w14:textId="77777777" w:rsidR="00E04ABF" w:rsidRPr="00E04ABF" w:rsidRDefault="00E04ABF" w:rsidP="00E04ABF">
      <w:pPr>
        <w:autoSpaceDE w:val="0"/>
        <w:autoSpaceDN w:val="0"/>
        <w:adjustRightInd w:val="0"/>
        <w:spacing w:line="360" w:lineRule="auto"/>
        <w:ind w:left="-142"/>
        <w:jc w:val="center"/>
        <w:rPr>
          <w:rFonts w:eastAsia="MS Mincho"/>
          <w:lang w:val="es-ES" w:eastAsia="es-ES"/>
        </w:rPr>
      </w:pPr>
    </w:p>
    <w:p w14:paraId="4B338D1C" w14:textId="56DDD8F7" w:rsidR="00E04ABF" w:rsidRPr="00E04ABF" w:rsidRDefault="00E04ABF" w:rsidP="00E04ABF">
      <w:pPr>
        <w:autoSpaceDE w:val="0"/>
        <w:autoSpaceDN w:val="0"/>
        <w:adjustRightInd w:val="0"/>
        <w:spacing w:line="360" w:lineRule="auto"/>
        <w:ind w:left="-142"/>
        <w:jc w:val="center"/>
        <w:rPr>
          <w:bCs/>
          <w:lang w:val="es-ES" w:eastAsia="es-ES"/>
        </w:rPr>
      </w:pPr>
      <w:r w:rsidRPr="00E04ABF">
        <w:rPr>
          <w:rFonts w:eastAsia="MS Mincho"/>
          <w:noProof/>
          <w:lang w:val="es-ES" w:eastAsia="es-ES"/>
        </w:rPr>
        <w:drawing>
          <wp:inline distT="0" distB="0" distL="0" distR="0" wp14:anchorId="000D7726" wp14:editId="2FC94160">
            <wp:extent cx="4278630" cy="266573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78630" cy="2665730"/>
                    </a:xfrm>
                    <a:prstGeom prst="rect">
                      <a:avLst/>
                    </a:prstGeom>
                    <a:noFill/>
                    <a:ln>
                      <a:noFill/>
                    </a:ln>
                  </pic:spPr>
                </pic:pic>
              </a:graphicData>
            </a:graphic>
          </wp:inline>
        </w:drawing>
      </w:r>
    </w:p>
    <w:p w14:paraId="13B9508E" w14:textId="77777777" w:rsidR="00E04ABF" w:rsidRPr="00E04ABF" w:rsidRDefault="00E04ABF" w:rsidP="00E04ABF">
      <w:pPr>
        <w:autoSpaceDE w:val="0"/>
        <w:autoSpaceDN w:val="0"/>
        <w:adjustRightInd w:val="0"/>
        <w:spacing w:line="360" w:lineRule="auto"/>
        <w:jc w:val="center"/>
        <w:rPr>
          <w:rFonts w:eastAsia="Calibri"/>
          <w:color w:val="221E1F"/>
          <w:sz w:val="22"/>
          <w:szCs w:val="22"/>
          <w:lang w:val="es-ES" w:eastAsia="es-ES"/>
        </w:rPr>
      </w:pPr>
      <w:r w:rsidRPr="00E04ABF">
        <w:rPr>
          <w:rFonts w:eastAsia="MS Mincho"/>
          <w:b/>
          <w:sz w:val="22"/>
          <w:szCs w:val="22"/>
          <w:lang w:val="es-ES" w:eastAsia="es-ES"/>
        </w:rPr>
        <w:t>Fig. 3</w:t>
      </w:r>
      <w:r w:rsidRPr="00E04ABF">
        <w:rPr>
          <w:rFonts w:eastAsia="MS Mincho"/>
          <w:sz w:val="22"/>
          <w:szCs w:val="22"/>
          <w:lang w:val="es-ES" w:eastAsia="es-ES"/>
        </w:rPr>
        <w:t xml:space="preserve"> -Asociación del genotipo CagA y VacA s1m1 y la AG.</w:t>
      </w:r>
    </w:p>
    <w:p w14:paraId="475401D8" w14:textId="77777777" w:rsidR="00E04ABF" w:rsidRPr="00E04ABF" w:rsidRDefault="00E04ABF" w:rsidP="00E04ABF">
      <w:pPr>
        <w:autoSpaceDE w:val="0"/>
        <w:autoSpaceDN w:val="0"/>
        <w:adjustRightInd w:val="0"/>
        <w:spacing w:line="360" w:lineRule="auto"/>
        <w:jc w:val="center"/>
        <w:rPr>
          <w:bCs/>
          <w:lang w:val="es-ES" w:eastAsia="es-ES"/>
        </w:rPr>
      </w:pPr>
    </w:p>
    <w:p w14:paraId="7CD7A663" w14:textId="77777777" w:rsidR="00E04ABF" w:rsidRPr="00E04ABF" w:rsidRDefault="00E04ABF" w:rsidP="00E04ABF">
      <w:pPr>
        <w:autoSpaceDE w:val="0"/>
        <w:autoSpaceDN w:val="0"/>
        <w:adjustRightInd w:val="0"/>
        <w:spacing w:line="360" w:lineRule="auto"/>
        <w:jc w:val="center"/>
        <w:rPr>
          <w:rFonts w:eastAsia="MS Mincho"/>
          <w:b/>
          <w:lang w:val="es-ES" w:eastAsia="es-ES"/>
        </w:rPr>
      </w:pPr>
    </w:p>
    <w:p w14:paraId="78172BE2" w14:textId="77777777" w:rsidR="00E04ABF" w:rsidRPr="00E04ABF" w:rsidRDefault="00E04ABF" w:rsidP="00E04ABF">
      <w:pPr>
        <w:autoSpaceDE w:val="0"/>
        <w:autoSpaceDN w:val="0"/>
        <w:adjustRightInd w:val="0"/>
        <w:spacing w:line="360" w:lineRule="auto"/>
        <w:jc w:val="center"/>
        <w:rPr>
          <w:rFonts w:eastAsia="MS Mincho"/>
          <w:b/>
          <w:sz w:val="32"/>
          <w:szCs w:val="32"/>
          <w:lang w:val="es-ES" w:eastAsia="es-ES"/>
        </w:rPr>
      </w:pPr>
      <w:r w:rsidRPr="00E04ABF">
        <w:rPr>
          <w:rFonts w:eastAsia="MS Mincho"/>
          <w:b/>
          <w:sz w:val="32"/>
          <w:szCs w:val="32"/>
          <w:lang w:val="es-ES" w:eastAsia="es-ES"/>
        </w:rPr>
        <w:t>DISCUSIÓN</w:t>
      </w:r>
      <w:r w:rsidRPr="00E04ABF">
        <w:rPr>
          <w:rFonts w:eastAsia="MS Mincho"/>
          <w:b/>
          <w:sz w:val="32"/>
          <w:szCs w:val="32"/>
          <w:lang w:val="es-ES" w:eastAsia="es-ES"/>
        </w:rPr>
        <w:tab/>
      </w:r>
    </w:p>
    <w:p w14:paraId="2BFB6A20" w14:textId="77777777" w:rsidR="00E04ABF" w:rsidRPr="00E04ABF" w:rsidRDefault="00E04ABF" w:rsidP="00E04ABF">
      <w:pPr>
        <w:autoSpaceDE w:val="0"/>
        <w:autoSpaceDN w:val="0"/>
        <w:adjustRightInd w:val="0"/>
        <w:spacing w:line="360" w:lineRule="auto"/>
        <w:jc w:val="both"/>
        <w:rPr>
          <w:rFonts w:eastAsia="MS Mincho"/>
          <w:lang w:val="es-ES" w:eastAsia="es-ES"/>
        </w:rPr>
      </w:pPr>
      <w:r w:rsidRPr="00E04ABF">
        <w:rPr>
          <w:rFonts w:eastAsia="Calibri"/>
          <w:lang w:val="es-ES" w:eastAsia="en-US"/>
        </w:rPr>
        <w:t>En los pacientes del estudio, predominó una cepa muy virulenta (CagA +/VacA s1m), que ha sido relacionada con CG, porque puede causar alteraciones histopatológicas más graves, como AG y MI, que implican un mayor riesgo de CG.</w:t>
      </w:r>
      <w:r w:rsidRPr="00E04ABF">
        <w:rPr>
          <w:rFonts w:eastAsia="Calibri"/>
          <w:vertAlign w:val="superscript"/>
          <w:lang w:val="es-ES" w:eastAsia="en-US"/>
        </w:rPr>
        <w:t>(1)</w:t>
      </w:r>
      <w:r w:rsidRPr="00E04ABF">
        <w:rPr>
          <w:rFonts w:eastAsia="Calibri"/>
          <w:lang w:val="es-ES" w:eastAsia="en-US"/>
        </w:rPr>
        <w:t xml:space="preserve"> </w:t>
      </w:r>
      <w:r w:rsidRPr="00E04ABF">
        <w:rPr>
          <w:rFonts w:eastAsia="MS Mincho"/>
          <w:lang w:val="es-ES" w:eastAsia="es-ES"/>
        </w:rPr>
        <w:t>Las combinaciones CagA/VacA s1m1, CagA/VacA s1m1/babA2 positivo, CagA/VacA s1m1/iceA1 determinan la mayor virulencia de las cepas.</w:t>
      </w:r>
      <w:r w:rsidRPr="00E04ABF">
        <w:rPr>
          <w:rFonts w:eastAsia="MS Mincho"/>
          <w:vertAlign w:val="superscript"/>
          <w:lang w:val="es-ES" w:eastAsia="es-ES"/>
        </w:rPr>
        <w:t>(11)</w:t>
      </w:r>
      <w:r w:rsidRPr="00E04ABF">
        <w:rPr>
          <w:rFonts w:eastAsia="MS Mincho"/>
          <w:lang w:val="es-ES" w:eastAsia="es-ES"/>
        </w:rPr>
        <w:t xml:space="preserve"> La gravedad de las lesiones histopatológicas se relaciona con la presencia de uno o más de estos genes. </w:t>
      </w:r>
    </w:p>
    <w:p w14:paraId="67230C30" w14:textId="77777777" w:rsidR="00E04ABF" w:rsidRPr="00E04ABF" w:rsidRDefault="00E04ABF" w:rsidP="00E04ABF">
      <w:pPr>
        <w:autoSpaceDE w:val="0"/>
        <w:autoSpaceDN w:val="0"/>
        <w:adjustRightInd w:val="0"/>
        <w:spacing w:line="360" w:lineRule="auto"/>
        <w:jc w:val="both"/>
        <w:rPr>
          <w:rFonts w:eastAsia="Calibri"/>
          <w:lang w:val="es-ES" w:eastAsia="en-US"/>
        </w:rPr>
      </w:pPr>
      <w:r w:rsidRPr="00E04ABF">
        <w:rPr>
          <w:rFonts w:eastAsia="Calibri"/>
          <w:lang w:val="es-ES" w:eastAsia="en-US"/>
        </w:rPr>
        <w:t xml:space="preserve">El predominio de la AG en los individuos con genotipo CagA, VacA s1m1 está acorde con lo planteado por la literatura, sobre el surgimiento de este tipo de lesiones y las cepas con mayor virulencia. Resulta necesario recalcar que no todos los pacientes con </w:t>
      </w:r>
      <w:r w:rsidRPr="00E04ABF">
        <w:rPr>
          <w:rFonts w:eastAsia="Calibri"/>
          <w:i/>
          <w:lang w:val="es-ES" w:eastAsia="en-US"/>
        </w:rPr>
        <w:t xml:space="preserve">H. pylori </w:t>
      </w:r>
      <w:r w:rsidRPr="00E04ABF">
        <w:rPr>
          <w:rFonts w:eastAsia="Calibri"/>
          <w:lang w:val="es-ES" w:eastAsia="en-US"/>
        </w:rPr>
        <w:t xml:space="preserve">desarrollan CG, pues la carcinogénesis </w:t>
      </w:r>
      <w:r w:rsidRPr="00E04ABF">
        <w:rPr>
          <w:rFonts w:eastAsia="Calibri"/>
          <w:lang w:val="es-ES" w:eastAsia="en-US"/>
        </w:rPr>
        <w:lastRenderedPageBreak/>
        <w:t xml:space="preserve">gástrica es un proceso multifactorial en el que también intervienen factores genéticos, nutricionales y ambientales. </w:t>
      </w:r>
    </w:p>
    <w:p w14:paraId="469780FA" w14:textId="77777777" w:rsidR="00E04ABF" w:rsidRPr="00E04ABF" w:rsidRDefault="00E04ABF" w:rsidP="00E04ABF">
      <w:pPr>
        <w:autoSpaceDE w:val="0"/>
        <w:autoSpaceDN w:val="0"/>
        <w:adjustRightInd w:val="0"/>
        <w:spacing w:line="360" w:lineRule="auto"/>
        <w:jc w:val="both"/>
        <w:rPr>
          <w:rFonts w:eastAsia="Calibri"/>
          <w:color w:val="221E1F"/>
          <w:lang w:val="es-ES" w:eastAsia="en-US"/>
        </w:rPr>
      </w:pPr>
      <w:r w:rsidRPr="00E04ABF">
        <w:rPr>
          <w:rFonts w:eastAsia="Calibri"/>
          <w:color w:val="231F20"/>
          <w:lang w:val="es-ES" w:eastAsia="en-US"/>
        </w:rPr>
        <w:t xml:space="preserve">La respuesta inflamatoria que causa en la mucosa gástrica esta bacteria puede progresar a gastritis crónica, </w:t>
      </w:r>
      <w:r w:rsidRPr="00E04ABF">
        <w:rPr>
          <w:rFonts w:eastAsia="Calibri"/>
          <w:lang w:val="es-ES" w:eastAsia="en-US"/>
        </w:rPr>
        <w:t>GCA, MI,</w:t>
      </w:r>
      <w:r w:rsidRPr="00E04ABF">
        <w:rPr>
          <w:rFonts w:eastAsia="Calibri"/>
          <w:color w:val="231F20"/>
          <w:lang w:val="es-ES" w:eastAsia="en-US"/>
        </w:rPr>
        <w:t xml:space="preserve"> displasia y adenocarcinoma gástrico. Este es un proceso lento, que puede durar 15 - 20 años y también está influenciado por el tipo de cepa que causa la infección.</w:t>
      </w:r>
      <w:r w:rsidRPr="00E04ABF">
        <w:rPr>
          <w:rFonts w:eastAsia="Calibri"/>
          <w:color w:val="231F20"/>
          <w:vertAlign w:val="superscript"/>
          <w:lang w:val="es-ES" w:eastAsia="en-US"/>
        </w:rPr>
        <w:t>(11)</w:t>
      </w:r>
      <w:r w:rsidRPr="00E04ABF">
        <w:rPr>
          <w:rFonts w:eastAsia="Calibri"/>
          <w:color w:val="231F20"/>
          <w:lang w:val="es-ES" w:eastAsia="en-US"/>
        </w:rPr>
        <w:t xml:space="preserve"> Esta pudiera ser una probable explicación a la interrogante de por qué existen regiones de alta prevalencia de infección por </w:t>
      </w:r>
      <w:r w:rsidRPr="00E04ABF">
        <w:rPr>
          <w:rFonts w:eastAsia="Calibri"/>
          <w:i/>
          <w:color w:val="231F20"/>
          <w:lang w:val="es-ES" w:eastAsia="en-US"/>
        </w:rPr>
        <w:t>H. pylori</w:t>
      </w:r>
      <w:r w:rsidRPr="00E04ABF">
        <w:rPr>
          <w:rFonts w:eastAsia="Calibri"/>
          <w:color w:val="231F20"/>
          <w:lang w:val="es-ES" w:eastAsia="en-US"/>
        </w:rPr>
        <w:t xml:space="preserve"> y las tasas de incidencia y prevalencia de CG no se corresponden con la presencia de esta bacteria. Además, l</w:t>
      </w:r>
      <w:r w:rsidRPr="00E04ABF">
        <w:rPr>
          <w:rFonts w:eastAsia="Calibri"/>
          <w:color w:val="221E1F"/>
          <w:lang w:val="es-ES" w:eastAsia="en-US"/>
        </w:rPr>
        <w:t xml:space="preserve">a infección por </w:t>
      </w:r>
      <w:r w:rsidRPr="00E04ABF">
        <w:rPr>
          <w:rFonts w:eastAsia="Calibri"/>
          <w:i/>
          <w:iCs/>
          <w:color w:val="221E1F"/>
          <w:lang w:val="es-ES" w:eastAsia="en-US"/>
        </w:rPr>
        <w:t xml:space="preserve">H. pylori </w:t>
      </w:r>
      <w:r w:rsidRPr="00E04ABF">
        <w:rPr>
          <w:rFonts w:eastAsia="Calibri"/>
          <w:color w:val="221E1F"/>
          <w:lang w:val="es-ES" w:eastAsia="en-US"/>
        </w:rPr>
        <w:t>se asocia a una compleja interacción de diversos factores</w:t>
      </w:r>
      <w:r w:rsidRPr="00E04ABF">
        <w:rPr>
          <w:rFonts w:eastAsia="Calibri"/>
          <w:color w:val="221E1F"/>
          <w:vertAlign w:val="superscript"/>
          <w:lang w:val="es-ES" w:eastAsia="en-US"/>
        </w:rPr>
        <w:t xml:space="preserve">(12) </w:t>
      </w:r>
      <w:r w:rsidRPr="00E04ABF">
        <w:rPr>
          <w:rFonts w:eastAsia="Calibri"/>
          <w:color w:val="221E1F"/>
          <w:lang w:val="es-ES" w:eastAsia="en-US"/>
        </w:rPr>
        <w:t xml:space="preserve">que explican los diferentes resultados a los que se llega. No todos los pacientes con </w:t>
      </w:r>
      <w:r w:rsidRPr="00E04ABF">
        <w:rPr>
          <w:rFonts w:eastAsia="Calibri"/>
          <w:i/>
          <w:color w:val="221E1F"/>
          <w:lang w:val="es-ES" w:eastAsia="en-US"/>
        </w:rPr>
        <w:t>H. pylori</w:t>
      </w:r>
      <w:r w:rsidRPr="00E04ABF">
        <w:rPr>
          <w:rFonts w:eastAsia="Calibri"/>
          <w:color w:val="221E1F"/>
          <w:lang w:val="es-ES" w:eastAsia="en-US"/>
        </w:rPr>
        <w:t xml:space="preserve"> desarrollarán CG. Es lo que se ha dado a conocer como el enigma africano.</w:t>
      </w:r>
      <w:r w:rsidRPr="00E04ABF">
        <w:rPr>
          <w:rFonts w:eastAsia="Calibri"/>
          <w:color w:val="221E1F"/>
          <w:vertAlign w:val="superscript"/>
          <w:lang w:val="es-ES" w:eastAsia="en-US"/>
        </w:rPr>
        <w:t>(13)</w:t>
      </w:r>
      <w:r w:rsidRPr="00E04ABF">
        <w:rPr>
          <w:rFonts w:eastAsia="Calibri"/>
          <w:color w:val="221E1F"/>
          <w:lang w:val="es-ES" w:eastAsia="en-US"/>
        </w:rPr>
        <w:t xml:space="preserve"> </w:t>
      </w:r>
    </w:p>
    <w:p w14:paraId="3D3BD41B" w14:textId="77777777" w:rsidR="00E04ABF" w:rsidRPr="00E04ABF" w:rsidRDefault="00E04ABF" w:rsidP="00E04ABF">
      <w:pPr>
        <w:autoSpaceDE w:val="0"/>
        <w:autoSpaceDN w:val="0"/>
        <w:adjustRightInd w:val="0"/>
        <w:spacing w:line="360" w:lineRule="auto"/>
        <w:jc w:val="both"/>
        <w:rPr>
          <w:rFonts w:eastAsia="Calibri"/>
          <w:color w:val="221E1F"/>
          <w:vertAlign w:val="superscript"/>
          <w:lang w:val="es-ES" w:eastAsia="en-US"/>
        </w:rPr>
      </w:pPr>
      <w:r w:rsidRPr="00E04ABF">
        <w:rPr>
          <w:rFonts w:eastAsia="Calibri"/>
          <w:color w:val="221E1F"/>
          <w:lang w:val="es-ES" w:eastAsia="en-US"/>
        </w:rPr>
        <w:t xml:space="preserve">No todas las cepas de </w:t>
      </w:r>
      <w:r w:rsidRPr="00E04ABF">
        <w:rPr>
          <w:rFonts w:eastAsia="Calibri"/>
          <w:i/>
          <w:color w:val="221E1F"/>
          <w:lang w:val="es-ES" w:eastAsia="en-US"/>
        </w:rPr>
        <w:t>H. pylori</w:t>
      </w:r>
      <w:r w:rsidRPr="00E04ABF">
        <w:rPr>
          <w:rFonts w:eastAsia="Calibri"/>
          <w:color w:val="221E1F"/>
          <w:lang w:val="es-ES" w:eastAsia="en-US"/>
        </w:rPr>
        <w:t xml:space="preserve"> son patógenas y aunque la presencia de cepas virulentas es necesaria, no es suficiente para el inicio del proceso de carcinogénesis.</w:t>
      </w:r>
      <w:r w:rsidRPr="00E04ABF">
        <w:rPr>
          <w:rFonts w:eastAsia="Calibri"/>
          <w:color w:val="221E1F"/>
          <w:vertAlign w:val="superscript"/>
          <w:lang w:val="es-ES" w:eastAsia="en-US"/>
        </w:rPr>
        <w:t>(14)</w:t>
      </w:r>
      <w:r w:rsidRPr="00E04ABF">
        <w:rPr>
          <w:rFonts w:eastAsia="Calibri"/>
          <w:color w:val="221E1F"/>
          <w:lang w:val="es-ES" w:eastAsia="en-US"/>
        </w:rPr>
        <w:t xml:space="preserve"> Las cepas CagA, VacA s1m1 son las </w:t>
      </w:r>
      <w:r w:rsidRPr="00E04ABF">
        <w:rPr>
          <w:rFonts w:eastAsia="Calibri"/>
          <w:lang w:val="es-ES" w:eastAsia="en-US"/>
        </w:rPr>
        <w:t>que tienen mayor probabilidad de desarrollar GCA y CG.</w:t>
      </w:r>
      <w:r w:rsidRPr="00E04ABF">
        <w:rPr>
          <w:rFonts w:eastAsia="Calibri"/>
          <w:vertAlign w:val="superscript"/>
          <w:lang w:val="es-ES" w:eastAsia="en-US"/>
        </w:rPr>
        <w:t>(9)</w:t>
      </w:r>
      <w:r w:rsidRPr="00E04ABF">
        <w:rPr>
          <w:rFonts w:eastAsia="Calibri"/>
          <w:color w:val="221E1F"/>
          <w:lang w:val="es-ES" w:eastAsia="en-US"/>
        </w:rPr>
        <w:t xml:space="preserve"> CagA </w:t>
      </w:r>
      <w:r w:rsidRPr="00E04ABF">
        <w:rPr>
          <w:rFonts w:eastAsia="MS Mincho"/>
          <w:lang w:val="es-ES" w:eastAsia="es-ES"/>
        </w:rPr>
        <w:t>codifica una proteína inmunogénica, que promueve la activación de vías de señalización celular y desencadena respuestas proinflamatorias y mitogénicas.</w:t>
      </w:r>
      <w:r w:rsidRPr="00E04ABF">
        <w:rPr>
          <w:rFonts w:eastAsia="MS Mincho"/>
          <w:vertAlign w:val="superscript"/>
          <w:lang w:val="es-ES" w:eastAsia="es-ES"/>
        </w:rPr>
        <w:t>(15)</w:t>
      </w:r>
    </w:p>
    <w:p w14:paraId="3B44EF1E" w14:textId="77777777" w:rsidR="00E04ABF" w:rsidRPr="00E04ABF" w:rsidRDefault="00E04ABF" w:rsidP="00E04ABF">
      <w:pPr>
        <w:autoSpaceDE w:val="0"/>
        <w:autoSpaceDN w:val="0"/>
        <w:adjustRightInd w:val="0"/>
        <w:spacing w:line="360" w:lineRule="auto"/>
        <w:jc w:val="both"/>
        <w:rPr>
          <w:rFonts w:eastAsia="Calibri"/>
          <w:lang w:val="es-ES" w:eastAsia="en-US"/>
        </w:rPr>
      </w:pPr>
      <w:r w:rsidRPr="00E04ABF">
        <w:rPr>
          <w:rFonts w:eastAsia="Calibri"/>
          <w:color w:val="221E1F"/>
          <w:lang w:val="es-ES" w:eastAsia="en-US"/>
        </w:rPr>
        <w:t>En Cuba, a juicio de los autores también debería plantearse un enigma cubano. Existen reportes de diferentes hospitales y regiones con prevalencias por encima de 60 %.</w:t>
      </w:r>
      <w:r w:rsidRPr="00E04ABF">
        <w:rPr>
          <w:rFonts w:eastAsia="Calibri"/>
          <w:color w:val="221E1F"/>
          <w:vertAlign w:val="superscript"/>
          <w:lang w:val="es-ES" w:eastAsia="en-US"/>
        </w:rPr>
        <w:t xml:space="preserve">(1) </w:t>
      </w:r>
      <w:r w:rsidRPr="00E04ABF">
        <w:rPr>
          <w:rFonts w:eastAsia="Calibri"/>
          <w:color w:val="221E1F"/>
          <w:lang w:val="es-ES" w:eastAsia="en-US"/>
        </w:rPr>
        <w:t>Sin embargo, el CG se mantiene en el octavo lugar entre las causas de muerte por cáncer.</w:t>
      </w:r>
      <w:r w:rsidRPr="00E04ABF">
        <w:rPr>
          <w:rFonts w:eastAsia="Calibri"/>
          <w:color w:val="221E1F"/>
          <w:vertAlign w:val="superscript"/>
          <w:lang w:val="es-ES" w:eastAsia="en-US"/>
        </w:rPr>
        <w:t xml:space="preserve">(16) </w:t>
      </w:r>
      <w:r w:rsidRPr="00E04ABF">
        <w:rPr>
          <w:rFonts w:eastAsia="Calibri"/>
          <w:lang w:val="es-ES" w:eastAsia="en-US"/>
        </w:rPr>
        <w:t>El estudio de los factores de virulencia puede permitir la aplicación de estrategias de trabajo para prevenir enfermedades graves</w:t>
      </w:r>
      <w:r w:rsidRPr="00E04ABF">
        <w:rPr>
          <w:rFonts w:eastAsia="Calibri"/>
          <w:color w:val="221E1F"/>
          <w:lang w:val="es-ES" w:eastAsia="en-US"/>
        </w:rPr>
        <w:t>.</w:t>
      </w:r>
      <w:r w:rsidRPr="00E04ABF">
        <w:rPr>
          <w:rFonts w:eastAsia="Calibri"/>
          <w:color w:val="221E1F"/>
          <w:vertAlign w:val="superscript"/>
          <w:lang w:val="es-ES" w:eastAsia="en-US"/>
        </w:rPr>
        <w:t>(11)</w:t>
      </w:r>
      <w:r w:rsidRPr="00E04ABF">
        <w:rPr>
          <w:rFonts w:eastAsia="Calibri"/>
          <w:lang w:val="es-ES" w:eastAsia="en-US"/>
        </w:rPr>
        <w:t xml:space="preserve"> </w:t>
      </w:r>
    </w:p>
    <w:p w14:paraId="5E962D89" w14:textId="77777777" w:rsidR="00E04ABF" w:rsidRPr="00E04ABF" w:rsidRDefault="00E04ABF" w:rsidP="00E04ABF">
      <w:pPr>
        <w:spacing w:line="360" w:lineRule="auto"/>
        <w:jc w:val="both"/>
        <w:rPr>
          <w:rFonts w:eastAsia="Calibri"/>
          <w:lang w:val="es-ES" w:eastAsia="en-US"/>
        </w:rPr>
      </w:pPr>
      <w:r w:rsidRPr="00E04ABF">
        <w:rPr>
          <w:rFonts w:eastAsia="Calibri"/>
          <w:lang w:val="es-ES" w:eastAsia="en-US"/>
        </w:rPr>
        <w:t xml:space="preserve">Los genotipos CagA y VacA s1m1 de </w:t>
      </w:r>
      <w:r w:rsidRPr="00E04ABF">
        <w:rPr>
          <w:rFonts w:eastAsia="Calibri"/>
          <w:i/>
          <w:lang w:val="es-ES" w:eastAsia="en-US"/>
        </w:rPr>
        <w:t>H. pylori</w:t>
      </w:r>
      <w:r w:rsidRPr="00E04ABF">
        <w:rPr>
          <w:rFonts w:eastAsia="Calibri"/>
          <w:lang w:val="es-ES" w:eastAsia="en-US"/>
        </w:rPr>
        <w:t xml:space="preserve"> fueron los más frecuentes y se relacionaron con la presencia de AG, en más de la mitad de los pacientes. El estadio II de </w:t>
      </w:r>
      <w:r w:rsidRPr="00E04ABF">
        <w:rPr>
          <w:rFonts w:eastAsia="Calibri"/>
          <w:i/>
          <w:lang w:val="es-ES" w:eastAsia="en-US"/>
        </w:rPr>
        <w:t>OLGA</w:t>
      </w:r>
      <w:r w:rsidRPr="00E04ABF">
        <w:rPr>
          <w:rFonts w:eastAsia="Calibri"/>
          <w:lang w:val="es-ES" w:eastAsia="en-US"/>
        </w:rPr>
        <w:t xml:space="preserve"> fue el más frecuente.</w:t>
      </w:r>
    </w:p>
    <w:p w14:paraId="425DC03A" w14:textId="77777777" w:rsidR="00E04ABF" w:rsidRPr="00E04ABF" w:rsidRDefault="00E04ABF" w:rsidP="00E04ABF">
      <w:pPr>
        <w:spacing w:line="360" w:lineRule="auto"/>
        <w:rPr>
          <w:rFonts w:eastAsia="MS Mincho"/>
          <w:b/>
          <w:lang w:val="es-ES" w:eastAsia="en-US"/>
        </w:rPr>
      </w:pPr>
      <w:bookmarkStart w:id="3" w:name="_Toc35371599"/>
    </w:p>
    <w:p w14:paraId="21A45AA5" w14:textId="77777777" w:rsidR="00E04ABF" w:rsidRPr="00E04ABF" w:rsidRDefault="00E04ABF" w:rsidP="00E04ABF">
      <w:pPr>
        <w:spacing w:line="360" w:lineRule="auto"/>
        <w:jc w:val="center"/>
        <w:rPr>
          <w:rFonts w:eastAsia="MS Mincho"/>
          <w:b/>
          <w:lang w:val="es-ES" w:eastAsia="en-US"/>
        </w:rPr>
      </w:pPr>
    </w:p>
    <w:p w14:paraId="39364329" w14:textId="77777777" w:rsidR="00E04ABF" w:rsidRPr="00E04ABF" w:rsidRDefault="00E04ABF" w:rsidP="00E04ABF">
      <w:pPr>
        <w:spacing w:line="360" w:lineRule="auto"/>
        <w:jc w:val="center"/>
        <w:rPr>
          <w:rFonts w:eastAsia="MS Mincho"/>
          <w:b/>
          <w:sz w:val="32"/>
          <w:szCs w:val="32"/>
          <w:lang w:val="es-ES" w:eastAsia="en-US"/>
        </w:rPr>
      </w:pPr>
      <w:r w:rsidRPr="00E04ABF">
        <w:rPr>
          <w:rFonts w:eastAsia="MS Mincho"/>
          <w:b/>
          <w:sz w:val="32"/>
          <w:szCs w:val="32"/>
          <w:lang w:val="es-ES" w:eastAsia="en-US"/>
        </w:rPr>
        <w:t>REFERENCIAS</w:t>
      </w:r>
      <w:bookmarkEnd w:id="3"/>
      <w:r w:rsidRPr="00E04ABF">
        <w:rPr>
          <w:rFonts w:eastAsia="MS Mincho"/>
          <w:b/>
          <w:sz w:val="32"/>
          <w:szCs w:val="32"/>
          <w:lang w:val="es-ES" w:eastAsia="en-US"/>
        </w:rPr>
        <w:t xml:space="preserve"> BIBLIOGRÁFICAS</w:t>
      </w:r>
    </w:p>
    <w:p w14:paraId="71BB3FDA" w14:textId="77777777" w:rsidR="00E04ABF" w:rsidRPr="00E04ABF" w:rsidRDefault="00E04ABF" w:rsidP="00E04ABF">
      <w:pPr>
        <w:spacing w:line="360" w:lineRule="auto"/>
        <w:rPr>
          <w:rFonts w:eastAsia="MS Mincho"/>
          <w:noProof/>
          <w:lang w:val="x-none" w:eastAsia="x-none"/>
        </w:rPr>
      </w:pPr>
      <w:r w:rsidRPr="00E04ABF">
        <w:rPr>
          <w:rFonts w:eastAsia="MS Mincho"/>
          <w:noProof/>
          <w:lang w:val="es-US" w:eastAsia="x-none"/>
        </w:rPr>
        <w:t xml:space="preserve">1. </w:t>
      </w:r>
      <w:r w:rsidRPr="00E04ABF">
        <w:rPr>
          <w:rFonts w:eastAsia="MS Mincho"/>
          <w:noProof/>
          <w:lang w:val="x-none" w:eastAsia="x-none"/>
        </w:rPr>
        <w:t xml:space="preserve">Martínez Leyva L, Gutiérrez Cowan B, Rodríguez BL, Reyes Zamora O, Varona Linares Y, Páez Suárez D. Diagnóstico de la infección por </w:t>
      </w:r>
      <w:r w:rsidRPr="00E04ABF">
        <w:rPr>
          <w:rFonts w:eastAsia="MS Mincho"/>
          <w:i/>
          <w:noProof/>
          <w:lang w:val="x-none" w:eastAsia="x-none"/>
        </w:rPr>
        <w:t>Helicobacter pylori</w:t>
      </w:r>
      <w:r w:rsidRPr="00E04ABF">
        <w:rPr>
          <w:rFonts w:eastAsia="MS Mincho"/>
          <w:noProof/>
          <w:lang w:val="x-none" w:eastAsia="x-none"/>
        </w:rPr>
        <w:t xml:space="preserve"> mediante serología, histología y cultivo. Rev Cub Med Mil. 2016 [</w:t>
      </w:r>
      <w:r w:rsidRPr="00E04ABF">
        <w:rPr>
          <w:rFonts w:eastAsia="MS Mincho"/>
          <w:noProof/>
          <w:lang w:val="es-419" w:eastAsia="x-none"/>
        </w:rPr>
        <w:t xml:space="preserve">acceso: </w:t>
      </w:r>
      <w:r w:rsidRPr="00E04ABF">
        <w:rPr>
          <w:rFonts w:eastAsia="MS Mincho"/>
          <w:noProof/>
          <w:lang w:val="x-none" w:eastAsia="x-none"/>
        </w:rPr>
        <w:t>21</w:t>
      </w:r>
      <w:r w:rsidRPr="00E04ABF">
        <w:rPr>
          <w:rFonts w:eastAsia="MS Mincho"/>
          <w:noProof/>
          <w:lang w:val="es-419" w:eastAsia="x-none"/>
        </w:rPr>
        <w:t>/06/2</w:t>
      </w:r>
      <w:r w:rsidRPr="00E04ABF">
        <w:rPr>
          <w:rFonts w:eastAsia="MS Mincho"/>
          <w:noProof/>
          <w:lang w:val="x-none" w:eastAsia="x-none"/>
        </w:rPr>
        <w:t>018];45(3):344-53.</w:t>
      </w:r>
      <w:r w:rsidRPr="00E04ABF">
        <w:rPr>
          <w:rFonts w:eastAsia="MS Mincho"/>
          <w:noProof/>
          <w:lang w:val="es-ES" w:eastAsia="x-none"/>
        </w:rPr>
        <w:t xml:space="preserve"> D</w:t>
      </w:r>
      <w:r w:rsidRPr="00E04ABF">
        <w:rPr>
          <w:rFonts w:eastAsia="MS Mincho"/>
          <w:noProof/>
          <w:lang w:val="es-419" w:eastAsia="x-none"/>
        </w:rPr>
        <w:t>isponible en</w:t>
      </w:r>
      <w:r w:rsidRPr="00E04ABF">
        <w:rPr>
          <w:rFonts w:eastAsia="MS Mincho"/>
          <w:noProof/>
          <w:lang w:val="x-none" w:eastAsia="x-none"/>
        </w:rPr>
        <w:t xml:space="preserve">: </w:t>
      </w:r>
      <w:hyperlink r:id="rId16" w:history="1">
        <w:r w:rsidRPr="00E04ABF">
          <w:rPr>
            <w:rFonts w:eastAsia="MS Mincho"/>
            <w:noProof/>
            <w:color w:val="0563C1"/>
            <w:u w:val="single"/>
            <w:lang w:val="x-none" w:eastAsia="x-none"/>
          </w:rPr>
          <w:t>http://scielo.sld.cu/scielo.php?script=sci_arttext&amp;pid=S0138-65572016000300009&amp;nrm=iso</w:t>
        </w:r>
      </w:hyperlink>
    </w:p>
    <w:p w14:paraId="378D84BC" w14:textId="77777777" w:rsidR="00E04ABF" w:rsidRPr="00E04ABF" w:rsidRDefault="00E04ABF" w:rsidP="00E04ABF">
      <w:pPr>
        <w:spacing w:line="360" w:lineRule="auto"/>
        <w:rPr>
          <w:rFonts w:eastAsia="MS Mincho"/>
          <w:noProof/>
          <w:lang w:val="es-419" w:eastAsia="x-none"/>
        </w:rPr>
      </w:pPr>
      <w:r w:rsidRPr="00E04ABF">
        <w:rPr>
          <w:rFonts w:eastAsia="MS Mincho"/>
          <w:noProof/>
          <w:lang w:val="es-419" w:eastAsia="x-none"/>
        </w:rPr>
        <w:lastRenderedPageBreak/>
        <w:t xml:space="preserve">2. Zhou Y, Li H-Y, Zhang J-J, Chen X-Y, Ge Z-Z, Li X-B. </w:t>
      </w:r>
      <w:r w:rsidRPr="00E04ABF">
        <w:rPr>
          <w:rFonts w:eastAsia="MS Mincho"/>
          <w:noProof/>
          <w:lang w:val="en-US" w:eastAsia="x-none"/>
        </w:rPr>
        <w:t xml:space="preserve">Operative link on gastritis Assessment stage is an appropriate predictor of early gastric cancer. </w:t>
      </w:r>
      <w:r w:rsidRPr="00E04ABF">
        <w:rPr>
          <w:rFonts w:eastAsia="MS Mincho"/>
          <w:noProof/>
          <w:lang w:val="es-US" w:eastAsia="x-none"/>
        </w:rPr>
        <w:t xml:space="preserve">World J Gastroenterol. 2016 </w:t>
      </w:r>
      <w:r w:rsidRPr="00E04ABF">
        <w:rPr>
          <w:rFonts w:eastAsia="MS Mincho"/>
          <w:noProof/>
          <w:lang w:val="x-none" w:eastAsia="x-none"/>
        </w:rPr>
        <w:t>[</w:t>
      </w:r>
      <w:r w:rsidRPr="00E04ABF">
        <w:rPr>
          <w:rFonts w:eastAsia="MS Mincho"/>
          <w:noProof/>
          <w:lang w:val="es-ES" w:eastAsia="x-none"/>
        </w:rPr>
        <w:t>acceso: 1/11/</w:t>
      </w:r>
      <w:r w:rsidRPr="00E04ABF">
        <w:rPr>
          <w:rFonts w:eastAsia="MS Mincho"/>
          <w:noProof/>
          <w:lang w:val="x-none" w:eastAsia="x-none"/>
        </w:rPr>
        <w:t>2019]</w:t>
      </w:r>
      <w:r w:rsidRPr="00E04ABF">
        <w:rPr>
          <w:rFonts w:eastAsia="MS Mincho"/>
          <w:noProof/>
          <w:lang w:val="es-419" w:eastAsia="x-none"/>
        </w:rPr>
        <w:t>; 22(13):</w:t>
      </w:r>
      <w:r w:rsidRPr="00E04ABF">
        <w:rPr>
          <w:rFonts w:eastAsia="MS Mincho"/>
          <w:noProof/>
          <w:lang w:val="x-none" w:eastAsia="x-none"/>
        </w:rPr>
        <w:t xml:space="preserve"> </w:t>
      </w:r>
      <w:r w:rsidRPr="00E04ABF">
        <w:rPr>
          <w:rFonts w:eastAsia="MS Mincho"/>
          <w:noProof/>
          <w:lang w:val="es-419" w:eastAsia="x-none"/>
        </w:rPr>
        <w:t>3670-8]. Disponible en:</w:t>
      </w:r>
      <w:r w:rsidRPr="00E04ABF">
        <w:rPr>
          <w:rFonts w:eastAsia="MS Mincho"/>
          <w:noProof/>
          <w:lang w:val="x-none" w:eastAsia="x-none"/>
        </w:rPr>
        <w:t xml:space="preserve"> </w:t>
      </w:r>
      <w:hyperlink r:id="rId17" w:history="1">
        <w:r w:rsidRPr="00E04ABF">
          <w:rPr>
            <w:rFonts w:eastAsia="MS Mincho"/>
            <w:noProof/>
            <w:color w:val="0563C1"/>
            <w:u w:val="single"/>
            <w:lang w:val="es-419" w:eastAsia="x-none"/>
          </w:rPr>
          <w:t>https://www.ncbi.nlm.nih.gov/pmc/articles/PMC4814653/</w:t>
        </w:r>
      </w:hyperlink>
    </w:p>
    <w:p w14:paraId="4B29E18F" w14:textId="77777777" w:rsidR="00E04ABF" w:rsidRPr="00E04ABF" w:rsidRDefault="00E04ABF" w:rsidP="00E04ABF">
      <w:pPr>
        <w:spacing w:line="360" w:lineRule="auto"/>
        <w:rPr>
          <w:rFonts w:eastAsia="MS Mincho"/>
          <w:noProof/>
          <w:lang w:val="es-419" w:eastAsia="x-none"/>
        </w:rPr>
      </w:pPr>
      <w:r w:rsidRPr="00E04ABF">
        <w:rPr>
          <w:rFonts w:eastAsia="MS Mincho"/>
          <w:noProof/>
          <w:lang w:val="es-419" w:eastAsia="x-none"/>
        </w:rPr>
        <w:t xml:space="preserve">3. Martínez Leyva L, Márquez Aleaga Y, Rodríguez González BL, Reyes Zamora O, Mora González SR. Presencia del gen cagA y de la citotoxina vacA del </w:t>
      </w:r>
      <w:r w:rsidRPr="00E04ABF">
        <w:rPr>
          <w:rFonts w:eastAsia="MS Mincho"/>
          <w:i/>
          <w:noProof/>
          <w:lang w:val="es-419" w:eastAsia="x-none"/>
        </w:rPr>
        <w:t>Helicobacter pylori</w:t>
      </w:r>
      <w:r w:rsidRPr="00E04ABF">
        <w:rPr>
          <w:rFonts w:eastAsia="MS Mincho"/>
          <w:noProof/>
          <w:lang w:val="es-419" w:eastAsia="x-none"/>
        </w:rPr>
        <w:t xml:space="preserve"> en pacientes dispépticos. Rev Cub Med Mil. 2016 [acceso: 31/10/2019; 45(4):1-9. Disponible en: </w:t>
      </w:r>
      <w:hyperlink r:id="rId18" w:history="1">
        <w:r w:rsidRPr="00E04ABF">
          <w:rPr>
            <w:rFonts w:eastAsia="MS Mincho"/>
            <w:noProof/>
            <w:color w:val="0563C1"/>
            <w:u w:val="single"/>
            <w:lang w:val="es-419" w:eastAsia="x-none"/>
          </w:rPr>
          <w:t>http://scielo.sld.cu/scielo.php?script=sci_arttext&amp;pid=S0138-65572016000400009&amp;nrm=iso</w:t>
        </w:r>
      </w:hyperlink>
    </w:p>
    <w:p w14:paraId="20BF0CCF" w14:textId="77777777" w:rsidR="00E04ABF" w:rsidRPr="00E04ABF" w:rsidRDefault="00E04ABF" w:rsidP="00E04ABF">
      <w:pPr>
        <w:spacing w:line="360" w:lineRule="auto"/>
        <w:rPr>
          <w:rFonts w:eastAsia="MS Mincho"/>
          <w:noProof/>
          <w:lang w:val="es-419" w:eastAsia="x-none"/>
        </w:rPr>
      </w:pPr>
      <w:r w:rsidRPr="00E04ABF">
        <w:rPr>
          <w:rFonts w:eastAsia="MS Mincho"/>
          <w:noProof/>
          <w:lang w:val="es-419" w:eastAsia="x-none"/>
        </w:rPr>
        <w:t xml:space="preserve">4. Asociación Médica Mundial AMM. Declaración de Helsinki de la AMM - Principios éticos para las investigaciones médicas en seres humanos. 64ª Asamblea General: 2013 octubre. Fortaleza, Brasil: Asociación Médica Mundial (AMM); 2013 [acceso: 19/01/2020]. Disponible en: </w:t>
      </w:r>
      <w:hyperlink r:id="rId19" w:history="1">
        <w:r w:rsidRPr="00E04ABF">
          <w:rPr>
            <w:rFonts w:eastAsia="MS Mincho"/>
            <w:noProof/>
            <w:color w:val="0563C1"/>
            <w:u w:val="single"/>
            <w:lang w:val="es-419" w:eastAsia="x-none"/>
          </w:rPr>
          <w:t>http://www.wma.net/es/30publications/10policies/b3/</w:t>
        </w:r>
      </w:hyperlink>
    </w:p>
    <w:p w14:paraId="5C5B1D37" w14:textId="77777777" w:rsidR="00E04ABF" w:rsidRPr="00E04ABF" w:rsidRDefault="00E04ABF" w:rsidP="00E04ABF">
      <w:pPr>
        <w:spacing w:line="360" w:lineRule="auto"/>
        <w:rPr>
          <w:rFonts w:eastAsia="MS Mincho"/>
          <w:noProof/>
          <w:lang w:val="es-419" w:eastAsia="x-none"/>
        </w:rPr>
      </w:pPr>
      <w:r w:rsidRPr="00E04ABF">
        <w:rPr>
          <w:rFonts w:eastAsia="MS Mincho"/>
          <w:noProof/>
          <w:lang w:val="es-419" w:eastAsia="x-none"/>
        </w:rPr>
        <w:t xml:space="preserve">5. Koller J, Jensen M, Guerrer ML. Correlación Endoscópica-Histopatológica del Cag-A del </w:t>
      </w:r>
      <w:r w:rsidRPr="00E04ABF">
        <w:rPr>
          <w:rFonts w:eastAsia="MS Mincho"/>
          <w:i/>
          <w:noProof/>
          <w:lang w:val="es-419" w:eastAsia="x-none"/>
        </w:rPr>
        <w:t>Helicobacter pylori</w:t>
      </w:r>
      <w:r w:rsidRPr="00E04ABF">
        <w:rPr>
          <w:rFonts w:eastAsia="MS Mincho"/>
          <w:noProof/>
          <w:lang w:val="es-419" w:eastAsia="x-none"/>
        </w:rPr>
        <w:t xml:space="preserve">. Gac Med Bol. 2009  [acceso: 23/04/2020];  32(1):13-15. Disponible en: </w:t>
      </w:r>
      <w:hyperlink r:id="rId20" w:history="1">
        <w:r w:rsidRPr="00E04ABF">
          <w:rPr>
            <w:rFonts w:eastAsia="MS Mincho"/>
            <w:noProof/>
            <w:color w:val="0563C1"/>
            <w:u w:val="single"/>
            <w:lang w:val="es-419" w:eastAsia="x-none"/>
          </w:rPr>
          <w:t>https://www.scielo.org.bo/scielo.php?script=sci_arttext&amp;pid=S1012-29662009000100002&amp;lng=es</w:t>
        </w:r>
      </w:hyperlink>
    </w:p>
    <w:p w14:paraId="2E7CB3C7" w14:textId="77777777" w:rsidR="00E04ABF" w:rsidRPr="00E04ABF" w:rsidRDefault="00E04ABF" w:rsidP="00E04ABF">
      <w:pPr>
        <w:spacing w:line="360" w:lineRule="auto"/>
        <w:rPr>
          <w:rFonts w:eastAsia="MS Mincho"/>
          <w:noProof/>
          <w:lang w:val="es-419" w:eastAsia="x-none"/>
        </w:rPr>
      </w:pPr>
      <w:r w:rsidRPr="00E04ABF">
        <w:rPr>
          <w:rFonts w:eastAsia="MS Mincho"/>
          <w:noProof/>
          <w:lang w:val="es-419" w:eastAsia="x-none"/>
        </w:rPr>
        <w:t xml:space="preserve">6. Morales Díaz M, Corrales Alonso S, Vanterpool Héctor M, Avalos Rodríguez R, Salabert Tortolo I, Hernández Díaz O. Cáncer gástrico: algunas consideraciones sobre factores de riesgo y </w:t>
      </w:r>
      <w:r w:rsidRPr="00E04ABF">
        <w:rPr>
          <w:rFonts w:eastAsia="MS Mincho"/>
          <w:i/>
          <w:noProof/>
          <w:lang w:val="es-419" w:eastAsia="x-none"/>
        </w:rPr>
        <w:t>Helicobacter pylori</w:t>
      </w:r>
      <w:r w:rsidRPr="00E04ABF">
        <w:rPr>
          <w:rFonts w:eastAsia="MS Mincho"/>
          <w:noProof/>
          <w:lang w:val="es-419" w:eastAsia="x-none"/>
        </w:rPr>
        <w:t xml:space="preserve">. Rev medica electronica. 2018 [acceso: 23/04/2020];40(2): [aprox. 11 p.]. Disponible en: </w:t>
      </w:r>
      <w:hyperlink r:id="rId21" w:history="1">
        <w:r w:rsidRPr="00E04ABF">
          <w:rPr>
            <w:rFonts w:eastAsia="MS Mincho"/>
            <w:noProof/>
            <w:color w:val="0563C1"/>
            <w:u w:val="single"/>
            <w:lang w:val="es-419" w:eastAsia="x-none"/>
          </w:rPr>
          <w:t>http://www.revmedicaelectronica.sld.cu/index.php/rme/article/view/2513</w:t>
        </w:r>
      </w:hyperlink>
    </w:p>
    <w:p w14:paraId="0109A93F" w14:textId="77777777" w:rsidR="00E04ABF" w:rsidRPr="00E04ABF" w:rsidRDefault="00E04ABF" w:rsidP="00E04ABF">
      <w:pPr>
        <w:spacing w:line="360" w:lineRule="auto"/>
        <w:rPr>
          <w:rFonts w:eastAsia="MS Mincho"/>
          <w:noProof/>
          <w:lang w:val="en-US" w:eastAsia="x-none"/>
        </w:rPr>
      </w:pPr>
      <w:r w:rsidRPr="00E04ABF">
        <w:rPr>
          <w:rFonts w:eastAsia="MS Mincho"/>
          <w:noProof/>
          <w:lang w:val="es-419" w:eastAsia="x-none"/>
        </w:rPr>
        <w:t xml:space="preserve">7. Galvão de Azevêdo Ioná, Carneiro Izabel Cristina Leal Muniz, Tomiya Marília Tokiko Oliveira, Burgos Maria Goretti Pessoa de Araújo. </w:t>
      </w:r>
      <w:r w:rsidRPr="00E04ABF">
        <w:rPr>
          <w:rFonts w:eastAsia="MS Mincho"/>
          <w:noProof/>
          <w:lang w:val="en-US" w:eastAsia="x-none"/>
        </w:rPr>
        <w:t xml:space="preserve">Gastric cancer and associated factors in hospitalized patients. Nutr. Hosp. 2015 [acceso: 23/04/2020];  32(1): 283-90. Disponible en: </w:t>
      </w:r>
      <w:hyperlink r:id="rId22" w:history="1">
        <w:r w:rsidRPr="00E04ABF">
          <w:rPr>
            <w:rFonts w:eastAsia="MS Mincho"/>
            <w:noProof/>
            <w:color w:val="0563C1"/>
            <w:u w:val="single"/>
            <w:lang w:val="en-US" w:eastAsia="x-none"/>
          </w:rPr>
          <w:t>http://dx.doi.org/10.3305/nh.2015.32.1.9071</w:t>
        </w:r>
      </w:hyperlink>
    </w:p>
    <w:p w14:paraId="6AAE8218" w14:textId="77777777" w:rsidR="00E04ABF" w:rsidRPr="00E04ABF" w:rsidRDefault="00E04ABF" w:rsidP="00E04ABF">
      <w:pPr>
        <w:spacing w:line="360" w:lineRule="auto"/>
        <w:rPr>
          <w:rFonts w:eastAsia="MS Mincho"/>
          <w:noProof/>
          <w:lang w:val="es-419" w:eastAsia="x-none"/>
        </w:rPr>
      </w:pPr>
      <w:r w:rsidRPr="00E04ABF">
        <w:rPr>
          <w:rFonts w:eastAsia="MS Mincho"/>
          <w:noProof/>
          <w:lang w:val="en-US" w:eastAsia="x-none"/>
        </w:rPr>
        <w:t xml:space="preserve">8. Zaidi SF. </w:t>
      </w:r>
      <w:r w:rsidRPr="00E04ABF">
        <w:rPr>
          <w:rFonts w:eastAsia="MS Mincho"/>
          <w:i/>
          <w:noProof/>
          <w:lang w:val="en-US" w:eastAsia="x-none"/>
        </w:rPr>
        <w:t>Helicobacter pylori</w:t>
      </w:r>
      <w:r w:rsidRPr="00E04ABF">
        <w:rPr>
          <w:rFonts w:eastAsia="MS Mincho"/>
          <w:noProof/>
          <w:lang w:val="en-US" w:eastAsia="x-none"/>
        </w:rPr>
        <w:t xml:space="preserve"> associated Asian enigma: Does diet deserve distinction? </w:t>
      </w:r>
      <w:r w:rsidRPr="00E04ABF">
        <w:rPr>
          <w:rFonts w:eastAsia="MS Mincho"/>
          <w:noProof/>
          <w:lang w:val="es-419" w:eastAsia="x-none"/>
        </w:rPr>
        <w:t>World J Gastrointest Oncol. 2016 [acceso: 23/04/2020]; 8(4):341-50. DOI: 10.4251/wjgo.v8.i4.341</w:t>
      </w:r>
    </w:p>
    <w:p w14:paraId="43C1B301" w14:textId="77777777" w:rsidR="00E04ABF" w:rsidRPr="00E04ABF" w:rsidRDefault="00E04ABF" w:rsidP="00E04ABF">
      <w:pPr>
        <w:spacing w:line="360" w:lineRule="auto"/>
        <w:rPr>
          <w:rFonts w:eastAsia="MS Mincho"/>
          <w:noProof/>
          <w:lang w:val="es-419" w:eastAsia="x-none"/>
        </w:rPr>
      </w:pPr>
      <w:r w:rsidRPr="00E04ABF">
        <w:rPr>
          <w:rFonts w:eastAsia="MS Mincho"/>
          <w:noProof/>
          <w:lang w:val="es-419" w:eastAsia="x-none"/>
        </w:rPr>
        <w:t xml:space="preserve">9. Torres Jiménez F, Torres Bayona C. Fisiopatología molecular en la infección por </w:t>
      </w:r>
      <w:r w:rsidRPr="00E04ABF">
        <w:rPr>
          <w:rFonts w:eastAsia="MS Mincho"/>
          <w:i/>
          <w:noProof/>
          <w:lang w:val="es-419" w:eastAsia="x-none"/>
        </w:rPr>
        <w:t>Helicobacter pylori</w:t>
      </w:r>
      <w:r w:rsidRPr="00E04ABF">
        <w:rPr>
          <w:rFonts w:eastAsia="MS Mincho"/>
          <w:noProof/>
          <w:lang w:val="es-419" w:eastAsia="x-none"/>
        </w:rPr>
        <w:t xml:space="preserve">. 2016 [acceso: 23/04/2020]; 32 (3). Disponible en: </w:t>
      </w:r>
      <w:hyperlink r:id="rId23" w:history="1">
        <w:r w:rsidRPr="00E04ABF">
          <w:rPr>
            <w:rFonts w:eastAsia="MS Mincho"/>
            <w:noProof/>
            <w:color w:val="0563C1"/>
            <w:u w:val="single"/>
            <w:lang w:val="es-419" w:eastAsia="x-none"/>
          </w:rPr>
          <w:t>http://rcientificas.uninorte.edu.co/index.php/salud/article/viewArticle/8383/-10413</w:t>
        </w:r>
      </w:hyperlink>
    </w:p>
    <w:p w14:paraId="78FCFBF6" w14:textId="77777777" w:rsidR="00E04ABF" w:rsidRPr="00E04ABF" w:rsidRDefault="00E04ABF" w:rsidP="00E04ABF">
      <w:pPr>
        <w:spacing w:line="360" w:lineRule="auto"/>
        <w:rPr>
          <w:rFonts w:eastAsia="MS Mincho"/>
          <w:noProof/>
          <w:lang w:val="es-419" w:eastAsia="x-none"/>
        </w:rPr>
      </w:pPr>
      <w:r w:rsidRPr="00E04ABF">
        <w:rPr>
          <w:rFonts w:eastAsia="MS Mincho"/>
          <w:noProof/>
          <w:lang w:val="es-419" w:eastAsia="x-none"/>
        </w:rPr>
        <w:t xml:space="preserve">10. Uribe Echeverry PT, Acosta Cerquera MA, Arturo Arias BL, Jaramillo Arredondo Md, Betancur Pérez JF, Pérez Agudelo JM. Prevalencia genotípica de cagA y vacA en aislamientos de </w:t>
      </w:r>
      <w:r w:rsidRPr="00E04ABF">
        <w:rPr>
          <w:rFonts w:eastAsia="MS Mincho"/>
          <w:i/>
          <w:noProof/>
          <w:lang w:val="es-419" w:eastAsia="x-none"/>
        </w:rPr>
        <w:t xml:space="preserve">Helicobacter </w:t>
      </w:r>
      <w:r w:rsidRPr="00E04ABF">
        <w:rPr>
          <w:rFonts w:eastAsia="MS Mincho"/>
          <w:i/>
          <w:noProof/>
          <w:lang w:val="es-419" w:eastAsia="x-none"/>
        </w:rPr>
        <w:lastRenderedPageBreak/>
        <w:t>pylori</w:t>
      </w:r>
      <w:r w:rsidRPr="00E04ABF">
        <w:rPr>
          <w:rFonts w:eastAsia="MS Mincho"/>
          <w:noProof/>
          <w:lang w:val="es-419" w:eastAsia="x-none"/>
        </w:rPr>
        <w:t xml:space="preserve"> de pacientes colombianos. Rev Cuba Med Tropical. 2019 [acceso: 23/04/2020];70 (3):[aprox. 10 p.] Disponible en: </w:t>
      </w:r>
      <w:hyperlink r:id="rId24" w:history="1">
        <w:r w:rsidRPr="00E04ABF">
          <w:rPr>
            <w:rFonts w:eastAsia="MS Mincho"/>
            <w:noProof/>
            <w:color w:val="0563C1"/>
            <w:u w:val="single"/>
            <w:lang w:val="es-419" w:eastAsia="x-none"/>
          </w:rPr>
          <w:t>http://www.revmedtropical.sld.cu/index.php/medtropical/article/view/265</w:t>
        </w:r>
      </w:hyperlink>
    </w:p>
    <w:p w14:paraId="1C5AFAF7" w14:textId="77777777" w:rsidR="00E04ABF" w:rsidRPr="00E04ABF" w:rsidRDefault="00E04ABF" w:rsidP="00E04ABF">
      <w:pPr>
        <w:spacing w:line="360" w:lineRule="auto"/>
        <w:rPr>
          <w:rFonts w:eastAsia="MS Mincho"/>
          <w:noProof/>
          <w:lang w:val="es-419" w:eastAsia="x-none"/>
        </w:rPr>
      </w:pPr>
      <w:r w:rsidRPr="00E04ABF">
        <w:rPr>
          <w:rFonts w:eastAsia="MS Mincho"/>
          <w:noProof/>
          <w:lang w:val="es-419" w:eastAsia="x-none"/>
        </w:rPr>
        <w:t xml:space="preserve">11. Hierro González A, Garcia Vaca R, Lazo del Vallin S, Elvírez Gutiérrez A. Validación de prueba diagnóstica. Valor del ultrasonido hidrogástrico en la detección del cáncer gástrico. Revista Cubana de Investigaciones Biomédicas. 2018 [acceso: 23/04/2020];37(1):1-18. Disponible en: </w:t>
      </w:r>
      <w:hyperlink r:id="rId25" w:history="1">
        <w:r w:rsidRPr="00E04ABF">
          <w:rPr>
            <w:rFonts w:eastAsia="MS Mincho"/>
            <w:noProof/>
            <w:color w:val="0563C1"/>
            <w:u w:val="single"/>
            <w:lang w:val="es-419" w:eastAsia="x-none"/>
          </w:rPr>
          <w:t>http://www.revibiomedica.sld.cu/index.php/ibi/article/view/94</w:t>
        </w:r>
      </w:hyperlink>
    </w:p>
    <w:p w14:paraId="695A8D1A" w14:textId="77777777" w:rsidR="00E04ABF" w:rsidRPr="00E04ABF" w:rsidRDefault="00E04ABF" w:rsidP="00E04ABF">
      <w:pPr>
        <w:spacing w:line="360" w:lineRule="auto"/>
        <w:ind w:left="360"/>
        <w:jc w:val="both"/>
        <w:rPr>
          <w:b/>
          <w:lang w:eastAsia="es-ES"/>
        </w:rPr>
      </w:pPr>
    </w:p>
    <w:p w14:paraId="51E40133" w14:textId="77777777" w:rsidR="00E04ABF" w:rsidRPr="00E04ABF" w:rsidRDefault="00E04ABF" w:rsidP="00E04ABF">
      <w:pPr>
        <w:spacing w:line="360" w:lineRule="auto"/>
        <w:ind w:left="360"/>
        <w:jc w:val="center"/>
        <w:rPr>
          <w:b/>
          <w:lang w:eastAsia="es-ES"/>
        </w:rPr>
      </w:pPr>
    </w:p>
    <w:p w14:paraId="330EEACD" w14:textId="77777777" w:rsidR="00E04ABF" w:rsidRPr="00E04ABF" w:rsidRDefault="00E04ABF" w:rsidP="00E04ABF">
      <w:pPr>
        <w:spacing w:line="360" w:lineRule="auto"/>
        <w:ind w:left="360"/>
        <w:jc w:val="center"/>
        <w:rPr>
          <w:b/>
          <w:lang w:eastAsia="es-ES"/>
        </w:rPr>
      </w:pPr>
      <w:r w:rsidRPr="00E04ABF">
        <w:rPr>
          <w:b/>
          <w:lang w:eastAsia="es-ES"/>
        </w:rPr>
        <w:t>Conflictos de intereses</w:t>
      </w:r>
    </w:p>
    <w:p w14:paraId="5E529C2D" w14:textId="77777777" w:rsidR="00E04ABF" w:rsidRPr="00E04ABF" w:rsidRDefault="00E04ABF" w:rsidP="00E04ABF">
      <w:pPr>
        <w:spacing w:line="360" w:lineRule="auto"/>
        <w:rPr>
          <w:lang w:eastAsia="es-ES"/>
        </w:rPr>
      </w:pPr>
      <w:r w:rsidRPr="00E04ABF">
        <w:rPr>
          <w:lang w:eastAsia="es-ES"/>
        </w:rPr>
        <w:t>No existen conflictos de intereses.</w:t>
      </w:r>
    </w:p>
    <w:p w14:paraId="223E6528" w14:textId="77777777" w:rsidR="00E04ABF" w:rsidRPr="00E04ABF" w:rsidRDefault="00E04ABF" w:rsidP="00E04ABF">
      <w:pPr>
        <w:spacing w:line="360" w:lineRule="auto"/>
        <w:ind w:left="360"/>
        <w:jc w:val="center"/>
        <w:rPr>
          <w:b/>
          <w:bCs/>
          <w:lang w:eastAsia="es-ES"/>
        </w:rPr>
      </w:pPr>
    </w:p>
    <w:p w14:paraId="4EBB7E35" w14:textId="77777777" w:rsidR="00E04ABF" w:rsidRPr="00E04ABF" w:rsidRDefault="00E04ABF" w:rsidP="00E04ABF">
      <w:pPr>
        <w:spacing w:line="360" w:lineRule="auto"/>
        <w:ind w:left="360"/>
        <w:jc w:val="center"/>
        <w:rPr>
          <w:lang w:val="es-ES" w:eastAsia="es-ES"/>
        </w:rPr>
      </w:pPr>
      <w:r w:rsidRPr="00E04ABF">
        <w:rPr>
          <w:b/>
          <w:bCs/>
          <w:lang w:val="es-ES" w:eastAsia="es-ES"/>
        </w:rPr>
        <w:t>Contribuciones de los autores</w:t>
      </w:r>
    </w:p>
    <w:p w14:paraId="09E58675" w14:textId="77777777" w:rsidR="00E04ABF" w:rsidRPr="00E04ABF" w:rsidRDefault="00E04ABF" w:rsidP="00E04ABF">
      <w:pPr>
        <w:spacing w:line="360" w:lineRule="auto"/>
        <w:jc w:val="both"/>
        <w:rPr>
          <w:lang w:val="es-ES" w:eastAsia="es-ES"/>
        </w:rPr>
      </w:pPr>
      <w:r w:rsidRPr="00E04ABF">
        <w:rPr>
          <w:i/>
          <w:lang w:val="es-ES" w:eastAsia="es-ES"/>
        </w:rPr>
        <w:t>Ludmila Martínez Leyva:</w:t>
      </w:r>
      <w:r w:rsidRPr="00E04ABF">
        <w:rPr>
          <w:lang w:val="es-ES" w:eastAsia="es-ES"/>
        </w:rPr>
        <w:t xml:space="preserve"> diseñó, interpretó los resultados y redactó el trabajo. </w:t>
      </w:r>
      <w:r w:rsidRPr="00E04ABF">
        <w:rPr>
          <w:lang w:val="es-ES" w:eastAsia="es-ES"/>
        </w:rPr>
        <w:br/>
      </w:r>
      <w:r w:rsidRPr="00E04ABF">
        <w:rPr>
          <w:i/>
          <w:lang w:val="es-ES" w:eastAsia="es-ES"/>
        </w:rPr>
        <w:t>Teresita de Jesús Montero González:</w:t>
      </w:r>
      <w:r w:rsidRPr="00E04ABF">
        <w:rPr>
          <w:lang w:val="es-ES" w:eastAsia="es-ES"/>
        </w:rPr>
        <w:t xml:space="preserve"> participó en el diseño, análisis de los resultados y redacción del trabajo.</w:t>
      </w:r>
    </w:p>
    <w:p w14:paraId="4563E9C1" w14:textId="77777777" w:rsidR="00E04ABF" w:rsidRPr="00E04ABF" w:rsidRDefault="00E04ABF" w:rsidP="00E04ABF">
      <w:pPr>
        <w:spacing w:line="360" w:lineRule="auto"/>
        <w:jc w:val="both"/>
        <w:rPr>
          <w:lang w:val="es-ES" w:eastAsia="es-ES"/>
        </w:rPr>
      </w:pPr>
      <w:r w:rsidRPr="00E04ABF">
        <w:rPr>
          <w:i/>
          <w:lang w:val="es-ES" w:eastAsia="es-ES"/>
        </w:rPr>
        <w:t>Felipe Nery Piñol Jiménez:</w:t>
      </w:r>
      <w:r w:rsidRPr="00E04ABF">
        <w:rPr>
          <w:lang w:val="es-ES" w:eastAsia="es-ES"/>
        </w:rPr>
        <w:t xml:space="preserve"> participó en el diseño, análisis de los resultados y redacción del trabajo.</w:t>
      </w:r>
    </w:p>
    <w:p w14:paraId="250B743F" w14:textId="77777777" w:rsidR="00E04ABF" w:rsidRPr="00E04ABF" w:rsidRDefault="00E04ABF" w:rsidP="00E04ABF">
      <w:pPr>
        <w:spacing w:line="360" w:lineRule="auto"/>
        <w:jc w:val="both"/>
        <w:rPr>
          <w:lang w:val="es-ES" w:eastAsia="es-ES"/>
        </w:rPr>
      </w:pPr>
      <w:r w:rsidRPr="00E04ABF">
        <w:rPr>
          <w:i/>
          <w:lang w:val="es-ES" w:eastAsia="es-ES"/>
        </w:rPr>
        <w:t>Amada Palomino Besada:</w:t>
      </w:r>
      <w:r w:rsidRPr="00E04ABF">
        <w:rPr>
          <w:lang w:val="es-ES" w:eastAsia="es-ES"/>
        </w:rPr>
        <w:t xml:space="preserve"> participó en el análisis de los resultados.</w:t>
      </w:r>
    </w:p>
    <w:p w14:paraId="43775447" w14:textId="77777777" w:rsidR="00E04ABF" w:rsidRPr="00E04ABF" w:rsidRDefault="00E04ABF" w:rsidP="00E04ABF">
      <w:pPr>
        <w:spacing w:line="360" w:lineRule="auto"/>
        <w:jc w:val="both"/>
        <w:rPr>
          <w:lang w:val="es-ES" w:eastAsia="es-ES"/>
        </w:rPr>
      </w:pPr>
      <w:r w:rsidRPr="00E04ABF">
        <w:rPr>
          <w:i/>
          <w:lang w:val="es-ES" w:eastAsia="es-ES"/>
        </w:rPr>
        <w:t xml:space="preserve">Osvaldo Miranda Gómez: </w:t>
      </w:r>
      <w:r w:rsidRPr="00E04ABF">
        <w:rPr>
          <w:lang w:val="es-ES" w:eastAsia="es-ES"/>
        </w:rPr>
        <w:t>participó en el análisis de los resultados.</w:t>
      </w:r>
    </w:p>
    <w:p w14:paraId="53E8F4E5" w14:textId="77777777" w:rsidR="00E04ABF" w:rsidRPr="00E04ABF" w:rsidRDefault="00E04ABF" w:rsidP="00E04ABF">
      <w:pPr>
        <w:spacing w:line="360" w:lineRule="auto"/>
        <w:jc w:val="both"/>
        <w:rPr>
          <w:lang w:val="es-ES" w:eastAsia="es-ES"/>
        </w:rPr>
      </w:pPr>
      <w:r w:rsidRPr="00E04ABF">
        <w:rPr>
          <w:i/>
          <w:lang w:val="es-ES" w:eastAsia="es-ES"/>
        </w:rPr>
        <w:t>Danay Días Morejón:</w:t>
      </w:r>
      <w:r w:rsidRPr="00E04ABF">
        <w:rPr>
          <w:lang w:val="es-ES" w:eastAsia="es-ES"/>
        </w:rPr>
        <w:t xml:space="preserve"> participó en la redacción del trabajo.</w:t>
      </w:r>
    </w:p>
    <w:p w14:paraId="42D0FE76" w14:textId="50143D77" w:rsidR="00675476" w:rsidRPr="00E04ABF" w:rsidRDefault="00E04ABF" w:rsidP="00E04ABF">
      <w:pPr>
        <w:spacing w:line="360" w:lineRule="auto"/>
        <w:rPr>
          <w:rFonts w:eastAsia="MS Mincho"/>
          <w:bCs/>
          <w:lang w:val="es-ES" w:eastAsia="en-US"/>
        </w:rPr>
      </w:pPr>
      <w:r w:rsidRPr="00E04ABF">
        <w:rPr>
          <w:rFonts w:eastAsia="MS Mincho"/>
          <w:bCs/>
          <w:lang w:val="es-ES" w:eastAsia="en-US"/>
        </w:rPr>
        <w:t>Los autores individualmente se hacen responsables del contenido del artículo.</w:t>
      </w:r>
    </w:p>
    <w:sectPr w:rsidR="00675476" w:rsidRPr="00E04ABF" w:rsidSect="00486BFA">
      <w:headerReference w:type="default" r:id="rId26"/>
      <w:footerReference w:type="even" r:id="rId27"/>
      <w:footerReference w:type="default" r:id="rId28"/>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B68E2" w14:textId="77777777" w:rsidR="00056530" w:rsidRDefault="00056530">
      <w:r>
        <w:separator/>
      </w:r>
    </w:p>
  </w:endnote>
  <w:endnote w:type="continuationSeparator" w:id="0">
    <w:p w14:paraId="380456AD" w14:textId="77777777" w:rsidR="00056530" w:rsidRDefault="0005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NewRomanPSMT">
    <w:altName w:val="Yu Gothic U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C01F7"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71438FF"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7DC31" w14:textId="5FAD4AD3" w:rsidR="000F3690" w:rsidRPr="00AE044C" w:rsidRDefault="00E04ABF"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25FAE893" wp14:editId="77CBC764">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96DC1A"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0B773326" w14:textId="77777777" w:rsidR="00675476" w:rsidRPr="00AE044C" w:rsidRDefault="00056530" w:rsidP="00391509">
    <w:pPr>
      <w:pStyle w:val="Piedepgina"/>
      <w:ind w:right="360"/>
      <w:rPr>
        <w:sz w:val="22"/>
        <w:szCs w:val="22"/>
      </w:rPr>
    </w:pPr>
    <w:hyperlink r:id="rId1" w:history="1">
      <w:r w:rsidR="00391509" w:rsidRPr="00AE044C">
        <w:rPr>
          <w:rStyle w:val="Hipervnculo"/>
          <w:sz w:val="22"/>
          <w:szCs w:val="22"/>
        </w:rPr>
        <w:t>http://scielo.sld.cu</w:t>
      </w:r>
    </w:hyperlink>
  </w:p>
  <w:p w14:paraId="76F1E921" w14:textId="77777777" w:rsidR="00391509" w:rsidRPr="00AE044C" w:rsidRDefault="0005653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39899D43" w14:textId="361867E2"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E04ABF" w:rsidRPr="00E04ABF">
      <w:rPr>
        <w:rFonts w:ascii="Verdana" w:hAnsi="Verdana"/>
        <w:noProof/>
        <w:sz w:val="18"/>
        <w:szCs w:val="18"/>
        <w:lang w:val="en-US" w:eastAsia="en-US"/>
      </w:rPr>
      <w:drawing>
        <wp:inline distT="0" distB="0" distL="0" distR="0" wp14:anchorId="25B908F3" wp14:editId="063EE65E">
          <wp:extent cx="638175" cy="146685"/>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B761C" w14:textId="77777777" w:rsidR="00056530" w:rsidRDefault="00056530">
      <w:r>
        <w:separator/>
      </w:r>
    </w:p>
  </w:footnote>
  <w:footnote w:type="continuationSeparator" w:id="0">
    <w:p w14:paraId="059F2EEA" w14:textId="77777777" w:rsidR="00056530" w:rsidRDefault="00056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8802A" w14:textId="270AD25E" w:rsidR="00CC376A" w:rsidRPr="00AE044C" w:rsidRDefault="00E04ABF"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6883D821" wp14:editId="0B2F0CCD">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1</w:t>
    </w:r>
    <w:r w:rsidR="00493701" w:rsidRPr="00AE044C">
      <w:rPr>
        <w:sz w:val="22"/>
        <w:szCs w:val="22"/>
      </w:rPr>
      <w:t>)</w:t>
    </w:r>
    <w:r w:rsidR="00391509" w:rsidRPr="00AE044C">
      <w:rPr>
        <w:sz w:val="22"/>
        <w:szCs w:val="22"/>
      </w:rPr>
      <w:t>:</w:t>
    </w:r>
    <w:r>
      <w:rPr>
        <w:sz w:val="22"/>
        <w:szCs w:val="22"/>
      </w:rPr>
      <w:t>e0210729</w:t>
    </w:r>
  </w:p>
  <w:p w14:paraId="7D7997C2" w14:textId="4FF3652A" w:rsidR="00A477DE" w:rsidRDefault="00E04ABF">
    <w:r>
      <w:rPr>
        <w:noProof/>
      </w:rPr>
      <mc:AlternateContent>
        <mc:Choice Requires="wps">
          <w:drawing>
            <wp:anchor distT="0" distB="0" distL="114300" distR="114300" simplePos="0" relativeHeight="251657216" behindDoc="0" locked="0" layoutInCell="1" allowOverlap="1" wp14:anchorId="25075955" wp14:editId="1084C12C">
              <wp:simplePos x="0" y="0"/>
              <wp:positionH relativeFrom="column">
                <wp:posOffset>3810</wp:posOffset>
              </wp:positionH>
              <wp:positionV relativeFrom="paragraph">
                <wp:posOffset>44450</wp:posOffset>
              </wp:positionV>
              <wp:extent cx="6276975" cy="28575"/>
              <wp:effectExtent l="19050" t="19050" r="952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6E2F9A"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790277"/>
    <w:multiLevelType w:val="hybridMultilevel"/>
    <w:tmpl w:val="21F04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BF"/>
    <w:rsid w:val="00056530"/>
    <w:rsid w:val="000F3690"/>
    <w:rsid w:val="001221D1"/>
    <w:rsid w:val="00180CE9"/>
    <w:rsid w:val="00230DD5"/>
    <w:rsid w:val="002C65ED"/>
    <w:rsid w:val="00380D64"/>
    <w:rsid w:val="00391509"/>
    <w:rsid w:val="003E03D5"/>
    <w:rsid w:val="00437C7E"/>
    <w:rsid w:val="00486BFA"/>
    <w:rsid w:val="00493701"/>
    <w:rsid w:val="004E2065"/>
    <w:rsid w:val="005508A2"/>
    <w:rsid w:val="00566F71"/>
    <w:rsid w:val="005918BD"/>
    <w:rsid w:val="00675476"/>
    <w:rsid w:val="007C430F"/>
    <w:rsid w:val="007D614D"/>
    <w:rsid w:val="00960D6A"/>
    <w:rsid w:val="009A0560"/>
    <w:rsid w:val="009B0917"/>
    <w:rsid w:val="00A23C0C"/>
    <w:rsid w:val="00A477DE"/>
    <w:rsid w:val="00A71E65"/>
    <w:rsid w:val="00AE044C"/>
    <w:rsid w:val="00B31971"/>
    <w:rsid w:val="00B4380A"/>
    <w:rsid w:val="00B66ECB"/>
    <w:rsid w:val="00C7523A"/>
    <w:rsid w:val="00CC1B6E"/>
    <w:rsid w:val="00CC376A"/>
    <w:rsid w:val="00CC48A1"/>
    <w:rsid w:val="00CF50E0"/>
    <w:rsid w:val="00D85951"/>
    <w:rsid w:val="00E04ABF"/>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5E6DAD"/>
  <w15:docId w15:val="{33053293-2CA1-4300-829B-A8A3CBF9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372-6791" TargetMode="External"/><Relationship Id="rId13" Type="http://schemas.openxmlformats.org/officeDocument/2006/relationships/image" Target="media/image1.jpeg"/><Relationship Id="rId18" Type="http://schemas.openxmlformats.org/officeDocument/2006/relationships/hyperlink" Target="http://scielo.sld.cu/scielo.php?script=sci_arttext&amp;pid=S0138-65572016000400009&amp;nrm=iso"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revmedicaelectronica.sld.cu/index.php/rme/article/view/2513" TargetMode="External"/><Relationship Id="rId7" Type="http://schemas.openxmlformats.org/officeDocument/2006/relationships/hyperlink" Target="https://orcid.org/0000-0002-4333-4030" TargetMode="External"/><Relationship Id="rId12" Type="http://schemas.openxmlformats.org/officeDocument/2006/relationships/hyperlink" Target="https://orcid.org/0000-0003-3426-3549" TargetMode="External"/><Relationship Id="rId17" Type="http://schemas.openxmlformats.org/officeDocument/2006/relationships/hyperlink" Target="https://www.ncbi.nlm.nih.gov/pmc/articles/PMC4814653/" TargetMode="External"/><Relationship Id="rId25" Type="http://schemas.openxmlformats.org/officeDocument/2006/relationships/hyperlink" Target="http://www.revibiomedica.sld.cu/index.php/ibi/article/view/94" TargetMode="External"/><Relationship Id="rId2" Type="http://schemas.openxmlformats.org/officeDocument/2006/relationships/styles" Target="styles.xml"/><Relationship Id="rId16" Type="http://schemas.openxmlformats.org/officeDocument/2006/relationships/hyperlink" Target="http://scielo.sld.cu/scielo.php?script=sci_arttext&amp;pid=S0138-65572016000300009&amp;nrm=iso" TargetMode="External"/><Relationship Id="rId20" Type="http://schemas.openxmlformats.org/officeDocument/2006/relationships/hyperlink" Target="https://www.scielo.org.bo/scielo.php?script=sci_arttext&amp;pid=S1012-29662009000100002&amp;lng=e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7017-6808" TargetMode="External"/><Relationship Id="rId24" Type="http://schemas.openxmlformats.org/officeDocument/2006/relationships/hyperlink" Target="http://www.revmedtropical.sld.cu/index.php/medtropical/article/view/265"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rcientificas.uninorte.edu.co/index.php/salud/article/viewArticle/8383/-10413" TargetMode="External"/><Relationship Id="rId28" Type="http://schemas.openxmlformats.org/officeDocument/2006/relationships/footer" Target="footer2.xml"/><Relationship Id="rId10" Type="http://schemas.openxmlformats.org/officeDocument/2006/relationships/hyperlink" Target="https://orcid.org/0000-0002-4581-7693" TargetMode="External"/><Relationship Id="rId19" Type="http://schemas.openxmlformats.org/officeDocument/2006/relationships/hyperlink" Target="http://www.wma.net/es/30publications/10policies/b3/" TargetMode="External"/><Relationship Id="rId4" Type="http://schemas.openxmlformats.org/officeDocument/2006/relationships/webSettings" Target="webSettings.xml"/><Relationship Id="rId9" Type="http://schemas.openxmlformats.org/officeDocument/2006/relationships/hyperlink" Target="https://orcid.org/0000-0003-0522-8875" TargetMode="External"/><Relationship Id="rId14" Type="http://schemas.openxmlformats.org/officeDocument/2006/relationships/image" Target="media/image2.jpeg"/><Relationship Id="rId22" Type="http://schemas.openxmlformats.org/officeDocument/2006/relationships/hyperlink" Target="http://dx.doi.org/10.3305/nh.2015.32.1.9071" TargetMode="External"/><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8</TotalTime>
  <Pages>10</Pages>
  <Words>2930</Words>
  <Characters>16120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19012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3</cp:revision>
  <cp:lastPrinted>2021-02-06T18:36:00Z</cp:lastPrinted>
  <dcterms:created xsi:type="dcterms:W3CDTF">2021-02-06T18:28:00Z</dcterms:created>
  <dcterms:modified xsi:type="dcterms:W3CDTF">2021-02-06T18:37:00Z</dcterms:modified>
</cp:coreProperties>
</file>