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46600" w14:textId="77777777" w:rsidR="00DD3D18" w:rsidRPr="00DD3D18" w:rsidRDefault="00DD3D18" w:rsidP="00DD3D18">
      <w:pPr>
        <w:suppressAutoHyphens/>
        <w:spacing w:line="360" w:lineRule="auto"/>
        <w:jc w:val="right"/>
        <w:rPr>
          <w:rFonts w:eastAsia="Calibri"/>
          <w:color w:val="00000A"/>
          <w:lang w:val="es-ES" w:eastAsia="zh-CN"/>
        </w:rPr>
      </w:pPr>
      <w:r w:rsidRPr="00DD3D18">
        <w:rPr>
          <w:rFonts w:eastAsia="Calibri"/>
          <w:bCs/>
          <w:color w:val="00000A"/>
          <w:lang w:val="es-ES" w:eastAsia="zh-CN"/>
        </w:rPr>
        <w:t xml:space="preserve">Artículo de investigación </w:t>
      </w:r>
    </w:p>
    <w:p w14:paraId="6389E4C4" w14:textId="77777777" w:rsidR="00DD3D18" w:rsidRPr="00DD3D18" w:rsidRDefault="00DD3D18" w:rsidP="00DD3D18">
      <w:pPr>
        <w:suppressAutoHyphens/>
        <w:spacing w:line="360" w:lineRule="auto"/>
        <w:jc w:val="both"/>
        <w:rPr>
          <w:rFonts w:eastAsia="Calibri"/>
          <w:color w:val="00000A"/>
          <w:lang w:val="es-ES" w:eastAsia="zh-CN"/>
        </w:rPr>
      </w:pPr>
    </w:p>
    <w:p w14:paraId="3C1A1A15" w14:textId="77777777" w:rsidR="00DD3D18" w:rsidRPr="00DD3D18" w:rsidRDefault="00DD3D18" w:rsidP="00DD3D18">
      <w:pPr>
        <w:suppressAutoHyphens/>
        <w:spacing w:line="360" w:lineRule="auto"/>
        <w:jc w:val="center"/>
        <w:rPr>
          <w:rFonts w:eastAsia="Calibri"/>
          <w:b/>
          <w:color w:val="00000A"/>
          <w:sz w:val="28"/>
          <w:szCs w:val="28"/>
          <w:lang w:val="es-ES" w:eastAsia="zh-CN"/>
        </w:rPr>
      </w:pPr>
      <w:r w:rsidRPr="00DD3D18">
        <w:rPr>
          <w:rFonts w:eastAsia="Calibri"/>
          <w:b/>
          <w:color w:val="00000A"/>
          <w:sz w:val="28"/>
          <w:szCs w:val="28"/>
          <w:lang w:val="es-ES" w:eastAsia="zh-CN"/>
        </w:rPr>
        <w:t>Caracterización clínica y epidemiológica de pacientes con la COVID-19</w:t>
      </w:r>
    </w:p>
    <w:p w14:paraId="50675A2A" w14:textId="77777777" w:rsidR="00DD3D18" w:rsidRPr="00DD3D18" w:rsidRDefault="00DD3D18" w:rsidP="00DD3D18">
      <w:pPr>
        <w:suppressAutoHyphens/>
        <w:spacing w:line="360" w:lineRule="auto"/>
        <w:jc w:val="center"/>
        <w:rPr>
          <w:rFonts w:eastAsia="Calibri"/>
          <w:color w:val="00000A"/>
          <w:sz w:val="28"/>
          <w:szCs w:val="28"/>
          <w:lang w:val="en" w:eastAsia="zh-CN"/>
        </w:rPr>
      </w:pPr>
      <w:r w:rsidRPr="00DD3D18">
        <w:rPr>
          <w:rFonts w:eastAsia="Calibri"/>
          <w:color w:val="00000A"/>
          <w:sz w:val="28"/>
          <w:szCs w:val="28"/>
          <w:lang w:val="en" w:eastAsia="zh-CN"/>
        </w:rPr>
        <w:t>Clinical and epidemiological characterization of patients with COVID-19</w:t>
      </w:r>
    </w:p>
    <w:p w14:paraId="27FAE27D" w14:textId="77777777" w:rsidR="00DD3D18" w:rsidRPr="00DD3D18" w:rsidRDefault="00DD3D18" w:rsidP="00DD3D18">
      <w:pPr>
        <w:suppressAutoHyphens/>
        <w:spacing w:line="360" w:lineRule="auto"/>
        <w:jc w:val="both"/>
        <w:rPr>
          <w:color w:val="00000A"/>
          <w:lang w:val="en-US" w:eastAsia="es-ES"/>
        </w:rPr>
      </w:pPr>
    </w:p>
    <w:p w14:paraId="5ECF9818" w14:textId="77777777" w:rsidR="00DD3D18" w:rsidRPr="00DD3D18" w:rsidRDefault="00DD3D18" w:rsidP="00DD3D18">
      <w:pPr>
        <w:suppressAutoHyphens/>
        <w:spacing w:line="360" w:lineRule="auto"/>
        <w:jc w:val="both"/>
        <w:rPr>
          <w:rFonts w:eastAsia="Calibri"/>
          <w:bCs/>
          <w:color w:val="00000A"/>
          <w:lang w:val="es-ES" w:eastAsia="zh-CN"/>
        </w:rPr>
      </w:pPr>
      <w:proofErr w:type="spellStart"/>
      <w:r w:rsidRPr="00DD3D18">
        <w:rPr>
          <w:rFonts w:eastAsia="Calibri"/>
          <w:bCs/>
          <w:color w:val="00000A"/>
          <w:lang w:val="es-ES" w:eastAsia="zh-CN"/>
        </w:rPr>
        <w:t>Yayquier</w:t>
      </w:r>
      <w:proofErr w:type="spellEnd"/>
      <w:r w:rsidRPr="00DD3D18">
        <w:rPr>
          <w:rFonts w:eastAsia="Calibri"/>
          <w:bCs/>
          <w:color w:val="00000A"/>
          <w:lang w:val="es-ES" w:eastAsia="zh-CN"/>
        </w:rPr>
        <w:t xml:space="preserve"> Diaz Morales</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6" w:history="1">
        <w:r w:rsidRPr="00DD3D18">
          <w:rPr>
            <w:rFonts w:eastAsia="Calibri"/>
            <w:color w:val="0000FF"/>
            <w:u w:val="single"/>
            <w:lang w:val="es-ES" w:eastAsia="zh-CN"/>
          </w:rPr>
          <w:t>https://orcid.org/0000-0003-3913-3284</w:t>
        </w:r>
      </w:hyperlink>
      <w:r w:rsidRPr="00DD3D18">
        <w:rPr>
          <w:rFonts w:eastAsia="Calibri"/>
          <w:bCs/>
          <w:color w:val="00000A"/>
          <w:lang w:val="es-ES" w:eastAsia="zh-CN"/>
        </w:rPr>
        <w:t xml:space="preserve"> </w:t>
      </w:r>
    </w:p>
    <w:p w14:paraId="5D0AC3E2"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lang w:val="es-ES" w:eastAsia="zh-CN"/>
        </w:rPr>
        <w:t>Evelyn Tejeda Castañeda</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7" w:history="1">
        <w:r w:rsidRPr="00DD3D18">
          <w:rPr>
            <w:rFonts w:eastAsia="Calibri"/>
            <w:color w:val="0000FF"/>
            <w:u w:val="single"/>
            <w:lang w:val="es-ES" w:eastAsia="zh-CN"/>
          </w:rPr>
          <w:t>https://orcid.org/0000-0001-7292-0090</w:t>
        </w:r>
      </w:hyperlink>
      <w:r w:rsidRPr="00DD3D18">
        <w:rPr>
          <w:rFonts w:eastAsia="Calibri"/>
          <w:bCs/>
          <w:color w:val="00000A"/>
          <w:lang w:val="es-ES" w:eastAsia="zh-CN"/>
        </w:rPr>
        <w:t xml:space="preserve"> </w:t>
      </w:r>
    </w:p>
    <w:p w14:paraId="010995EA"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lang w:val="es-ES" w:eastAsia="zh-CN"/>
        </w:rPr>
        <w:t>Ernesto Gilberto Díaz Padrón</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8" w:history="1">
        <w:r w:rsidRPr="00DD3D18">
          <w:rPr>
            <w:rFonts w:eastAsia="Calibri"/>
            <w:color w:val="0000FF"/>
            <w:u w:val="single"/>
            <w:lang w:val="es-ES" w:eastAsia="zh-CN"/>
          </w:rPr>
          <w:t>https://orcid.org/0000-0001-9474-9650</w:t>
        </w:r>
      </w:hyperlink>
      <w:r w:rsidRPr="00DD3D18">
        <w:rPr>
          <w:rFonts w:eastAsia="Calibri"/>
          <w:bCs/>
          <w:color w:val="00000A"/>
          <w:lang w:val="es-ES" w:eastAsia="zh-CN"/>
        </w:rPr>
        <w:t xml:space="preserve"> </w:t>
      </w:r>
    </w:p>
    <w:p w14:paraId="67C8D931" w14:textId="77777777" w:rsidR="00DD3D18" w:rsidRPr="00DD3D18" w:rsidRDefault="00DD3D18" w:rsidP="00DD3D18">
      <w:pPr>
        <w:suppressAutoHyphens/>
        <w:spacing w:line="360" w:lineRule="auto"/>
        <w:jc w:val="both"/>
        <w:rPr>
          <w:rFonts w:eastAsia="Calibri"/>
          <w:bCs/>
          <w:color w:val="00000A"/>
          <w:lang w:val="es-ES" w:eastAsia="zh-CN"/>
        </w:rPr>
      </w:pPr>
      <w:proofErr w:type="spellStart"/>
      <w:r w:rsidRPr="00DD3D18">
        <w:rPr>
          <w:rFonts w:eastAsia="Calibri"/>
          <w:bCs/>
          <w:color w:val="00000A"/>
          <w:lang w:val="es-ES" w:eastAsia="zh-CN"/>
        </w:rPr>
        <w:t>Wilian</w:t>
      </w:r>
      <w:proofErr w:type="spellEnd"/>
      <w:r w:rsidRPr="00DD3D18">
        <w:rPr>
          <w:rFonts w:eastAsia="Calibri"/>
          <w:bCs/>
          <w:color w:val="00000A"/>
          <w:lang w:val="es-ES" w:eastAsia="zh-CN"/>
        </w:rPr>
        <w:t xml:space="preserve"> Santiago Lopez</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9" w:history="1">
        <w:r w:rsidRPr="00DD3D18">
          <w:rPr>
            <w:rFonts w:eastAsia="Calibri"/>
            <w:color w:val="0000FF"/>
            <w:u w:val="single"/>
            <w:lang w:val="es-ES" w:eastAsia="zh-CN"/>
          </w:rPr>
          <w:t>https://orcid.org/0000-0001-5873-5761</w:t>
        </w:r>
      </w:hyperlink>
      <w:r w:rsidRPr="00DD3D18">
        <w:rPr>
          <w:rFonts w:eastAsia="Calibri"/>
          <w:bCs/>
          <w:color w:val="00000A"/>
          <w:lang w:val="es-ES" w:eastAsia="zh-CN"/>
        </w:rPr>
        <w:t xml:space="preserve"> </w:t>
      </w:r>
    </w:p>
    <w:p w14:paraId="1F412CEF"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lang w:val="es-ES" w:eastAsia="zh-CN"/>
        </w:rPr>
        <w:t>Augusto Oyarzabal Guerra</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10" w:history="1">
        <w:r w:rsidRPr="00DD3D18">
          <w:rPr>
            <w:rFonts w:eastAsia="Calibri"/>
            <w:color w:val="0000FF"/>
            <w:u w:val="single"/>
            <w:lang w:val="es-ES" w:eastAsia="zh-CN"/>
          </w:rPr>
          <w:t>https://orcid.org/0000-0002-4055-5823</w:t>
        </w:r>
      </w:hyperlink>
      <w:r w:rsidRPr="00DD3D18">
        <w:rPr>
          <w:rFonts w:eastAsia="Calibri"/>
          <w:bCs/>
          <w:color w:val="00000A"/>
          <w:lang w:val="es-ES" w:eastAsia="zh-CN"/>
        </w:rPr>
        <w:t xml:space="preserve"> </w:t>
      </w:r>
    </w:p>
    <w:p w14:paraId="22657CA1"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lang w:val="es-ES" w:eastAsia="zh-CN"/>
        </w:rPr>
        <w:t>Néstor Antonio Calderón Medina</w:t>
      </w:r>
      <w:r w:rsidRPr="00DD3D18">
        <w:rPr>
          <w:rFonts w:eastAsia="Calibri"/>
          <w:bCs/>
          <w:color w:val="00000A"/>
          <w:vertAlign w:val="superscript"/>
          <w:lang w:val="es-ES" w:eastAsia="zh-CN"/>
        </w:rPr>
        <w:t>1</w:t>
      </w:r>
      <w:r w:rsidRPr="00DD3D18">
        <w:rPr>
          <w:rFonts w:eastAsia="Calibri"/>
          <w:bCs/>
          <w:color w:val="00000A"/>
          <w:lang w:val="es-ES" w:eastAsia="zh-CN"/>
        </w:rPr>
        <w:t xml:space="preserve"> </w:t>
      </w:r>
      <w:hyperlink r:id="rId11" w:history="1">
        <w:r w:rsidRPr="00DD3D18">
          <w:rPr>
            <w:rFonts w:eastAsia="Calibri"/>
            <w:color w:val="0000FF"/>
            <w:u w:val="single"/>
            <w:lang w:val="es-ES" w:eastAsia="zh-CN"/>
          </w:rPr>
          <w:t>https://orcid.org/0000-0003-1744-1577</w:t>
        </w:r>
      </w:hyperlink>
      <w:r w:rsidRPr="00DD3D18">
        <w:rPr>
          <w:rFonts w:eastAsia="Calibri"/>
          <w:bCs/>
          <w:color w:val="00000A"/>
          <w:lang w:val="es-ES" w:eastAsia="zh-CN"/>
        </w:rPr>
        <w:t xml:space="preserve"> </w:t>
      </w:r>
    </w:p>
    <w:p w14:paraId="2A6B01FC" w14:textId="77777777" w:rsidR="00DD3D18" w:rsidRPr="00DD3D18" w:rsidRDefault="00DD3D18" w:rsidP="00DD3D18">
      <w:pPr>
        <w:suppressAutoHyphens/>
        <w:spacing w:line="360" w:lineRule="auto"/>
        <w:jc w:val="both"/>
        <w:rPr>
          <w:rFonts w:eastAsia="Calibri"/>
          <w:bCs/>
          <w:color w:val="00000A"/>
          <w:lang w:val="es-ES" w:eastAsia="zh-CN"/>
        </w:rPr>
      </w:pPr>
    </w:p>
    <w:p w14:paraId="6637DDB0"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vertAlign w:val="superscript"/>
          <w:lang w:val="es-ES" w:eastAsia="zh-CN"/>
        </w:rPr>
        <w:t>1</w:t>
      </w:r>
      <w:r w:rsidRPr="00DD3D18">
        <w:rPr>
          <w:rFonts w:eastAsia="Calibri"/>
          <w:bCs/>
          <w:color w:val="00000A"/>
          <w:lang w:val="es-ES" w:eastAsia="zh-CN"/>
        </w:rPr>
        <w:t>Hospital Militar “</w:t>
      </w:r>
      <w:proofErr w:type="gramStart"/>
      <w:r w:rsidRPr="00DD3D18">
        <w:rPr>
          <w:rFonts w:eastAsia="Calibri"/>
          <w:bCs/>
          <w:color w:val="00000A"/>
          <w:lang w:val="es-ES" w:eastAsia="zh-CN"/>
        </w:rPr>
        <w:t>Comandante</w:t>
      </w:r>
      <w:proofErr w:type="gramEnd"/>
      <w:r w:rsidRPr="00DD3D18">
        <w:rPr>
          <w:rFonts w:eastAsia="Calibri"/>
          <w:bCs/>
          <w:color w:val="00000A"/>
          <w:lang w:val="es-ES" w:eastAsia="zh-CN"/>
        </w:rPr>
        <w:t xml:space="preserve"> Manuel Fajarlo Rivero”. Villa Clara, Cuba.</w:t>
      </w:r>
    </w:p>
    <w:p w14:paraId="08408B2C" w14:textId="77777777" w:rsidR="00DD3D18" w:rsidRPr="00DD3D18" w:rsidRDefault="00DD3D18" w:rsidP="00DD3D18">
      <w:pPr>
        <w:suppressAutoHyphens/>
        <w:spacing w:line="360" w:lineRule="auto"/>
        <w:jc w:val="both"/>
        <w:rPr>
          <w:rFonts w:eastAsia="Calibri"/>
          <w:bCs/>
          <w:color w:val="00000A"/>
          <w:lang w:val="es-ES" w:eastAsia="zh-CN"/>
        </w:rPr>
      </w:pPr>
      <w:r w:rsidRPr="00DD3D18">
        <w:rPr>
          <w:rFonts w:eastAsia="Calibri"/>
          <w:bCs/>
          <w:color w:val="00000A"/>
          <w:lang w:val="es-ES" w:eastAsia="zh-CN"/>
        </w:rPr>
        <w:t xml:space="preserve">*Autor para la correspondencia. Correo electrónico: </w:t>
      </w:r>
      <w:hyperlink r:id="rId12" w:history="1">
        <w:r w:rsidRPr="00DD3D18">
          <w:rPr>
            <w:rFonts w:eastAsia="Calibri"/>
            <w:color w:val="0000FF"/>
            <w:u w:val="single"/>
            <w:lang w:val="es-ES" w:eastAsia="zh-CN"/>
          </w:rPr>
          <w:t>yayquierdm@infomed.sld.cu</w:t>
        </w:r>
      </w:hyperlink>
      <w:r w:rsidRPr="00DD3D18">
        <w:rPr>
          <w:rFonts w:eastAsia="Calibri"/>
          <w:bCs/>
          <w:color w:val="00000A"/>
          <w:lang w:val="es-ES" w:eastAsia="zh-CN"/>
        </w:rPr>
        <w:t xml:space="preserve"> </w:t>
      </w:r>
    </w:p>
    <w:p w14:paraId="2F27CF7B" w14:textId="77777777" w:rsidR="00DD3D18" w:rsidRPr="00DD3D18" w:rsidRDefault="00DD3D18" w:rsidP="00DD3D18">
      <w:pPr>
        <w:suppressAutoHyphens/>
        <w:spacing w:line="360" w:lineRule="auto"/>
        <w:jc w:val="both"/>
        <w:rPr>
          <w:rFonts w:eastAsia="Calibri"/>
          <w:b/>
          <w:bCs/>
          <w:color w:val="00000A"/>
          <w:lang w:val="es-ES" w:eastAsia="zh-CN"/>
        </w:rPr>
      </w:pPr>
    </w:p>
    <w:p w14:paraId="254F79E0"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bCs/>
          <w:color w:val="00000A"/>
          <w:lang w:val="es-ES" w:eastAsia="zh-CN"/>
        </w:rPr>
        <w:t>RESUMEN</w:t>
      </w:r>
    </w:p>
    <w:p w14:paraId="75035832"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color w:val="00000A"/>
          <w:lang w:val="es-ES" w:eastAsia="zh-CN"/>
        </w:rPr>
        <w:t>Introducción:</w:t>
      </w:r>
      <w:r w:rsidRPr="00DD3D18">
        <w:rPr>
          <w:rFonts w:eastAsia="Calibri"/>
          <w:color w:val="00000A"/>
          <w:lang w:val="es-ES" w:eastAsia="zh-CN"/>
        </w:rPr>
        <w:t xml:space="preserve"> El virus SARS-CoV-2 es transmisible entre humanos y ha causado una pandemia.</w:t>
      </w:r>
    </w:p>
    <w:p w14:paraId="1C5B5D7E"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color w:val="00000A"/>
          <w:lang w:val="es-ES" w:eastAsia="zh-CN"/>
        </w:rPr>
        <w:t>Objetivo:</w:t>
      </w:r>
      <w:r w:rsidRPr="00DD3D18">
        <w:rPr>
          <w:rFonts w:eastAsia="Calibri"/>
          <w:color w:val="00000A"/>
          <w:lang w:val="es-ES" w:eastAsia="zh-CN"/>
        </w:rPr>
        <w:t xml:space="preserve"> Caracterizar clínica y epidemiológicamente a pacientes con la COVID-19. </w:t>
      </w:r>
    </w:p>
    <w:p w14:paraId="781E70D4"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color w:val="00000A"/>
          <w:lang w:val="es-ES" w:eastAsia="zh-CN"/>
        </w:rPr>
        <w:t>Métodos:</w:t>
      </w:r>
      <w:r w:rsidRPr="00DD3D18">
        <w:rPr>
          <w:rFonts w:eastAsia="Calibri"/>
          <w:color w:val="00000A"/>
          <w:lang w:val="es-ES" w:eastAsia="zh-CN"/>
        </w:rPr>
        <w:t xml:space="preserve"> Estudio descriptivo, entre marzo y mayo del 2020, de 187 pacientes confirmados para el SARS-CoV-2, por la prueba de reacción en cadena de la polimerasa en tiempo real. Las variables descritas fueron: edad, sexo, comorbilidades, estado al egreso e ingreso en la sala de cuidados intensivos, confirmación de la causa directa de muerte y la letalidad; además se exploraron correlaciones entre estas variables.</w:t>
      </w:r>
    </w:p>
    <w:p w14:paraId="42DB6ED9"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color w:val="00000A"/>
          <w:lang w:val="es-ES" w:eastAsia="zh-CN"/>
        </w:rPr>
        <w:t>Resultados:</w:t>
      </w:r>
      <w:r w:rsidRPr="00DD3D18">
        <w:rPr>
          <w:rFonts w:eastAsia="Calibri"/>
          <w:color w:val="00000A"/>
          <w:lang w:val="es-ES" w:eastAsia="zh-CN"/>
        </w:rPr>
        <w:t xml:space="preserve"> Prevaleció el sexo femenino con 54,5 % y el grupo de edad entre 18 a 59 años (52,4 %), la edad media fue superior a los 40 años. El 91,9 % de los pacientes egresaron vivos y el 88,4 % no requirió cuidados intensivos. La letalidad fue </w:t>
      </w:r>
      <w:r w:rsidRPr="00DD3D18">
        <w:rPr>
          <w:rFonts w:eastAsia="Calibri"/>
          <w:lang w:val="es-ES" w:eastAsia="zh-CN"/>
        </w:rPr>
        <w:t>de 6,9 %. Hubo c</w:t>
      </w:r>
      <w:r w:rsidRPr="00DD3D18">
        <w:rPr>
          <w:rFonts w:eastAsia="Calibri"/>
          <w:color w:val="00000A"/>
          <w:lang w:val="es-ES" w:eastAsia="zh-CN"/>
        </w:rPr>
        <w:t>orrelación estadísticamente significativa entre el estado al egreso fallecido y la e</w:t>
      </w:r>
      <w:r w:rsidRPr="00DD3D18">
        <w:rPr>
          <w:color w:val="000000"/>
          <w:lang w:val="es-ES" w:eastAsia="es-ES"/>
        </w:rPr>
        <w:t xml:space="preserve">stadía en cuidados intensivos, hipertensión arterial, otras comorbilidades y tener 60 o más años. </w:t>
      </w:r>
      <w:r w:rsidRPr="00DD3D18">
        <w:rPr>
          <w:rFonts w:eastAsia="Calibri"/>
          <w:color w:val="00000A"/>
          <w:lang w:val="es-ES" w:eastAsia="zh-CN"/>
        </w:rPr>
        <w:t xml:space="preserve"> </w:t>
      </w:r>
    </w:p>
    <w:p w14:paraId="77386228" w14:textId="77777777" w:rsidR="00DD3D18" w:rsidRPr="00DD3D18" w:rsidRDefault="00DD3D18" w:rsidP="00DD3D18">
      <w:pPr>
        <w:suppressAutoHyphens/>
        <w:spacing w:line="360" w:lineRule="auto"/>
        <w:jc w:val="both"/>
        <w:rPr>
          <w:rFonts w:eastAsia="Calibri"/>
          <w:b/>
          <w:color w:val="00000A"/>
          <w:lang w:val="es-ES" w:eastAsia="zh-CN"/>
        </w:rPr>
      </w:pPr>
      <w:r w:rsidRPr="00DD3D18">
        <w:rPr>
          <w:rFonts w:eastAsia="Calibri"/>
          <w:b/>
          <w:color w:val="00000A"/>
          <w:lang w:val="es-ES" w:eastAsia="zh-CN"/>
        </w:rPr>
        <w:lastRenderedPageBreak/>
        <w:t>Conclusiones:</w:t>
      </w:r>
      <w:r w:rsidRPr="00DD3D18">
        <w:rPr>
          <w:rFonts w:eastAsia="Calibri"/>
          <w:color w:val="00000A"/>
          <w:lang w:val="es-ES" w:eastAsia="zh-CN"/>
        </w:rPr>
        <w:t xml:space="preserve"> Predominaron los pacientes con síntomas y signos clínicos, en quienes no fue necesario el ingreso en la UCI, se observó mayor incidencia en el sexo femenino y entre los 18 y 59 años para ambos sexos. Todos los fallecidos menores de 60 fueron del sexo masculino. Hubo correlación fuerte entre el estado al egreso fallecido, con la e</w:t>
      </w:r>
      <w:r w:rsidRPr="00DD3D18">
        <w:rPr>
          <w:color w:val="000000"/>
          <w:lang w:val="es-ES" w:eastAsia="es-ES"/>
        </w:rPr>
        <w:t>stadía en cuidados intensivos, HTA, otras comorbilidades, y tener 60 y más años.</w:t>
      </w:r>
    </w:p>
    <w:p w14:paraId="491A84E1"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b/>
          <w:color w:val="00000A"/>
          <w:lang w:val="es-ES" w:eastAsia="zh-CN"/>
        </w:rPr>
        <w:t>Palabras clave:</w:t>
      </w:r>
      <w:r w:rsidRPr="00DD3D18">
        <w:rPr>
          <w:rFonts w:eastAsia="Calibri"/>
          <w:color w:val="00000A"/>
          <w:lang w:val="es-ES" w:eastAsia="zh-CN"/>
        </w:rPr>
        <w:t xml:space="preserve"> COVID</w:t>
      </w:r>
      <w:r w:rsidRPr="00DD3D18">
        <w:rPr>
          <w:rFonts w:eastAsia="Calibri"/>
          <w:color w:val="00000A"/>
          <w:lang w:val="es-ES" w:eastAsia="zh-CN"/>
        </w:rPr>
        <w:noBreakHyphen/>
        <w:t>19; epidemiología, COVID-19; SARS-CoV-2; ancianos, COVID-19.</w:t>
      </w:r>
    </w:p>
    <w:p w14:paraId="19687865" w14:textId="77777777" w:rsidR="00DD3D18" w:rsidRPr="00DD3D18" w:rsidRDefault="00DD3D18" w:rsidP="00DD3D18">
      <w:pPr>
        <w:suppressAutoHyphens/>
        <w:spacing w:line="360" w:lineRule="auto"/>
        <w:jc w:val="both"/>
        <w:rPr>
          <w:rFonts w:eastAsia="Calibri"/>
          <w:color w:val="00000A"/>
          <w:lang w:val="es-ES" w:eastAsia="zh-CN"/>
        </w:rPr>
      </w:pPr>
    </w:p>
    <w:p w14:paraId="57DF6733" w14:textId="77777777" w:rsidR="00DD3D18" w:rsidRPr="00DD3D18" w:rsidRDefault="00DD3D18" w:rsidP="00DD3D18">
      <w:pPr>
        <w:suppressAutoHyphens/>
        <w:spacing w:line="360" w:lineRule="auto"/>
        <w:jc w:val="both"/>
        <w:outlineLvl w:val="1"/>
        <w:rPr>
          <w:b/>
          <w:bCs/>
          <w:color w:val="00000A"/>
          <w:lang w:val="en-US" w:eastAsia="zh-CN"/>
        </w:rPr>
      </w:pPr>
      <w:r w:rsidRPr="00DD3D18">
        <w:rPr>
          <w:b/>
          <w:bCs/>
          <w:color w:val="00000A"/>
          <w:lang w:val="en-US" w:eastAsia="zh-CN"/>
        </w:rPr>
        <w:t>ABSTRACT</w:t>
      </w:r>
    </w:p>
    <w:p w14:paraId="3086E552" w14:textId="77777777" w:rsidR="00DD3D18" w:rsidRPr="00DD3D18" w:rsidRDefault="00DD3D18" w:rsidP="00DD3D18">
      <w:pPr>
        <w:suppressAutoHyphens/>
        <w:spacing w:line="360" w:lineRule="auto"/>
        <w:jc w:val="both"/>
        <w:rPr>
          <w:rFonts w:eastAsia="Calibri"/>
          <w:bCs/>
          <w:color w:val="00000A"/>
          <w:lang w:val="en" w:eastAsia="zh-CN"/>
        </w:rPr>
      </w:pPr>
      <w:r w:rsidRPr="00DD3D18">
        <w:rPr>
          <w:rFonts w:eastAsia="Calibri"/>
          <w:b/>
          <w:color w:val="00000A"/>
          <w:lang w:val="en" w:eastAsia="zh-CN"/>
        </w:rPr>
        <w:t xml:space="preserve">Introduction: </w:t>
      </w:r>
      <w:r w:rsidRPr="00DD3D18">
        <w:rPr>
          <w:rFonts w:eastAsia="Calibri"/>
          <w:bCs/>
          <w:color w:val="00000A"/>
          <w:lang w:val="en" w:eastAsia="zh-CN"/>
        </w:rPr>
        <w:t>The SARS-CoV-2 virus is transmissible between humans and has caused a pandemic.</w:t>
      </w:r>
    </w:p>
    <w:p w14:paraId="421853CE" w14:textId="77777777" w:rsidR="00DD3D18" w:rsidRPr="00DD3D18" w:rsidRDefault="00DD3D18" w:rsidP="00DD3D18">
      <w:pPr>
        <w:suppressAutoHyphens/>
        <w:spacing w:line="360" w:lineRule="auto"/>
        <w:jc w:val="both"/>
        <w:rPr>
          <w:rFonts w:eastAsia="Calibri"/>
          <w:bCs/>
          <w:color w:val="00000A"/>
          <w:lang w:val="en" w:eastAsia="zh-CN"/>
        </w:rPr>
      </w:pPr>
      <w:r w:rsidRPr="00DD3D18">
        <w:rPr>
          <w:rFonts w:eastAsia="Calibri"/>
          <w:b/>
          <w:color w:val="00000A"/>
          <w:lang w:val="en" w:eastAsia="zh-CN"/>
        </w:rPr>
        <w:t>Objective:</w:t>
      </w:r>
      <w:r w:rsidRPr="00DD3D18">
        <w:rPr>
          <w:rFonts w:eastAsia="Calibri"/>
          <w:bCs/>
          <w:color w:val="00000A"/>
          <w:lang w:val="en" w:eastAsia="zh-CN"/>
        </w:rPr>
        <w:t xml:space="preserve"> To characterize clinically and epidemiologically patients with COVID-19.</w:t>
      </w:r>
    </w:p>
    <w:p w14:paraId="3A53D795" w14:textId="77777777" w:rsidR="00DD3D18" w:rsidRPr="00DD3D18" w:rsidRDefault="00DD3D18" w:rsidP="00DD3D18">
      <w:pPr>
        <w:suppressAutoHyphens/>
        <w:spacing w:line="360" w:lineRule="auto"/>
        <w:jc w:val="both"/>
        <w:rPr>
          <w:rFonts w:eastAsia="Calibri"/>
          <w:bCs/>
          <w:color w:val="00000A"/>
          <w:lang w:val="en" w:eastAsia="zh-CN"/>
        </w:rPr>
      </w:pPr>
      <w:r w:rsidRPr="00DD3D18">
        <w:rPr>
          <w:rFonts w:eastAsia="Calibri"/>
          <w:b/>
          <w:color w:val="00000A"/>
          <w:lang w:val="en" w:eastAsia="zh-CN"/>
        </w:rPr>
        <w:t>Methods:</w:t>
      </w:r>
      <w:r w:rsidRPr="00DD3D18">
        <w:rPr>
          <w:rFonts w:eastAsia="Calibri"/>
          <w:bCs/>
          <w:color w:val="00000A"/>
          <w:lang w:val="en" w:eastAsia="zh-CN"/>
        </w:rPr>
        <w:t xml:space="preserve"> Descriptive study, between March and May 2020, of 187 patients confirmed for SARS-CoV-2, by the real-time polymerase chain reaction test. The variables described were: age, sex, comorbidities, state at discharge and admission to the intensive care ward, confirmation of the direct cause of death and fatality; in addition, correlations between these variables were explored.</w:t>
      </w:r>
    </w:p>
    <w:p w14:paraId="3D824F7D" w14:textId="77777777" w:rsidR="00DD3D18" w:rsidRPr="00DD3D18" w:rsidRDefault="00DD3D18" w:rsidP="00DD3D18">
      <w:pPr>
        <w:suppressAutoHyphens/>
        <w:spacing w:line="360" w:lineRule="auto"/>
        <w:jc w:val="both"/>
        <w:rPr>
          <w:rFonts w:eastAsia="Calibri"/>
          <w:bCs/>
          <w:color w:val="00000A"/>
          <w:lang w:val="en" w:eastAsia="zh-CN"/>
        </w:rPr>
      </w:pPr>
      <w:r w:rsidRPr="00DD3D18">
        <w:rPr>
          <w:rFonts w:eastAsia="Calibri"/>
          <w:b/>
          <w:color w:val="00000A"/>
          <w:lang w:val="en" w:eastAsia="zh-CN"/>
        </w:rPr>
        <w:t>Results:</w:t>
      </w:r>
      <w:r w:rsidRPr="00DD3D18">
        <w:rPr>
          <w:rFonts w:eastAsia="Calibri"/>
          <w:bCs/>
          <w:color w:val="00000A"/>
          <w:lang w:val="en" w:eastAsia="zh-CN"/>
        </w:rPr>
        <w:t xml:space="preserve"> The female sex prevailed with 54.5% and the age group between 18 to 59 years (52.4%), the mean age was higher than 40 years. 91.9% of the patients were discharged alive and 88.4% did not require intensive care. The fatality was 6.9%. There was a statistically significant correlation between the state at the deceased discharge and the stay in intensive care, arterial hypertension, other comorbidities and being 60 years of age or older.</w:t>
      </w:r>
    </w:p>
    <w:p w14:paraId="4B303884" w14:textId="77777777" w:rsidR="00DD3D18" w:rsidRPr="00DD3D18" w:rsidRDefault="00DD3D18" w:rsidP="00DD3D18">
      <w:pPr>
        <w:suppressAutoHyphens/>
        <w:spacing w:line="360" w:lineRule="auto"/>
        <w:jc w:val="both"/>
        <w:rPr>
          <w:rFonts w:eastAsia="Calibri"/>
          <w:bCs/>
          <w:color w:val="00000A"/>
          <w:lang w:val="en" w:eastAsia="zh-CN"/>
        </w:rPr>
      </w:pPr>
      <w:r w:rsidRPr="00DD3D18">
        <w:rPr>
          <w:rFonts w:eastAsia="Calibri"/>
          <w:b/>
          <w:color w:val="00000A"/>
          <w:lang w:val="en" w:eastAsia="zh-CN"/>
        </w:rPr>
        <w:t>Conclusions:</w:t>
      </w:r>
      <w:r w:rsidRPr="00DD3D18">
        <w:rPr>
          <w:rFonts w:eastAsia="Calibri"/>
          <w:bCs/>
          <w:color w:val="00000A"/>
          <w:lang w:val="en" w:eastAsia="zh-CN"/>
        </w:rPr>
        <w:t xml:space="preserve"> Patients with clinical symptoms and signs predominated, in whom admission to the ICU was not necessary, a higher incidence was observed in females and between 18 and 59 years for both sexes. All the deceased under the age of 60 were male. There was a strong correlation between the deceased discharge status, with the stay in intensive care, HBP, other comorbidities, and being 60 years old and over.</w:t>
      </w:r>
    </w:p>
    <w:p w14:paraId="13F4EC15" w14:textId="77777777" w:rsidR="00DD3D18" w:rsidRPr="00DD3D18" w:rsidRDefault="00DD3D18" w:rsidP="00DD3D18">
      <w:pPr>
        <w:suppressAutoHyphens/>
        <w:spacing w:line="360" w:lineRule="auto"/>
        <w:jc w:val="both"/>
        <w:rPr>
          <w:color w:val="00000A"/>
          <w:lang w:val="en-US" w:eastAsia="zh-CN" w:bidi="hi-IN"/>
        </w:rPr>
      </w:pPr>
      <w:r w:rsidRPr="00DD3D18">
        <w:rPr>
          <w:b/>
          <w:color w:val="00000A"/>
          <w:lang w:val="en-US" w:eastAsia="zh-CN" w:bidi="hi-IN"/>
        </w:rPr>
        <w:t>Keywords:</w:t>
      </w:r>
      <w:r w:rsidRPr="00DD3D18">
        <w:rPr>
          <w:color w:val="00000A"/>
          <w:lang w:val="en-US" w:eastAsia="zh-CN" w:bidi="hi-IN"/>
        </w:rPr>
        <w:t xml:space="preserve"> COVID</w:t>
      </w:r>
      <w:r w:rsidRPr="00DD3D18">
        <w:rPr>
          <w:color w:val="00000A"/>
          <w:lang w:val="en-US" w:eastAsia="zh-CN" w:bidi="hi-IN"/>
        </w:rPr>
        <w:noBreakHyphen/>
        <w:t>19; epidemiology, COVID-19; SARS-CoV-2; elderly, COVID-19.</w:t>
      </w:r>
    </w:p>
    <w:p w14:paraId="3611AA16" w14:textId="77777777" w:rsidR="00DD3D18" w:rsidRPr="00DD3D18" w:rsidRDefault="00DD3D18" w:rsidP="00DD3D18">
      <w:pPr>
        <w:suppressAutoHyphens/>
        <w:spacing w:line="360" w:lineRule="auto"/>
        <w:jc w:val="both"/>
        <w:rPr>
          <w:rFonts w:eastAsia="Calibri"/>
          <w:color w:val="00000A"/>
          <w:lang w:val="en-US" w:eastAsia="zh-CN"/>
        </w:rPr>
      </w:pPr>
    </w:p>
    <w:p w14:paraId="5EB6DA45" w14:textId="77777777" w:rsidR="00DD3D18" w:rsidRPr="00DD3D18" w:rsidRDefault="00DD3D18" w:rsidP="00DD3D18">
      <w:pPr>
        <w:suppressAutoHyphens/>
        <w:spacing w:line="360" w:lineRule="auto"/>
        <w:jc w:val="both"/>
        <w:rPr>
          <w:rFonts w:eastAsia="Calibri"/>
          <w:color w:val="00000A"/>
          <w:lang w:val="en-US" w:eastAsia="zh-CN"/>
        </w:rPr>
      </w:pPr>
    </w:p>
    <w:p w14:paraId="27E05F76"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Recibido: 25/06/2020</w:t>
      </w:r>
    </w:p>
    <w:p w14:paraId="65BAF5E6"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Aprobado: 29/01/2021</w:t>
      </w:r>
    </w:p>
    <w:p w14:paraId="5078760F" w14:textId="77777777" w:rsidR="00DD3D18" w:rsidRPr="00DD3D18" w:rsidRDefault="00DD3D18" w:rsidP="00DD3D18">
      <w:pPr>
        <w:suppressAutoHyphens/>
        <w:spacing w:line="360" w:lineRule="auto"/>
        <w:jc w:val="both"/>
        <w:rPr>
          <w:rFonts w:eastAsia="Calibri"/>
          <w:color w:val="00000A"/>
          <w:lang w:val="es-ES" w:eastAsia="zh-CN"/>
        </w:rPr>
      </w:pPr>
    </w:p>
    <w:p w14:paraId="385600CE" w14:textId="77777777" w:rsidR="00DD3D18" w:rsidRPr="00DD3D18" w:rsidRDefault="00DD3D18" w:rsidP="00DD3D18">
      <w:pPr>
        <w:suppressAutoHyphens/>
        <w:spacing w:line="360" w:lineRule="auto"/>
        <w:jc w:val="both"/>
        <w:rPr>
          <w:rFonts w:eastAsia="Calibri"/>
          <w:color w:val="00000A"/>
          <w:lang w:val="es-ES" w:eastAsia="zh-CN"/>
        </w:rPr>
      </w:pPr>
    </w:p>
    <w:p w14:paraId="5669B321" w14:textId="77777777" w:rsidR="00DD3D18" w:rsidRPr="00DD3D18" w:rsidRDefault="00DD3D18" w:rsidP="00DD3D18">
      <w:pPr>
        <w:suppressAutoHyphens/>
        <w:spacing w:line="360" w:lineRule="auto"/>
        <w:jc w:val="center"/>
        <w:rPr>
          <w:color w:val="00000A"/>
          <w:sz w:val="32"/>
          <w:szCs w:val="32"/>
          <w:lang w:val="es-ES" w:eastAsia="zh-CN"/>
        </w:rPr>
      </w:pPr>
      <w:r w:rsidRPr="00DD3D18">
        <w:rPr>
          <w:b/>
          <w:color w:val="00000A"/>
          <w:sz w:val="32"/>
          <w:szCs w:val="32"/>
          <w:lang w:val="es-ES" w:eastAsia="zh-CN"/>
        </w:rPr>
        <w:t>INTRODUCCIÓN</w:t>
      </w:r>
    </w:p>
    <w:p w14:paraId="3009E017" w14:textId="77777777" w:rsidR="00DD3D18" w:rsidRPr="00DD3D18" w:rsidRDefault="00DD3D18" w:rsidP="00DD3D18">
      <w:pPr>
        <w:suppressAutoHyphens/>
        <w:spacing w:line="360" w:lineRule="auto"/>
        <w:jc w:val="both"/>
        <w:rPr>
          <w:color w:val="00000A"/>
          <w:lang w:val="es-ES" w:eastAsia="zh-CN"/>
        </w:rPr>
      </w:pPr>
      <w:r w:rsidRPr="00DD3D18">
        <w:rPr>
          <w:color w:val="00000A"/>
          <w:lang w:val="es-ES" w:eastAsia="zh-CN"/>
        </w:rPr>
        <w:t xml:space="preserve">La enfermedad por coronavirus (COVID-19) se comunicó por primera vez en China, en diciembre de 2019 y en poco más de 5 meses se ha extendido a 185 </w:t>
      </w:r>
      <w:proofErr w:type="gramStart"/>
      <w:r w:rsidRPr="00DD3D18">
        <w:rPr>
          <w:color w:val="00000A"/>
          <w:lang w:val="es-ES" w:eastAsia="zh-CN"/>
        </w:rPr>
        <w:t>países.</w:t>
      </w:r>
      <w:r w:rsidRPr="00DD3D18">
        <w:rPr>
          <w:color w:val="00000A"/>
          <w:vertAlign w:val="superscript"/>
          <w:lang w:val="es-ES" w:eastAsia="zh-CN"/>
        </w:rPr>
        <w:t>(</w:t>
      </w:r>
      <w:proofErr w:type="gramEnd"/>
      <w:r w:rsidRPr="00DD3D18">
        <w:rPr>
          <w:color w:val="00000A"/>
          <w:vertAlign w:val="superscript"/>
          <w:lang w:val="es-ES" w:eastAsia="zh-CN"/>
        </w:rPr>
        <w:t xml:space="preserve">1) </w:t>
      </w:r>
      <w:r w:rsidRPr="00DD3D18">
        <w:rPr>
          <w:color w:val="000000"/>
          <w:lang w:val="es-ES" w:eastAsia="zh-CN"/>
        </w:rPr>
        <w:t xml:space="preserve">La </w:t>
      </w:r>
      <w:r w:rsidRPr="00DD3D18">
        <w:rPr>
          <w:color w:val="00000A"/>
          <w:lang w:val="es-ES" w:eastAsia="zh-CN"/>
        </w:rPr>
        <w:t xml:space="preserve">evolución de esta pandemia, en términos de incidencia, mortalidad y velocidad de expansión, es heterogénea, con diferencias entre países e incluso entre regiones del mismo país. Varios estudios muestran diferencias en la presentación clínica y en la gravedad de la enfermedad, y que la mortalidad es mayor en las personas de más </w:t>
      </w:r>
      <w:proofErr w:type="gramStart"/>
      <w:r w:rsidRPr="00DD3D18">
        <w:rPr>
          <w:color w:val="00000A"/>
          <w:lang w:val="es-ES" w:eastAsia="zh-CN"/>
        </w:rPr>
        <w:t>edad.</w:t>
      </w:r>
      <w:r w:rsidRPr="00DD3D18">
        <w:rPr>
          <w:color w:val="00000A"/>
          <w:vertAlign w:val="superscript"/>
          <w:lang w:val="es-ES" w:eastAsia="zh-CN"/>
        </w:rPr>
        <w:t>(</w:t>
      </w:r>
      <w:proofErr w:type="gramEnd"/>
      <w:r w:rsidRPr="00DD3D18">
        <w:rPr>
          <w:color w:val="00000A"/>
          <w:vertAlign w:val="superscript"/>
          <w:lang w:val="es-ES" w:eastAsia="zh-CN"/>
        </w:rPr>
        <w:t>2,3)</w:t>
      </w:r>
      <w:r w:rsidRPr="00DD3D18">
        <w:rPr>
          <w:color w:val="00000A"/>
          <w:lang w:val="es-ES" w:eastAsia="zh-CN"/>
        </w:rPr>
        <w:t xml:space="preserve"> A diferencia de los adultos infectados, la mayoría de los niños enfermos, parecen tener un curso clínico menos grave y con mejor pronóstico.</w:t>
      </w:r>
      <w:r w:rsidRPr="00DD3D18">
        <w:rPr>
          <w:color w:val="00000A"/>
          <w:vertAlign w:val="superscript"/>
          <w:lang w:val="es-ES" w:eastAsia="zh-CN"/>
        </w:rPr>
        <w:t>(4,5)</w:t>
      </w:r>
    </w:p>
    <w:p w14:paraId="05E6A9CD" w14:textId="77777777" w:rsidR="00DD3D18" w:rsidRPr="00DD3D18" w:rsidRDefault="00DD3D18" w:rsidP="00DD3D18">
      <w:pPr>
        <w:suppressAutoHyphens/>
        <w:spacing w:line="360" w:lineRule="auto"/>
        <w:jc w:val="both"/>
        <w:rPr>
          <w:rFonts w:eastAsia="Calibri"/>
          <w:color w:val="000000"/>
          <w:lang w:val="es-ES" w:eastAsia="zh-CN"/>
        </w:rPr>
      </w:pPr>
      <w:r w:rsidRPr="00DD3D18">
        <w:rPr>
          <w:rFonts w:eastAsia="Calibri"/>
          <w:color w:val="000000"/>
          <w:lang w:val="es-ES" w:eastAsia="zh-CN"/>
        </w:rPr>
        <w:t>La mortalidad de la COVID-19 es mayor que la reportada en las últimas influenzas estacionales, dada su alta infectividad y gran cantidad de pacientes afectados.</w:t>
      </w:r>
      <w:r w:rsidRPr="00DD3D18">
        <w:rPr>
          <w:rFonts w:eastAsia="Calibri"/>
          <w:color w:val="000000"/>
          <w:vertAlign w:val="superscript"/>
          <w:lang w:val="es-ES" w:eastAsia="zh-CN"/>
        </w:rPr>
        <w:t xml:space="preserve"> (1) </w:t>
      </w:r>
      <w:r w:rsidRPr="00DD3D18">
        <w:rPr>
          <w:rFonts w:eastAsia="Calibri"/>
          <w:color w:val="000000"/>
          <w:lang w:val="es-ES" w:eastAsia="zh-CN"/>
        </w:rPr>
        <w:t xml:space="preserve">El virus del SARS-CoV-2 se replica de forma eficiente en el tracto respiratorio superior y tiene características epidemiológicas diferentes de los coronavirus humanos convencionales, causantes de muchos de los resfriados comunes, que aparecen en las temporadas de invierno. El inicio de sus síntomas es más lento, por lo que las personas infectadas tienen un período de incubación más prolongado, mientras permanecen asintomáticas, mantienen su movilidad y sus actividades habituales, lo cual contribuye a la propagación de la </w:t>
      </w:r>
      <w:proofErr w:type="gramStart"/>
      <w:r w:rsidRPr="00DD3D18">
        <w:rPr>
          <w:rFonts w:eastAsia="Calibri"/>
          <w:color w:val="000000"/>
          <w:lang w:val="es-ES" w:eastAsia="zh-CN"/>
        </w:rPr>
        <w:t>infección.</w:t>
      </w:r>
      <w:r w:rsidRPr="00DD3D18">
        <w:rPr>
          <w:rFonts w:eastAsia="Calibri"/>
          <w:color w:val="000000"/>
          <w:vertAlign w:val="superscript"/>
          <w:lang w:val="es-ES" w:eastAsia="zh-CN"/>
        </w:rPr>
        <w:t>(</w:t>
      </w:r>
      <w:proofErr w:type="gramEnd"/>
      <w:r w:rsidRPr="00DD3D18">
        <w:rPr>
          <w:rFonts w:eastAsia="Calibri"/>
          <w:color w:val="000000"/>
          <w:vertAlign w:val="superscript"/>
          <w:lang w:val="es-ES" w:eastAsia="zh-CN"/>
        </w:rPr>
        <w:t>6,7)</w:t>
      </w:r>
    </w:p>
    <w:p w14:paraId="7D0CCFF9"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A"/>
          <w:lang w:val="es-ES" w:eastAsia="es-ES"/>
        </w:rPr>
        <w:t>La condición resultante, la COVID-19, ha tenido un efecto social comparable solo a la epidemia de gripe española de 1918. A medida que el flujo de la ciencia clínica ha informado sobre las características de la enfermedad, se indaga sobre qué individuos y grupos</w:t>
      </w:r>
      <w:r w:rsidRPr="00DD3D18">
        <w:rPr>
          <w:rFonts w:eastAsia="Calibri"/>
          <w:bCs/>
          <w:color w:val="FF0000"/>
          <w:lang w:val="es-ES" w:eastAsia="zh-CN"/>
        </w:rPr>
        <w:t xml:space="preserve"> </w:t>
      </w:r>
      <w:r w:rsidRPr="00DD3D18">
        <w:rPr>
          <w:color w:val="00000A"/>
          <w:lang w:val="es-ES" w:eastAsia="es-ES"/>
        </w:rPr>
        <w:t xml:space="preserve">padezcan las complicaciones más graves. </w:t>
      </w:r>
    </w:p>
    <w:p w14:paraId="6F936DA1"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A"/>
          <w:lang w:val="es-ES" w:eastAsia="es-ES"/>
        </w:rPr>
        <w:t xml:space="preserve">Los investigadores han enfatizado la edad avanzada, el sexo masculino, la hipertensión, la diabetes, la obesidad, las enfermedades cardiovasculares concomitantes (incluidas la enfermedad de las arterias coronarias y la insuficiencia cardíaca) y las lesiones miocárdicas, como factores de riesgo importantes, asociados con peores resultados; específicamente las tasas de mortalidad </w:t>
      </w:r>
      <w:proofErr w:type="gramStart"/>
      <w:r w:rsidRPr="00DD3D18">
        <w:rPr>
          <w:color w:val="00000A"/>
          <w:lang w:val="es-ES" w:eastAsia="es-ES"/>
        </w:rPr>
        <w:t>varían.</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6,7,8)</w:t>
      </w:r>
    </w:p>
    <w:p w14:paraId="05E1A22B"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A"/>
          <w:lang w:val="es-ES" w:eastAsia="es-ES"/>
        </w:rPr>
        <w:t xml:space="preserve">La mayoría de los reportes se han obtenido de China y </w:t>
      </w:r>
      <w:proofErr w:type="gramStart"/>
      <w:r w:rsidRPr="00DD3D18">
        <w:rPr>
          <w:color w:val="00000A"/>
          <w:lang w:val="es-ES" w:eastAsia="es-ES"/>
        </w:rPr>
        <w:t>Europa.</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1,2,3,5,6)</w:t>
      </w:r>
      <w:r w:rsidRPr="00DD3D18">
        <w:rPr>
          <w:color w:val="00000A"/>
          <w:lang w:val="es-ES" w:eastAsia="es-ES"/>
        </w:rPr>
        <w:t xml:space="preserve"> La experiencia de Cuba aún se estudia. El </w:t>
      </w:r>
      <w:r w:rsidRPr="00DD3D18">
        <w:rPr>
          <w:rFonts w:eastAsia="Calibri"/>
          <w:color w:val="00000A"/>
          <w:lang w:val="es-ES" w:eastAsia="zh-CN"/>
        </w:rPr>
        <w:t>objetivo de esta investigación es caracterizar clínica y epidemiológicamente a los pacientes con la COVID-19.</w:t>
      </w:r>
    </w:p>
    <w:p w14:paraId="3C16F5A8" w14:textId="77777777" w:rsidR="00DD3D18" w:rsidRPr="00DD3D18" w:rsidRDefault="00DD3D18" w:rsidP="00DD3D18">
      <w:pPr>
        <w:suppressAutoHyphens/>
        <w:spacing w:line="360" w:lineRule="auto"/>
        <w:jc w:val="both"/>
        <w:rPr>
          <w:b/>
          <w:color w:val="00000A"/>
          <w:lang w:val="es-ES" w:eastAsia="zh-CN"/>
        </w:rPr>
      </w:pPr>
    </w:p>
    <w:p w14:paraId="57DB040C" w14:textId="77777777" w:rsidR="00DD3D18" w:rsidRPr="00DD3D18" w:rsidRDefault="00DD3D18" w:rsidP="00DD3D18">
      <w:pPr>
        <w:suppressAutoHyphens/>
        <w:spacing w:line="360" w:lineRule="auto"/>
        <w:jc w:val="both"/>
        <w:rPr>
          <w:b/>
          <w:color w:val="00000A"/>
          <w:lang w:val="es-ES" w:eastAsia="zh-CN"/>
        </w:rPr>
      </w:pPr>
    </w:p>
    <w:p w14:paraId="08372E48" w14:textId="77777777" w:rsidR="00DD3D18" w:rsidRPr="00DD3D18" w:rsidRDefault="00DD3D18" w:rsidP="00DD3D18">
      <w:pPr>
        <w:suppressAutoHyphens/>
        <w:spacing w:line="360" w:lineRule="auto"/>
        <w:jc w:val="center"/>
        <w:rPr>
          <w:color w:val="00000A"/>
          <w:sz w:val="32"/>
          <w:szCs w:val="32"/>
          <w:lang w:val="es-ES" w:eastAsia="zh-CN"/>
        </w:rPr>
      </w:pPr>
      <w:r w:rsidRPr="00DD3D18">
        <w:rPr>
          <w:b/>
          <w:color w:val="00000A"/>
          <w:sz w:val="32"/>
          <w:szCs w:val="32"/>
          <w:lang w:val="es-ES" w:eastAsia="zh-CN"/>
        </w:rPr>
        <w:lastRenderedPageBreak/>
        <w:t>MÉTODOS</w:t>
      </w:r>
    </w:p>
    <w:p w14:paraId="47F7458A"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Se realizó un estudio descriptivo en el Hospital Militar “</w:t>
      </w:r>
      <w:proofErr w:type="gramStart"/>
      <w:r w:rsidRPr="00DD3D18">
        <w:rPr>
          <w:rFonts w:eastAsia="Calibri"/>
          <w:color w:val="00000A"/>
          <w:lang w:val="es-ES" w:eastAsia="zh-CN"/>
        </w:rPr>
        <w:t>Comandante</w:t>
      </w:r>
      <w:proofErr w:type="gramEnd"/>
      <w:r w:rsidRPr="00DD3D18">
        <w:rPr>
          <w:rFonts w:eastAsia="Calibri"/>
          <w:color w:val="00000A"/>
          <w:lang w:val="es-ES" w:eastAsia="zh-CN"/>
        </w:rPr>
        <w:t xml:space="preserve"> Manuel Fajardo Rivero”, en una serie de 187 pacientes, de cualquier edad, hospitalizados, con diagnóstico confirmado de la COVID-19 (mediante la prueba de reacción en cadena de la transcriptasa inversa - polimerasa en tiempo real para el SARS-CoV-2), en el periodo de marzo de 2020 a mayo del 2020.</w:t>
      </w:r>
    </w:p>
    <w:p w14:paraId="7433A09D"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 xml:space="preserve">Las variables de estudio fueron: sexo (masculino y femenino); edad (menor de 18, 18 a 59 y 60 y más); comorbilidades: </w:t>
      </w:r>
      <w:r w:rsidRPr="00DD3D18">
        <w:rPr>
          <w:color w:val="00000A"/>
          <w:lang w:val="es-ES" w:eastAsia="es-ES"/>
        </w:rPr>
        <w:t xml:space="preserve">diabetes mellitus (DM), hipertensión arterial (HTA) </w:t>
      </w:r>
      <w:r w:rsidRPr="00DD3D18">
        <w:rPr>
          <w:rFonts w:eastAsia="Calibri"/>
          <w:color w:val="00000A"/>
          <w:lang w:val="es-ES" w:eastAsia="zh-CN"/>
        </w:rPr>
        <w:t xml:space="preserve">y ambas combinadas; requerir o no ingreso en la </w:t>
      </w:r>
      <w:r w:rsidRPr="00DD3D18">
        <w:rPr>
          <w:color w:val="00000A"/>
          <w:lang w:val="es-ES" w:eastAsia="es-ES"/>
        </w:rPr>
        <w:t>unidad de cuidados intensivos (UCI);</w:t>
      </w:r>
      <w:r w:rsidRPr="00DD3D18">
        <w:rPr>
          <w:rFonts w:eastAsia="Calibri"/>
          <w:color w:val="00000A"/>
          <w:lang w:val="es-ES" w:eastAsia="zh-CN"/>
        </w:rPr>
        <w:t xml:space="preserve"> estadía en la UCI (hasta 48 horas, 3 a 15 días y más de 15 días); estado al egreso (vivo y fallecido); confirmación o no de la causa directa de muerte por la COVID-19 y la letalidad.</w:t>
      </w:r>
    </w:p>
    <w:p w14:paraId="7BA58CEF" w14:textId="77777777" w:rsidR="00DD3D18" w:rsidRPr="00DD3D18" w:rsidRDefault="00DD3D18" w:rsidP="00DD3D18">
      <w:pPr>
        <w:suppressAutoHyphens/>
        <w:spacing w:line="360" w:lineRule="auto"/>
        <w:jc w:val="both"/>
        <w:rPr>
          <w:rFonts w:eastAsia="Calibri"/>
          <w:color w:val="FF0000"/>
          <w:lang w:val="es-ES" w:eastAsia="zh-CN"/>
        </w:rPr>
      </w:pPr>
      <w:r w:rsidRPr="00DD3D18">
        <w:rPr>
          <w:rFonts w:eastAsia="Calibri"/>
          <w:lang w:val="es-ES" w:eastAsia="zh-CN"/>
        </w:rPr>
        <w:t>La información fue obtenida desde las historias clínicas de los pacientes ingresados. Se describen las frecuencias absolutas y relativas de las variables. Para explorar la correlación, se utilizó el coeficiente de correlación de Spearman (r) y su nivel de significación. Si p &lt; 0,05 se consideró estadísticamente significativa.</w:t>
      </w:r>
      <w:r w:rsidRPr="00DD3D18">
        <w:rPr>
          <w:rFonts w:eastAsia="Calibri"/>
          <w:color w:val="FF0000"/>
          <w:lang w:val="es-ES" w:eastAsia="zh-CN"/>
        </w:rPr>
        <w:t xml:space="preserve"> </w:t>
      </w:r>
    </w:p>
    <w:p w14:paraId="191CAE3A" w14:textId="77777777" w:rsidR="00DD3D18" w:rsidRPr="00DD3D18" w:rsidRDefault="00DD3D18" w:rsidP="00DD3D18">
      <w:pPr>
        <w:suppressAutoHyphens/>
        <w:spacing w:line="360" w:lineRule="auto"/>
        <w:jc w:val="both"/>
        <w:rPr>
          <w:color w:val="00000A"/>
          <w:lang w:val="es-PA" w:eastAsia="zh-CN" w:bidi="hi-IN"/>
        </w:rPr>
      </w:pPr>
      <w:bookmarkStart w:id="0" w:name="idp3933136"/>
      <w:bookmarkEnd w:id="0"/>
      <w:r w:rsidRPr="00DD3D18">
        <w:rPr>
          <w:iCs/>
          <w:color w:val="00000A"/>
          <w:lang w:val="es-PA" w:eastAsia="zh-CN" w:bidi="hi-IN"/>
        </w:rPr>
        <w:t xml:space="preserve">Desde el punto de vista ético, los datos fueron tratados de manera </w:t>
      </w:r>
      <w:r w:rsidRPr="00DD3D18">
        <w:rPr>
          <w:color w:val="00000A"/>
          <w:lang w:val="es-PA" w:eastAsia="zh-CN" w:bidi="hi-IN"/>
        </w:rPr>
        <w:t>confidencial y la información recogida se empleó solo para los fines declarados.</w:t>
      </w:r>
    </w:p>
    <w:p w14:paraId="7C54B538" w14:textId="77777777" w:rsidR="00DD3D18" w:rsidRPr="00DD3D18" w:rsidRDefault="00DD3D18" w:rsidP="00DD3D18">
      <w:pPr>
        <w:suppressAutoHyphens/>
        <w:spacing w:line="360" w:lineRule="auto"/>
        <w:jc w:val="both"/>
        <w:rPr>
          <w:b/>
          <w:color w:val="00000A"/>
          <w:lang w:val="es-PA" w:eastAsia="zh-CN" w:bidi="hi-IN"/>
        </w:rPr>
      </w:pPr>
    </w:p>
    <w:p w14:paraId="58B9107D" w14:textId="77777777" w:rsidR="00DD3D18" w:rsidRPr="00DD3D18" w:rsidRDefault="00DD3D18" w:rsidP="00DD3D18">
      <w:pPr>
        <w:suppressAutoHyphens/>
        <w:spacing w:line="360" w:lineRule="auto"/>
        <w:jc w:val="both"/>
        <w:rPr>
          <w:b/>
          <w:color w:val="00000A"/>
          <w:lang w:val="es-PA" w:eastAsia="zh-CN" w:bidi="hi-IN"/>
        </w:rPr>
      </w:pPr>
    </w:p>
    <w:p w14:paraId="4EBA8205" w14:textId="77777777" w:rsidR="00DD3D18" w:rsidRPr="00DD3D18" w:rsidRDefault="00DD3D18" w:rsidP="00DD3D18">
      <w:pPr>
        <w:suppressAutoHyphens/>
        <w:spacing w:line="360" w:lineRule="auto"/>
        <w:jc w:val="center"/>
        <w:rPr>
          <w:color w:val="00000A"/>
          <w:sz w:val="32"/>
          <w:szCs w:val="32"/>
          <w:lang w:val="es-PA" w:eastAsia="zh-CN" w:bidi="hi-IN"/>
        </w:rPr>
      </w:pPr>
      <w:r w:rsidRPr="00DD3D18">
        <w:rPr>
          <w:b/>
          <w:color w:val="00000A"/>
          <w:sz w:val="32"/>
          <w:szCs w:val="32"/>
          <w:lang w:val="es-PA" w:eastAsia="zh-CN" w:bidi="hi-IN"/>
        </w:rPr>
        <w:t>RESULTADOS</w:t>
      </w:r>
    </w:p>
    <w:p w14:paraId="641AE842" w14:textId="77777777" w:rsidR="00DD3D18" w:rsidRPr="00DD3D18" w:rsidRDefault="00DD3D18" w:rsidP="00DD3D18">
      <w:pPr>
        <w:suppressAutoHyphens/>
        <w:spacing w:line="360" w:lineRule="auto"/>
        <w:jc w:val="both"/>
        <w:rPr>
          <w:color w:val="00000A"/>
          <w:lang w:val="es-PA" w:eastAsia="zh-CN" w:bidi="hi-IN"/>
        </w:rPr>
      </w:pPr>
      <w:r w:rsidRPr="00DD3D18">
        <w:rPr>
          <w:color w:val="00000A"/>
          <w:lang w:val="es-PA" w:eastAsia="zh-CN" w:bidi="hi-IN"/>
        </w:rPr>
        <w:t xml:space="preserve">En la tabla 1 se observa que en el estudio predominaron las mujeres, con un 54,5 % y los pacientes con edad entre 18 a 59 años (52,4 %). La edad mínima fue de 5 meses y la máxima de 100 años, con media entre los hombres de </w:t>
      </w:r>
      <w:r w:rsidRPr="00DD3D18">
        <w:rPr>
          <w:color w:val="000000"/>
          <w:lang w:val="es-PA" w:eastAsia="zh-CN" w:bidi="hi-IN"/>
        </w:rPr>
        <w:t>40,81 años y en las mujeres 42,9 años.</w:t>
      </w:r>
    </w:p>
    <w:p w14:paraId="774D2223" w14:textId="77777777" w:rsidR="00DD3D18" w:rsidRPr="00DD3D18" w:rsidRDefault="00DD3D18" w:rsidP="00DD3D18">
      <w:pPr>
        <w:suppressAutoHyphens/>
        <w:spacing w:line="360" w:lineRule="auto"/>
        <w:jc w:val="both"/>
        <w:rPr>
          <w:rFonts w:eastAsia="Calibri"/>
          <w:color w:val="00000A"/>
          <w:lang w:val="es-ES" w:eastAsia="zh-CN"/>
        </w:rPr>
      </w:pPr>
    </w:p>
    <w:p w14:paraId="09C59D70" w14:textId="77777777" w:rsidR="00D869B3" w:rsidRDefault="00D869B3">
      <w:pPr>
        <w:rPr>
          <w:rFonts w:eastAsia="Calibri"/>
          <w:b/>
          <w:color w:val="00000A"/>
          <w:sz w:val="22"/>
          <w:szCs w:val="22"/>
          <w:lang w:val="es-ES" w:eastAsia="zh-CN"/>
        </w:rPr>
      </w:pPr>
      <w:r>
        <w:rPr>
          <w:rFonts w:eastAsia="Calibri"/>
          <w:b/>
          <w:color w:val="00000A"/>
          <w:sz w:val="22"/>
          <w:szCs w:val="22"/>
          <w:lang w:val="es-ES" w:eastAsia="zh-CN"/>
        </w:rPr>
        <w:br w:type="page"/>
      </w:r>
    </w:p>
    <w:p w14:paraId="652383B6" w14:textId="337AD18B" w:rsidR="00DD3D18" w:rsidRPr="00DD3D18" w:rsidRDefault="00DD3D18" w:rsidP="00DD3D18">
      <w:pPr>
        <w:suppressAutoHyphens/>
        <w:spacing w:line="360" w:lineRule="auto"/>
        <w:jc w:val="center"/>
        <w:rPr>
          <w:rFonts w:eastAsia="Calibri"/>
          <w:color w:val="00000A"/>
          <w:sz w:val="22"/>
          <w:szCs w:val="22"/>
          <w:lang w:val="es-ES" w:eastAsia="zh-CN"/>
        </w:rPr>
      </w:pPr>
      <w:r w:rsidRPr="00DD3D18">
        <w:rPr>
          <w:rFonts w:eastAsia="Calibri"/>
          <w:b/>
          <w:color w:val="00000A"/>
          <w:sz w:val="22"/>
          <w:szCs w:val="22"/>
          <w:lang w:val="es-ES" w:eastAsia="zh-CN"/>
        </w:rPr>
        <w:lastRenderedPageBreak/>
        <w:t xml:space="preserve">Tabla 1 - </w:t>
      </w:r>
      <w:r w:rsidRPr="00DD3D18">
        <w:rPr>
          <w:rFonts w:eastAsia="Calibri"/>
          <w:color w:val="00000A"/>
          <w:sz w:val="22"/>
          <w:szCs w:val="22"/>
          <w:lang w:val="es-ES" w:eastAsia="zh-CN"/>
        </w:rPr>
        <w:t>Distribución de los pacientes atendidos según edad y sexo</w:t>
      </w:r>
    </w:p>
    <w:p w14:paraId="1E80C5A5" w14:textId="39337AE7" w:rsidR="00DD3D18" w:rsidRPr="00DD3D18" w:rsidRDefault="00DD3D18" w:rsidP="00DD3D18">
      <w:pPr>
        <w:suppressAutoHyphens/>
        <w:spacing w:line="360" w:lineRule="auto"/>
        <w:jc w:val="center"/>
        <w:rPr>
          <w:lang w:val="en-US" w:eastAsia="zh-CN" w:bidi="hi-IN"/>
        </w:rPr>
      </w:pPr>
      <w:r w:rsidRPr="00DD3D18">
        <w:rPr>
          <w:noProof/>
          <w:lang w:val="en-US" w:eastAsia="zh-CN" w:bidi="hi-IN"/>
        </w:rPr>
        <w:drawing>
          <wp:inline distT="0" distB="0" distL="0" distR="0" wp14:anchorId="6168AB8A" wp14:editId="625A31C0">
            <wp:extent cx="4457700" cy="175260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1752600"/>
                    </a:xfrm>
                    <a:prstGeom prst="rect">
                      <a:avLst/>
                    </a:prstGeom>
                    <a:noFill/>
                    <a:ln>
                      <a:noFill/>
                    </a:ln>
                  </pic:spPr>
                </pic:pic>
              </a:graphicData>
            </a:graphic>
          </wp:inline>
        </w:drawing>
      </w:r>
    </w:p>
    <w:p w14:paraId="4D2B0D54" w14:textId="77777777" w:rsidR="00DD3D18" w:rsidRPr="00DD3D18" w:rsidRDefault="00DD3D18" w:rsidP="00DD3D18">
      <w:pPr>
        <w:suppressAutoHyphens/>
        <w:spacing w:line="360" w:lineRule="auto"/>
        <w:jc w:val="center"/>
        <w:rPr>
          <w:lang w:val="en-US" w:eastAsia="zh-CN" w:bidi="hi-IN"/>
        </w:rPr>
      </w:pPr>
    </w:p>
    <w:p w14:paraId="07AB26D0" w14:textId="77777777" w:rsidR="00DD3D18" w:rsidRPr="00DD3D18" w:rsidRDefault="00DD3D18" w:rsidP="00DD3D18">
      <w:pPr>
        <w:suppressAutoHyphens/>
        <w:spacing w:line="360" w:lineRule="auto"/>
        <w:jc w:val="both"/>
        <w:rPr>
          <w:color w:val="00000A"/>
          <w:lang w:val="es-PA" w:eastAsia="zh-CN" w:bidi="hi-IN"/>
        </w:rPr>
      </w:pPr>
      <w:r w:rsidRPr="00DD3D18">
        <w:rPr>
          <w:color w:val="00000A"/>
          <w:lang w:val="es-PA" w:eastAsia="zh-CN" w:bidi="hi-IN"/>
        </w:rPr>
        <w:t>En la tabla 2 se observa la prevalencia de la HTA y la DM, según edad de los pacientes, agrupada en los menores de 60 años y con 60 años y más. El 15,5 % de los casos, estaban diagnosticados previamente con HTA, el 5,9 % con antecedentes de DM y el 3,2 % con ambas enfermedades. En el grupo de 60 años y más se encontraron cifras superiores al 80 %</w:t>
      </w:r>
      <w:r w:rsidRPr="00DD3D18">
        <w:rPr>
          <w:lang w:val="es-PA" w:eastAsia="zh-CN" w:bidi="hi-IN"/>
        </w:rPr>
        <w:t>.</w:t>
      </w:r>
    </w:p>
    <w:p w14:paraId="4BFC9E21" w14:textId="77777777" w:rsidR="00DD3D18" w:rsidRPr="00DD3D18" w:rsidRDefault="00DD3D18" w:rsidP="00DD3D18">
      <w:pPr>
        <w:suppressAutoHyphens/>
        <w:spacing w:line="360" w:lineRule="auto"/>
        <w:jc w:val="both"/>
        <w:rPr>
          <w:color w:val="00000A"/>
          <w:lang w:val="es-PA" w:eastAsia="zh-CN" w:bidi="hi-IN"/>
        </w:rPr>
      </w:pPr>
    </w:p>
    <w:p w14:paraId="354B240B" w14:textId="77777777" w:rsidR="00DD3D18" w:rsidRPr="00DD3D18" w:rsidRDefault="00DD3D18" w:rsidP="00DD3D18">
      <w:pPr>
        <w:suppressAutoHyphens/>
        <w:spacing w:line="360" w:lineRule="auto"/>
        <w:jc w:val="center"/>
        <w:rPr>
          <w:color w:val="00000A"/>
          <w:sz w:val="22"/>
          <w:szCs w:val="22"/>
          <w:lang w:val="es-PA" w:eastAsia="zh-CN" w:bidi="hi-IN"/>
        </w:rPr>
      </w:pPr>
      <w:r w:rsidRPr="00DD3D18">
        <w:rPr>
          <w:b/>
          <w:bCs/>
          <w:color w:val="00000A"/>
          <w:sz w:val="22"/>
          <w:szCs w:val="22"/>
          <w:lang w:val="es-PA" w:eastAsia="zh-CN" w:bidi="hi-IN"/>
        </w:rPr>
        <w:t>Tabla 2 -</w:t>
      </w:r>
      <w:r w:rsidRPr="00DD3D18">
        <w:rPr>
          <w:color w:val="00000A"/>
          <w:sz w:val="22"/>
          <w:szCs w:val="22"/>
          <w:lang w:val="es-PA" w:eastAsia="zh-CN" w:bidi="hi-IN"/>
        </w:rPr>
        <w:t xml:space="preserve"> Distribución de los pacientes según comorbilidades y edad</w:t>
      </w:r>
    </w:p>
    <w:p w14:paraId="1EB27B7C" w14:textId="12DD021E" w:rsidR="00DD3D18" w:rsidRPr="00DD3D18" w:rsidRDefault="00DD3D18" w:rsidP="00DD3D18">
      <w:pPr>
        <w:suppressAutoHyphens/>
        <w:spacing w:line="360" w:lineRule="auto"/>
        <w:jc w:val="center"/>
        <w:rPr>
          <w:color w:val="00000A"/>
          <w:lang w:val="es-PA" w:eastAsia="zh-CN" w:bidi="hi-IN"/>
        </w:rPr>
      </w:pPr>
      <w:r w:rsidRPr="00DD3D18">
        <w:rPr>
          <w:noProof/>
          <w:color w:val="00000A"/>
          <w:lang w:val="es-PA" w:eastAsia="zh-CN" w:bidi="hi-IN"/>
        </w:rPr>
        <w:drawing>
          <wp:inline distT="0" distB="0" distL="0" distR="0" wp14:anchorId="1A29CF0B" wp14:editId="5B317186">
            <wp:extent cx="3867150" cy="2505075"/>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505075"/>
                    </a:xfrm>
                    <a:prstGeom prst="rect">
                      <a:avLst/>
                    </a:prstGeom>
                    <a:noFill/>
                    <a:ln>
                      <a:noFill/>
                    </a:ln>
                  </pic:spPr>
                </pic:pic>
              </a:graphicData>
            </a:graphic>
          </wp:inline>
        </w:drawing>
      </w:r>
    </w:p>
    <w:p w14:paraId="40381472" w14:textId="77777777" w:rsidR="00DD3D18" w:rsidRPr="00DD3D18" w:rsidRDefault="00DD3D18" w:rsidP="00DD3D18">
      <w:pPr>
        <w:suppressAutoHyphens/>
        <w:spacing w:line="360" w:lineRule="auto"/>
        <w:jc w:val="center"/>
        <w:rPr>
          <w:color w:val="00000A"/>
          <w:lang w:val="es-PA" w:eastAsia="zh-CN" w:bidi="hi-IN"/>
        </w:rPr>
      </w:pPr>
    </w:p>
    <w:p w14:paraId="42752F6F" w14:textId="77777777" w:rsidR="00DD3D18" w:rsidRPr="00DD3D18" w:rsidRDefault="00DD3D18" w:rsidP="00DD3D18">
      <w:pPr>
        <w:suppressAutoHyphens/>
        <w:spacing w:line="360" w:lineRule="auto"/>
        <w:jc w:val="both"/>
        <w:rPr>
          <w:color w:val="000000"/>
          <w:lang w:val="es-PA" w:eastAsia="zh-CN" w:bidi="hi-IN"/>
        </w:rPr>
      </w:pPr>
      <w:r w:rsidRPr="00DD3D18">
        <w:rPr>
          <w:color w:val="00000A"/>
          <w:lang w:val="es-PA" w:eastAsia="zh-CN" w:bidi="hi-IN"/>
        </w:rPr>
        <w:t xml:space="preserve">El 2,1 % de los menores de 60 años, requirió ingreso en la UCI y el 39,13 % de los pacientes de 60 años y más. La figura 1 representa la estadía en la UCI. Los pacientes se clasificaron según el tiempo de permanencia en este servicio, desde horas (menos de 48) hasta más de 15 días. La estadía hospitalaria entre 2 y 15 días fue </w:t>
      </w:r>
      <w:r w:rsidRPr="00DD3D18">
        <w:rPr>
          <w:color w:val="00000A"/>
          <w:lang w:val="es-ES" w:eastAsia="zh-CN" w:bidi="hi-IN"/>
        </w:rPr>
        <w:t xml:space="preserve">la más frecuente, con </w:t>
      </w:r>
      <w:r w:rsidRPr="00DD3D18">
        <w:rPr>
          <w:color w:val="00000A"/>
          <w:lang w:val="es-PA" w:eastAsia="zh-CN" w:bidi="hi-IN"/>
        </w:rPr>
        <w:t xml:space="preserve">21,74 % en los de 60 años y más. </w:t>
      </w:r>
      <w:r w:rsidRPr="00DD3D18">
        <w:rPr>
          <w:lang w:val="es-PA" w:eastAsia="zh-CN" w:bidi="hi-IN"/>
        </w:rPr>
        <w:t xml:space="preserve">Los 3 menores de 60 años </w:t>
      </w:r>
      <w:r w:rsidRPr="00DD3D18">
        <w:rPr>
          <w:lang w:val="es-PA" w:eastAsia="zh-CN" w:bidi="hi-IN"/>
        </w:rPr>
        <w:lastRenderedPageBreak/>
        <w:t xml:space="preserve">que requirieron cuidados intensivos, uno (0,79 %) de ellos permaneció menos de 48 horas, uno hasta 15 días y otro más de 15 días. </w:t>
      </w:r>
    </w:p>
    <w:p w14:paraId="24A97CE2" w14:textId="77777777" w:rsidR="00DD3D18" w:rsidRPr="00DD3D18" w:rsidRDefault="00DD3D18" w:rsidP="00DD3D18">
      <w:pPr>
        <w:suppressAutoHyphens/>
        <w:spacing w:line="360" w:lineRule="auto"/>
        <w:jc w:val="both"/>
        <w:rPr>
          <w:noProof/>
          <w:color w:val="00000A"/>
          <w:lang w:val="es-PA" w:eastAsia="es-ES"/>
        </w:rPr>
      </w:pPr>
    </w:p>
    <w:p w14:paraId="1528AF7D" w14:textId="405B3085" w:rsidR="00DD3D18" w:rsidRPr="00DD3D18" w:rsidRDefault="00DD3D18" w:rsidP="00DD3D18">
      <w:pPr>
        <w:suppressAutoHyphens/>
        <w:spacing w:line="360" w:lineRule="auto"/>
        <w:jc w:val="center"/>
        <w:rPr>
          <w:noProof/>
          <w:color w:val="00000A"/>
          <w:lang w:val="es-PA" w:eastAsia="es-ES"/>
        </w:rPr>
      </w:pPr>
      <w:r w:rsidRPr="00DD3D18">
        <w:rPr>
          <w:noProof/>
          <w:color w:val="00000A"/>
          <w:lang w:val="es-PA" w:eastAsia="es-ES"/>
        </w:rPr>
        <w:drawing>
          <wp:inline distT="0" distB="0" distL="0" distR="0" wp14:anchorId="06FB0C34" wp14:editId="205A3976">
            <wp:extent cx="4724400" cy="2733675"/>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00" cy="2733675"/>
                    </a:xfrm>
                    <a:prstGeom prst="rect">
                      <a:avLst/>
                    </a:prstGeom>
                    <a:noFill/>
                    <a:ln>
                      <a:noFill/>
                    </a:ln>
                  </pic:spPr>
                </pic:pic>
              </a:graphicData>
            </a:graphic>
          </wp:inline>
        </w:drawing>
      </w:r>
    </w:p>
    <w:p w14:paraId="54E10987" w14:textId="77777777" w:rsidR="00DD3D18" w:rsidRPr="00DD3D18" w:rsidRDefault="00DD3D18" w:rsidP="00DD3D18">
      <w:pPr>
        <w:suppressAutoHyphens/>
        <w:spacing w:line="360" w:lineRule="auto"/>
        <w:jc w:val="center"/>
        <w:rPr>
          <w:b/>
          <w:color w:val="00000A"/>
          <w:sz w:val="22"/>
          <w:szCs w:val="22"/>
          <w:lang w:val="es-ES" w:eastAsia="zh-CN" w:bidi="hi-IN"/>
        </w:rPr>
      </w:pPr>
      <w:r w:rsidRPr="00DD3D18">
        <w:rPr>
          <w:b/>
          <w:color w:val="00000A"/>
          <w:sz w:val="22"/>
          <w:szCs w:val="22"/>
          <w:lang w:val="es-PA" w:eastAsia="zh-CN" w:bidi="hi-IN"/>
        </w:rPr>
        <w:t xml:space="preserve">Fig. 1 - </w:t>
      </w:r>
      <w:r w:rsidRPr="00DD3D18">
        <w:rPr>
          <w:color w:val="00000A"/>
          <w:sz w:val="22"/>
          <w:szCs w:val="22"/>
          <w:lang w:val="es-PA" w:eastAsia="zh-CN" w:bidi="hi-IN"/>
        </w:rPr>
        <w:t>Estadía en la UCI según edad.</w:t>
      </w:r>
    </w:p>
    <w:p w14:paraId="583765F2" w14:textId="77777777" w:rsidR="00DD3D18" w:rsidRPr="00DD3D18" w:rsidRDefault="00DD3D18" w:rsidP="00DD3D18">
      <w:pPr>
        <w:suppressAutoHyphens/>
        <w:spacing w:line="360" w:lineRule="auto"/>
        <w:jc w:val="both"/>
        <w:rPr>
          <w:color w:val="00000A"/>
          <w:lang w:val="es-PA" w:eastAsia="zh-CN" w:bidi="hi-IN"/>
        </w:rPr>
      </w:pPr>
    </w:p>
    <w:p w14:paraId="604ECFF3" w14:textId="77777777" w:rsidR="00DD3D18" w:rsidRPr="00DD3D18" w:rsidRDefault="00DD3D18" w:rsidP="00DD3D18">
      <w:pPr>
        <w:suppressAutoHyphens/>
        <w:spacing w:line="360" w:lineRule="auto"/>
        <w:jc w:val="both"/>
        <w:rPr>
          <w:color w:val="00000A"/>
          <w:lang w:val="es-PA" w:eastAsia="zh-CN" w:bidi="hi-IN"/>
        </w:rPr>
      </w:pPr>
      <w:r w:rsidRPr="00DD3D18">
        <w:rPr>
          <w:color w:val="000000"/>
          <w:lang w:val="es-PA" w:eastAsia="zh-CN" w:bidi="hi-IN"/>
        </w:rPr>
        <w:t xml:space="preserve">En la tabla 3 se muestra el estado al egreso, según edad y sexo. </w:t>
      </w:r>
      <w:bookmarkStart w:id="1" w:name="__DdeLink__1006_2073720368"/>
      <w:r w:rsidRPr="00DD3D18">
        <w:rPr>
          <w:color w:val="000000"/>
          <w:lang w:val="es-PA" w:eastAsia="zh-CN" w:bidi="hi-IN"/>
        </w:rPr>
        <w:t>E</w:t>
      </w:r>
      <w:r w:rsidRPr="00DD3D18">
        <w:rPr>
          <w:color w:val="00000A"/>
          <w:lang w:val="es-PA" w:eastAsia="zh-CN" w:bidi="hi-IN"/>
        </w:rPr>
        <w:t>l 91,9 % de los pacientes, egresaron vivos y</w:t>
      </w:r>
      <w:bookmarkEnd w:id="1"/>
      <w:r w:rsidRPr="00DD3D18">
        <w:rPr>
          <w:color w:val="00000A"/>
          <w:lang w:val="es-PA" w:eastAsia="zh-CN" w:bidi="hi-IN"/>
        </w:rPr>
        <w:t xml:space="preserve"> falleció el 8 % (15). En 2 pacientes no fue la COVID-19 la causa directa de muerte. La letalidad fue de 6,9 %. Entre los fallecidos, 11 pertenecen al grupo mayor de 60 años, para un </w:t>
      </w:r>
      <w:r w:rsidRPr="00DD3D18">
        <w:rPr>
          <w:lang w:val="es-PA" w:eastAsia="es-ES" w:bidi="hi-IN"/>
        </w:rPr>
        <w:t>5,8</w:t>
      </w:r>
      <w:r w:rsidRPr="00DD3D18">
        <w:rPr>
          <w:color w:val="00000A"/>
          <w:lang w:val="es-PA" w:eastAsia="zh-CN" w:bidi="hi-IN"/>
        </w:rPr>
        <w:t xml:space="preserve"> %. En los fallecidos menores de 60 años, todos fueron del sexo masculino, mientras que en los de 60 años y más, predominó el sexo femenino con el 63,4 %. El </w:t>
      </w:r>
      <w:r w:rsidRPr="00DD3D18">
        <w:rPr>
          <w:lang w:val="es-PA" w:eastAsia="es-ES" w:bidi="hi-IN"/>
        </w:rPr>
        <w:t>58,8</w:t>
      </w:r>
      <w:r w:rsidRPr="00DD3D18">
        <w:rPr>
          <w:color w:val="00000A"/>
          <w:lang w:val="es-PA" w:eastAsia="zh-CN" w:bidi="hi-IN"/>
        </w:rPr>
        <w:t xml:space="preserve"> % de los fallecidos fueron mujeres.</w:t>
      </w:r>
      <w:r w:rsidRPr="00DD3D18">
        <w:rPr>
          <w:strike/>
          <w:color w:val="FF0000"/>
          <w:lang w:val="es-PA" w:eastAsia="zh-CN" w:bidi="hi-IN"/>
        </w:rPr>
        <w:t xml:space="preserve"> </w:t>
      </w:r>
    </w:p>
    <w:p w14:paraId="4A8C91B7" w14:textId="77777777" w:rsidR="00DD3D18" w:rsidRPr="00DD3D18" w:rsidRDefault="00DD3D18" w:rsidP="00DD3D18">
      <w:pPr>
        <w:suppressAutoHyphens/>
        <w:spacing w:line="360" w:lineRule="auto"/>
        <w:jc w:val="both"/>
        <w:rPr>
          <w:color w:val="00000A"/>
          <w:lang w:val="es-PA" w:eastAsia="zh-CN" w:bidi="hi-IN"/>
        </w:rPr>
      </w:pPr>
    </w:p>
    <w:p w14:paraId="2552AC55" w14:textId="77777777" w:rsidR="0008567E" w:rsidRDefault="0008567E">
      <w:pPr>
        <w:rPr>
          <w:b/>
          <w:color w:val="00000A"/>
          <w:sz w:val="22"/>
          <w:szCs w:val="22"/>
          <w:lang w:val="es-PA" w:eastAsia="zh-CN" w:bidi="hi-IN"/>
        </w:rPr>
      </w:pPr>
      <w:r>
        <w:rPr>
          <w:b/>
          <w:color w:val="00000A"/>
          <w:sz w:val="22"/>
          <w:szCs w:val="22"/>
          <w:lang w:val="es-PA" w:eastAsia="zh-CN" w:bidi="hi-IN"/>
        </w:rPr>
        <w:br w:type="page"/>
      </w:r>
    </w:p>
    <w:p w14:paraId="0DBEFDAA" w14:textId="6B40859C" w:rsidR="00DD3D18" w:rsidRPr="00DD3D18" w:rsidRDefault="00DD3D18" w:rsidP="00DD3D18">
      <w:pPr>
        <w:suppressAutoHyphens/>
        <w:spacing w:line="360" w:lineRule="auto"/>
        <w:jc w:val="center"/>
        <w:rPr>
          <w:color w:val="000000"/>
          <w:sz w:val="22"/>
          <w:szCs w:val="22"/>
          <w:lang w:val="es-PA" w:eastAsia="zh-CN" w:bidi="hi-IN"/>
        </w:rPr>
      </w:pPr>
      <w:r w:rsidRPr="00DD3D18">
        <w:rPr>
          <w:b/>
          <w:color w:val="00000A"/>
          <w:sz w:val="22"/>
          <w:szCs w:val="22"/>
          <w:lang w:val="es-PA" w:eastAsia="zh-CN" w:bidi="hi-IN"/>
        </w:rPr>
        <w:lastRenderedPageBreak/>
        <w:t>Tabla 3 -</w:t>
      </w:r>
      <w:r w:rsidRPr="00DD3D18">
        <w:rPr>
          <w:color w:val="000000"/>
          <w:sz w:val="22"/>
          <w:szCs w:val="22"/>
          <w:lang w:val="es-PA" w:eastAsia="zh-CN" w:bidi="hi-IN"/>
        </w:rPr>
        <w:t xml:space="preserve"> Estado al egreso según edad y sexo</w:t>
      </w:r>
    </w:p>
    <w:p w14:paraId="7316109C" w14:textId="5B362DEF" w:rsidR="00DD3D18" w:rsidRPr="00DD3D18" w:rsidRDefault="00DD3D18" w:rsidP="00DD3D18">
      <w:pPr>
        <w:suppressAutoHyphens/>
        <w:spacing w:line="360" w:lineRule="auto"/>
        <w:jc w:val="center"/>
        <w:rPr>
          <w:color w:val="00000A"/>
          <w:sz w:val="22"/>
          <w:szCs w:val="22"/>
          <w:lang w:val="es-PA" w:eastAsia="zh-CN" w:bidi="hi-IN"/>
        </w:rPr>
      </w:pPr>
      <w:r w:rsidRPr="00DD3D18">
        <w:rPr>
          <w:noProof/>
          <w:color w:val="00000A"/>
          <w:sz w:val="22"/>
          <w:szCs w:val="22"/>
          <w:lang w:val="es-PA" w:eastAsia="zh-CN" w:bidi="hi-IN"/>
        </w:rPr>
        <w:drawing>
          <wp:inline distT="0" distB="0" distL="0" distR="0" wp14:anchorId="41D3BFE2" wp14:editId="397F142F">
            <wp:extent cx="5181600" cy="4095750"/>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4095750"/>
                    </a:xfrm>
                    <a:prstGeom prst="rect">
                      <a:avLst/>
                    </a:prstGeom>
                    <a:noFill/>
                    <a:ln>
                      <a:noFill/>
                    </a:ln>
                  </pic:spPr>
                </pic:pic>
              </a:graphicData>
            </a:graphic>
          </wp:inline>
        </w:drawing>
      </w:r>
    </w:p>
    <w:p w14:paraId="3088372B" w14:textId="77777777" w:rsidR="00DD3D18" w:rsidRPr="00DD3D18" w:rsidRDefault="00DD3D18" w:rsidP="00DD3D18">
      <w:pPr>
        <w:suppressAutoHyphens/>
        <w:spacing w:line="360" w:lineRule="auto"/>
        <w:jc w:val="center"/>
        <w:rPr>
          <w:color w:val="00000A"/>
          <w:sz w:val="16"/>
          <w:szCs w:val="16"/>
          <w:lang w:val="es-PA" w:eastAsia="zh-CN" w:bidi="hi-IN"/>
        </w:rPr>
      </w:pPr>
      <w:r w:rsidRPr="00DD3D18">
        <w:rPr>
          <w:color w:val="00000A"/>
          <w:sz w:val="16"/>
          <w:szCs w:val="16"/>
          <w:lang w:val="es-PA" w:eastAsia="zh-CN" w:bidi="hi-IN"/>
        </w:rPr>
        <w:t>*Fallecidos con causa de muerte por la evolución de la enfermedad y por otras causas.</w:t>
      </w:r>
    </w:p>
    <w:p w14:paraId="74B94841" w14:textId="77777777" w:rsidR="00DD3D18" w:rsidRPr="00DD3D18" w:rsidRDefault="00DD3D18" w:rsidP="00DD3D18">
      <w:pPr>
        <w:suppressAutoHyphens/>
        <w:spacing w:line="360" w:lineRule="auto"/>
        <w:jc w:val="both"/>
        <w:rPr>
          <w:color w:val="00000A"/>
          <w:lang w:val="es-PA" w:eastAsia="zh-CN" w:bidi="hi-IN"/>
        </w:rPr>
      </w:pPr>
    </w:p>
    <w:p w14:paraId="0315EB70" w14:textId="77777777" w:rsidR="00DD3D18" w:rsidRPr="00DD3D18" w:rsidRDefault="00DD3D18" w:rsidP="00DD3D18">
      <w:pPr>
        <w:suppressAutoHyphens/>
        <w:spacing w:line="360" w:lineRule="auto"/>
        <w:jc w:val="both"/>
        <w:rPr>
          <w:color w:val="00000A"/>
          <w:lang w:val="es-PA" w:eastAsia="zh-CN" w:bidi="hi-IN"/>
        </w:rPr>
      </w:pPr>
      <w:r w:rsidRPr="00DD3D18">
        <w:rPr>
          <w:color w:val="00000A"/>
          <w:lang w:val="es-PA" w:eastAsia="zh-CN" w:bidi="hi-IN"/>
        </w:rPr>
        <w:t>En la tabla 4 se resumen las variables con correlación significativa, el paciente con estadía en UCI y egresar fallecido, presentó correlación positiva fuerte (c</w:t>
      </w:r>
      <w:r w:rsidRPr="00DD3D18">
        <w:rPr>
          <w:color w:val="000000"/>
          <w:lang w:val="es-PA" w:eastAsia="zh-CN" w:bidi="hi-IN"/>
        </w:rPr>
        <w:t xml:space="preserve">oeficiente </w:t>
      </w:r>
      <w:r w:rsidRPr="00DD3D18">
        <w:rPr>
          <w:color w:val="00000A"/>
          <w:lang w:val="es-PA" w:eastAsia="zh-CN" w:bidi="hi-IN"/>
        </w:rPr>
        <w:t xml:space="preserve">= 0,764). Tener otras comorbilidades y antecedente diagnóstico de HTA, tuvo un valor del coeficiente de correlación de 0,86. Pertenecer al grupo de edad de 60 años y más tuvo relación positiva moderada con la estadía en la UCI, HTA y otras comorbilidades. La relación con el estado al egreso fallecido fue la de menor valor del coeficiente con 0,426. Todas estas correlaciones resultaron significativas, con valor p &lt; 0,0001. </w:t>
      </w:r>
    </w:p>
    <w:p w14:paraId="7AF5EB0B" w14:textId="77777777" w:rsidR="00DD3D18" w:rsidRPr="00DD3D18" w:rsidRDefault="00DD3D18" w:rsidP="00DD3D18">
      <w:pPr>
        <w:suppressAutoHyphens/>
        <w:spacing w:line="360" w:lineRule="auto"/>
        <w:jc w:val="both"/>
        <w:rPr>
          <w:color w:val="00000A"/>
          <w:lang w:val="es-PA" w:eastAsia="zh-CN" w:bidi="hi-IN"/>
        </w:rPr>
      </w:pPr>
    </w:p>
    <w:p w14:paraId="47471084" w14:textId="77777777" w:rsidR="00DD3D18" w:rsidRPr="00DD3D18" w:rsidRDefault="00DD3D18" w:rsidP="00DD3D18">
      <w:pPr>
        <w:spacing w:line="480" w:lineRule="auto"/>
        <w:jc w:val="both"/>
        <w:rPr>
          <w:b/>
          <w:bCs/>
          <w:color w:val="00000A"/>
          <w:lang w:val="es-PA" w:eastAsia="zh-CN" w:bidi="hi-IN"/>
        </w:rPr>
      </w:pPr>
      <w:r w:rsidRPr="00DD3D18">
        <w:rPr>
          <w:rFonts w:ascii="Calibri" w:eastAsia="Calibri" w:hAnsi="Calibri" w:cs="Calibri"/>
          <w:b/>
          <w:bCs/>
          <w:color w:val="00000A"/>
          <w:sz w:val="22"/>
          <w:szCs w:val="22"/>
          <w:lang w:val="es-ES" w:eastAsia="zh-CN"/>
        </w:rPr>
        <w:br w:type="page"/>
      </w:r>
    </w:p>
    <w:p w14:paraId="0C516AC1" w14:textId="77777777" w:rsidR="00DD3D18" w:rsidRPr="00DD3D18" w:rsidRDefault="00DD3D18" w:rsidP="00DD3D18">
      <w:pPr>
        <w:suppressAutoHyphens/>
        <w:spacing w:line="360" w:lineRule="auto"/>
        <w:jc w:val="center"/>
        <w:rPr>
          <w:color w:val="00000A"/>
          <w:sz w:val="22"/>
          <w:szCs w:val="22"/>
          <w:lang w:val="es-PA" w:eastAsia="zh-CN" w:bidi="hi-IN"/>
        </w:rPr>
      </w:pPr>
      <w:r w:rsidRPr="00DD3D18">
        <w:rPr>
          <w:b/>
          <w:bCs/>
          <w:color w:val="00000A"/>
          <w:sz w:val="22"/>
          <w:szCs w:val="22"/>
          <w:lang w:val="es-PA" w:eastAsia="zh-CN" w:bidi="hi-IN"/>
        </w:rPr>
        <w:lastRenderedPageBreak/>
        <w:t>Tabla 4 –</w:t>
      </w:r>
      <w:r w:rsidRPr="00DD3D18">
        <w:rPr>
          <w:color w:val="00000A"/>
          <w:sz w:val="22"/>
          <w:szCs w:val="22"/>
          <w:lang w:val="es-PA" w:eastAsia="zh-CN" w:bidi="hi-IN"/>
        </w:rPr>
        <w:t xml:space="preserve"> Correlación entre variables estudiadas</w:t>
      </w:r>
    </w:p>
    <w:p w14:paraId="2A791694" w14:textId="5E4DFC59" w:rsidR="00DD3D18" w:rsidRPr="00DD3D18" w:rsidRDefault="00DD3D18" w:rsidP="00DD3D18">
      <w:pPr>
        <w:suppressAutoHyphens/>
        <w:spacing w:line="360" w:lineRule="auto"/>
        <w:jc w:val="center"/>
        <w:rPr>
          <w:color w:val="00000A"/>
          <w:sz w:val="16"/>
          <w:szCs w:val="16"/>
          <w:lang w:val="es-PA" w:eastAsia="zh-CN" w:bidi="hi-IN"/>
        </w:rPr>
      </w:pPr>
      <w:r w:rsidRPr="00DD3D18">
        <w:rPr>
          <w:noProof/>
          <w:color w:val="00000A"/>
          <w:sz w:val="16"/>
          <w:szCs w:val="16"/>
          <w:lang w:val="es-PA" w:eastAsia="zh-CN" w:bidi="hi-IN"/>
        </w:rPr>
        <w:drawing>
          <wp:inline distT="0" distB="0" distL="0" distR="0" wp14:anchorId="22A7B1CD" wp14:editId="5CAFC60E">
            <wp:extent cx="5029200" cy="2447925"/>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2447925"/>
                    </a:xfrm>
                    <a:prstGeom prst="rect">
                      <a:avLst/>
                    </a:prstGeom>
                    <a:noFill/>
                    <a:ln>
                      <a:noFill/>
                    </a:ln>
                  </pic:spPr>
                </pic:pic>
              </a:graphicData>
            </a:graphic>
          </wp:inline>
        </w:drawing>
      </w:r>
    </w:p>
    <w:p w14:paraId="0263E28B" w14:textId="77777777" w:rsidR="00DD3D18" w:rsidRPr="00DD3D18" w:rsidRDefault="00DD3D18" w:rsidP="00DD3D18">
      <w:pPr>
        <w:suppressAutoHyphens/>
        <w:spacing w:line="360" w:lineRule="auto"/>
        <w:jc w:val="center"/>
        <w:rPr>
          <w:color w:val="00000A"/>
          <w:sz w:val="16"/>
          <w:szCs w:val="16"/>
          <w:lang w:val="es-PA" w:eastAsia="zh-CN" w:bidi="hi-IN"/>
        </w:rPr>
      </w:pPr>
      <w:r w:rsidRPr="00DD3D18">
        <w:rPr>
          <w:color w:val="00000A"/>
          <w:sz w:val="16"/>
          <w:szCs w:val="16"/>
          <w:lang w:val="es-PA" w:eastAsia="zh-CN" w:bidi="hi-IN"/>
        </w:rPr>
        <w:t>** La correlación fue significativa al nivel 0,01 (bilateral)</w:t>
      </w:r>
    </w:p>
    <w:p w14:paraId="4CF69981" w14:textId="77777777" w:rsidR="00DD3D18" w:rsidRPr="00DD3D18" w:rsidRDefault="00DD3D18" w:rsidP="00DD3D18">
      <w:pPr>
        <w:suppressAutoHyphens/>
        <w:spacing w:line="360" w:lineRule="auto"/>
        <w:jc w:val="both"/>
        <w:rPr>
          <w:rFonts w:eastAsia="Calibri"/>
          <w:b/>
          <w:color w:val="00000A"/>
          <w:lang w:val="es-ES" w:eastAsia="zh-CN"/>
        </w:rPr>
      </w:pPr>
    </w:p>
    <w:p w14:paraId="2B6BCDBF" w14:textId="77777777" w:rsidR="00DD3D18" w:rsidRPr="00DD3D18" w:rsidRDefault="00DD3D18" w:rsidP="00DD3D18">
      <w:pPr>
        <w:suppressAutoHyphens/>
        <w:spacing w:line="360" w:lineRule="auto"/>
        <w:jc w:val="both"/>
        <w:rPr>
          <w:rFonts w:eastAsia="Calibri"/>
          <w:b/>
          <w:color w:val="00000A"/>
          <w:lang w:val="es-ES" w:eastAsia="zh-CN"/>
        </w:rPr>
      </w:pPr>
    </w:p>
    <w:p w14:paraId="61C0E7BC" w14:textId="77777777" w:rsidR="00DD3D18" w:rsidRPr="00DD3D18" w:rsidRDefault="00DD3D18" w:rsidP="00DD3D18">
      <w:pPr>
        <w:suppressAutoHyphens/>
        <w:spacing w:line="360" w:lineRule="auto"/>
        <w:jc w:val="center"/>
        <w:rPr>
          <w:rFonts w:eastAsia="Calibri"/>
          <w:color w:val="00000A"/>
          <w:sz w:val="32"/>
          <w:szCs w:val="32"/>
          <w:lang w:val="es-ES" w:eastAsia="zh-CN"/>
        </w:rPr>
      </w:pPr>
      <w:r w:rsidRPr="00DD3D18">
        <w:rPr>
          <w:rFonts w:eastAsia="Calibri"/>
          <w:b/>
          <w:color w:val="00000A"/>
          <w:sz w:val="32"/>
          <w:szCs w:val="32"/>
          <w:lang w:val="es-ES" w:eastAsia="zh-CN"/>
        </w:rPr>
        <w:t>DISCUSIÓN</w:t>
      </w:r>
    </w:p>
    <w:p w14:paraId="4086FED9"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 xml:space="preserve">Entre los 187 casos de COVID-19 estudiados, la cuarta parte fueron menores de 18 años. </w:t>
      </w:r>
      <w:r w:rsidRPr="00DD3D18">
        <w:rPr>
          <w:color w:val="00000A"/>
          <w:lang w:val="es-ES" w:eastAsia="es-ES"/>
        </w:rPr>
        <w:t xml:space="preserve">Históricamente, los niños han sido poblaciones vulnerables durante pandemias, como la gripe H1N1. La evidencia emergente sugiere que los niños tienen tasas más bajas de infección por SARS-CoV-2 y tienden a experimentar formar menos </w:t>
      </w:r>
      <w:proofErr w:type="gramStart"/>
      <w:r w:rsidRPr="00DD3D18">
        <w:rPr>
          <w:color w:val="00000A"/>
          <w:lang w:val="es-ES" w:eastAsia="es-ES"/>
        </w:rPr>
        <w:t>graves.</w:t>
      </w:r>
      <w:r w:rsidRPr="00DD3D18">
        <w:rPr>
          <w:color w:val="00000A"/>
          <w:vertAlign w:val="superscript"/>
          <w:lang w:val="es-ES" w:eastAsia="es-ES"/>
        </w:rPr>
        <w:t>(</w:t>
      </w:r>
      <w:proofErr w:type="gramEnd"/>
      <w:r w:rsidRPr="00DD3D18">
        <w:rPr>
          <w:color w:val="00000A"/>
          <w:vertAlign w:val="superscript"/>
          <w:lang w:val="es-ES" w:eastAsia="es-ES"/>
        </w:rPr>
        <w:t xml:space="preserve">4,5) </w:t>
      </w:r>
    </w:p>
    <w:p w14:paraId="15EBA5B9"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A"/>
          <w:lang w:val="es-ES" w:eastAsia="es-ES"/>
        </w:rPr>
        <w:t>Los estudios realizados, señalan tasas más bajas de enfermedad sintomática en niños, al compararlos con los adultos (73 % frente a 93 %</w:t>
      </w:r>
      <w:proofErr w:type="gramStart"/>
      <w:r w:rsidRPr="00DD3D18">
        <w:rPr>
          <w:color w:val="00000A"/>
          <w:lang w:val="es-ES" w:eastAsia="es-ES"/>
        </w:rPr>
        <w:t>).</w:t>
      </w:r>
      <w:r w:rsidRPr="00DD3D18">
        <w:rPr>
          <w:color w:val="00000A"/>
          <w:vertAlign w:val="superscript"/>
          <w:lang w:val="es-ES" w:eastAsia="es-ES"/>
        </w:rPr>
        <w:t>(</w:t>
      </w:r>
      <w:proofErr w:type="gramEnd"/>
      <w:r w:rsidRPr="00DD3D18">
        <w:rPr>
          <w:color w:val="00000A"/>
          <w:vertAlign w:val="superscript"/>
          <w:lang w:val="es-ES" w:eastAsia="es-ES"/>
        </w:rPr>
        <w:t xml:space="preserve">5,9) </w:t>
      </w:r>
      <w:r w:rsidRPr="00DD3D18">
        <w:rPr>
          <w:color w:val="00000A"/>
          <w:lang w:val="es-ES" w:eastAsia="es-ES"/>
        </w:rPr>
        <w:t xml:space="preserve">Los investigadores explican que es posible que el receptor del virus no esté en la misma configuración en niños que en adultos. También aseveran que los sistemas inmunes inmaduros, pueden no tener una respuesta tan fuerte o grave a la infección por SARS-CoV-2 como los adultos. </w:t>
      </w:r>
    </w:p>
    <w:p w14:paraId="0C416A59" w14:textId="77777777" w:rsidR="00DD3D18" w:rsidRPr="00DD3D18" w:rsidRDefault="00DD3D18" w:rsidP="00DD3D18">
      <w:pPr>
        <w:suppressAutoHyphens/>
        <w:spacing w:line="360" w:lineRule="auto"/>
        <w:jc w:val="both"/>
        <w:rPr>
          <w:rFonts w:eastAsia="Calibri"/>
          <w:color w:val="00000A"/>
          <w:lang w:val="es-ES" w:eastAsia="zh-CN"/>
        </w:rPr>
      </w:pPr>
      <w:proofErr w:type="spellStart"/>
      <w:proofErr w:type="gramStart"/>
      <w:r w:rsidRPr="00DD3D18">
        <w:rPr>
          <w:rFonts w:eastAsia="Calibri"/>
          <w:i/>
          <w:color w:val="00000A"/>
          <w:lang w:val="es-ES" w:eastAsia="zh-CN"/>
        </w:rPr>
        <w:t>Ludvigsson</w:t>
      </w:r>
      <w:proofErr w:type="spellEnd"/>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 xml:space="preserve">9) </w:t>
      </w:r>
      <w:r w:rsidRPr="00DD3D18">
        <w:rPr>
          <w:rFonts w:eastAsia="Calibri"/>
          <w:color w:val="00000A"/>
          <w:lang w:val="es-ES" w:eastAsia="zh-CN"/>
        </w:rPr>
        <w:t xml:space="preserve">en una revisión identificó 45 estudios relevantes sobre la COVID-19 en niños, sus  hallazgos clave fueron que el curso de la enfermedad en edad pediátrica fue más leve que en adultos, los niños tuvieron un mejor pronóstico y las muertes fueron extremadamente raras. La razón de esta diferencia entre niños y adultos sigue siendo difícil de dilucidar en su generalidad. Se ha sugerido la correlación entre la gravedad de la enfermedad y la carga viral (o la duración del período de eliminación del virus). Los niños pueden tener menos carga de virus. </w:t>
      </w:r>
    </w:p>
    <w:p w14:paraId="44999E64"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lastRenderedPageBreak/>
        <w:t xml:space="preserve">Los datos mostraron que los pacientes con la COVID-19 en edad pediátrica, tenían una enfermedad leve o asintomática, acompañada de neumonía en aproximadamente la mitad de los casos. Estas tendencias podrían sugerir que los niños tienen mecanismos específicos que regulan la interacción entre el sistema inmunitario y la maquinaria respiratoria, lo que podría contribuir a una enfermedad más </w:t>
      </w:r>
      <w:proofErr w:type="gramStart"/>
      <w:r w:rsidRPr="00DD3D18">
        <w:rPr>
          <w:rFonts w:eastAsia="Calibri"/>
          <w:color w:val="00000A"/>
          <w:lang w:val="es-ES" w:eastAsia="zh-CN"/>
        </w:rPr>
        <w:t>leve.</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6)</w:t>
      </w:r>
    </w:p>
    <w:p w14:paraId="545E35CC"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 xml:space="preserve">Los niños tienen una evolución clínica favorable, además no tienen enfermedades crónicas precedentes. </w:t>
      </w:r>
    </w:p>
    <w:p w14:paraId="3D42BA49"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 xml:space="preserve">Al analizar el sexo, existió un predominio del sexo femenino, resultados diferentes a los informados. Varios estudios han reportado la mayoría de los casos de la COVID-19 entre </w:t>
      </w:r>
      <w:proofErr w:type="gramStart"/>
      <w:r w:rsidRPr="00DD3D18">
        <w:rPr>
          <w:rFonts w:eastAsia="Calibri"/>
          <w:color w:val="00000A"/>
          <w:lang w:val="es-ES" w:eastAsia="zh-CN"/>
        </w:rPr>
        <w:t>hombres.</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2,3)</w:t>
      </w:r>
      <w:r w:rsidRPr="00DD3D18">
        <w:rPr>
          <w:rFonts w:eastAsia="Calibri"/>
          <w:color w:val="00000A"/>
          <w:lang w:val="es-ES" w:eastAsia="zh-CN"/>
        </w:rPr>
        <w:t xml:space="preserve"> </w:t>
      </w:r>
      <w:proofErr w:type="spellStart"/>
      <w:r w:rsidRPr="00DD3D18">
        <w:rPr>
          <w:rFonts w:eastAsia="Calibri"/>
          <w:i/>
          <w:color w:val="00000A"/>
          <w:lang w:val="es-ES" w:eastAsia="zh-CN"/>
        </w:rPr>
        <w:t>Garg</w:t>
      </w:r>
      <w:proofErr w:type="spellEnd"/>
      <w:r w:rsidRPr="00DD3D18">
        <w:rPr>
          <w:rFonts w:eastAsia="Calibri"/>
          <w:color w:val="00000A"/>
          <w:lang w:val="es-ES" w:eastAsia="zh-CN"/>
        </w:rPr>
        <w:t xml:space="preserve"> y otros,</w:t>
      </w:r>
      <w:r w:rsidRPr="00DD3D18">
        <w:rPr>
          <w:rFonts w:eastAsia="Calibri"/>
          <w:color w:val="00000A"/>
          <w:vertAlign w:val="superscript"/>
          <w:lang w:val="es-ES" w:eastAsia="zh-CN"/>
        </w:rPr>
        <w:t>(10)</w:t>
      </w:r>
      <w:r w:rsidRPr="00DD3D18">
        <w:rPr>
          <w:rFonts w:eastAsia="Calibri"/>
          <w:color w:val="00000A"/>
          <w:lang w:val="es-ES" w:eastAsia="zh-CN"/>
        </w:rPr>
        <w:t xml:space="preserve"> en una investigación efectuada en EE.UU., refieren que aproximadamente el 54 % de las hospitalizaciones asociadas con la COVID-19, ocurrieron en hombres y el 46 % en mujeres.</w:t>
      </w:r>
    </w:p>
    <w:p w14:paraId="43F160EE"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0"/>
          <w:lang w:val="es-ES" w:eastAsia="es-ES"/>
        </w:rPr>
        <w:t xml:space="preserve">La evidencia disponible señala que los subgrupos de mayor riesgo, son los adultos mayores, del sexo masculino, con enfermedades de base, fundamentalmente HTA, DM, enfermedades del corazón y enfermedades crónicas pulmonares. Según lo reportado por </w:t>
      </w:r>
      <w:r w:rsidRPr="00DD3D18">
        <w:rPr>
          <w:i/>
          <w:color w:val="000000"/>
          <w:lang w:val="es-ES" w:eastAsia="es-ES"/>
        </w:rPr>
        <w:t>Huang</w:t>
      </w:r>
      <w:r w:rsidRPr="00DD3D18">
        <w:rPr>
          <w:color w:val="000000"/>
          <w:lang w:val="es-ES" w:eastAsia="es-ES"/>
        </w:rPr>
        <w:t xml:space="preserve"> y </w:t>
      </w:r>
      <w:proofErr w:type="gramStart"/>
      <w:r w:rsidRPr="00DD3D18">
        <w:rPr>
          <w:color w:val="000000"/>
          <w:lang w:val="es-ES" w:eastAsia="es-ES"/>
        </w:rPr>
        <w:t>otros,</w:t>
      </w:r>
      <w:r w:rsidRPr="00DD3D18">
        <w:rPr>
          <w:color w:val="000000"/>
          <w:vertAlign w:val="superscript"/>
          <w:lang w:val="es-ES" w:eastAsia="es-ES"/>
        </w:rPr>
        <w:t>(</w:t>
      </w:r>
      <w:proofErr w:type="gramEnd"/>
      <w:r w:rsidRPr="00DD3D18">
        <w:rPr>
          <w:color w:val="000000"/>
          <w:vertAlign w:val="superscript"/>
          <w:lang w:val="es-ES" w:eastAsia="es-ES"/>
        </w:rPr>
        <w:t>11)</w:t>
      </w:r>
      <w:r w:rsidRPr="00DD3D18">
        <w:rPr>
          <w:color w:val="000000"/>
          <w:lang w:val="es-ES" w:eastAsia="es-ES"/>
        </w:rPr>
        <w:t xml:space="preserve"> en relación con los primeros casos de la COVID-19, en 41 pacientes, la edad media fue 49,0 ± 11,0 años, el 73 % eran del sexo masculino y menos de la mitad presentó DM (20 %), HTA (15 %) y otras enfermedades cardiovasculares (15 %).</w:t>
      </w:r>
    </w:p>
    <w:p w14:paraId="1E205F35" w14:textId="77777777" w:rsidR="00DD3D18" w:rsidRPr="00DD3D18" w:rsidRDefault="00DD3D18" w:rsidP="00DD3D18">
      <w:pPr>
        <w:suppressAutoHyphens/>
        <w:spacing w:line="360" w:lineRule="auto"/>
        <w:jc w:val="both"/>
        <w:rPr>
          <w:rFonts w:eastAsia="Calibri"/>
          <w:color w:val="00000A"/>
          <w:lang w:val="es-ES" w:eastAsia="zh-CN"/>
        </w:rPr>
      </w:pPr>
      <w:r w:rsidRPr="00DD3D18">
        <w:rPr>
          <w:color w:val="000000"/>
          <w:lang w:val="es-ES" w:eastAsia="es-ES"/>
        </w:rPr>
        <w:t>Se confirmó que en pacientes con enfermedades asociadas, fue frecuente la presentación más grave de la enfermedad (38,7 % frente 21,0 %</w:t>
      </w:r>
      <w:proofErr w:type="gramStart"/>
      <w:r w:rsidRPr="00DD3D18">
        <w:rPr>
          <w:color w:val="000000"/>
          <w:lang w:val="es-ES" w:eastAsia="es-ES"/>
        </w:rPr>
        <w:t>).</w:t>
      </w:r>
      <w:r w:rsidRPr="00DD3D18">
        <w:rPr>
          <w:color w:val="000000"/>
          <w:vertAlign w:val="superscript"/>
          <w:lang w:val="es-ES" w:eastAsia="es-ES"/>
        </w:rPr>
        <w:t>(</w:t>
      </w:r>
      <w:proofErr w:type="gramEnd"/>
      <w:r w:rsidRPr="00DD3D18">
        <w:rPr>
          <w:color w:val="000000"/>
          <w:vertAlign w:val="superscript"/>
          <w:lang w:val="es-ES" w:eastAsia="es-ES"/>
        </w:rPr>
        <w:t>8)</w:t>
      </w:r>
      <w:r w:rsidRPr="00DD3D18">
        <w:rPr>
          <w:color w:val="000000"/>
          <w:lang w:val="es-ES" w:eastAsia="es-ES"/>
        </w:rPr>
        <w:t xml:space="preserve"> En otra investigación, </w:t>
      </w:r>
      <w:proofErr w:type="spellStart"/>
      <w:r w:rsidRPr="00DD3D18">
        <w:rPr>
          <w:i/>
          <w:iCs/>
          <w:color w:val="000000"/>
          <w:lang w:val="es-ES" w:eastAsia="es-ES"/>
        </w:rPr>
        <w:t>Xie</w:t>
      </w:r>
      <w:proofErr w:type="spellEnd"/>
      <w:r w:rsidRPr="00DD3D18">
        <w:rPr>
          <w:color w:val="000000"/>
          <w:lang w:val="es-ES" w:eastAsia="es-ES"/>
        </w:rPr>
        <w:t xml:space="preserve"> y otros,</w:t>
      </w:r>
      <w:r w:rsidRPr="00DD3D18">
        <w:rPr>
          <w:color w:val="000000"/>
          <w:vertAlign w:val="superscript"/>
          <w:lang w:val="es-ES" w:eastAsia="es-ES"/>
        </w:rPr>
        <w:t>(12)</w:t>
      </w:r>
      <w:r w:rsidRPr="00DD3D18">
        <w:rPr>
          <w:color w:val="000000"/>
          <w:lang w:val="es-ES" w:eastAsia="es-ES"/>
        </w:rPr>
        <w:t xml:space="preserve"> en fallecidos por la COVID-19, encontraron predominio de pacientes del sexo masculino (75,0 %), con una edad media de 70 ± 8,0 años y el 74,4 % presentaban una o más enfermedades de base. La HTA (50,0 %), la DM (25,0 %) y la cardiopatía isquémica (18,5 %) fueron las más </w:t>
      </w:r>
      <w:proofErr w:type="gramStart"/>
      <w:r w:rsidRPr="00DD3D18">
        <w:rPr>
          <w:color w:val="000000"/>
          <w:lang w:val="es-ES" w:eastAsia="es-ES"/>
        </w:rPr>
        <w:t>frecuentes.</w:t>
      </w:r>
      <w:r w:rsidRPr="00DD3D18">
        <w:rPr>
          <w:color w:val="000000"/>
          <w:vertAlign w:val="superscript"/>
          <w:lang w:val="es-ES" w:eastAsia="es-ES"/>
        </w:rPr>
        <w:t>(</w:t>
      </w:r>
      <w:proofErr w:type="gramEnd"/>
      <w:r w:rsidRPr="00DD3D18">
        <w:rPr>
          <w:color w:val="000000"/>
          <w:vertAlign w:val="superscript"/>
          <w:lang w:val="es-ES" w:eastAsia="es-ES"/>
        </w:rPr>
        <w:t>13)</w:t>
      </w:r>
    </w:p>
    <w:p w14:paraId="5AF13870" w14:textId="77777777" w:rsidR="00DD3D18" w:rsidRPr="00DD3D18" w:rsidRDefault="00DD3D18" w:rsidP="00DD3D18">
      <w:pPr>
        <w:suppressAutoHyphens/>
        <w:spacing w:line="360" w:lineRule="auto"/>
        <w:jc w:val="both"/>
        <w:rPr>
          <w:rFonts w:eastAsia="Calibri"/>
          <w:color w:val="000000"/>
          <w:lang w:val="es-ES" w:eastAsia="zh-CN"/>
        </w:rPr>
      </w:pPr>
      <w:r w:rsidRPr="00DD3D18">
        <w:rPr>
          <w:rFonts w:eastAsia="Calibri"/>
          <w:color w:val="000000"/>
          <w:lang w:val="es-ES" w:eastAsia="zh-CN"/>
        </w:rPr>
        <w:t xml:space="preserve">Debido a que "las infecciones virales como la influenza pueden desestabilizar y empeorar las afecciones cardíacas", es probable que este virus también tenga un efecto, con una gravedad variable en los individuos, particularmente cuando se indica que el 40 % de los pacientes con el SARS-CoV-2, tienen problemas cardiovasculares subyacentes. Estos pacientes tienen alto riesgo de tener complicaciones y </w:t>
      </w:r>
      <w:proofErr w:type="gramStart"/>
      <w:r w:rsidRPr="00DD3D18">
        <w:rPr>
          <w:rFonts w:eastAsia="Calibri"/>
          <w:color w:val="00000A"/>
          <w:lang w:val="es-ES" w:eastAsia="zh-CN"/>
        </w:rPr>
        <w:t>morir.</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7)</w:t>
      </w:r>
    </w:p>
    <w:p w14:paraId="730F05C3"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 xml:space="preserve">En este estudio se observó </w:t>
      </w:r>
      <w:proofErr w:type="gramStart"/>
      <w:r w:rsidRPr="00DD3D18">
        <w:rPr>
          <w:rFonts w:eastAsia="Calibri"/>
          <w:color w:val="00000A"/>
          <w:lang w:val="es-ES" w:eastAsia="zh-CN"/>
        </w:rPr>
        <w:t>que</w:t>
      </w:r>
      <w:proofErr w:type="gramEnd"/>
      <w:r w:rsidRPr="00DD3D18">
        <w:rPr>
          <w:rFonts w:eastAsia="Calibri"/>
          <w:color w:val="00000A"/>
          <w:lang w:val="es-ES" w:eastAsia="zh-CN"/>
        </w:rPr>
        <w:t xml:space="preserve"> entre la población menor de 60 años, solo fallecieron 2 enfermos y ambos eran hipertensos. Este reporte coincide con los informes publicados, los cuales reflejan que la mayoría de quienes fallecen tienen una edad promedio de 56 años, gran parte padecen otras enfermedades (cardíacas, accidente cerebrovascular, diabetes, etc.), que pudieron haberlos hecho más vulnerables al </w:t>
      </w:r>
      <w:r w:rsidRPr="00DD3D18">
        <w:rPr>
          <w:rFonts w:eastAsia="Calibri"/>
          <w:color w:val="00000A"/>
          <w:lang w:val="es-ES" w:eastAsia="zh-CN"/>
        </w:rPr>
        <w:lastRenderedPageBreak/>
        <w:t xml:space="preserve">virus. Además, a medida que evoluciona la pandemia, existen cada vez más pruebas de que el sistema cardiovascular desempeña un rol en el curso de la </w:t>
      </w:r>
      <w:proofErr w:type="gramStart"/>
      <w:r w:rsidRPr="00DD3D18">
        <w:rPr>
          <w:rFonts w:eastAsia="Calibri"/>
          <w:color w:val="00000A"/>
          <w:lang w:val="es-ES" w:eastAsia="zh-CN"/>
        </w:rPr>
        <w:t>enfermedad.</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5,14)</w:t>
      </w:r>
    </w:p>
    <w:p w14:paraId="225D0B51" w14:textId="77777777" w:rsidR="00DD3D18" w:rsidRPr="00DD3D18" w:rsidRDefault="00DD3D18" w:rsidP="00DD3D18">
      <w:pPr>
        <w:suppressAutoHyphens/>
        <w:spacing w:line="360" w:lineRule="auto"/>
        <w:jc w:val="both"/>
        <w:rPr>
          <w:color w:val="00000A"/>
          <w:lang w:val="es-ES" w:eastAsia="zh-CN"/>
        </w:rPr>
      </w:pPr>
      <w:r w:rsidRPr="00DD3D18">
        <w:rPr>
          <w:color w:val="00000A"/>
          <w:lang w:val="es-ES" w:eastAsia="zh-CN"/>
        </w:rPr>
        <w:t xml:space="preserve">Según refieren </w:t>
      </w:r>
      <w:proofErr w:type="spellStart"/>
      <w:r w:rsidRPr="00DD3D18">
        <w:rPr>
          <w:i/>
          <w:color w:val="00000A"/>
          <w:lang w:val="es-ES" w:eastAsia="zh-CN"/>
        </w:rPr>
        <w:t>Lithander</w:t>
      </w:r>
      <w:proofErr w:type="spellEnd"/>
      <w:r w:rsidRPr="00DD3D18">
        <w:rPr>
          <w:color w:val="00000A"/>
          <w:lang w:val="es-ES" w:eastAsia="zh-CN"/>
        </w:rPr>
        <w:t xml:space="preserve"> y </w:t>
      </w:r>
      <w:proofErr w:type="gramStart"/>
      <w:r w:rsidRPr="00DD3D18">
        <w:rPr>
          <w:color w:val="00000A"/>
          <w:lang w:val="es-ES" w:eastAsia="zh-CN"/>
        </w:rPr>
        <w:t>otros,</w:t>
      </w:r>
      <w:r w:rsidRPr="00DD3D18">
        <w:rPr>
          <w:color w:val="00000A"/>
          <w:vertAlign w:val="superscript"/>
          <w:lang w:val="es-ES" w:eastAsia="zh-CN"/>
        </w:rPr>
        <w:t>(</w:t>
      </w:r>
      <w:proofErr w:type="gramEnd"/>
      <w:r w:rsidRPr="00DD3D18">
        <w:rPr>
          <w:color w:val="00000A"/>
          <w:vertAlign w:val="superscript"/>
          <w:lang w:val="es-ES" w:eastAsia="zh-CN"/>
        </w:rPr>
        <w:t>15)</w:t>
      </w:r>
      <w:r w:rsidRPr="00DD3D18">
        <w:rPr>
          <w:color w:val="00000A"/>
          <w:lang w:val="es-ES" w:eastAsia="zh-CN"/>
        </w:rPr>
        <w:t xml:space="preserve"> en una de las series de casos más grandes publicadas hasta ahora, de 72 314 casos reportados por el centro chino para el control y prevención de enfermedades, la mortalidad fue de 8,0 % (312 de 3 918) en pacientes de 70 a 79 años y de 14,8 % en pacientes de ≥ 80 años (208 de 1 408) . </w:t>
      </w:r>
    </w:p>
    <w:p w14:paraId="6687F778"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i/>
          <w:color w:val="00000A"/>
          <w:lang w:val="es-ES" w:eastAsia="zh-CN"/>
        </w:rPr>
        <w:t>Bermejo</w:t>
      </w:r>
      <w:r w:rsidRPr="00DD3D18">
        <w:rPr>
          <w:rFonts w:eastAsia="Calibri"/>
          <w:color w:val="00000A"/>
          <w:lang w:val="es-ES" w:eastAsia="zh-CN"/>
        </w:rPr>
        <w:t xml:space="preserve"> y </w:t>
      </w:r>
      <w:proofErr w:type="gramStart"/>
      <w:r w:rsidRPr="00DD3D18">
        <w:rPr>
          <w:rFonts w:eastAsia="Calibri"/>
          <w:color w:val="00000A"/>
          <w:lang w:val="es-ES" w:eastAsia="zh-CN"/>
        </w:rPr>
        <w:t>otros</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16)</w:t>
      </w:r>
      <w:r w:rsidRPr="00DD3D18">
        <w:rPr>
          <w:rFonts w:eastAsia="Calibri"/>
          <w:color w:val="00000A"/>
          <w:lang w:val="es-ES" w:eastAsia="zh-CN"/>
        </w:rPr>
        <w:t xml:space="preserve">  opinan que tener 70 años o más y haber acumulado durante años daño en el endotelio, por ejemplo, por una hipertensión, puede tener un impacto en el riesgo de no responder bien a la infección. El porqué está en que el endotelio vascular es el órgano que señaliza a los leucocitos, cuando está dañado, este complejo proceso se reorganiza y origina que la respuesta a la infección sea patológica. A ello se suma la respuesta inflamatoria a la infección de una persona, cuyo sistema inmune no está funcionando bien y le impide controlar el virus. Otro argumento novedoso, es que algunos estudios apuntan a que el virus es capaz de infectar a las células </w:t>
      </w:r>
      <w:proofErr w:type="gramStart"/>
      <w:r w:rsidRPr="00DD3D18">
        <w:rPr>
          <w:rFonts w:eastAsia="Calibri"/>
          <w:color w:val="00000A"/>
          <w:lang w:val="es-ES" w:eastAsia="zh-CN"/>
        </w:rPr>
        <w:t>endoteliales.</w:t>
      </w:r>
      <w:r w:rsidRPr="00DD3D18">
        <w:rPr>
          <w:rFonts w:eastAsia="Calibri"/>
          <w:color w:val="00000A"/>
          <w:vertAlign w:val="superscript"/>
          <w:lang w:val="es-ES" w:eastAsia="zh-CN"/>
        </w:rPr>
        <w:t>(</w:t>
      </w:r>
      <w:proofErr w:type="gramEnd"/>
      <w:r w:rsidRPr="00DD3D18">
        <w:rPr>
          <w:rFonts w:eastAsia="Calibri"/>
          <w:color w:val="00000A"/>
          <w:vertAlign w:val="superscript"/>
          <w:lang w:val="es-ES" w:eastAsia="zh-CN"/>
        </w:rPr>
        <w:t>1,12)</w:t>
      </w:r>
    </w:p>
    <w:p w14:paraId="092D96A8"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t>Los autores opinan, debido a que la enfermedad es nueva, se necesita una vigilancia continua, con informes precisos de las características de los pacientes de varios países, para comprender mejor la epidemiología global de la COVID-19.</w:t>
      </w:r>
    </w:p>
    <w:p w14:paraId="34F95943" w14:textId="77777777" w:rsidR="00DD3D18" w:rsidRPr="00DD3D18" w:rsidRDefault="00DD3D18" w:rsidP="00DD3D18">
      <w:pPr>
        <w:suppressAutoHyphens/>
        <w:spacing w:line="360" w:lineRule="auto"/>
        <w:jc w:val="both"/>
        <w:rPr>
          <w:color w:val="000000"/>
          <w:lang w:val="es-ES" w:eastAsia="es-ES"/>
        </w:rPr>
      </w:pPr>
      <w:r w:rsidRPr="00DD3D18">
        <w:rPr>
          <w:rFonts w:eastAsia="Calibri"/>
          <w:color w:val="00000A"/>
          <w:lang w:val="es-ES" w:eastAsia="zh-CN"/>
        </w:rPr>
        <w:t>Se concluye que existió un predominio de pacientes con síntomas y signos clínicos, en quienes no fue necesario el ingreso en la UCI, se observó mayor incidencia en el sexo femenino y entre los 18 y 59 años para ambos sexos. Todos los fallecidos menores de 60 fueron del sexo masculino. Hubo correlación fuerte entre el estado al egreso fallecido, con la e</w:t>
      </w:r>
      <w:r w:rsidRPr="00DD3D18">
        <w:rPr>
          <w:color w:val="000000"/>
          <w:lang w:val="es-ES" w:eastAsia="es-ES"/>
        </w:rPr>
        <w:t xml:space="preserve">stadía en cuidados intensivos, HTA, otras comorbilidades, y tener 60 y más años. </w:t>
      </w:r>
    </w:p>
    <w:p w14:paraId="5CE23BF3" w14:textId="77777777" w:rsidR="00DD3D18" w:rsidRPr="00DD3D18" w:rsidRDefault="00DD3D18" w:rsidP="00DD3D18">
      <w:pPr>
        <w:suppressAutoHyphens/>
        <w:spacing w:line="360" w:lineRule="auto"/>
        <w:jc w:val="both"/>
        <w:rPr>
          <w:rFonts w:eastAsia="Calibri"/>
          <w:color w:val="00000A"/>
          <w:lang w:val="es-ES" w:eastAsia="zh-CN"/>
        </w:rPr>
      </w:pPr>
      <w:r w:rsidRPr="00DD3D18">
        <w:rPr>
          <w:rFonts w:eastAsia="Calibri"/>
          <w:color w:val="00000A"/>
          <w:lang w:val="es-ES" w:eastAsia="zh-CN"/>
        </w:rPr>
        <w:br/>
      </w:r>
    </w:p>
    <w:p w14:paraId="6E22C698" w14:textId="77777777" w:rsidR="00DD3D18" w:rsidRPr="00DD3D18" w:rsidRDefault="00DD3D18" w:rsidP="00DD3D18">
      <w:pPr>
        <w:suppressAutoHyphens/>
        <w:spacing w:line="360" w:lineRule="auto"/>
        <w:jc w:val="center"/>
        <w:rPr>
          <w:rFonts w:eastAsia="Calibri"/>
          <w:color w:val="00000A"/>
          <w:sz w:val="32"/>
          <w:szCs w:val="32"/>
          <w:lang w:val="en-US" w:eastAsia="zh-CN"/>
        </w:rPr>
      </w:pPr>
      <w:r w:rsidRPr="00DD3D18">
        <w:rPr>
          <w:rFonts w:eastAsia="Calibri"/>
          <w:b/>
          <w:color w:val="00000A"/>
          <w:sz w:val="32"/>
          <w:szCs w:val="32"/>
          <w:lang w:val="en-US" w:eastAsia="zh-CN"/>
        </w:rPr>
        <w:t>REFERENCIAS BIBLIOGRÁFICAS</w:t>
      </w:r>
    </w:p>
    <w:p w14:paraId="4729B5F2"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n-US" w:eastAsia="zh-CN"/>
        </w:rPr>
        <w:t xml:space="preserve">1. Ge H, Wang X, Yuan X, Xiao G, Wang C, Deng T, Yuan Q, Xiao X. The epidemiology and clinical information about COVID-19. </w:t>
      </w:r>
      <w:proofErr w:type="spellStart"/>
      <w:r w:rsidRPr="00DD3D18">
        <w:rPr>
          <w:rFonts w:eastAsia="Calibri"/>
          <w:color w:val="00000A"/>
          <w:lang w:val="es-ES" w:eastAsia="zh-CN"/>
        </w:rPr>
        <w:t>Eur</w:t>
      </w:r>
      <w:proofErr w:type="spellEnd"/>
      <w:r w:rsidRPr="00DD3D18">
        <w:rPr>
          <w:rFonts w:eastAsia="Calibri"/>
          <w:color w:val="00000A"/>
          <w:lang w:val="es-ES" w:eastAsia="zh-CN"/>
        </w:rPr>
        <w:t xml:space="preserve"> J Clin </w:t>
      </w:r>
      <w:proofErr w:type="spellStart"/>
      <w:r w:rsidRPr="00DD3D18">
        <w:rPr>
          <w:rFonts w:eastAsia="Calibri"/>
          <w:color w:val="00000A"/>
          <w:lang w:val="es-ES" w:eastAsia="zh-CN"/>
        </w:rPr>
        <w:t>Microbiol</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Infect</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Dis</w:t>
      </w:r>
      <w:proofErr w:type="spellEnd"/>
      <w:r w:rsidRPr="00DD3D18">
        <w:rPr>
          <w:rFonts w:eastAsia="Calibri"/>
          <w:color w:val="00000A"/>
          <w:lang w:val="es-ES" w:eastAsia="zh-CN"/>
        </w:rPr>
        <w:t xml:space="preserve">. 2020 [acceso: 20/05/2020]; 39(6):1011-1019. Disponible en: </w:t>
      </w:r>
      <w:hyperlink r:id="rId18" w:history="1">
        <w:r w:rsidRPr="00DD3D18">
          <w:rPr>
            <w:rFonts w:eastAsia="Calibri"/>
            <w:color w:val="0000FF"/>
            <w:u w:val="single"/>
            <w:lang w:val="es-ES" w:eastAsia="zh-CN"/>
          </w:rPr>
          <w:t>https://www.ncbi.nlm.nih.gov/pmc/articles/PMC7154215/</w:t>
        </w:r>
      </w:hyperlink>
      <w:r w:rsidRPr="00DD3D18">
        <w:rPr>
          <w:rFonts w:eastAsia="Calibri"/>
          <w:color w:val="00000A"/>
          <w:lang w:val="es-ES" w:eastAsia="zh-CN"/>
        </w:rPr>
        <w:t xml:space="preserve"> </w:t>
      </w:r>
    </w:p>
    <w:p w14:paraId="2635E127"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2. Medeiros de Figueiredo A, Antonio </w:t>
      </w:r>
      <w:proofErr w:type="spellStart"/>
      <w:r w:rsidRPr="00DD3D18">
        <w:rPr>
          <w:rFonts w:eastAsia="Calibri"/>
          <w:color w:val="00000A"/>
          <w:lang w:val="es-ES" w:eastAsia="zh-CN"/>
        </w:rPr>
        <w:t>Daponte</w:t>
      </w:r>
      <w:proofErr w:type="spellEnd"/>
      <w:r w:rsidRPr="00DD3D18">
        <w:rPr>
          <w:rFonts w:eastAsia="Calibri"/>
          <w:color w:val="00000A"/>
          <w:lang w:val="es-ES" w:eastAsia="zh-CN"/>
        </w:rPr>
        <w:t xml:space="preserve"> A, Moreira </w:t>
      </w:r>
      <w:proofErr w:type="spellStart"/>
      <w:r w:rsidRPr="00DD3D18">
        <w:rPr>
          <w:rFonts w:eastAsia="Calibri"/>
          <w:color w:val="00000A"/>
          <w:lang w:val="es-ES" w:eastAsia="zh-CN"/>
        </w:rPr>
        <w:t>Marculino</w:t>
      </w:r>
      <w:proofErr w:type="spellEnd"/>
      <w:r w:rsidRPr="00DD3D18">
        <w:rPr>
          <w:rFonts w:eastAsia="Calibri"/>
          <w:color w:val="00000A"/>
          <w:lang w:val="es-ES" w:eastAsia="zh-CN"/>
        </w:rPr>
        <w:t xml:space="preserve"> de </w:t>
      </w:r>
      <w:proofErr w:type="gramStart"/>
      <w:r w:rsidRPr="00DD3D18">
        <w:rPr>
          <w:rFonts w:eastAsia="Calibri"/>
          <w:color w:val="00000A"/>
          <w:lang w:val="es-ES" w:eastAsia="zh-CN"/>
        </w:rPr>
        <w:t>Figueiredo  DC</w:t>
      </w:r>
      <w:proofErr w:type="gramEnd"/>
      <w:r w:rsidRPr="00DD3D18">
        <w:rPr>
          <w:rFonts w:eastAsia="Calibri"/>
          <w:color w:val="00000A"/>
          <w:lang w:val="es-ES" w:eastAsia="zh-CN"/>
        </w:rPr>
        <w:t xml:space="preserve">,  Gil-García E, </w:t>
      </w:r>
      <w:proofErr w:type="spellStart"/>
      <w:r w:rsidRPr="00DD3D18">
        <w:rPr>
          <w:rFonts w:eastAsia="Calibri"/>
          <w:color w:val="00000A"/>
          <w:lang w:val="es-ES" w:eastAsia="zh-CN"/>
        </w:rPr>
        <w:t>Kalache</w:t>
      </w:r>
      <w:proofErr w:type="spellEnd"/>
      <w:r w:rsidRPr="00DD3D18">
        <w:rPr>
          <w:rFonts w:eastAsia="Calibri"/>
          <w:color w:val="00000A"/>
          <w:lang w:val="es-ES" w:eastAsia="zh-CN"/>
        </w:rPr>
        <w:t xml:space="preserve"> A. Letalidad del COVID-19: ausencia de patrón epidemiológico. Gaceta Sanitaria. 2020 </w:t>
      </w:r>
      <w:r w:rsidRPr="00DD3D18">
        <w:rPr>
          <w:rFonts w:eastAsia="Calibri"/>
          <w:color w:val="00000A"/>
          <w:lang w:val="es-ES" w:eastAsia="zh-CN"/>
        </w:rPr>
        <w:lastRenderedPageBreak/>
        <w:t xml:space="preserve">[acceso: 20/05/2020]; 1855: [aprox. 13 p.].   Disponible en:  </w:t>
      </w:r>
      <w:hyperlink r:id="rId19" w:history="1">
        <w:r w:rsidRPr="00DD3D18">
          <w:rPr>
            <w:rFonts w:eastAsia="Calibri"/>
            <w:color w:val="0000FF"/>
            <w:u w:val="single"/>
            <w:lang w:val="es-ES" w:eastAsia="zh-CN"/>
          </w:rPr>
          <w:t>https://www.gacetasanitaria.org/es-letalidad-del-covid-19-ausencia-patron-avance-S0213911120300844?newsletter=true&amp;coronavirus</w:t>
        </w:r>
      </w:hyperlink>
      <w:r w:rsidRPr="00DD3D18">
        <w:rPr>
          <w:rFonts w:eastAsia="Calibri"/>
          <w:color w:val="00000A"/>
          <w:lang w:val="es-ES" w:eastAsia="zh-CN"/>
        </w:rPr>
        <w:t xml:space="preserve"> </w:t>
      </w:r>
    </w:p>
    <w:p w14:paraId="7C0B5FA5"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3. De Natale G, Ricciardi V, De Luca G, De Natale D, Di </w:t>
      </w:r>
      <w:proofErr w:type="spellStart"/>
      <w:r w:rsidRPr="00DD3D18">
        <w:rPr>
          <w:rFonts w:eastAsia="Calibri"/>
          <w:color w:val="00000A"/>
          <w:lang w:val="es-ES" w:eastAsia="zh-CN"/>
        </w:rPr>
        <w:t>Meglio</w:t>
      </w:r>
      <w:proofErr w:type="spellEnd"/>
      <w:r w:rsidRPr="00DD3D18">
        <w:rPr>
          <w:rFonts w:eastAsia="Calibri"/>
          <w:color w:val="00000A"/>
          <w:lang w:val="es-ES" w:eastAsia="zh-CN"/>
        </w:rPr>
        <w:t xml:space="preserve"> G, </w:t>
      </w:r>
      <w:proofErr w:type="spellStart"/>
      <w:r w:rsidRPr="00DD3D18">
        <w:rPr>
          <w:rFonts w:eastAsia="Calibri"/>
          <w:color w:val="00000A"/>
          <w:lang w:val="es-ES" w:eastAsia="zh-CN"/>
        </w:rPr>
        <w:t>Ferragamo</w:t>
      </w:r>
      <w:proofErr w:type="spellEnd"/>
      <w:r w:rsidRPr="00DD3D18">
        <w:rPr>
          <w:rFonts w:eastAsia="Calibri"/>
          <w:color w:val="00000A"/>
          <w:lang w:val="es-ES" w:eastAsia="zh-CN"/>
        </w:rPr>
        <w:t xml:space="preserve"> A, et al. </w:t>
      </w:r>
      <w:r w:rsidRPr="00DD3D18">
        <w:rPr>
          <w:rFonts w:eastAsia="Calibri"/>
          <w:color w:val="00000A"/>
          <w:lang w:val="en-US" w:eastAsia="zh-CN"/>
        </w:rPr>
        <w:t xml:space="preserve">The COVID-19 Infection in Italy: A Statistical Study of an Abnormally Severe Disease. </w:t>
      </w:r>
      <w:r w:rsidRPr="00DD3D18">
        <w:rPr>
          <w:rFonts w:eastAsia="Calibri"/>
          <w:color w:val="00000A"/>
          <w:lang w:val="es-ES" w:eastAsia="zh-CN"/>
        </w:rPr>
        <w:t xml:space="preserve">J. Clin. </w:t>
      </w:r>
      <w:proofErr w:type="spellStart"/>
      <w:r w:rsidRPr="00DD3D18">
        <w:rPr>
          <w:rFonts w:eastAsia="Calibri"/>
          <w:color w:val="00000A"/>
          <w:lang w:val="es-ES" w:eastAsia="zh-CN"/>
        </w:rPr>
        <w:t>Med</w:t>
      </w:r>
      <w:proofErr w:type="spellEnd"/>
      <w:r w:rsidRPr="00DD3D18">
        <w:rPr>
          <w:rFonts w:eastAsia="Calibri"/>
          <w:color w:val="00000A"/>
          <w:lang w:val="es-ES" w:eastAsia="zh-CN"/>
        </w:rPr>
        <w:t xml:space="preserve">. 2020 [acceso: 30/05/2020]; 9(5):15640. Disponible en:  </w:t>
      </w:r>
      <w:hyperlink r:id="rId20" w:history="1">
        <w:r w:rsidRPr="00DD3D18">
          <w:rPr>
            <w:rFonts w:eastAsia="Calibri"/>
            <w:color w:val="0000FF"/>
            <w:u w:val="single"/>
            <w:lang w:val="es-ES" w:eastAsia="zh-CN"/>
          </w:rPr>
          <w:t>https://www.mdpi.com/2077-0383/9/5/1564/htm</w:t>
        </w:r>
      </w:hyperlink>
      <w:r w:rsidRPr="00DD3D18">
        <w:rPr>
          <w:rFonts w:eastAsia="Calibri"/>
          <w:color w:val="00000A"/>
          <w:lang w:val="es-ES" w:eastAsia="zh-CN"/>
        </w:rPr>
        <w:t xml:space="preserve"> </w:t>
      </w:r>
    </w:p>
    <w:p w14:paraId="5B612BE9"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4. Hernández Rodríguez J. Aspectos clínicos relacionados con el Síndrome Respiratorio Agudo Severo (SARS-CoV-2). Revista Habanera de Ciencias Médicas. 2020 [acceso: 20/05/2020]; 19(</w:t>
      </w:r>
      <w:proofErr w:type="spellStart"/>
      <w:r w:rsidRPr="00DD3D18">
        <w:rPr>
          <w:rFonts w:eastAsia="Calibri"/>
          <w:color w:val="00000A"/>
          <w:lang w:val="es-ES" w:eastAsia="zh-CN"/>
        </w:rPr>
        <w:t>Supl</w:t>
      </w:r>
      <w:proofErr w:type="spellEnd"/>
      <w:r w:rsidRPr="00DD3D18">
        <w:rPr>
          <w:rFonts w:eastAsia="Calibri"/>
          <w:color w:val="00000A"/>
          <w:lang w:val="es-ES" w:eastAsia="zh-CN"/>
        </w:rPr>
        <w:t xml:space="preserve">): e3279[aprox. 18 p.]. Disponible en: </w:t>
      </w:r>
      <w:hyperlink r:id="rId21" w:history="1">
        <w:r w:rsidRPr="00DD3D18">
          <w:rPr>
            <w:rFonts w:eastAsia="Calibri"/>
            <w:color w:val="0000FF"/>
            <w:u w:val="single"/>
            <w:lang w:val="es-ES" w:eastAsia="zh-CN"/>
          </w:rPr>
          <w:t>http://www.revhabanera.sld.cu/index.php/rhab/article/view/3279</w:t>
        </w:r>
      </w:hyperlink>
      <w:r w:rsidRPr="00DD3D18">
        <w:rPr>
          <w:rFonts w:eastAsia="Calibri"/>
          <w:color w:val="00000A"/>
          <w:lang w:val="es-ES" w:eastAsia="zh-CN"/>
        </w:rPr>
        <w:t xml:space="preserve"> </w:t>
      </w:r>
    </w:p>
    <w:p w14:paraId="39DE63EF"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n-US" w:eastAsia="zh-CN"/>
        </w:rPr>
        <w:t xml:space="preserve">5. </w:t>
      </w:r>
      <w:proofErr w:type="spellStart"/>
      <w:r w:rsidRPr="00DD3D18">
        <w:rPr>
          <w:rFonts w:eastAsia="Calibri"/>
          <w:color w:val="00000A"/>
          <w:lang w:val="en-US" w:eastAsia="zh-CN"/>
        </w:rPr>
        <w:t>Qiu</w:t>
      </w:r>
      <w:proofErr w:type="spellEnd"/>
      <w:r w:rsidRPr="00DD3D18">
        <w:rPr>
          <w:rFonts w:eastAsia="Calibri"/>
          <w:color w:val="00000A"/>
          <w:lang w:val="en-US" w:eastAsia="zh-CN"/>
        </w:rPr>
        <w:t xml:space="preserve"> H, Wu H, Hong L, Luo Y, Song Q, Chen D. Clinical and epidemiological features of 36 children with coronavirus disease 2019 (COVID-19) in Zhejiang, China: an observational cohort study. </w:t>
      </w:r>
      <w:proofErr w:type="spellStart"/>
      <w:r w:rsidRPr="00DD3D18">
        <w:rPr>
          <w:rFonts w:eastAsia="Calibri"/>
          <w:color w:val="00000A"/>
          <w:lang w:val="es-ES" w:eastAsia="zh-CN"/>
        </w:rPr>
        <w:t>The</w:t>
      </w:r>
      <w:proofErr w:type="spellEnd"/>
      <w:r w:rsidRPr="00DD3D18">
        <w:rPr>
          <w:rFonts w:eastAsia="Calibri"/>
          <w:color w:val="00000A"/>
          <w:lang w:val="es-ES" w:eastAsia="zh-CN"/>
        </w:rPr>
        <w:t xml:space="preserve"> Lancet </w:t>
      </w:r>
      <w:proofErr w:type="spellStart"/>
      <w:r w:rsidRPr="00DD3D18">
        <w:rPr>
          <w:rFonts w:eastAsia="Calibri"/>
          <w:color w:val="00000A"/>
          <w:lang w:val="es-ES" w:eastAsia="zh-CN"/>
        </w:rPr>
        <w:t>Infectious</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Diseases</w:t>
      </w:r>
      <w:proofErr w:type="spellEnd"/>
      <w:r w:rsidRPr="00DD3D18">
        <w:rPr>
          <w:rFonts w:eastAsia="Calibri"/>
          <w:color w:val="00000A"/>
          <w:lang w:val="es-ES" w:eastAsia="zh-CN"/>
        </w:rPr>
        <w:t xml:space="preserve">. 2020[acceso: 30/05/2020]; 20(6):689-696. Disponible en: </w:t>
      </w:r>
      <w:hyperlink r:id="rId22" w:history="1">
        <w:r w:rsidRPr="00DD3D18">
          <w:rPr>
            <w:rFonts w:eastAsia="Calibri"/>
            <w:color w:val="0000FF"/>
            <w:u w:val="single"/>
            <w:lang w:val="es-ES" w:eastAsia="zh-CN"/>
          </w:rPr>
          <w:t>https://www.sciencedirect.com/science/article/pii/S1473309920301985</w:t>
        </w:r>
      </w:hyperlink>
      <w:r w:rsidRPr="00DD3D18">
        <w:rPr>
          <w:rFonts w:eastAsia="Calibri"/>
          <w:color w:val="00000A"/>
          <w:lang w:val="es-ES" w:eastAsia="zh-CN"/>
        </w:rPr>
        <w:t xml:space="preserve"> </w:t>
      </w:r>
    </w:p>
    <w:p w14:paraId="23AC9CF2"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6. Calvo C, García López-Hortelano M, de Carlos Vicente JC, Vázquez Martínez JL. Grupo de trabajo de la Asociación Española de Pediatría para el brote de infección por Coronavirus, colaboradores con el Ministerio de Sanidad Recomendaciones sobre el manejo clínico de la infección por el «nuevo coronavirus» SARS-CoV2. </w:t>
      </w:r>
      <w:proofErr w:type="spellStart"/>
      <w:r w:rsidRPr="00DD3D18">
        <w:rPr>
          <w:rFonts w:eastAsia="Calibri"/>
          <w:color w:val="00000A"/>
          <w:lang w:val="es-ES" w:eastAsia="zh-CN"/>
        </w:rPr>
        <w:t>An</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Pediatr</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Barc</w:t>
      </w:r>
      <w:proofErr w:type="spellEnd"/>
      <w:r w:rsidRPr="00DD3D18">
        <w:rPr>
          <w:rFonts w:eastAsia="Calibri"/>
          <w:color w:val="00000A"/>
          <w:lang w:val="es-ES" w:eastAsia="zh-CN"/>
        </w:rPr>
        <w:t xml:space="preserve">). 2020 [acceso: 20/05/2020]; </w:t>
      </w:r>
      <w:proofErr w:type="gramStart"/>
      <w:r w:rsidRPr="00DD3D18">
        <w:rPr>
          <w:rFonts w:eastAsia="Calibri"/>
          <w:color w:val="00000A"/>
          <w:lang w:val="es-ES" w:eastAsia="zh-CN"/>
        </w:rPr>
        <w:t>92:241.e</w:t>
      </w:r>
      <w:proofErr w:type="gramEnd"/>
      <w:r w:rsidRPr="00DD3D18">
        <w:rPr>
          <w:rFonts w:eastAsia="Calibri"/>
          <w:color w:val="00000A"/>
          <w:lang w:val="es-ES" w:eastAsia="zh-CN"/>
        </w:rPr>
        <w:t xml:space="preserve">1–241.e11. Disponible en: </w:t>
      </w:r>
      <w:hyperlink r:id="rId23" w:history="1">
        <w:r w:rsidRPr="00DD3D18">
          <w:rPr>
            <w:rFonts w:eastAsia="Calibri"/>
            <w:color w:val="0000FF"/>
            <w:u w:val="single"/>
            <w:lang w:val="es-ES" w:eastAsia="zh-CN"/>
          </w:rPr>
          <w:t>https://www.sciencedirect.com/science/article/pii/S169540332030076X</w:t>
        </w:r>
      </w:hyperlink>
      <w:r w:rsidRPr="00DD3D18">
        <w:rPr>
          <w:rFonts w:eastAsia="Calibri"/>
          <w:color w:val="00000A"/>
          <w:lang w:val="es-ES" w:eastAsia="zh-CN"/>
        </w:rPr>
        <w:t xml:space="preserve"> </w:t>
      </w:r>
    </w:p>
    <w:p w14:paraId="300DB094"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7. Moreno-Martínez FL, Moreno López FL, Oroz Moreno R. Repercusión cardiovascular de la infección por el nuevo coronavirus SARS-CoV-2 (COVID-19). </w:t>
      </w:r>
      <w:proofErr w:type="spellStart"/>
      <w:r w:rsidRPr="00DD3D18">
        <w:rPr>
          <w:rFonts w:eastAsia="Calibri"/>
          <w:color w:val="00000A"/>
          <w:lang w:val="es-ES" w:eastAsia="zh-CN"/>
        </w:rPr>
        <w:t>Cor</w:t>
      </w:r>
      <w:proofErr w:type="spellEnd"/>
      <w:r w:rsidRPr="00DD3D18">
        <w:rPr>
          <w:rFonts w:eastAsia="Calibri"/>
          <w:color w:val="00000A"/>
          <w:lang w:val="es-ES" w:eastAsia="zh-CN"/>
        </w:rPr>
        <w:t xml:space="preserve"> Salud. 2020[acceso: 04/06/2020]; 12(1): 3-17. Disponible en: </w:t>
      </w:r>
      <w:hyperlink r:id="rId24" w:history="1">
        <w:r w:rsidRPr="00DD3D18">
          <w:rPr>
            <w:rFonts w:eastAsia="Calibri"/>
            <w:color w:val="0000FF"/>
            <w:u w:val="single"/>
            <w:lang w:val="es-ES" w:eastAsia="zh-CN"/>
          </w:rPr>
          <w:t>http://www.revcorsalud.sld.cu/index.php/cors/article/view/588/1112</w:t>
        </w:r>
      </w:hyperlink>
      <w:r w:rsidRPr="00DD3D18">
        <w:rPr>
          <w:rFonts w:eastAsia="Calibri"/>
          <w:color w:val="00000A"/>
          <w:lang w:val="es-ES" w:eastAsia="zh-CN"/>
        </w:rPr>
        <w:t xml:space="preserve"> </w:t>
      </w:r>
    </w:p>
    <w:p w14:paraId="183BEE3E"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8. Palacios Cruz M, Santos E, Velázquez Cervantes MA, León Juárez M. COVID-19, a </w:t>
      </w:r>
      <w:proofErr w:type="spellStart"/>
      <w:r w:rsidRPr="00DD3D18">
        <w:rPr>
          <w:rFonts w:eastAsia="Calibri"/>
          <w:color w:val="00000A"/>
          <w:lang w:val="es-ES" w:eastAsia="zh-CN"/>
        </w:rPr>
        <w:t>world</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wide</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public</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health</w:t>
      </w:r>
      <w:proofErr w:type="spellEnd"/>
      <w:r w:rsidRPr="00DD3D18">
        <w:rPr>
          <w:rFonts w:eastAsia="Calibri"/>
          <w:color w:val="00000A"/>
          <w:lang w:val="es-ES" w:eastAsia="zh-CN"/>
        </w:rPr>
        <w:t xml:space="preserve"> </w:t>
      </w:r>
      <w:proofErr w:type="spellStart"/>
      <w:r w:rsidRPr="00DD3D18">
        <w:rPr>
          <w:rFonts w:eastAsia="Calibri"/>
          <w:color w:val="00000A"/>
          <w:lang w:val="es-ES" w:eastAsia="zh-CN"/>
        </w:rPr>
        <w:t>emergency</w:t>
      </w:r>
      <w:proofErr w:type="spellEnd"/>
      <w:r w:rsidRPr="00DD3D18">
        <w:rPr>
          <w:rFonts w:eastAsia="Calibri"/>
          <w:color w:val="00000A"/>
          <w:lang w:val="es-ES" w:eastAsia="zh-CN"/>
        </w:rPr>
        <w:t xml:space="preserve">. Revista Clínica Española. 2020 [acceso: 20/05/2020];221(1):55-61. Disponible en:  </w:t>
      </w:r>
      <w:hyperlink r:id="rId25" w:history="1">
        <w:r w:rsidRPr="00DD3D18">
          <w:rPr>
            <w:rFonts w:eastAsia="Calibri"/>
            <w:color w:val="0000FF"/>
            <w:u w:val="single"/>
            <w:lang w:val="es-ES" w:eastAsia="zh-CN"/>
          </w:rPr>
          <w:t>https://www.sciencedirect.com/science/article/pii/S0014256520300928</w:t>
        </w:r>
      </w:hyperlink>
      <w:r w:rsidRPr="00DD3D18">
        <w:rPr>
          <w:rFonts w:eastAsia="Calibri"/>
          <w:color w:val="00000A"/>
          <w:lang w:val="es-ES" w:eastAsia="zh-CN"/>
        </w:rPr>
        <w:t xml:space="preserve"> </w:t>
      </w:r>
    </w:p>
    <w:p w14:paraId="4E2F7725"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n-US" w:eastAsia="zh-CN"/>
        </w:rPr>
        <w:t xml:space="preserve">9. </w:t>
      </w:r>
      <w:proofErr w:type="spellStart"/>
      <w:r w:rsidRPr="00DD3D18">
        <w:rPr>
          <w:rFonts w:eastAsia="Calibri"/>
          <w:color w:val="00000A"/>
          <w:lang w:val="en-US" w:eastAsia="zh-CN"/>
        </w:rPr>
        <w:t>Ludvigsson</w:t>
      </w:r>
      <w:proofErr w:type="spellEnd"/>
      <w:r w:rsidRPr="00DD3D18">
        <w:rPr>
          <w:rFonts w:eastAsia="Calibri"/>
          <w:color w:val="00000A"/>
          <w:lang w:val="en-US" w:eastAsia="zh-CN"/>
        </w:rPr>
        <w:t xml:space="preserve"> JF. Systematic review of COVID</w:t>
      </w:r>
      <w:r w:rsidRPr="00DD3D18">
        <w:rPr>
          <w:rFonts w:ascii="Cambria Math" w:eastAsia="Calibri" w:hAnsi="Cambria Math" w:cs="Cambria Math"/>
          <w:color w:val="00000A"/>
          <w:lang w:val="en-US" w:eastAsia="zh-CN"/>
        </w:rPr>
        <w:t>‐</w:t>
      </w:r>
      <w:r w:rsidRPr="00DD3D18">
        <w:rPr>
          <w:rFonts w:eastAsia="Calibri"/>
          <w:color w:val="00000A"/>
          <w:lang w:val="en-US" w:eastAsia="zh-CN"/>
        </w:rPr>
        <w:t xml:space="preserve">19 in children shows milder cases and a better prognosis than adults. </w:t>
      </w:r>
      <w:r w:rsidRPr="00DD3D18">
        <w:rPr>
          <w:rFonts w:eastAsia="Calibri"/>
          <w:color w:val="00000A"/>
          <w:lang w:val="es-ES" w:eastAsia="zh-CN"/>
        </w:rPr>
        <w:t xml:space="preserve">Acta </w:t>
      </w:r>
      <w:proofErr w:type="spellStart"/>
      <w:r w:rsidRPr="00DD3D18">
        <w:rPr>
          <w:rFonts w:eastAsia="Calibri"/>
          <w:color w:val="00000A"/>
          <w:lang w:val="es-ES" w:eastAsia="zh-CN"/>
        </w:rPr>
        <w:t>pediatrician</w:t>
      </w:r>
      <w:proofErr w:type="spellEnd"/>
      <w:r w:rsidRPr="00DD3D18">
        <w:rPr>
          <w:rFonts w:eastAsia="Calibri"/>
          <w:color w:val="00000A"/>
          <w:lang w:val="es-ES" w:eastAsia="zh-CN"/>
        </w:rPr>
        <w:t xml:space="preserve">. 2020[acceso: 20/05/2020];109(6): 1088-1095. Disponible en:  </w:t>
      </w:r>
      <w:hyperlink r:id="rId26" w:history="1">
        <w:r w:rsidRPr="00DD3D18">
          <w:rPr>
            <w:rFonts w:eastAsia="Calibri"/>
            <w:color w:val="0000FF"/>
            <w:u w:val="single"/>
            <w:lang w:val="es-ES" w:eastAsia="zh-CN"/>
          </w:rPr>
          <w:t>https://onlinelibrary.wiley.com/doi/full/10.1111/apa.15270</w:t>
        </w:r>
      </w:hyperlink>
      <w:r w:rsidRPr="00DD3D18">
        <w:rPr>
          <w:rFonts w:eastAsia="Calibri"/>
          <w:color w:val="00000A"/>
          <w:lang w:val="es-ES" w:eastAsia="zh-CN"/>
        </w:rPr>
        <w:t xml:space="preserve"> </w:t>
      </w:r>
    </w:p>
    <w:p w14:paraId="0DFAB03E" w14:textId="77777777" w:rsidR="00DD3D18" w:rsidRPr="00DD3D18" w:rsidRDefault="00DD3D18" w:rsidP="00DD3D18">
      <w:pPr>
        <w:suppressAutoHyphens/>
        <w:spacing w:line="360" w:lineRule="auto"/>
        <w:contextualSpacing/>
        <w:rPr>
          <w:rFonts w:eastAsia="Calibri"/>
          <w:color w:val="00000A"/>
          <w:lang w:val="en-US" w:eastAsia="zh-CN"/>
        </w:rPr>
      </w:pPr>
      <w:r w:rsidRPr="00DD3D18">
        <w:rPr>
          <w:rFonts w:eastAsia="Calibri"/>
          <w:color w:val="00000A"/>
          <w:lang w:val="en-US" w:eastAsia="zh-CN"/>
        </w:rPr>
        <w:t xml:space="preserve">10. Garg S, Kim L, Whitaker M, O’Halloran A, Cummings C, Holstein R, et al. Hospitalization Rates and Characteristics of Patients Hospitalized with Laboratory-Confirmed Coronavirus Disease 2019 — COVID-NET, 14 States, March 1–30, 2020. MMWR </w:t>
      </w:r>
      <w:proofErr w:type="spellStart"/>
      <w:r w:rsidRPr="00DD3D18">
        <w:rPr>
          <w:rFonts w:eastAsia="Calibri"/>
          <w:color w:val="00000A"/>
          <w:lang w:val="en-US" w:eastAsia="zh-CN"/>
        </w:rPr>
        <w:t>Morb</w:t>
      </w:r>
      <w:proofErr w:type="spellEnd"/>
      <w:r w:rsidRPr="00DD3D18">
        <w:rPr>
          <w:rFonts w:eastAsia="Calibri"/>
          <w:color w:val="00000A"/>
          <w:lang w:val="en-US" w:eastAsia="zh-CN"/>
        </w:rPr>
        <w:t xml:space="preserve"> Mortal </w:t>
      </w:r>
      <w:proofErr w:type="spellStart"/>
      <w:r w:rsidRPr="00DD3D18">
        <w:rPr>
          <w:rFonts w:eastAsia="Calibri"/>
          <w:color w:val="00000A"/>
          <w:lang w:val="en-US" w:eastAsia="zh-CN"/>
        </w:rPr>
        <w:t>Wkly</w:t>
      </w:r>
      <w:proofErr w:type="spellEnd"/>
      <w:r w:rsidRPr="00DD3D18">
        <w:rPr>
          <w:rFonts w:eastAsia="Calibri"/>
          <w:color w:val="00000A"/>
          <w:lang w:val="en-US" w:eastAsia="zh-CN"/>
        </w:rPr>
        <w:t xml:space="preserve"> Rep. 2020[</w:t>
      </w:r>
      <w:proofErr w:type="spellStart"/>
      <w:r w:rsidRPr="00DD3D18">
        <w:rPr>
          <w:rFonts w:eastAsia="Calibri"/>
          <w:color w:val="00000A"/>
          <w:lang w:val="en-US" w:eastAsia="zh-CN"/>
        </w:rPr>
        <w:t>acceso</w:t>
      </w:r>
      <w:proofErr w:type="spellEnd"/>
      <w:r w:rsidRPr="00DD3D18">
        <w:rPr>
          <w:rFonts w:eastAsia="Calibri"/>
          <w:color w:val="00000A"/>
          <w:lang w:val="en-US" w:eastAsia="zh-CN"/>
        </w:rPr>
        <w:t xml:space="preserve">: </w:t>
      </w:r>
      <w:r w:rsidRPr="00DD3D18">
        <w:rPr>
          <w:rFonts w:eastAsia="Calibri"/>
          <w:color w:val="00000A"/>
          <w:lang w:val="en-US" w:eastAsia="zh-CN"/>
        </w:rPr>
        <w:lastRenderedPageBreak/>
        <w:t xml:space="preserve">02/06/2020]; 69:458–464. Disponible </w:t>
      </w:r>
      <w:proofErr w:type="spellStart"/>
      <w:r w:rsidRPr="00DD3D18">
        <w:rPr>
          <w:rFonts w:eastAsia="Calibri"/>
          <w:color w:val="00000A"/>
          <w:lang w:val="en-US" w:eastAsia="zh-CN"/>
        </w:rPr>
        <w:t>en</w:t>
      </w:r>
      <w:proofErr w:type="spellEnd"/>
      <w:r w:rsidRPr="00DD3D18">
        <w:rPr>
          <w:rFonts w:eastAsia="Calibri"/>
          <w:color w:val="00000A"/>
          <w:lang w:val="en-US" w:eastAsia="zh-CN"/>
        </w:rPr>
        <w:t xml:space="preserve">:  </w:t>
      </w:r>
      <w:hyperlink r:id="rId27" w:history="1">
        <w:r w:rsidRPr="00DD3D18">
          <w:rPr>
            <w:rFonts w:eastAsia="Calibri"/>
            <w:color w:val="0000FF"/>
            <w:u w:val="single"/>
            <w:lang w:val="en-US" w:eastAsia="zh-CN"/>
          </w:rPr>
          <w:t>https://www.cdc.gov/mmwr/volumes/69/wr/mm6915e3.htm?s%20cid=mm6915e3%20w</w:t>
        </w:r>
      </w:hyperlink>
      <w:r w:rsidRPr="00DD3D18">
        <w:rPr>
          <w:rFonts w:eastAsia="Calibri"/>
          <w:color w:val="00000A"/>
          <w:lang w:val="en-US" w:eastAsia="zh-CN"/>
        </w:rPr>
        <w:t xml:space="preserve"> </w:t>
      </w:r>
    </w:p>
    <w:p w14:paraId="65480048"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11. Huang C, Wang Y, Li X, Ren L, Zhao J, </w:t>
      </w:r>
      <w:proofErr w:type="spellStart"/>
      <w:r w:rsidRPr="00DD3D18">
        <w:rPr>
          <w:rFonts w:eastAsia="Calibri"/>
          <w:color w:val="00000A"/>
          <w:lang w:val="es-ES" w:eastAsia="zh-CN"/>
        </w:rPr>
        <w:t>Hu</w:t>
      </w:r>
      <w:proofErr w:type="spellEnd"/>
      <w:r w:rsidRPr="00DD3D18">
        <w:rPr>
          <w:rFonts w:eastAsia="Calibri"/>
          <w:color w:val="00000A"/>
          <w:lang w:val="es-ES" w:eastAsia="zh-CN"/>
        </w:rPr>
        <w:t xml:space="preserve"> Y, Zhang L, et al. </w:t>
      </w:r>
      <w:r w:rsidRPr="00DD3D18">
        <w:rPr>
          <w:rFonts w:eastAsia="Calibri"/>
          <w:color w:val="00000A"/>
          <w:lang w:val="en-US" w:eastAsia="zh-CN"/>
        </w:rPr>
        <w:t xml:space="preserve">Clinical features of patients infected with 2019 novel coronavirus in Wuhan, China. </w:t>
      </w:r>
      <w:r w:rsidRPr="00DD3D18">
        <w:rPr>
          <w:rFonts w:eastAsia="Calibri"/>
          <w:color w:val="00000A"/>
          <w:lang w:val="es-ES" w:eastAsia="zh-CN"/>
        </w:rPr>
        <w:t xml:space="preserve">Lancet. 2020[acceso: 03/06/2020]; 395: 497-506. Disponible en: </w:t>
      </w:r>
      <w:hyperlink r:id="rId28" w:history="1">
        <w:r w:rsidRPr="00DD3D18">
          <w:rPr>
            <w:rFonts w:eastAsia="Calibri"/>
            <w:color w:val="0000FF"/>
            <w:u w:val="single"/>
            <w:lang w:val="es-ES" w:eastAsia="zh-CN"/>
          </w:rPr>
          <w:t>https://www.thelancet.com/pdfs/journals/lancet/PIIS0140-6736%2820%2930183-5.pdf</w:t>
        </w:r>
      </w:hyperlink>
      <w:r w:rsidRPr="00DD3D18">
        <w:rPr>
          <w:rFonts w:eastAsia="Calibri"/>
          <w:color w:val="00000A"/>
          <w:lang w:val="es-ES" w:eastAsia="zh-CN"/>
        </w:rPr>
        <w:t xml:space="preserve"> </w:t>
      </w:r>
    </w:p>
    <w:p w14:paraId="163FA81F" w14:textId="77777777" w:rsidR="00DD3D18" w:rsidRPr="00DD3D18" w:rsidRDefault="00DD3D18" w:rsidP="00DD3D18">
      <w:pPr>
        <w:suppressAutoHyphens/>
        <w:spacing w:line="360" w:lineRule="auto"/>
        <w:contextualSpacing/>
        <w:rPr>
          <w:rFonts w:eastAsia="Calibri"/>
          <w:color w:val="00000A"/>
          <w:lang w:val="es-CU" w:eastAsia="zh-CN"/>
        </w:rPr>
      </w:pPr>
      <w:r w:rsidRPr="00DD3D18">
        <w:rPr>
          <w:rFonts w:eastAsia="Calibri"/>
          <w:color w:val="00000A"/>
          <w:lang w:val="en-US" w:eastAsia="zh-CN"/>
        </w:rPr>
        <w:t xml:space="preserve">12. </w:t>
      </w:r>
      <w:proofErr w:type="spellStart"/>
      <w:r w:rsidRPr="00DD3D18">
        <w:rPr>
          <w:rFonts w:eastAsia="Calibri"/>
          <w:color w:val="00000A"/>
          <w:lang w:val="en-US" w:eastAsia="zh-CN"/>
        </w:rPr>
        <w:t>Xie</w:t>
      </w:r>
      <w:proofErr w:type="spellEnd"/>
      <w:r w:rsidRPr="00DD3D18">
        <w:rPr>
          <w:rFonts w:eastAsia="Calibri"/>
          <w:color w:val="00000A"/>
          <w:lang w:val="en-US" w:eastAsia="zh-CN"/>
        </w:rPr>
        <w:t xml:space="preserve"> J, Tong Z, Guan X, Du B, </w:t>
      </w:r>
      <w:proofErr w:type="spellStart"/>
      <w:r w:rsidRPr="00DD3D18">
        <w:rPr>
          <w:rFonts w:eastAsia="Calibri"/>
          <w:color w:val="00000A"/>
          <w:lang w:val="en-US" w:eastAsia="zh-CN"/>
        </w:rPr>
        <w:t>Qiu</w:t>
      </w:r>
      <w:proofErr w:type="spellEnd"/>
      <w:r w:rsidRPr="00DD3D18">
        <w:rPr>
          <w:rFonts w:eastAsia="Calibri"/>
          <w:color w:val="00000A"/>
          <w:lang w:val="en-US" w:eastAsia="zh-CN"/>
        </w:rPr>
        <w:t xml:space="preserve"> H. Clinical characteristics of patients who died of coronavirus disease 2019 in China. </w:t>
      </w:r>
      <w:r w:rsidRPr="00DD3D18">
        <w:rPr>
          <w:rFonts w:eastAsia="Calibri"/>
          <w:color w:val="00000A"/>
          <w:lang w:val="es-CU" w:eastAsia="zh-CN"/>
        </w:rPr>
        <w:t xml:space="preserve">JAMA </w:t>
      </w:r>
      <w:proofErr w:type="spellStart"/>
      <w:r w:rsidRPr="00DD3D18">
        <w:rPr>
          <w:rFonts w:eastAsia="Calibri"/>
          <w:color w:val="00000A"/>
          <w:lang w:val="es-CU" w:eastAsia="zh-CN"/>
        </w:rPr>
        <w:t>Netw</w:t>
      </w:r>
      <w:proofErr w:type="spellEnd"/>
      <w:r w:rsidRPr="00DD3D18">
        <w:rPr>
          <w:rFonts w:eastAsia="Calibri"/>
          <w:color w:val="00000A"/>
          <w:lang w:val="es-CU" w:eastAsia="zh-CN"/>
        </w:rPr>
        <w:t xml:space="preserve"> Open. 2020 Mar [acceso: 31/05/2020]; 3(4</w:t>
      </w:r>
      <w:proofErr w:type="gramStart"/>
      <w:r w:rsidRPr="00DD3D18">
        <w:rPr>
          <w:rFonts w:eastAsia="Calibri"/>
          <w:color w:val="00000A"/>
          <w:lang w:val="es-CU" w:eastAsia="zh-CN"/>
        </w:rPr>
        <w:t>);[</w:t>
      </w:r>
      <w:proofErr w:type="gramEnd"/>
      <w:r w:rsidRPr="00DD3D18">
        <w:rPr>
          <w:rFonts w:eastAsia="Calibri"/>
          <w:color w:val="00000A"/>
          <w:lang w:val="es-CU" w:eastAsia="zh-CN"/>
        </w:rPr>
        <w:t xml:space="preserve">aprox. 6 p.]. Disponible en:  </w:t>
      </w:r>
      <w:hyperlink r:id="rId29" w:history="1">
        <w:r w:rsidRPr="00DD3D18">
          <w:rPr>
            <w:rFonts w:eastAsia="Calibri"/>
            <w:color w:val="0000FF"/>
            <w:u w:val="single"/>
            <w:lang w:val="es-CU" w:eastAsia="zh-CN"/>
          </w:rPr>
          <w:t>https://jamanetwork.com/journals/jamanetworkopen/fullarticle/2764293</w:t>
        </w:r>
      </w:hyperlink>
      <w:r w:rsidRPr="00DD3D18">
        <w:rPr>
          <w:rFonts w:eastAsia="Calibri"/>
          <w:color w:val="00000A"/>
          <w:lang w:val="es-CU" w:eastAsia="zh-CN"/>
        </w:rPr>
        <w:t xml:space="preserve"> </w:t>
      </w:r>
    </w:p>
    <w:p w14:paraId="23215833"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n-US" w:eastAsia="zh-CN"/>
        </w:rPr>
        <w:t xml:space="preserve">13. Chen T, Wu D, Chen H, Yan W, Yang D, Chen G, et al. Clinical characteristics of 113 deceased patients with coronavirus disease 2019: retrospective study. </w:t>
      </w:r>
      <w:r w:rsidRPr="00DD3D18">
        <w:rPr>
          <w:rFonts w:eastAsia="Calibri"/>
          <w:color w:val="00000A"/>
          <w:lang w:val="es-CU" w:eastAsia="zh-CN"/>
        </w:rPr>
        <w:t>BMJ. 2020 Mar 26 [acceso: 24/05/2020]; 3(4</w:t>
      </w:r>
      <w:proofErr w:type="gramStart"/>
      <w:r w:rsidRPr="00DD3D18">
        <w:rPr>
          <w:rFonts w:eastAsia="Calibri"/>
          <w:color w:val="00000A"/>
          <w:lang w:val="es-CU" w:eastAsia="zh-CN"/>
        </w:rPr>
        <w:t>):[</w:t>
      </w:r>
      <w:proofErr w:type="gramEnd"/>
      <w:r w:rsidRPr="00DD3D18">
        <w:rPr>
          <w:rFonts w:eastAsia="Calibri"/>
          <w:color w:val="00000A"/>
          <w:lang w:val="es-CU" w:eastAsia="zh-CN"/>
        </w:rPr>
        <w:t xml:space="preserve">aprox. </w:t>
      </w:r>
      <w:r w:rsidRPr="00DD3D18">
        <w:rPr>
          <w:rFonts w:eastAsia="Calibri"/>
          <w:color w:val="00000A"/>
          <w:lang w:val="es-ES" w:eastAsia="zh-CN"/>
        </w:rPr>
        <w:t xml:space="preserve">7 p.]. Disponible en:  </w:t>
      </w:r>
      <w:hyperlink r:id="rId30" w:history="1">
        <w:r w:rsidRPr="00DD3D18">
          <w:rPr>
            <w:rFonts w:eastAsia="Calibri"/>
            <w:color w:val="0000FF"/>
            <w:u w:val="single"/>
            <w:lang w:val="es-ES" w:eastAsia="zh-CN"/>
          </w:rPr>
          <w:t>https://www.researchgate.net/publication/340222738_Clinical_characteristics_of_113_deceased_patients_with_coronavirus_disease_2019_retrospective_study</w:t>
        </w:r>
      </w:hyperlink>
      <w:r w:rsidRPr="00DD3D18">
        <w:rPr>
          <w:rFonts w:eastAsia="Calibri"/>
          <w:color w:val="00000A"/>
          <w:lang w:val="es-ES" w:eastAsia="zh-CN"/>
        </w:rPr>
        <w:t xml:space="preserve"> </w:t>
      </w:r>
    </w:p>
    <w:p w14:paraId="51415313"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n-US" w:eastAsia="zh-CN"/>
        </w:rPr>
        <w:t xml:space="preserve">14. </w:t>
      </w:r>
      <w:proofErr w:type="spellStart"/>
      <w:r w:rsidRPr="00DD3D18">
        <w:rPr>
          <w:rFonts w:eastAsia="Calibri"/>
          <w:color w:val="00000A"/>
          <w:lang w:val="en-US" w:eastAsia="zh-CN"/>
        </w:rPr>
        <w:t>Trilla</w:t>
      </w:r>
      <w:proofErr w:type="spellEnd"/>
      <w:r w:rsidRPr="00DD3D18">
        <w:rPr>
          <w:rFonts w:eastAsia="Calibri"/>
          <w:color w:val="00000A"/>
          <w:lang w:val="en-US" w:eastAsia="zh-CN"/>
        </w:rPr>
        <w:t xml:space="preserve"> A. One world, one health: The novel coronavirus COVID-19 epidemic. </w:t>
      </w:r>
      <w:proofErr w:type="spellStart"/>
      <w:r w:rsidRPr="00DD3D18">
        <w:rPr>
          <w:rFonts w:eastAsia="Calibri"/>
          <w:color w:val="00000A"/>
          <w:lang w:val="es-ES" w:eastAsia="zh-CN"/>
        </w:rPr>
        <w:t>Med</w:t>
      </w:r>
      <w:proofErr w:type="spellEnd"/>
      <w:r w:rsidRPr="00DD3D18">
        <w:rPr>
          <w:rFonts w:eastAsia="Calibri"/>
          <w:color w:val="00000A"/>
          <w:lang w:val="es-ES" w:eastAsia="zh-CN"/>
        </w:rPr>
        <w:t xml:space="preserve"> Clin (</w:t>
      </w:r>
      <w:proofErr w:type="spellStart"/>
      <w:r w:rsidRPr="00DD3D18">
        <w:rPr>
          <w:rFonts w:eastAsia="Calibri"/>
          <w:color w:val="00000A"/>
          <w:lang w:val="es-ES" w:eastAsia="zh-CN"/>
        </w:rPr>
        <w:t>Barc</w:t>
      </w:r>
      <w:proofErr w:type="spellEnd"/>
      <w:r w:rsidRPr="00DD3D18">
        <w:rPr>
          <w:rFonts w:eastAsia="Calibri"/>
          <w:color w:val="00000A"/>
          <w:lang w:val="es-ES" w:eastAsia="zh-CN"/>
        </w:rPr>
        <w:t xml:space="preserve">). 2020 Mar 13[acceso: 20/05/2020]; 154(5):175-177. Disponible en: </w:t>
      </w:r>
      <w:hyperlink r:id="rId31" w:history="1">
        <w:r w:rsidRPr="00DD3D18">
          <w:rPr>
            <w:rFonts w:eastAsia="Calibri"/>
            <w:color w:val="0000FF"/>
            <w:u w:val="single"/>
            <w:lang w:val="es-ES" w:eastAsia="zh-CN"/>
          </w:rPr>
          <w:t>https://www.ncbi.nlm.nih.gov/pmc/articles/PMC7094554/</w:t>
        </w:r>
      </w:hyperlink>
      <w:r w:rsidRPr="00DD3D18">
        <w:rPr>
          <w:rFonts w:eastAsia="Calibri"/>
          <w:color w:val="00000A"/>
          <w:lang w:val="es-ES" w:eastAsia="zh-CN"/>
        </w:rPr>
        <w:t xml:space="preserve"> </w:t>
      </w:r>
    </w:p>
    <w:p w14:paraId="521CE2BB" w14:textId="77777777" w:rsidR="00DD3D18" w:rsidRPr="00DD3D18" w:rsidRDefault="00DD3D18" w:rsidP="00DD3D18">
      <w:pPr>
        <w:suppressAutoHyphens/>
        <w:spacing w:line="360" w:lineRule="auto"/>
        <w:contextualSpacing/>
        <w:rPr>
          <w:rFonts w:eastAsia="Calibri"/>
          <w:color w:val="00000A"/>
          <w:lang w:val="es-CU" w:eastAsia="zh-CN"/>
        </w:rPr>
      </w:pPr>
      <w:r w:rsidRPr="00DD3D18">
        <w:rPr>
          <w:rFonts w:eastAsia="Calibri"/>
          <w:color w:val="00000A"/>
          <w:lang w:val="en-US" w:eastAsia="zh-CN"/>
        </w:rPr>
        <w:t xml:space="preserve">15. </w:t>
      </w:r>
      <w:proofErr w:type="spellStart"/>
      <w:r w:rsidRPr="00DD3D18">
        <w:rPr>
          <w:rFonts w:eastAsia="Calibri"/>
          <w:color w:val="00000A"/>
          <w:lang w:val="en-US" w:eastAsia="zh-CN"/>
        </w:rPr>
        <w:t>Lithander</w:t>
      </w:r>
      <w:proofErr w:type="spellEnd"/>
      <w:r w:rsidRPr="00DD3D18">
        <w:rPr>
          <w:rFonts w:eastAsia="Calibri"/>
          <w:color w:val="00000A"/>
          <w:lang w:val="en-US" w:eastAsia="zh-CN"/>
        </w:rPr>
        <w:t xml:space="preserve"> FE, Neumann S, Tenison E, Lloyd K, Welsh TJ, Rodrigues JCL, et al. COVID-19 in Older People: A Rapid Clinical Review. Age and Ageing. </w:t>
      </w:r>
      <w:r w:rsidRPr="00DD3D18">
        <w:rPr>
          <w:rFonts w:eastAsia="Calibri"/>
          <w:color w:val="00000A"/>
          <w:lang w:val="es-CU" w:eastAsia="zh-CN"/>
        </w:rPr>
        <w:t xml:space="preserve">2020 May 6[acceso: 11/06/2020]; 49(4):501-15. Disponible en:  </w:t>
      </w:r>
      <w:hyperlink r:id="rId32" w:history="1">
        <w:r w:rsidRPr="00DD3D18">
          <w:rPr>
            <w:rFonts w:eastAsia="Calibri"/>
            <w:color w:val="0000FF"/>
            <w:u w:val="single"/>
            <w:lang w:val="es-CU" w:eastAsia="zh-CN"/>
          </w:rPr>
          <w:t>https://www.ncbi.nlm.nih.gov/pmc/articles/PMC7239238/pdf/afaa093.pdf</w:t>
        </w:r>
      </w:hyperlink>
      <w:r w:rsidRPr="00DD3D18">
        <w:rPr>
          <w:rFonts w:eastAsia="Calibri"/>
          <w:color w:val="00000A"/>
          <w:lang w:val="es-CU" w:eastAsia="zh-CN"/>
        </w:rPr>
        <w:t xml:space="preserve"> </w:t>
      </w:r>
    </w:p>
    <w:p w14:paraId="3933102D" w14:textId="77777777" w:rsidR="00DD3D18" w:rsidRPr="00DD3D18" w:rsidRDefault="00DD3D18" w:rsidP="00DD3D18">
      <w:pPr>
        <w:suppressAutoHyphens/>
        <w:spacing w:line="360" w:lineRule="auto"/>
        <w:contextualSpacing/>
        <w:rPr>
          <w:rFonts w:eastAsia="Calibri"/>
          <w:color w:val="00000A"/>
          <w:lang w:val="es-ES" w:eastAsia="zh-CN"/>
        </w:rPr>
      </w:pPr>
      <w:r w:rsidRPr="00DD3D18">
        <w:rPr>
          <w:rFonts w:eastAsia="Calibri"/>
          <w:color w:val="00000A"/>
          <w:lang w:val="es-ES" w:eastAsia="zh-CN"/>
        </w:rPr>
        <w:t xml:space="preserve">16. Bermejo Martin J F, Almansa R, Torres A, González Rivera M, Kelvin DJ. </w:t>
      </w:r>
      <w:r w:rsidRPr="00DD3D18">
        <w:rPr>
          <w:rFonts w:eastAsia="Calibri"/>
          <w:color w:val="00000A"/>
          <w:lang w:val="en-US" w:eastAsia="zh-CN"/>
        </w:rPr>
        <w:t xml:space="preserve">COVID-19 as a cardiovascular disease: the potential role of chronic endothelial dysfunction. </w:t>
      </w:r>
      <w:r w:rsidRPr="00DD3D18">
        <w:rPr>
          <w:rFonts w:eastAsia="Calibri"/>
          <w:color w:val="00000A"/>
          <w:lang w:val="es-ES" w:eastAsia="zh-CN"/>
        </w:rPr>
        <w:t xml:space="preserve">Cardiovascular </w:t>
      </w:r>
      <w:proofErr w:type="spellStart"/>
      <w:r w:rsidRPr="00DD3D18">
        <w:rPr>
          <w:rFonts w:eastAsia="Calibri"/>
          <w:color w:val="00000A"/>
          <w:lang w:val="es-ES" w:eastAsia="zh-CN"/>
        </w:rPr>
        <w:t>Research</w:t>
      </w:r>
      <w:proofErr w:type="spellEnd"/>
      <w:r w:rsidRPr="00DD3D18">
        <w:rPr>
          <w:rFonts w:eastAsia="Calibri"/>
          <w:color w:val="00000A"/>
          <w:lang w:val="es-ES" w:eastAsia="zh-CN"/>
        </w:rPr>
        <w:t>. 2020 [acceso: 10/06/2020]; 116(10</w:t>
      </w:r>
      <w:proofErr w:type="gramStart"/>
      <w:r w:rsidRPr="00DD3D18">
        <w:rPr>
          <w:rFonts w:eastAsia="Calibri"/>
          <w:color w:val="00000A"/>
          <w:lang w:val="es-ES" w:eastAsia="zh-CN"/>
        </w:rPr>
        <w:t>):e</w:t>
      </w:r>
      <w:proofErr w:type="gramEnd"/>
      <w:r w:rsidRPr="00DD3D18">
        <w:rPr>
          <w:rFonts w:eastAsia="Calibri"/>
          <w:color w:val="00000A"/>
          <w:lang w:val="es-ES" w:eastAsia="zh-CN"/>
        </w:rPr>
        <w:t xml:space="preserve">132–e133 cvaa140. Disponible en:  </w:t>
      </w:r>
      <w:hyperlink r:id="rId33" w:history="1">
        <w:r w:rsidRPr="00DD3D18">
          <w:rPr>
            <w:rFonts w:eastAsia="Calibri"/>
            <w:color w:val="0000FF"/>
            <w:u w:val="single"/>
            <w:lang w:val="es-ES" w:eastAsia="zh-CN"/>
          </w:rPr>
          <w:t>https://academic.oup.com/cardiovascres/advance-article/doi/10.1093/cvr/cvaa140/5838569</w:t>
        </w:r>
      </w:hyperlink>
      <w:r w:rsidRPr="00DD3D18">
        <w:rPr>
          <w:rFonts w:eastAsia="Calibri"/>
          <w:color w:val="00000A"/>
          <w:lang w:val="es-ES" w:eastAsia="zh-CN"/>
        </w:rPr>
        <w:t xml:space="preserve"> </w:t>
      </w:r>
    </w:p>
    <w:p w14:paraId="77006BEE" w14:textId="77777777" w:rsidR="00DD3D18" w:rsidRPr="00DD3D18" w:rsidRDefault="00DD3D18" w:rsidP="00DD3D18">
      <w:pPr>
        <w:suppressAutoHyphens/>
        <w:spacing w:line="360" w:lineRule="auto"/>
        <w:contextualSpacing/>
        <w:jc w:val="both"/>
        <w:rPr>
          <w:rFonts w:eastAsia="Calibri"/>
          <w:color w:val="00000A"/>
          <w:lang w:val="es-ES" w:eastAsia="zh-CN"/>
        </w:rPr>
      </w:pPr>
    </w:p>
    <w:p w14:paraId="663984A4" w14:textId="77777777" w:rsidR="00DD3D18" w:rsidRPr="00DD3D18" w:rsidRDefault="00DD3D18" w:rsidP="00DD3D18">
      <w:pPr>
        <w:suppressAutoHyphens/>
        <w:spacing w:line="360" w:lineRule="auto"/>
        <w:jc w:val="both"/>
        <w:rPr>
          <w:rFonts w:eastAsia="Calibri"/>
          <w:b/>
          <w:bCs/>
          <w:color w:val="000000"/>
          <w:lang w:val="es-ES" w:eastAsia="zh-CN"/>
        </w:rPr>
      </w:pPr>
    </w:p>
    <w:p w14:paraId="47A27918" w14:textId="77777777" w:rsidR="00DD3D18" w:rsidRPr="00DD3D18" w:rsidRDefault="00DD3D18" w:rsidP="00DD3D18">
      <w:pPr>
        <w:suppressAutoHyphens/>
        <w:spacing w:line="360" w:lineRule="auto"/>
        <w:jc w:val="center"/>
        <w:rPr>
          <w:rFonts w:eastAsia="Calibri"/>
          <w:color w:val="00000A"/>
          <w:lang w:val="es-ES" w:eastAsia="zh-CN"/>
        </w:rPr>
      </w:pPr>
      <w:r w:rsidRPr="00DD3D18">
        <w:rPr>
          <w:rFonts w:eastAsia="Calibri"/>
          <w:b/>
          <w:bCs/>
          <w:color w:val="000000"/>
          <w:lang w:val="es-ES" w:eastAsia="zh-CN"/>
        </w:rPr>
        <w:t>Conflictos de intereses</w:t>
      </w:r>
    </w:p>
    <w:p w14:paraId="3F0C6EAD" w14:textId="77777777" w:rsidR="00DD3D18" w:rsidRPr="00DD3D18" w:rsidRDefault="00DD3D18" w:rsidP="00DD3D18">
      <w:pPr>
        <w:suppressAutoHyphens/>
        <w:spacing w:line="360" w:lineRule="auto"/>
        <w:jc w:val="both"/>
        <w:rPr>
          <w:rFonts w:eastAsia="Calibri"/>
          <w:color w:val="000000"/>
          <w:lang w:val="es-ES" w:eastAsia="zh-CN"/>
        </w:rPr>
      </w:pPr>
      <w:r w:rsidRPr="00DD3D18">
        <w:rPr>
          <w:rFonts w:eastAsia="Calibri"/>
          <w:color w:val="000000"/>
          <w:lang w:val="es-ES" w:eastAsia="zh-CN"/>
        </w:rPr>
        <w:t xml:space="preserve">Los autores plantean que no tienen conflictos de intereses. </w:t>
      </w:r>
    </w:p>
    <w:p w14:paraId="5AFEBE55" w14:textId="77777777" w:rsidR="00DD3D18" w:rsidRPr="00DD3D18" w:rsidRDefault="00DD3D18" w:rsidP="00DD3D18">
      <w:pPr>
        <w:suppressAutoHyphens/>
        <w:spacing w:line="360" w:lineRule="auto"/>
        <w:jc w:val="both"/>
        <w:rPr>
          <w:rFonts w:eastAsia="Calibri"/>
          <w:color w:val="00000A"/>
          <w:lang w:val="es-ES" w:eastAsia="zh-CN"/>
        </w:rPr>
      </w:pPr>
    </w:p>
    <w:p w14:paraId="66DCD9B5" w14:textId="77777777" w:rsidR="0008567E" w:rsidRDefault="0008567E">
      <w:pPr>
        <w:rPr>
          <w:rFonts w:eastAsia="Calibri"/>
          <w:b/>
          <w:bCs/>
          <w:color w:val="000000"/>
          <w:lang w:val="es-ES" w:eastAsia="zh-CN"/>
        </w:rPr>
      </w:pPr>
      <w:r>
        <w:rPr>
          <w:rFonts w:eastAsia="Calibri"/>
          <w:b/>
          <w:bCs/>
          <w:color w:val="000000"/>
          <w:lang w:val="es-ES" w:eastAsia="zh-CN"/>
        </w:rPr>
        <w:br w:type="page"/>
      </w:r>
    </w:p>
    <w:p w14:paraId="79D8BAC3" w14:textId="6FA9F9B0" w:rsidR="00DD3D18" w:rsidRPr="00DD3D18" w:rsidRDefault="00DD3D18" w:rsidP="00DD3D18">
      <w:pPr>
        <w:suppressAutoHyphens/>
        <w:spacing w:line="360" w:lineRule="auto"/>
        <w:jc w:val="center"/>
        <w:rPr>
          <w:rFonts w:eastAsia="Calibri"/>
          <w:b/>
          <w:bCs/>
          <w:color w:val="00000A"/>
          <w:lang w:val="es-ES" w:eastAsia="zh-CN"/>
        </w:rPr>
      </w:pPr>
      <w:r w:rsidRPr="00DD3D18">
        <w:rPr>
          <w:rFonts w:eastAsia="Calibri"/>
          <w:b/>
          <w:bCs/>
          <w:color w:val="000000"/>
          <w:lang w:val="es-ES" w:eastAsia="zh-CN"/>
        </w:rPr>
        <w:lastRenderedPageBreak/>
        <w:t>Contribuciones de los autores</w:t>
      </w:r>
    </w:p>
    <w:p w14:paraId="0A81BCA9" w14:textId="77777777" w:rsidR="00DD3D18" w:rsidRPr="00DD3D18" w:rsidRDefault="00DD3D18" w:rsidP="00DD3D18">
      <w:pPr>
        <w:suppressAutoHyphens/>
        <w:autoSpaceDE w:val="0"/>
        <w:spacing w:line="360" w:lineRule="auto"/>
        <w:jc w:val="both"/>
        <w:rPr>
          <w:rFonts w:eastAsia="Calibri"/>
          <w:color w:val="00000A"/>
          <w:lang w:val="es-ES" w:eastAsia="zh-CN"/>
        </w:rPr>
      </w:pPr>
      <w:proofErr w:type="spellStart"/>
      <w:r w:rsidRPr="00DD3D18">
        <w:rPr>
          <w:rFonts w:eastAsia="Calibri"/>
          <w:i/>
          <w:iCs/>
          <w:color w:val="00000A"/>
          <w:lang w:val="es-ES" w:eastAsia="zh-CN"/>
        </w:rPr>
        <w:t>Yayquier</w:t>
      </w:r>
      <w:proofErr w:type="spellEnd"/>
      <w:r w:rsidRPr="00DD3D18">
        <w:rPr>
          <w:rFonts w:eastAsia="Calibri"/>
          <w:i/>
          <w:iCs/>
          <w:color w:val="00000A"/>
          <w:lang w:val="es-ES" w:eastAsia="zh-CN"/>
        </w:rPr>
        <w:t xml:space="preserve"> Díaz Morales</w:t>
      </w:r>
      <w:r w:rsidRPr="00DD3D18">
        <w:rPr>
          <w:rFonts w:eastAsia="Calibri"/>
          <w:i/>
          <w:iCs/>
          <w:color w:val="000000"/>
          <w:lang w:val="es-ES" w:eastAsia="zh-CN"/>
        </w:rPr>
        <w:t>:</w:t>
      </w:r>
      <w:r w:rsidRPr="00DD3D18">
        <w:rPr>
          <w:rFonts w:eastAsia="Calibri"/>
          <w:color w:val="000000"/>
          <w:lang w:val="es-ES" w:eastAsia="zh-CN"/>
        </w:rPr>
        <w:t xml:space="preserve"> conceptualización. Investigación, participó en la interpretación de los resultados y en la redacción. </w:t>
      </w:r>
    </w:p>
    <w:p w14:paraId="2E2F4F93" w14:textId="77777777" w:rsidR="00DD3D18" w:rsidRPr="00DD3D18" w:rsidRDefault="00DD3D18" w:rsidP="00DD3D18">
      <w:pPr>
        <w:suppressAutoHyphens/>
        <w:autoSpaceDE w:val="0"/>
        <w:spacing w:line="360" w:lineRule="auto"/>
        <w:jc w:val="both"/>
        <w:rPr>
          <w:rFonts w:eastAsia="Calibri"/>
          <w:color w:val="00000A"/>
          <w:lang w:val="es-ES" w:eastAsia="zh-CN"/>
        </w:rPr>
      </w:pPr>
      <w:r w:rsidRPr="00DD3D18">
        <w:rPr>
          <w:rFonts w:eastAsia="Calibri"/>
          <w:i/>
          <w:iCs/>
          <w:lang w:val="es-ES" w:eastAsia="zh-CN"/>
        </w:rPr>
        <w:t>Evelyn Tejeda Castañeda:</w:t>
      </w:r>
      <w:r w:rsidRPr="00DD3D18">
        <w:rPr>
          <w:rFonts w:eastAsia="Calibri"/>
          <w:lang w:val="es-ES" w:eastAsia="zh-CN"/>
        </w:rPr>
        <w:t xml:space="preserve"> análisis formal. Redacción-borrador original. Realizó el procesamiento estadístico.</w:t>
      </w:r>
    </w:p>
    <w:p w14:paraId="680C8C5F" w14:textId="77777777" w:rsidR="00DD3D18" w:rsidRPr="00DD3D18" w:rsidRDefault="00DD3D18" w:rsidP="00DD3D18">
      <w:pPr>
        <w:suppressAutoHyphens/>
        <w:autoSpaceDE w:val="0"/>
        <w:spacing w:line="360" w:lineRule="auto"/>
        <w:jc w:val="both"/>
        <w:rPr>
          <w:rFonts w:eastAsia="Calibri"/>
          <w:color w:val="00000A"/>
          <w:lang w:val="es-ES" w:eastAsia="zh-CN"/>
        </w:rPr>
      </w:pPr>
      <w:r w:rsidRPr="00DD3D18">
        <w:rPr>
          <w:rFonts w:eastAsia="Calibri"/>
          <w:i/>
          <w:iCs/>
          <w:color w:val="00000A"/>
          <w:lang w:val="es-ES" w:eastAsia="zh-CN"/>
        </w:rPr>
        <w:t>Ernesto Gilberto Díaz Padrón:</w:t>
      </w:r>
      <w:r w:rsidRPr="00DD3D18">
        <w:rPr>
          <w:rFonts w:eastAsia="Calibri"/>
          <w:color w:val="00000A"/>
          <w:lang w:val="es-ES" w:eastAsia="zh-CN"/>
        </w:rPr>
        <w:t xml:space="preserve"> </w:t>
      </w:r>
      <w:r w:rsidRPr="00DD3D18">
        <w:rPr>
          <w:rFonts w:eastAsia="Calibri"/>
          <w:lang w:val="es-ES" w:eastAsia="zh-CN"/>
        </w:rPr>
        <w:t>análisis formal. Redacción-borrador original</w:t>
      </w:r>
      <w:r w:rsidRPr="00DD3D18">
        <w:rPr>
          <w:rFonts w:eastAsia="Calibri"/>
          <w:color w:val="000000"/>
          <w:lang w:val="es-ES" w:eastAsia="zh-CN"/>
        </w:rPr>
        <w:t>.</w:t>
      </w:r>
    </w:p>
    <w:p w14:paraId="44720DC6" w14:textId="77777777" w:rsidR="00DD3D18" w:rsidRPr="00DD3D18" w:rsidRDefault="00DD3D18" w:rsidP="00DD3D18">
      <w:pPr>
        <w:suppressAutoHyphens/>
        <w:autoSpaceDE w:val="0"/>
        <w:spacing w:line="360" w:lineRule="auto"/>
        <w:jc w:val="both"/>
        <w:rPr>
          <w:rFonts w:eastAsia="Calibri"/>
          <w:color w:val="00000A"/>
          <w:lang w:val="es-ES" w:eastAsia="zh-CN"/>
        </w:rPr>
      </w:pPr>
      <w:proofErr w:type="spellStart"/>
      <w:r w:rsidRPr="00DD3D18">
        <w:rPr>
          <w:rFonts w:eastAsia="Calibri"/>
          <w:i/>
          <w:iCs/>
          <w:color w:val="00000A"/>
          <w:lang w:val="es-ES" w:eastAsia="zh-CN"/>
        </w:rPr>
        <w:t>Wilian</w:t>
      </w:r>
      <w:proofErr w:type="spellEnd"/>
      <w:r w:rsidRPr="00DD3D18">
        <w:rPr>
          <w:rFonts w:eastAsia="Calibri"/>
          <w:i/>
          <w:iCs/>
          <w:color w:val="00000A"/>
          <w:lang w:val="es-ES" w:eastAsia="zh-CN"/>
        </w:rPr>
        <w:t xml:space="preserve"> Santiago López:</w:t>
      </w:r>
      <w:r w:rsidRPr="00DD3D18">
        <w:rPr>
          <w:rFonts w:eastAsia="Calibri"/>
          <w:color w:val="00000A"/>
          <w:lang w:val="es-ES" w:eastAsia="zh-CN"/>
        </w:rPr>
        <w:t xml:space="preserve"> </w:t>
      </w:r>
      <w:r w:rsidRPr="00DD3D18">
        <w:rPr>
          <w:rFonts w:eastAsia="Calibri"/>
          <w:color w:val="000000"/>
          <w:lang w:val="es-ES" w:eastAsia="zh-CN"/>
        </w:rPr>
        <w:t xml:space="preserve">participó </w:t>
      </w:r>
      <w:r w:rsidRPr="00DD3D18">
        <w:rPr>
          <w:rFonts w:eastAsia="Calibri"/>
          <w:color w:val="00000A"/>
          <w:lang w:val="es-ES" w:eastAsia="zh-CN"/>
        </w:rPr>
        <w:t>en el diseño y redacción del trabajo</w:t>
      </w:r>
      <w:r w:rsidRPr="00DD3D18">
        <w:rPr>
          <w:rFonts w:eastAsia="Calibri"/>
          <w:color w:val="000000"/>
          <w:lang w:val="es-ES" w:eastAsia="zh-CN"/>
        </w:rPr>
        <w:t>.</w:t>
      </w:r>
    </w:p>
    <w:p w14:paraId="66874908" w14:textId="77777777" w:rsidR="00DD3D18" w:rsidRPr="00DD3D18" w:rsidRDefault="00DD3D18" w:rsidP="00DD3D18">
      <w:pPr>
        <w:suppressAutoHyphens/>
        <w:autoSpaceDE w:val="0"/>
        <w:spacing w:line="360" w:lineRule="auto"/>
        <w:jc w:val="both"/>
        <w:rPr>
          <w:rFonts w:eastAsia="Calibri"/>
          <w:color w:val="00000A"/>
          <w:lang w:val="es-ES" w:eastAsia="zh-CN"/>
        </w:rPr>
      </w:pPr>
      <w:r w:rsidRPr="00DD3D18">
        <w:rPr>
          <w:rFonts w:eastAsia="Calibri"/>
          <w:i/>
          <w:iCs/>
          <w:color w:val="00000A"/>
          <w:lang w:val="es-ES" w:eastAsia="zh-CN"/>
        </w:rPr>
        <w:t>Augusto Oyarzabal Guerra:</w:t>
      </w:r>
      <w:r w:rsidRPr="00DD3D18">
        <w:rPr>
          <w:rFonts w:eastAsia="Calibri"/>
          <w:color w:val="00000A"/>
          <w:lang w:val="es-ES" w:eastAsia="zh-CN"/>
        </w:rPr>
        <w:t xml:space="preserve"> </w:t>
      </w:r>
      <w:r w:rsidRPr="00DD3D18">
        <w:rPr>
          <w:rFonts w:eastAsia="Calibri"/>
          <w:color w:val="000000"/>
          <w:lang w:val="es-ES" w:eastAsia="zh-CN"/>
        </w:rPr>
        <w:t xml:space="preserve">participó </w:t>
      </w:r>
      <w:r w:rsidRPr="00DD3D18">
        <w:rPr>
          <w:rFonts w:eastAsia="Calibri"/>
          <w:color w:val="00000A"/>
          <w:lang w:val="es-ES" w:eastAsia="zh-CN"/>
        </w:rPr>
        <w:t>en el diseño y redacción del trabajo</w:t>
      </w:r>
      <w:r w:rsidRPr="00DD3D18">
        <w:rPr>
          <w:rFonts w:eastAsia="Calibri"/>
          <w:color w:val="000000"/>
          <w:lang w:val="es-ES" w:eastAsia="zh-CN"/>
        </w:rPr>
        <w:t>.</w:t>
      </w:r>
    </w:p>
    <w:p w14:paraId="6F09AB85" w14:textId="77777777" w:rsidR="00DD3D18" w:rsidRPr="00DD3D18" w:rsidRDefault="00DD3D18" w:rsidP="00DD3D18">
      <w:pPr>
        <w:suppressAutoHyphens/>
        <w:autoSpaceDE w:val="0"/>
        <w:spacing w:line="360" w:lineRule="auto"/>
        <w:jc w:val="both"/>
        <w:rPr>
          <w:rFonts w:eastAsia="Calibri"/>
          <w:color w:val="00000A"/>
          <w:lang w:val="es-ES" w:eastAsia="zh-CN"/>
        </w:rPr>
      </w:pPr>
      <w:r w:rsidRPr="00DD3D18">
        <w:rPr>
          <w:rFonts w:eastAsia="Calibri"/>
          <w:i/>
          <w:iCs/>
          <w:color w:val="00000A"/>
          <w:lang w:val="es-ES" w:eastAsia="zh-CN"/>
        </w:rPr>
        <w:t>Néstor Antonio Calderón Medina:</w:t>
      </w:r>
      <w:r w:rsidRPr="00DD3D18">
        <w:rPr>
          <w:rFonts w:eastAsia="Calibri"/>
          <w:color w:val="00000A"/>
          <w:lang w:val="es-ES" w:eastAsia="zh-CN"/>
        </w:rPr>
        <w:t xml:space="preserve"> </w:t>
      </w:r>
      <w:r w:rsidRPr="00DD3D18">
        <w:rPr>
          <w:rFonts w:eastAsia="Calibri"/>
          <w:color w:val="000000"/>
          <w:lang w:val="es-ES" w:eastAsia="zh-CN"/>
        </w:rPr>
        <w:t xml:space="preserve">participó </w:t>
      </w:r>
      <w:r w:rsidRPr="00DD3D18">
        <w:rPr>
          <w:rFonts w:eastAsia="Calibri"/>
          <w:color w:val="00000A"/>
          <w:lang w:val="es-ES" w:eastAsia="zh-CN"/>
        </w:rPr>
        <w:t>en el diseño y redacción del trabajo</w:t>
      </w:r>
      <w:r w:rsidRPr="00DD3D18">
        <w:rPr>
          <w:rFonts w:eastAsia="Calibri"/>
          <w:color w:val="000000"/>
          <w:lang w:val="es-ES" w:eastAsia="zh-CN"/>
        </w:rPr>
        <w:t xml:space="preserve">. </w:t>
      </w:r>
    </w:p>
    <w:p w14:paraId="6105F192" w14:textId="77777777" w:rsidR="00DD3D18" w:rsidRPr="00DD3D18" w:rsidRDefault="00DD3D18" w:rsidP="00DD3D18">
      <w:pPr>
        <w:suppressAutoHyphens/>
        <w:autoSpaceDE w:val="0"/>
        <w:spacing w:line="360" w:lineRule="auto"/>
        <w:jc w:val="both"/>
        <w:rPr>
          <w:rFonts w:eastAsia="Calibri"/>
          <w:color w:val="00000A"/>
          <w:lang w:val="es-ES" w:eastAsia="zh-CN"/>
        </w:rPr>
      </w:pPr>
      <w:r w:rsidRPr="00DD3D18">
        <w:rPr>
          <w:rFonts w:eastAsia="Calibri"/>
          <w:color w:val="000000"/>
          <w:lang w:val="es-ES" w:eastAsia="zh-CN"/>
        </w:rPr>
        <w:t xml:space="preserve">Los autores se hacen individualmente responsables de la totalidad del trabajo presentado. </w:t>
      </w:r>
    </w:p>
    <w:p w14:paraId="414AA567" w14:textId="77777777" w:rsidR="00675476" w:rsidRPr="00DD3D18" w:rsidRDefault="00675476" w:rsidP="00391509">
      <w:pPr>
        <w:rPr>
          <w:lang w:val="es-ES"/>
        </w:rPr>
      </w:pPr>
    </w:p>
    <w:sectPr w:rsidR="00675476" w:rsidRPr="00DD3D18" w:rsidSect="00486BFA">
      <w:headerReference w:type="default" r:id="rId34"/>
      <w:footerReference w:type="even" r:id="rId35"/>
      <w:footerReference w:type="default" r:id="rId36"/>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ADE9" w14:textId="77777777" w:rsidR="00296436" w:rsidRDefault="00296436">
      <w:r>
        <w:separator/>
      </w:r>
    </w:p>
  </w:endnote>
  <w:endnote w:type="continuationSeparator" w:id="0">
    <w:p w14:paraId="60E68249" w14:textId="77777777" w:rsidR="00296436" w:rsidRDefault="0029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B352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43252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0228" w14:textId="2411035F" w:rsidR="000F3690" w:rsidRPr="00AE044C" w:rsidRDefault="00DD3D18"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C5A4686" wp14:editId="6F1C19A7">
              <wp:simplePos x="0" y="0"/>
              <wp:positionH relativeFrom="column">
                <wp:posOffset>3810</wp:posOffset>
              </wp:positionH>
              <wp:positionV relativeFrom="paragraph">
                <wp:posOffset>50165</wp:posOffset>
              </wp:positionV>
              <wp:extent cx="6286500" cy="19050"/>
              <wp:effectExtent l="19050" t="1905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1B6F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iyAEAAG4DAAAOAAAAZHJzL2Uyb0RvYy54bWysU02P2yAQvVfqf0DcGztRk0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PeogSLIAQAAbgMAAA4AAAAAAAAAAAAA&#10;AAAALgIAAGRycy9lMm9Eb2MueG1sUEsBAi0AFAAGAAgAAAAhAIaAvpPaAAAABQEAAA8AAAAAAAAA&#10;AAAAAAAAIgQAAGRycy9kb3ducmV2LnhtbFBLBQYAAAAABAAEAPMAAAApBQAAAAA=&#10;" strokecolor="blue" strokeweight="2.25pt"/>
          </w:pict>
        </mc:Fallback>
      </mc:AlternateContent>
    </w:r>
  </w:p>
  <w:p w14:paraId="1D9BBD15" w14:textId="77777777" w:rsidR="00675476" w:rsidRPr="00AE044C" w:rsidRDefault="00296436" w:rsidP="00391509">
    <w:pPr>
      <w:pStyle w:val="Piedepgina"/>
      <w:ind w:right="360"/>
      <w:rPr>
        <w:sz w:val="22"/>
        <w:szCs w:val="22"/>
      </w:rPr>
    </w:pPr>
    <w:hyperlink r:id="rId1" w:history="1">
      <w:r w:rsidR="00391509" w:rsidRPr="00AE044C">
        <w:rPr>
          <w:rStyle w:val="Hipervnculo"/>
          <w:sz w:val="22"/>
          <w:szCs w:val="22"/>
        </w:rPr>
        <w:t>http://scielo.sld.cu</w:t>
      </w:r>
    </w:hyperlink>
  </w:p>
  <w:p w14:paraId="7AB18E8A" w14:textId="77777777" w:rsidR="00391509" w:rsidRPr="00AE044C" w:rsidRDefault="0029643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8B64204" w14:textId="720C726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DD3D18" w:rsidRPr="00DD3D18">
      <w:rPr>
        <w:rFonts w:ascii="Verdana" w:hAnsi="Verdana"/>
        <w:noProof/>
        <w:sz w:val="18"/>
        <w:szCs w:val="18"/>
        <w:lang w:val="en-US" w:eastAsia="en-US"/>
      </w:rPr>
      <w:drawing>
        <wp:inline distT="0" distB="0" distL="0" distR="0" wp14:anchorId="3E504FDB" wp14:editId="3D1BE427">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FF9AC" w14:textId="77777777" w:rsidR="00296436" w:rsidRDefault="00296436">
      <w:r>
        <w:separator/>
      </w:r>
    </w:p>
  </w:footnote>
  <w:footnote w:type="continuationSeparator" w:id="0">
    <w:p w14:paraId="196B8042" w14:textId="77777777" w:rsidR="00296436" w:rsidRDefault="0029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525C" w14:textId="47EDB54B" w:rsidR="00CC376A" w:rsidRPr="00AE044C" w:rsidRDefault="00DD3D18"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BC40AFE" wp14:editId="6618291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0210815</w:t>
    </w:r>
  </w:p>
  <w:p w14:paraId="6BB26132" w14:textId="679D100C" w:rsidR="00A477DE" w:rsidRDefault="00DD3D18">
    <w:r>
      <w:rPr>
        <w:noProof/>
      </w:rPr>
      <mc:AlternateContent>
        <mc:Choice Requires="wps">
          <w:drawing>
            <wp:anchor distT="0" distB="0" distL="114300" distR="114300" simplePos="0" relativeHeight="251657216" behindDoc="0" locked="0" layoutInCell="1" allowOverlap="1" wp14:anchorId="0AE69E79" wp14:editId="506FAF18">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5AA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18"/>
    <w:rsid w:val="0008567E"/>
    <w:rsid w:val="000F3690"/>
    <w:rsid w:val="001221D1"/>
    <w:rsid w:val="00180CE9"/>
    <w:rsid w:val="00230DD5"/>
    <w:rsid w:val="00296436"/>
    <w:rsid w:val="00380D64"/>
    <w:rsid w:val="00391509"/>
    <w:rsid w:val="003E03D5"/>
    <w:rsid w:val="00486BFA"/>
    <w:rsid w:val="00493701"/>
    <w:rsid w:val="004E2065"/>
    <w:rsid w:val="005508A2"/>
    <w:rsid w:val="00566F71"/>
    <w:rsid w:val="005918BD"/>
    <w:rsid w:val="00675476"/>
    <w:rsid w:val="007C430F"/>
    <w:rsid w:val="007D614D"/>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85951"/>
    <w:rsid w:val="00D869B3"/>
    <w:rsid w:val="00DD3D18"/>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A7AC6"/>
  <w15:docId w15:val="{6868AF9F-B865-4F2E-9B73-A03341C0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474-9650" TargetMode="External"/><Relationship Id="rId13" Type="http://schemas.openxmlformats.org/officeDocument/2006/relationships/image" Target="media/image1.gif"/><Relationship Id="rId18" Type="http://schemas.openxmlformats.org/officeDocument/2006/relationships/hyperlink" Target="https://www.ncbi.nlm.nih.gov/pmc/articles/PMC7154215/" TargetMode="External"/><Relationship Id="rId26" Type="http://schemas.openxmlformats.org/officeDocument/2006/relationships/hyperlink" Target="https://onlinelibrary.wiley.com/doi/full/10.1111/apa.15270" TargetMode="External"/><Relationship Id="rId3" Type="http://schemas.openxmlformats.org/officeDocument/2006/relationships/webSettings" Target="webSettings.xml"/><Relationship Id="rId21" Type="http://schemas.openxmlformats.org/officeDocument/2006/relationships/hyperlink" Target="http://www.revhabanera.sld.cu/index.php/rhab/article/view/3279" TargetMode="External"/><Relationship Id="rId34" Type="http://schemas.openxmlformats.org/officeDocument/2006/relationships/header" Target="header1.xml"/><Relationship Id="rId7" Type="http://schemas.openxmlformats.org/officeDocument/2006/relationships/hyperlink" Target="https://orcid.org/0000-0001-7292-0090" TargetMode="External"/><Relationship Id="rId12" Type="http://schemas.openxmlformats.org/officeDocument/2006/relationships/hyperlink" Target="mailto:yayquierdm@infomed.sld.cu" TargetMode="External"/><Relationship Id="rId17" Type="http://schemas.openxmlformats.org/officeDocument/2006/relationships/image" Target="media/image5.gif"/><Relationship Id="rId25" Type="http://schemas.openxmlformats.org/officeDocument/2006/relationships/hyperlink" Target="https://www.sciencedirect.com/science/article/pii/S0014256520300928" TargetMode="External"/><Relationship Id="rId33" Type="http://schemas.openxmlformats.org/officeDocument/2006/relationships/hyperlink" Target="https://academic.oup.com/cardiovascres/advance-article/doi/10.1093/cvr/cvaa140/5838569"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gif"/><Relationship Id="rId20" Type="http://schemas.openxmlformats.org/officeDocument/2006/relationships/hyperlink" Target="https://www.mdpi.com/2077-0383/9/5/1564/htm" TargetMode="External"/><Relationship Id="rId29" Type="http://schemas.openxmlformats.org/officeDocument/2006/relationships/hyperlink" Target="https://jamanetwork.com/journals/jamanetworkopen/fullarticle/2764293" TargetMode="External"/><Relationship Id="rId1" Type="http://schemas.openxmlformats.org/officeDocument/2006/relationships/styles" Target="styles.xml"/><Relationship Id="rId6" Type="http://schemas.openxmlformats.org/officeDocument/2006/relationships/hyperlink" Target="https://orcid.org/0000-0003-3913-3284" TargetMode="External"/><Relationship Id="rId11" Type="http://schemas.openxmlformats.org/officeDocument/2006/relationships/hyperlink" Target="https://orcid.org/0000-0003-1744-1577" TargetMode="External"/><Relationship Id="rId24" Type="http://schemas.openxmlformats.org/officeDocument/2006/relationships/hyperlink" Target="http://www.revcorsalud.sld.cu/index.php/cors/article/view/588/1112" TargetMode="External"/><Relationship Id="rId32" Type="http://schemas.openxmlformats.org/officeDocument/2006/relationships/hyperlink" Target="https://www.ncbi.nlm.nih.gov/pmc/articles/PMC7239238/pdf/afaa093.pdf"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www.sciencedirect.com/science/article/pii/S169540332030076X" TargetMode="External"/><Relationship Id="rId28" Type="http://schemas.openxmlformats.org/officeDocument/2006/relationships/hyperlink" Target="https://www.thelancet.com/pdfs/journals/lancet/PIIS0140-6736%2820%2930183-5.pdf" TargetMode="External"/><Relationship Id="rId36" Type="http://schemas.openxmlformats.org/officeDocument/2006/relationships/footer" Target="footer2.xml"/><Relationship Id="rId10" Type="http://schemas.openxmlformats.org/officeDocument/2006/relationships/hyperlink" Target="https://orcid.org/0000-0002-4055-5823" TargetMode="External"/><Relationship Id="rId19" Type="http://schemas.openxmlformats.org/officeDocument/2006/relationships/hyperlink" Target="https://www.gacetasanitaria.org/es-letalidad-del-covid-19-ausencia-patron-avance-S0213911120300844?newsletter=true&amp;coronavirus" TargetMode="External"/><Relationship Id="rId31" Type="http://schemas.openxmlformats.org/officeDocument/2006/relationships/hyperlink" Target="https://www.ncbi.nlm.nih.gov/pmc/articles/PMC7094554/" TargetMode="External"/><Relationship Id="rId4" Type="http://schemas.openxmlformats.org/officeDocument/2006/relationships/footnotes" Target="footnotes.xml"/><Relationship Id="rId9" Type="http://schemas.openxmlformats.org/officeDocument/2006/relationships/hyperlink" Target="https://orcid.org/0000-0001-5873-5761" TargetMode="External"/><Relationship Id="rId14" Type="http://schemas.openxmlformats.org/officeDocument/2006/relationships/image" Target="media/image2.gif"/><Relationship Id="rId22" Type="http://schemas.openxmlformats.org/officeDocument/2006/relationships/hyperlink" Target="https://www.sciencedirect.com/science/article/pii/S1473309920301985" TargetMode="External"/><Relationship Id="rId27" Type="http://schemas.openxmlformats.org/officeDocument/2006/relationships/hyperlink" Target="https://www.cdc.gov/mmwr/volumes/69/wr/mm6915e3.htm?s%20cid=mm6915e3%20w" TargetMode="External"/><Relationship Id="rId30" Type="http://schemas.openxmlformats.org/officeDocument/2006/relationships/hyperlink" Target="https://www.researchgate.net/publication/340222738_Clinical_characteristics_of_113_deceased_patients_with_coronavirus_disease_2019_retrospective_study"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TotalTime>
  <Pages>13</Pages>
  <Words>3633</Words>
  <Characters>19983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23569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3</cp:revision>
  <cp:lastPrinted>2010-09-13T21:29:00Z</cp:lastPrinted>
  <dcterms:created xsi:type="dcterms:W3CDTF">2021-02-03T18:58:00Z</dcterms:created>
  <dcterms:modified xsi:type="dcterms:W3CDTF">2021-02-03T19:00:00Z</dcterms:modified>
</cp:coreProperties>
</file>