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D190C" w14:textId="77777777" w:rsidR="00E31389" w:rsidRPr="00E31389" w:rsidRDefault="00E31389" w:rsidP="00E31389">
      <w:pPr>
        <w:spacing w:line="360" w:lineRule="auto"/>
        <w:jc w:val="right"/>
        <w:rPr>
          <w:rFonts w:eastAsia="Calibri"/>
          <w:sz w:val="20"/>
          <w:szCs w:val="20"/>
          <w:lang w:val="es-ES" w:eastAsia="en-US"/>
        </w:rPr>
      </w:pPr>
      <w:r w:rsidRPr="00E31389">
        <w:rPr>
          <w:rFonts w:eastAsia="Calibri"/>
          <w:sz w:val="20"/>
          <w:szCs w:val="20"/>
          <w:lang w:val="es-ES" w:eastAsia="en-US"/>
        </w:rPr>
        <w:t>Artículo de investigación</w:t>
      </w:r>
    </w:p>
    <w:p w14:paraId="7C06DAAA" w14:textId="77777777" w:rsidR="00E31389" w:rsidRPr="00E31389" w:rsidRDefault="00E31389" w:rsidP="00E31389">
      <w:pPr>
        <w:spacing w:line="360" w:lineRule="auto"/>
        <w:jc w:val="both"/>
        <w:rPr>
          <w:rFonts w:eastAsia="Calibri"/>
          <w:b/>
          <w:lang w:val="es-ES" w:eastAsia="en-US"/>
        </w:rPr>
      </w:pPr>
    </w:p>
    <w:p w14:paraId="647D1D5D" w14:textId="56C2B7AF" w:rsidR="00B32AD5" w:rsidRPr="00B32AD5" w:rsidRDefault="000F28E3" w:rsidP="00B32AD5">
      <w:pPr>
        <w:spacing w:line="360" w:lineRule="auto"/>
        <w:jc w:val="center"/>
        <w:rPr>
          <w:rFonts w:eastAsia="Calibri"/>
          <w:b/>
          <w:sz w:val="28"/>
          <w:szCs w:val="28"/>
          <w:lang w:val="es-ES" w:eastAsia="en-US"/>
        </w:rPr>
      </w:pPr>
      <w:bookmarkStart w:id="0" w:name="_Hlk63691167"/>
      <w:r>
        <w:rPr>
          <w:rFonts w:eastAsia="Calibri"/>
          <w:b/>
          <w:sz w:val="28"/>
          <w:szCs w:val="28"/>
          <w:lang w:val="es-ES" w:eastAsia="en-US"/>
        </w:rPr>
        <w:t>L</w:t>
      </w:r>
      <w:r w:rsidR="00B32AD5" w:rsidRPr="00B32AD5">
        <w:rPr>
          <w:rFonts w:eastAsia="Calibri"/>
          <w:b/>
          <w:sz w:val="28"/>
          <w:szCs w:val="28"/>
          <w:lang w:val="es-ES" w:eastAsia="en-US"/>
        </w:rPr>
        <w:t xml:space="preserve">a COVID-19 </w:t>
      </w:r>
      <w:r>
        <w:rPr>
          <w:rFonts w:eastAsia="Calibri"/>
          <w:b/>
          <w:sz w:val="28"/>
          <w:szCs w:val="28"/>
          <w:lang w:val="es-ES" w:eastAsia="en-US"/>
        </w:rPr>
        <w:t>en pacientes con</w:t>
      </w:r>
      <w:r w:rsidR="00B32AD5" w:rsidRPr="00B32AD5">
        <w:rPr>
          <w:rFonts w:eastAsia="Calibri"/>
          <w:b/>
          <w:sz w:val="28"/>
          <w:szCs w:val="28"/>
          <w:lang w:val="es-ES" w:eastAsia="en-US"/>
        </w:rPr>
        <w:t xml:space="preserve"> enfermedad renal crónica en hemodiálisis</w:t>
      </w:r>
    </w:p>
    <w:p w14:paraId="2EDC71CC" w14:textId="22D03899" w:rsidR="00B32AD5" w:rsidRPr="00B32AD5" w:rsidRDefault="00B32AD5" w:rsidP="00B32AD5">
      <w:pPr>
        <w:spacing w:line="360" w:lineRule="auto"/>
        <w:jc w:val="center"/>
        <w:rPr>
          <w:rFonts w:eastAsia="Calibri"/>
          <w:lang w:val="en" w:eastAsia="en-US"/>
        </w:rPr>
      </w:pPr>
      <w:r w:rsidRPr="00B32AD5">
        <w:rPr>
          <w:rFonts w:eastAsia="Calibri"/>
          <w:sz w:val="28"/>
          <w:szCs w:val="28"/>
          <w:lang w:val="en" w:eastAsia="en-US"/>
        </w:rPr>
        <w:t>COVID-19</w:t>
      </w:r>
      <w:r w:rsidR="000F28E3">
        <w:rPr>
          <w:rFonts w:eastAsia="Calibri"/>
          <w:sz w:val="28"/>
          <w:szCs w:val="28"/>
          <w:lang w:val="en" w:eastAsia="en-US"/>
        </w:rPr>
        <w:t xml:space="preserve"> in patients</w:t>
      </w:r>
      <w:r w:rsidRPr="00B32AD5">
        <w:rPr>
          <w:rFonts w:eastAsia="Calibri"/>
          <w:sz w:val="28"/>
          <w:szCs w:val="28"/>
          <w:lang w:val="en" w:eastAsia="en-US"/>
        </w:rPr>
        <w:t xml:space="preserve"> with chronic kidney disease on hemodialysis</w:t>
      </w:r>
    </w:p>
    <w:bookmarkEnd w:id="0"/>
    <w:p w14:paraId="30AF04E0" w14:textId="775A7666" w:rsidR="00400A6A" w:rsidRPr="00400A6A" w:rsidRDefault="00400A6A" w:rsidP="00400A6A">
      <w:pPr>
        <w:spacing w:line="360" w:lineRule="auto"/>
        <w:jc w:val="center"/>
        <w:rPr>
          <w:rFonts w:eastAsia="Calibri"/>
          <w:lang w:val="en" w:eastAsia="en-US"/>
        </w:rPr>
      </w:pPr>
    </w:p>
    <w:p w14:paraId="3078B968" w14:textId="77777777" w:rsidR="00E31389" w:rsidRPr="00E31389" w:rsidRDefault="00E31389" w:rsidP="00E31389">
      <w:pPr>
        <w:spacing w:line="360" w:lineRule="auto"/>
        <w:jc w:val="both"/>
        <w:rPr>
          <w:lang w:val="pt-BR" w:eastAsia="es-ES"/>
        </w:rPr>
      </w:pPr>
      <w:r w:rsidRPr="00E31389">
        <w:rPr>
          <w:lang w:val="pt-BR" w:eastAsia="es-ES"/>
        </w:rPr>
        <w:t>Tomás de Armas Gil</w:t>
      </w:r>
      <w:r w:rsidRPr="00E31389">
        <w:rPr>
          <w:vertAlign w:val="superscript"/>
          <w:lang w:val="pt-BR" w:eastAsia="es-ES"/>
        </w:rPr>
        <w:t>1</w:t>
      </w:r>
      <w:r w:rsidRPr="00E31389">
        <w:rPr>
          <w:lang w:val="pt-BR" w:eastAsia="es-ES"/>
        </w:rPr>
        <w:t>*</w:t>
      </w:r>
      <w:r w:rsidRPr="00E31389">
        <w:rPr>
          <w:vertAlign w:val="superscript"/>
          <w:lang w:val="pt-BR" w:eastAsia="es-ES"/>
        </w:rPr>
        <w:t xml:space="preserve"> </w:t>
      </w:r>
      <w:hyperlink r:id="rId6" w:history="1">
        <w:r w:rsidRPr="00E31389">
          <w:rPr>
            <w:color w:val="0000FF"/>
            <w:u w:val="single"/>
            <w:lang w:val="es-ES" w:eastAsia="es-ES"/>
          </w:rPr>
          <w:t>https://orcid.org/0000-0002-6149-6965</w:t>
        </w:r>
      </w:hyperlink>
      <w:r w:rsidRPr="00E31389">
        <w:rPr>
          <w:lang w:val="es-ES" w:eastAsia="es-ES"/>
        </w:rPr>
        <w:t xml:space="preserve"> </w:t>
      </w:r>
    </w:p>
    <w:p w14:paraId="226DA380" w14:textId="77777777" w:rsidR="00E31389" w:rsidRPr="00E31389" w:rsidRDefault="00E31389" w:rsidP="00E31389">
      <w:pPr>
        <w:spacing w:line="360" w:lineRule="auto"/>
        <w:jc w:val="both"/>
        <w:rPr>
          <w:lang w:val="es-ES" w:eastAsia="es-ES"/>
        </w:rPr>
      </w:pPr>
      <w:proofErr w:type="spellStart"/>
      <w:r w:rsidRPr="00E31389">
        <w:rPr>
          <w:lang w:val="es-ES" w:eastAsia="es-ES"/>
        </w:rPr>
        <w:t>Yeneisis</w:t>
      </w:r>
      <w:proofErr w:type="spellEnd"/>
      <w:r w:rsidRPr="00E31389">
        <w:rPr>
          <w:lang w:val="es-ES" w:eastAsia="es-ES"/>
        </w:rPr>
        <w:t xml:space="preserve"> Herrera Oropesa</w:t>
      </w:r>
      <w:r w:rsidRPr="00E31389">
        <w:rPr>
          <w:vertAlign w:val="superscript"/>
          <w:lang w:val="es-ES" w:eastAsia="es-ES"/>
        </w:rPr>
        <w:t xml:space="preserve">1 </w:t>
      </w:r>
      <w:hyperlink r:id="rId7" w:history="1">
        <w:r w:rsidRPr="00E31389">
          <w:rPr>
            <w:color w:val="0000FF"/>
            <w:u w:val="single"/>
            <w:lang w:val="es-ES" w:eastAsia="es-ES"/>
          </w:rPr>
          <w:t>https://orcid.org/0000-0002-9185-1112</w:t>
        </w:r>
      </w:hyperlink>
      <w:r w:rsidRPr="00E31389">
        <w:rPr>
          <w:lang w:val="es-ES" w:eastAsia="es-ES"/>
        </w:rPr>
        <w:t xml:space="preserve"> </w:t>
      </w:r>
    </w:p>
    <w:p w14:paraId="63261B5F" w14:textId="77777777" w:rsidR="00E31389" w:rsidRPr="00E31389" w:rsidRDefault="00E31389" w:rsidP="00E31389">
      <w:pPr>
        <w:spacing w:line="360" w:lineRule="auto"/>
        <w:jc w:val="both"/>
        <w:rPr>
          <w:lang w:val="pt-BR" w:eastAsia="es-ES"/>
        </w:rPr>
      </w:pPr>
      <w:r w:rsidRPr="00E31389">
        <w:rPr>
          <w:lang w:val="pt-BR" w:eastAsia="es-ES"/>
        </w:rPr>
        <w:t>Jorge Barroso Cruz</w:t>
      </w:r>
      <w:r w:rsidRPr="00E31389">
        <w:rPr>
          <w:vertAlign w:val="superscript"/>
          <w:lang w:val="pt-BR" w:eastAsia="es-ES"/>
        </w:rPr>
        <w:t>1</w:t>
      </w:r>
      <w:r w:rsidRPr="00E31389">
        <w:rPr>
          <w:lang w:val="pt-BR" w:eastAsia="es-ES"/>
        </w:rPr>
        <w:t xml:space="preserve"> </w:t>
      </w:r>
      <w:hyperlink r:id="rId8" w:history="1">
        <w:r w:rsidRPr="00E31389">
          <w:rPr>
            <w:rFonts w:eastAsia="Calibri"/>
            <w:color w:val="0000FF"/>
            <w:u w:val="single"/>
            <w:lang w:val="es-ES" w:eastAsia="en-US"/>
          </w:rPr>
          <w:t>https://orcid.org/0000-0002-2415-6187</w:t>
        </w:r>
      </w:hyperlink>
      <w:r w:rsidRPr="00E31389">
        <w:rPr>
          <w:rFonts w:eastAsia="Calibri"/>
          <w:lang w:val="es-ES" w:eastAsia="en-US"/>
        </w:rPr>
        <w:t xml:space="preserve"> </w:t>
      </w:r>
    </w:p>
    <w:p w14:paraId="47F4FC5B" w14:textId="77777777" w:rsidR="00E31389" w:rsidRPr="00E31389" w:rsidRDefault="00E31389" w:rsidP="00E31389">
      <w:pPr>
        <w:spacing w:after="160" w:line="256" w:lineRule="auto"/>
        <w:rPr>
          <w:lang w:val="en-US" w:eastAsia="es-ES"/>
        </w:rPr>
      </w:pPr>
      <w:r w:rsidRPr="00E31389">
        <w:rPr>
          <w:lang w:val="en-US" w:eastAsia="es-ES"/>
        </w:rPr>
        <w:t>Harold Ricardo Joseph Planas</w:t>
      </w:r>
      <w:r w:rsidRPr="00E31389">
        <w:rPr>
          <w:vertAlign w:val="superscript"/>
          <w:lang w:val="en-US" w:eastAsia="es-ES"/>
        </w:rPr>
        <w:t xml:space="preserve">1 </w:t>
      </w:r>
      <w:hyperlink r:id="rId9" w:history="1">
        <w:r w:rsidRPr="00E31389">
          <w:rPr>
            <w:color w:val="0000FF"/>
            <w:u w:val="single"/>
            <w:lang w:val="en-US" w:eastAsia="es-ES"/>
          </w:rPr>
          <w:t>https://orcid.org/0000-0002-8835-3657</w:t>
        </w:r>
      </w:hyperlink>
      <w:r w:rsidRPr="00E31389">
        <w:rPr>
          <w:lang w:val="en-US" w:eastAsia="es-ES"/>
        </w:rPr>
        <w:t xml:space="preserve"> </w:t>
      </w:r>
    </w:p>
    <w:p w14:paraId="1C81F7AB" w14:textId="77777777" w:rsidR="00E31389" w:rsidRPr="00E31389" w:rsidRDefault="00E31389" w:rsidP="00E31389">
      <w:pPr>
        <w:spacing w:after="160" w:line="256" w:lineRule="auto"/>
        <w:rPr>
          <w:lang w:val="es-ES" w:eastAsia="es-ES"/>
        </w:rPr>
      </w:pPr>
      <w:r w:rsidRPr="00E31389">
        <w:rPr>
          <w:lang w:val="es-ES" w:eastAsia="es-ES"/>
        </w:rPr>
        <w:t>Ailyn Bárbara Rey Torres</w:t>
      </w:r>
      <w:r w:rsidRPr="00E31389">
        <w:rPr>
          <w:vertAlign w:val="superscript"/>
          <w:lang w:val="es-ES" w:eastAsia="es-ES"/>
        </w:rPr>
        <w:t xml:space="preserve">1 </w:t>
      </w:r>
      <w:hyperlink r:id="rId10" w:history="1">
        <w:r w:rsidRPr="00E31389">
          <w:rPr>
            <w:color w:val="0000FF"/>
            <w:u w:val="single"/>
            <w:lang w:val="es-ES" w:eastAsia="es-ES"/>
          </w:rPr>
          <w:t>https://orcid.org/0000-0001-9562-5713</w:t>
        </w:r>
      </w:hyperlink>
      <w:r w:rsidRPr="00E31389">
        <w:rPr>
          <w:lang w:val="es-ES" w:eastAsia="es-ES"/>
        </w:rPr>
        <w:t xml:space="preserve"> </w:t>
      </w:r>
    </w:p>
    <w:p w14:paraId="41070EF9" w14:textId="77777777" w:rsidR="00E31389" w:rsidRPr="00E31389" w:rsidRDefault="00E31389" w:rsidP="00E31389">
      <w:pPr>
        <w:spacing w:line="360" w:lineRule="auto"/>
        <w:jc w:val="both"/>
        <w:rPr>
          <w:lang w:val="es-ES" w:eastAsia="es-ES"/>
        </w:rPr>
      </w:pPr>
      <w:r w:rsidRPr="00E31389">
        <w:rPr>
          <w:lang w:val="es-ES" w:eastAsia="es-ES"/>
        </w:rPr>
        <w:t>Jorge Fuentes Abreu</w:t>
      </w:r>
      <w:r w:rsidRPr="00E31389">
        <w:rPr>
          <w:vertAlign w:val="superscript"/>
          <w:lang w:val="es-ES" w:eastAsia="es-ES"/>
        </w:rPr>
        <w:t>1</w:t>
      </w:r>
      <w:r w:rsidRPr="00E31389">
        <w:rPr>
          <w:lang w:val="es-ES" w:eastAsia="es-ES"/>
        </w:rPr>
        <w:t xml:space="preserve"> </w:t>
      </w:r>
      <w:hyperlink r:id="rId11" w:history="1">
        <w:r w:rsidRPr="00E31389">
          <w:rPr>
            <w:color w:val="0000FF"/>
            <w:u w:val="single"/>
            <w:lang w:val="es-ES" w:eastAsia="es-ES"/>
          </w:rPr>
          <w:t>https://orcid.org/0000-0003-2603-6442</w:t>
        </w:r>
      </w:hyperlink>
      <w:r w:rsidRPr="00E31389">
        <w:rPr>
          <w:lang w:val="es-ES" w:eastAsia="es-ES"/>
        </w:rPr>
        <w:t xml:space="preserve"> </w:t>
      </w:r>
    </w:p>
    <w:p w14:paraId="46D6349B" w14:textId="77777777" w:rsidR="00E31389" w:rsidRPr="00E31389" w:rsidRDefault="00E31389" w:rsidP="00E31389">
      <w:pPr>
        <w:spacing w:line="360" w:lineRule="auto"/>
        <w:jc w:val="both"/>
        <w:rPr>
          <w:lang w:val="es-ES" w:eastAsia="es-ES"/>
        </w:rPr>
      </w:pPr>
      <w:proofErr w:type="spellStart"/>
      <w:r w:rsidRPr="00E31389">
        <w:rPr>
          <w:lang w:val="es-ES" w:eastAsia="es-ES"/>
        </w:rPr>
        <w:t>Zulimay</w:t>
      </w:r>
      <w:proofErr w:type="spellEnd"/>
      <w:r w:rsidRPr="00E31389">
        <w:rPr>
          <w:lang w:val="es-ES" w:eastAsia="es-ES"/>
        </w:rPr>
        <w:t xml:space="preserve"> Torres García</w:t>
      </w:r>
      <w:r w:rsidRPr="00E31389">
        <w:rPr>
          <w:vertAlign w:val="superscript"/>
          <w:lang w:val="es-ES" w:eastAsia="es-ES"/>
        </w:rPr>
        <w:t xml:space="preserve">1 </w:t>
      </w:r>
      <w:hyperlink r:id="rId12" w:history="1">
        <w:r w:rsidRPr="00E31389">
          <w:rPr>
            <w:rFonts w:eastAsia="Calibri"/>
            <w:color w:val="0000FF"/>
            <w:u w:val="single"/>
            <w:lang w:val="es-ES" w:eastAsia="en-US"/>
          </w:rPr>
          <w:t>https://orcid.org/0000-0003-3622-5706</w:t>
        </w:r>
      </w:hyperlink>
      <w:r w:rsidRPr="00E31389">
        <w:rPr>
          <w:rFonts w:eastAsia="Calibri"/>
          <w:lang w:val="es-ES" w:eastAsia="en-US"/>
        </w:rPr>
        <w:t xml:space="preserve"> </w:t>
      </w:r>
    </w:p>
    <w:p w14:paraId="22AD0975" w14:textId="77777777" w:rsidR="00E31389" w:rsidRPr="00E31389" w:rsidRDefault="00E31389" w:rsidP="00E31389">
      <w:pPr>
        <w:spacing w:line="360" w:lineRule="auto"/>
        <w:jc w:val="both"/>
        <w:rPr>
          <w:lang w:val="es-ES" w:eastAsia="es-ES"/>
        </w:rPr>
      </w:pPr>
      <w:r w:rsidRPr="00E31389">
        <w:rPr>
          <w:lang w:val="es-ES" w:eastAsia="es-ES"/>
        </w:rPr>
        <w:t>Yadira González Viciedo</w:t>
      </w:r>
      <w:r w:rsidRPr="00E31389">
        <w:rPr>
          <w:vertAlign w:val="superscript"/>
          <w:lang w:val="es-ES" w:eastAsia="es-ES"/>
        </w:rPr>
        <w:t xml:space="preserve">1 </w:t>
      </w:r>
      <w:hyperlink r:id="rId13" w:history="1">
        <w:r w:rsidRPr="00E31389">
          <w:rPr>
            <w:rFonts w:eastAsia="Calibri"/>
            <w:color w:val="0000FF"/>
            <w:u w:val="single"/>
            <w:lang w:val="es-ES" w:eastAsia="en-US"/>
          </w:rPr>
          <w:t>https://orcid.org/0000-0002-5033-8195</w:t>
        </w:r>
      </w:hyperlink>
      <w:r w:rsidRPr="00E31389">
        <w:rPr>
          <w:rFonts w:eastAsia="Calibri"/>
          <w:lang w:val="es-ES" w:eastAsia="en-US"/>
        </w:rPr>
        <w:t xml:space="preserve"> </w:t>
      </w:r>
    </w:p>
    <w:p w14:paraId="63509D9A" w14:textId="77777777" w:rsidR="00E31389" w:rsidRPr="00E31389" w:rsidRDefault="00E31389" w:rsidP="00E31389">
      <w:pPr>
        <w:spacing w:line="360" w:lineRule="auto"/>
        <w:jc w:val="both"/>
        <w:rPr>
          <w:lang w:val="es-ES" w:eastAsia="es-ES"/>
        </w:rPr>
      </w:pPr>
    </w:p>
    <w:p w14:paraId="26BAFD74" w14:textId="77777777" w:rsidR="00E31389" w:rsidRPr="00E31389" w:rsidRDefault="00E31389" w:rsidP="00E31389">
      <w:pPr>
        <w:spacing w:line="360" w:lineRule="auto"/>
        <w:jc w:val="both"/>
        <w:rPr>
          <w:lang w:val="pt-BR" w:eastAsia="es-ES"/>
        </w:rPr>
      </w:pPr>
      <w:r w:rsidRPr="00E31389">
        <w:rPr>
          <w:vertAlign w:val="superscript"/>
          <w:lang w:val="es-ES" w:eastAsia="es-ES"/>
        </w:rPr>
        <w:t>1</w:t>
      </w:r>
      <w:r w:rsidRPr="00E31389">
        <w:rPr>
          <w:lang w:val="es-ES" w:eastAsia="es-ES"/>
        </w:rPr>
        <w:t xml:space="preserve">Hospital Militar Central "Dr. Luis Díaz Soto". La Habana, </w:t>
      </w:r>
      <w:r w:rsidRPr="00E31389">
        <w:rPr>
          <w:lang w:val="pt-BR" w:eastAsia="es-ES"/>
        </w:rPr>
        <w:t>Cuba</w:t>
      </w:r>
    </w:p>
    <w:p w14:paraId="6E9A232E" w14:textId="77777777" w:rsidR="00E31389" w:rsidRPr="00E31389" w:rsidRDefault="00E31389" w:rsidP="00E31389">
      <w:pPr>
        <w:spacing w:line="360" w:lineRule="auto"/>
        <w:jc w:val="both"/>
        <w:rPr>
          <w:vertAlign w:val="superscript"/>
          <w:lang w:val="es-ES" w:eastAsia="es-ES"/>
        </w:rPr>
      </w:pPr>
      <w:r w:rsidRPr="00E31389">
        <w:rPr>
          <w:rFonts w:eastAsia="Calibri"/>
          <w:color w:val="000000"/>
          <w:lang w:val="es-ES" w:eastAsia="en-US"/>
        </w:rPr>
        <w:t xml:space="preserve">*Autor para la correspondencia. Correo electrónico: </w:t>
      </w:r>
      <w:hyperlink r:id="rId14" w:history="1">
        <w:r w:rsidRPr="00E31389">
          <w:rPr>
            <w:color w:val="0000FF"/>
            <w:u w:val="single"/>
            <w:lang w:val="pt-BR" w:eastAsia="es-ES"/>
          </w:rPr>
          <w:t>tomasitocuba83@gmail.c</w:t>
        </w:r>
      </w:hyperlink>
      <w:r w:rsidRPr="00E31389">
        <w:rPr>
          <w:color w:val="0563C1"/>
          <w:u w:val="single"/>
          <w:lang w:val="pt-BR" w:eastAsia="es-ES"/>
        </w:rPr>
        <w:t>om</w:t>
      </w:r>
    </w:p>
    <w:p w14:paraId="2A4485F6" w14:textId="77777777" w:rsidR="00E31389" w:rsidRPr="00E31389" w:rsidRDefault="00E31389" w:rsidP="00E31389">
      <w:pPr>
        <w:spacing w:line="360" w:lineRule="auto"/>
        <w:jc w:val="both"/>
        <w:rPr>
          <w:lang w:val="pt-BR" w:eastAsia="es-ES"/>
        </w:rPr>
      </w:pPr>
    </w:p>
    <w:p w14:paraId="21D3F7B9" w14:textId="77777777" w:rsidR="00E31389" w:rsidRPr="00E31389" w:rsidRDefault="00E31389" w:rsidP="00E31389">
      <w:pPr>
        <w:spacing w:line="360" w:lineRule="auto"/>
        <w:jc w:val="both"/>
        <w:rPr>
          <w:b/>
          <w:lang w:val="pt-BR" w:eastAsia="es-ES"/>
        </w:rPr>
      </w:pPr>
      <w:r w:rsidRPr="00E31389">
        <w:rPr>
          <w:b/>
          <w:lang w:val="pt-BR" w:eastAsia="es-ES"/>
        </w:rPr>
        <w:t>RESUMEN</w:t>
      </w:r>
    </w:p>
    <w:p w14:paraId="5BD34760" w14:textId="77777777" w:rsidR="00E31389" w:rsidRPr="00E31389" w:rsidRDefault="00E31389" w:rsidP="00E31389">
      <w:pPr>
        <w:tabs>
          <w:tab w:val="left" w:pos="1005"/>
        </w:tabs>
        <w:spacing w:line="360" w:lineRule="auto"/>
        <w:jc w:val="both"/>
        <w:rPr>
          <w:lang w:val="es-ES" w:eastAsia="es-ES"/>
        </w:rPr>
      </w:pPr>
      <w:r w:rsidRPr="00E31389">
        <w:rPr>
          <w:b/>
          <w:lang w:val="es-ES" w:eastAsia="es-ES"/>
        </w:rPr>
        <w:t>Introducción:</w:t>
      </w:r>
      <w:r w:rsidRPr="00E31389">
        <w:rPr>
          <w:lang w:val="es-ES" w:eastAsia="es-ES"/>
        </w:rPr>
        <w:t xml:space="preserve"> La pandemia por el coronavirus SARS-CoV-2 ha impactado significativamente en la población general. Los pacientes en hemodiálisis por sus características resultan vulnerables.</w:t>
      </w:r>
    </w:p>
    <w:p w14:paraId="53661F8A" w14:textId="48114D14" w:rsidR="00E31389" w:rsidRPr="00E31389" w:rsidRDefault="00E31389" w:rsidP="00E31389">
      <w:pPr>
        <w:tabs>
          <w:tab w:val="left" w:pos="1005"/>
        </w:tabs>
        <w:spacing w:line="360" w:lineRule="auto"/>
        <w:jc w:val="both"/>
        <w:rPr>
          <w:lang w:val="es-ES" w:eastAsia="es-ES"/>
        </w:rPr>
      </w:pPr>
      <w:r w:rsidRPr="00E31389">
        <w:rPr>
          <w:b/>
          <w:lang w:val="es-ES" w:eastAsia="es-ES"/>
        </w:rPr>
        <w:t>Objetivo:</w:t>
      </w:r>
      <w:r w:rsidRPr="00E31389">
        <w:rPr>
          <w:lang w:val="es-ES" w:eastAsia="es-ES"/>
        </w:rPr>
        <w:t xml:space="preserve"> </w:t>
      </w:r>
      <w:r w:rsidR="002F1AD0" w:rsidRPr="002F1AD0">
        <w:rPr>
          <w:lang w:val="es-ES" w:eastAsia="es-ES"/>
        </w:rPr>
        <w:t>Especificar las características de pacientes con la COVID-19, portadores de enfermedad renal crónica, en régimen de hemodiálisis.</w:t>
      </w:r>
    </w:p>
    <w:p w14:paraId="0FD4E008" w14:textId="77777777" w:rsidR="00E31389" w:rsidRPr="00E31389" w:rsidRDefault="00E31389" w:rsidP="00E31389">
      <w:pPr>
        <w:tabs>
          <w:tab w:val="left" w:pos="1005"/>
        </w:tabs>
        <w:spacing w:line="360" w:lineRule="auto"/>
        <w:jc w:val="both"/>
        <w:rPr>
          <w:lang w:val="es-ES" w:eastAsia="es-ES"/>
        </w:rPr>
      </w:pPr>
      <w:r w:rsidRPr="00E31389">
        <w:rPr>
          <w:b/>
          <w:lang w:val="es-ES" w:eastAsia="es-ES"/>
        </w:rPr>
        <w:t>Métodos:</w:t>
      </w:r>
      <w:r w:rsidRPr="00E31389">
        <w:rPr>
          <w:lang w:val="es-ES" w:eastAsia="es-ES"/>
        </w:rPr>
        <w:t xml:space="preserve"> Estudio descriptivo, transversal en 14 pacientes en hemodiálisis, positivos al SARS-CoV-2. Los pacientes fueron diagnosticados positivos a través de la prueba de PCR-TR. Se identificó la fuente de infección y el cuadro clínico al momento del diagnóstico. A todos los pacientes se les realizaron complementarias iniciales. </w:t>
      </w:r>
    </w:p>
    <w:p w14:paraId="74A33FC9" w14:textId="77777777" w:rsidR="00E31389" w:rsidRPr="00E31389" w:rsidRDefault="00E31389" w:rsidP="00E31389">
      <w:pPr>
        <w:tabs>
          <w:tab w:val="left" w:pos="1005"/>
        </w:tabs>
        <w:spacing w:line="360" w:lineRule="auto"/>
        <w:jc w:val="both"/>
        <w:rPr>
          <w:lang w:val="es-ES" w:eastAsia="es-ES"/>
        </w:rPr>
      </w:pPr>
      <w:r w:rsidRPr="00E31389">
        <w:rPr>
          <w:b/>
          <w:lang w:val="es-ES" w:eastAsia="es-ES"/>
        </w:rPr>
        <w:t>Resultados:</w:t>
      </w:r>
      <w:r w:rsidRPr="00E31389">
        <w:rPr>
          <w:lang w:val="es-ES" w:eastAsia="es-ES"/>
        </w:rPr>
        <w:t xml:space="preserve"> El 92,8 % (13 pacientes) tuvo contacto previo con algún caso positivo. Al momento del diagnóstico 9 (64,28 %) pacientes presentaban síntomas. Predominó la disnea (8 pacientes), la fiebre y la tos seca (7 pacientes). Se apreció </w:t>
      </w:r>
      <w:proofErr w:type="spellStart"/>
      <w:r w:rsidRPr="00E31389">
        <w:rPr>
          <w:lang w:val="es-ES" w:eastAsia="es-ES"/>
        </w:rPr>
        <w:t>linfopenia</w:t>
      </w:r>
      <w:proofErr w:type="spellEnd"/>
      <w:r w:rsidRPr="00E31389">
        <w:rPr>
          <w:lang w:val="es-ES" w:eastAsia="es-ES"/>
        </w:rPr>
        <w:t xml:space="preserve"> con una media de 0,12 en los pacientes sintomáticos y </w:t>
      </w:r>
      <w:r w:rsidRPr="00E31389">
        <w:rPr>
          <w:lang w:val="es-ES" w:eastAsia="es-ES"/>
        </w:rPr>
        <w:lastRenderedPageBreak/>
        <w:t xml:space="preserve">0,31 en los asintomáticos. Existió un incremento de la media de ferritina de 3096 µg/L en los pacientes sintomáticos por 1001 µg/L en los asintomáticos, y de los valores de proteína C reactiva, con una media de 67 mg/L en los pacientes sintomáticos por 18,2 mg/L en los asintomáticos. </w:t>
      </w:r>
    </w:p>
    <w:p w14:paraId="35D2FAA8" w14:textId="77777777" w:rsidR="00E31389" w:rsidRPr="00E31389" w:rsidRDefault="00E31389" w:rsidP="00E31389">
      <w:pPr>
        <w:tabs>
          <w:tab w:val="left" w:pos="1005"/>
        </w:tabs>
        <w:spacing w:line="360" w:lineRule="auto"/>
        <w:jc w:val="both"/>
        <w:rPr>
          <w:lang w:val="es-ES" w:eastAsia="es-ES"/>
        </w:rPr>
      </w:pPr>
      <w:r w:rsidRPr="00E31389">
        <w:rPr>
          <w:b/>
          <w:lang w:val="es-ES" w:eastAsia="es-ES"/>
        </w:rPr>
        <w:t>Conclusiones:</w:t>
      </w:r>
      <w:r w:rsidRPr="00E31389">
        <w:rPr>
          <w:lang w:val="es-ES" w:eastAsia="es-ES"/>
        </w:rPr>
        <w:t xml:space="preserve"> En los pacientes con enfermedad renal crónica en hemodiálisis con la COVID-19, no se observaron diferencias en el sexo en cuanto a la sintomatología, existió </w:t>
      </w:r>
      <w:proofErr w:type="spellStart"/>
      <w:r w:rsidRPr="00E31389">
        <w:rPr>
          <w:lang w:val="es-ES" w:eastAsia="es-ES"/>
        </w:rPr>
        <w:t>linfopenia</w:t>
      </w:r>
      <w:proofErr w:type="spellEnd"/>
      <w:r w:rsidRPr="00E31389">
        <w:rPr>
          <w:lang w:val="es-ES" w:eastAsia="es-ES"/>
        </w:rPr>
        <w:t xml:space="preserve"> y presencia de marcadores inflamatorios elevados en el momento del diagnóstico, fundamentalmente en los pacientes sintomáticos.</w:t>
      </w:r>
    </w:p>
    <w:p w14:paraId="79E6C396" w14:textId="77777777" w:rsidR="00E31389" w:rsidRPr="00E31389" w:rsidRDefault="00E31389" w:rsidP="00E31389">
      <w:pPr>
        <w:spacing w:line="360" w:lineRule="auto"/>
        <w:jc w:val="both"/>
        <w:rPr>
          <w:bCs/>
          <w:lang w:val="es-ES" w:eastAsia="es-ES"/>
        </w:rPr>
      </w:pPr>
      <w:r w:rsidRPr="00E31389">
        <w:rPr>
          <w:b/>
          <w:lang w:val="es-ES" w:eastAsia="es-ES"/>
        </w:rPr>
        <w:t xml:space="preserve">Palabras clave: </w:t>
      </w:r>
      <w:r w:rsidRPr="00E31389">
        <w:rPr>
          <w:bCs/>
          <w:lang w:eastAsia="es-ES"/>
        </w:rPr>
        <w:t>SARS-CoV-2; COVID-19; enfermedad renal crónica; hemodiálisis.</w:t>
      </w:r>
    </w:p>
    <w:p w14:paraId="24EA596A" w14:textId="77777777" w:rsidR="00E31389" w:rsidRPr="00E31389" w:rsidRDefault="00E31389" w:rsidP="00E31389">
      <w:pPr>
        <w:spacing w:line="360" w:lineRule="auto"/>
        <w:jc w:val="both"/>
        <w:rPr>
          <w:lang w:val="es-ES" w:eastAsia="es-ES"/>
        </w:rPr>
      </w:pPr>
    </w:p>
    <w:p w14:paraId="4D74FE2A" w14:textId="77777777" w:rsidR="00E31389" w:rsidRPr="00E31389" w:rsidRDefault="00E31389" w:rsidP="00E31389">
      <w:pPr>
        <w:spacing w:line="360" w:lineRule="auto"/>
        <w:jc w:val="both"/>
        <w:rPr>
          <w:lang w:val="en" w:eastAsia="es-ES"/>
        </w:rPr>
      </w:pPr>
      <w:r w:rsidRPr="00E31389">
        <w:rPr>
          <w:b/>
          <w:lang w:val="en-US" w:eastAsia="es-ES"/>
        </w:rPr>
        <w:t>ABSTRACT</w:t>
      </w:r>
      <w:r w:rsidRPr="00E31389">
        <w:rPr>
          <w:lang w:val="en" w:eastAsia="es-ES"/>
        </w:rPr>
        <w:br/>
      </w:r>
      <w:r w:rsidRPr="00E31389">
        <w:rPr>
          <w:b/>
          <w:lang w:val="en" w:eastAsia="es-ES"/>
        </w:rPr>
        <w:t>Introduction:</w:t>
      </w:r>
      <w:r w:rsidRPr="00E31389">
        <w:rPr>
          <w:lang w:val="en" w:eastAsia="es-ES"/>
        </w:rPr>
        <w:t xml:space="preserve"> The recent SARS-CoV-2 coronavirus pandemic has had a significant impact on the general population. Hemodialysis patients due to their characteristics are especially vulnerable.</w:t>
      </w:r>
    </w:p>
    <w:p w14:paraId="3EE196BD" w14:textId="77777777" w:rsidR="00640ABC" w:rsidRPr="00095276" w:rsidRDefault="00E31389" w:rsidP="00640ABC">
      <w:pPr>
        <w:spacing w:line="360" w:lineRule="auto"/>
        <w:jc w:val="both"/>
        <w:rPr>
          <w:lang w:val="en" w:eastAsia="es-ES"/>
        </w:rPr>
      </w:pPr>
      <w:r w:rsidRPr="00E31389">
        <w:rPr>
          <w:b/>
          <w:lang w:val="en" w:eastAsia="es-ES"/>
        </w:rPr>
        <w:t>Objective:</w:t>
      </w:r>
      <w:r w:rsidRPr="00E31389">
        <w:rPr>
          <w:lang w:val="en" w:eastAsia="es-ES"/>
        </w:rPr>
        <w:t xml:space="preserve"> </w:t>
      </w:r>
      <w:r w:rsidR="00640ABC" w:rsidRPr="001F2BEB">
        <w:rPr>
          <w:lang w:val="en" w:eastAsia="es-ES"/>
        </w:rPr>
        <w:t>Specify the characteristics of patients with COVID-19, with chronic kidney disease, on hemodialysis.</w:t>
      </w:r>
    </w:p>
    <w:p w14:paraId="7C8AFCBD" w14:textId="6F60A75A" w:rsidR="00E31389" w:rsidRPr="00E31389" w:rsidRDefault="00E31389" w:rsidP="00E31389">
      <w:pPr>
        <w:spacing w:line="360" w:lineRule="auto"/>
        <w:jc w:val="both"/>
        <w:rPr>
          <w:lang w:val="en" w:eastAsia="es-ES"/>
        </w:rPr>
      </w:pPr>
      <w:r w:rsidRPr="00E31389">
        <w:rPr>
          <w:b/>
          <w:lang w:val="en" w:eastAsia="es-ES"/>
        </w:rPr>
        <w:t>Methods:</w:t>
      </w:r>
      <w:r w:rsidRPr="00E31389">
        <w:rPr>
          <w:lang w:val="en" w:eastAsia="es-ES"/>
        </w:rPr>
        <w:t xml:space="preserve"> Descriptive, cross-sectional study in 14 patients on hemodialysis positive for SARS-CoV-2. All the cases were diagnosed positive through the </w:t>
      </w:r>
      <w:proofErr w:type="spellStart"/>
      <w:r w:rsidRPr="00E31389">
        <w:rPr>
          <w:lang w:val="en" w:eastAsia="es-ES"/>
        </w:rPr>
        <w:t>rRT</w:t>
      </w:r>
      <w:proofErr w:type="spellEnd"/>
      <w:r w:rsidRPr="00E31389">
        <w:rPr>
          <w:lang w:val="en" w:eastAsia="es-ES"/>
        </w:rPr>
        <w:t>-PCR test. The source of infection and the clinical picture presented at the time of diagnosis were identified. All patients underwent blood tests at the beginning.</w:t>
      </w:r>
    </w:p>
    <w:p w14:paraId="7B0EE66D" w14:textId="77777777" w:rsidR="00E31389" w:rsidRPr="00E31389" w:rsidRDefault="00E31389" w:rsidP="00E31389">
      <w:pPr>
        <w:spacing w:line="360" w:lineRule="auto"/>
        <w:jc w:val="both"/>
        <w:rPr>
          <w:lang w:val="en" w:eastAsia="es-ES"/>
        </w:rPr>
      </w:pPr>
      <w:r w:rsidRPr="00E31389">
        <w:rPr>
          <w:b/>
          <w:lang w:val="en" w:eastAsia="es-ES"/>
        </w:rPr>
        <w:t xml:space="preserve">Results: </w:t>
      </w:r>
      <w:r w:rsidRPr="00E31389">
        <w:rPr>
          <w:lang w:val="en" w:eastAsia="es-ES"/>
        </w:rPr>
        <w:t xml:space="preserve">92.8% (13 patients) had previous contact with a positive case. At diagnosis 9 (64.28%) patients had symptoms and 5 (35.7%) were asymptomatic. Dyspnea (8 patients), fever and dry cough (7 patients) predominated. Lymphopenia was observed with an average of 0.12 in symptomatic patients, and 0.31 in asymptomatic patients. There was an increase in the mean ferritin of 3096 </w:t>
      </w:r>
      <w:r w:rsidRPr="00E31389">
        <w:rPr>
          <w:lang w:val="en-US" w:eastAsia="es-ES"/>
        </w:rPr>
        <w:t xml:space="preserve">µg/l </w:t>
      </w:r>
      <w:r w:rsidRPr="00E31389">
        <w:rPr>
          <w:lang w:val="en" w:eastAsia="es-ES"/>
        </w:rPr>
        <w:t xml:space="preserve">in symptomatic patients by 1001 </w:t>
      </w:r>
      <w:r w:rsidRPr="00E31389">
        <w:rPr>
          <w:lang w:val="en-US" w:eastAsia="es-ES"/>
        </w:rPr>
        <w:t xml:space="preserve">µg/l </w:t>
      </w:r>
      <w:r w:rsidRPr="00E31389">
        <w:rPr>
          <w:lang w:val="en" w:eastAsia="es-ES"/>
        </w:rPr>
        <w:t xml:space="preserve">in asymptomatic patients, and in C-reactive protein values, with an average of 67 </w:t>
      </w:r>
      <w:r w:rsidRPr="00E31389">
        <w:rPr>
          <w:lang w:val="en-US" w:eastAsia="es-ES"/>
        </w:rPr>
        <w:t>mg/l</w:t>
      </w:r>
      <w:r w:rsidRPr="00E31389">
        <w:rPr>
          <w:lang w:val="en" w:eastAsia="es-ES"/>
        </w:rPr>
        <w:t xml:space="preserve"> in symptomatic patients by 18.2 </w:t>
      </w:r>
      <w:r w:rsidRPr="00E31389">
        <w:rPr>
          <w:lang w:val="en-US" w:eastAsia="es-ES"/>
        </w:rPr>
        <w:t>mg/l</w:t>
      </w:r>
      <w:r w:rsidRPr="00E31389">
        <w:rPr>
          <w:lang w:val="en" w:eastAsia="es-ES"/>
        </w:rPr>
        <w:t xml:space="preserve"> in asymptomatic patients.</w:t>
      </w:r>
    </w:p>
    <w:p w14:paraId="05AAE8E6" w14:textId="77777777" w:rsidR="00E31389" w:rsidRPr="00E31389" w:rsidRDefault="00E31389" w:rsidP="00E31389">
      <w:pPr>
        <w:spacing w:line="360" w:lineRule="auto"/>
        <w:jc w:val="both"/>
        <w:rPr>
          <w:lang w:val="en-US" w:eastAsia="es-ES"/>
        </w:rPr>
      </w:pPr>
      <w:r w:rsidRPr="00E31389">
        <w:rPr>
          <w:b/>
          <w:lang w:val="en" w:eastAsia="es-ES"/>
        </w:rPr>
        <w:t>Conclusions:</w:t>
      </w:r>
      <w:r w:rsidRPr="00E31389">
        <w:rPr>
          <w:lang w:val="en" w:eastAsia="es-ES"/>
        </w:rPr>
        <w:t xml:space="preserve"> In the hemodialysis patients with chronic kidney disease diagnosed with COVID-19, there were no differences in sex in terms of symptoms, with lymphopenia and the presence of elevated inflammatory markers at the time of diagnosis, mainly in symptomatic patients.</w:t>
      </w:r>
    </w:p>
    <w:p w14:paraId="08B5786E" w14:textId="77777777" w:rsidR="00E31389" w:rsidRPr="00E31389" w:rsidRDefault="00E31389" w:rsidP="00E31389">
      <w:pPr>
        <w:spacing w:line="360" w:lineRule="auto"/>
        <w:jc w:val="both"/>
        <w:rPr>
          <w:lang w:val="en-US" w:eastAsia="es-ES"/>
        </w:rPr>
      </w:pPr>
      <w:r w:rsidRPr="00E31389">
        <w:rPr>
          <w:b/>
          <w:lang w:val="en-US" w:eastAsia="es-ES"/>
        </w:rPr>
        <w:t>Keywords:</w:t>
      </w:r>
      <w:r w:rsidRPr="00E31389">
        <w:rPr>
          <w:lang w:val="en-US" w:eastAsia="es-ES"/>
        </w:rPr>
        <w:t xml:space="preserve"> SARS-CoV-2; COVID-19; chronic kidney disease; hemodialysis.</w:t>
      </w:r>
    </w:p>
    <w:p w14:paraId="34D9C245" w14:textId="77777777" w:rsidR="00E31389" w:rsidRPr="00E31389" w:rsidRDefault="00E31389" w:rsidP="00E31389">
      <w:pPr>
        <w:spacing w:line="360" w:lineRule="auto"/>
        <w:jc w:val="both"/>
        <w:rPr>
          <w:lang w:val="en-US" w:eastAsia="es-ES"/>
        </w:rPr>
      </w:pPr>
    </w:p>
    <w:p w14:paraId="20FE8E49" w14:textId="77777777" w:rsidR="00E31389" w:rsidRPr="00E31389" w:rsidRDefault="00E31389" w:rsidP="00E31389">
      <w:pPr>
        <w:spacing w:line="360" w:lineRule="auto"/>
        <w:jc w:val="both"/>
        <w:rPr>
          <w:lang w:val="en-US" w:eastAsia="es-ES"/>
        </w:rPr>
      </w:pPr>
    </w:p>
    <w:p w14:paraId="60A5495B" w14:textId="77777777" w:rsidR="00E31389" w:rsidRPr="00E31389" w:rsidRDefault="00E31389" w:rsidP="00E31389">
      <w:pPr>
        <w:spacing w:line="360" w:lineRule="auto"/>
        <w:jc w:val="both"/>
        <w:rPr>
          <w:lang w:val="es-CU" w:eastAsia="es-ES"/>
        </w:rPr>
      </w:pPr>
      <w:r w:rsidRPr="00E31389">
        <w:rPr>
          <w:lang w:val="es-CU" w:eastAsia="es-ES"/>
        </w:rPr>
        <w:t>Recibido: 24/07/2020</w:t>
      </w:r>
    </w:p>
    <w:p w14:paraId="3FFC02CC" w14:textId="77777777" w:rsidR="00E31389" w:rsidRPr="00E31389" w:rsidRDefault="00E31389" w:rsidP="00E31389">
      <w:pPr>
        <w:spacing w:line="360" w:lineRule="auto"/>
        <w:jc w:val="both"/>
        <w:rPr>
          <w:lang w:val="es-CU" w:eastAsia="es-ES"/>
        </w:rPr>
      </w:pPr>
      <w:r w:rsidRPr="00E31389">
        <w:rPr>
          <w:lang w:val="es-CU" w:eastAsia="es-ES"/>
        </w:rPr>
        <w:t>Aprobado: 05/02/2020</w:t>
      </w:r>
    </w:p>
    <w:p w14:paraId="420424AD" w14:textId="77777777" w:rsidR="00E31389" w:rsidRPr="00E31389" w:rsidRDefault="00E31389" w:rsidP="00E31389">
      <w:pPr>
        <w:spacing w:line="360" w:lineRule="auto"/>
        <w:jc w:val="both"/>
        <w:rPr>
          <w:rFonts w:eastAsia="Calibri"/>
          <w:b/>
          <w:lang w:val="es-CU" w:eastAsia="en-US"/>
        </w:rPr>
      </w:pPr>
    </w:p>
    <w:p w14:paraId="33FFCF26" w14:textId="77777777" w:rsidR="00E31389" w:rsidRPr="00E31389" w:rsidRDefault="00E31389" w:rsidP="00E31389">
      <w:pPr>
        <w:spacing w:line="360" w:lineRule="auto"/>
        <w:jc w:val="both"/>
        <w:rPr>
          <w:rFonts w:eastAsia="Calibri"/>
          <w:b/>
          <w:lang w:val="es-ES" w:eastAsia="en-US"/>
        </w:rPr>
      </w:pPr>
    </w:p>
    <w:p w14:paraId="77BAB786" w14:textId="77777777" w:rsidR="00E31389" w:rsidRPr="00E31389" w:rsidRDefault="00E31389" w:rsidP="00E31389">
      <w:pPr>
        <w:spacing w:line="360" w:lineRule="auto"/>
        <w:jc w:val="center"/>
        <w:rPr>
          <w:rFonts w:eastAsia="Calibri"/>
          <w:b/>
          <w:sz w:val="32"/>
          <w:szCs w:val="32"/>
          <w:lang w:val="es-ES" w:eastAsia="en-US"/>
        </w:rPr>
      </w:pPr>
      <w:r w:rsidRPr="00E31389">
        <w:rPr>
          <w:rFonts w:eastAsia="Calibri"/>
          <w:b/>
          <w:sz w:val="32"/>
          <w:szCs w:val="32"/>
          <w:lang w:val="es-ES" w:eastAsia="en-US"/>
        </w:rPr>
        <w:t>INTRODUCCIÓN</w:t>
      </w:r>
    </w:p>
    <w:p w14:paraId="511F7DE6" w14:textId="77777777" w:rsidR="00E31389" w:rsidRPr="00E31389" w:rsidRDefault="00E31389" w:rsidP="00E31389">
      <w:pPr>
        <w:spacing w:line="360" w:lineRule="auto"/>
        <w:jc w:val="both"/>
        <w:rPr>
          <w:rFonts w:eastAsia="Calibri"/>
          <w:lang w:val="es-ES" w:eastAsia="en-US"/>
        </w:rPr>
      </w:pPr>
      <w:r w:rsidRPr="00E31389">
        <w:rPr>
          <w:rFonts w:eastAsia="Calibri"/>
          <w:lang w:val="es-ES" w:eastAsia="en-US"/>
        </w:rPr>
        <w:t xml:space="preserve">A finales de 2019, las autoridades de la República Popular China comunicaron a la Organización Mundial de la Salud varios casos de neumonía de etiología desconocida en Wuhan, una ciudad situada en la provincia china de Hubei. Más tarde se comprobó que se trataba de una infección ocasionada por un nuevo coronavirus denominado SARS-CoV-2. Este virus causa diversas manifestaciones clínicas englobadas bajo el término COVID-19, que incluyen cuadros respiratorios que varían desde el resfriado común hasta neumonías graves con síndrome de distrés respiratorio, </w:t>
      </w:r>
      <w:r w:rsidRPr="00E31389">
        <w:rPr>
          <w:rFonts w:eastAsia="Calibri"/>
          <w:i/>
          <w:lang w:val="es-ES" w:eastAsia="en-US"/>
        </w:rPr>
        <w:t>shock</w:t>
      </w:r>
      <w:r w:rsidRPr="00E31389">
        <w:rPr>
          <w:rFonts w:eastAsia="Calibri"/>
          <w:lang w:val="es-ES" w:eastAsia="en-US"/>
        </w:rPr>
        <w:t xml:space="preserve"> séptico y fallo </w:t>
      </w:r>
      <w:proofErr w:type="gramStart"/>
      <w:r w:rsidRPr="00E31389">
        <w:rPr>
          <w:rFonts w:eastAsia="Calibri"/>
          <w:lang w:val="es-ES" w:eastAsia="en-US"/>
        </w:rPr>
        <w:t>multiorgánico.</w:t>
      </w:r>
      <w:r w:rsidRPr="00E31389">
        <w:rPr>
          <w:rFonts w:eastAsia="Calibri"/>
          <w:vertAlign w:val="superscript"/>
          <w:lang w:val="es-ES" w:eastAsia="en-US"/>
        </w:rPr>
        <w:t>(</w:t>
      </w:r>
      <w:proofErr w:type="gramEnd"/>
      <w:r w:rsidRPr="00E31389">
        <w:rPr>
          <w:rFonts w:eastAsia="Calibri"/>
          <w:vertAlign w:val="superscript"/>
          <w:lang w:val="es-ES" w:eastAsia="en-US"/>
        </w:rPr>
        <w:t>1,2,3,4,5,6)</w:t>
      </w:r>
    </w:p>
    <w:p w14:paraId="402DC1E3" w14:textId="77777777" w:rsidR="00E31389" w:rsidRPr="00E31389" w:rsidRDefault="00E31389" w:rsidP="00E31389">
      <w:pPr>
        <w:spacing w:line="360" w:lineRule="auto"/>
        <w:jc w:val="both"/>
        <w:rPr>
          <w:rFonts w:eastAsia="Calibri"/>
          <w:lang w:val="es-ES" w:eastAsia="en-US"/>
        </w:rPr>
      </w:pPr>
      <w:r w:rsidRPr="00E31389">
        <w:rPr>
          <w:rFonts w:eastAsia="Calibri"/>
          <w:lang w:val="es-ES" w:eastAsia="en-US"/>
        </w:rPr>
        <w:t>La aparición de una pandemia como esta, ha obligado a prestar atención especial a grupos vulnerables de la población, y entre ellos están aquellos con enfermedad renal crónica (ERC), especialmente los pacientes en hemodiálisis.</w:t>
      </w:r>
    </w:p>
    <w:p w14:paraId="3673F96E" w14:textId="77777777" w:rsidR="00E31389" w:rsidRPr="00E31389" w:rsidRDefault="00E31389" w:rsidP="00E31389">
      <w:pPr>
        <w:spacing w:line="360" w:lineRule="auto"/>
        <w:jc w:val="both"/>
        <w:rPr>
          <w:rFonts w:eastAsia="Calibri"/>
          <w:lang w:val="es-ES" w:eastAsia="en-US"/>
        </w:rPr>
      </w:pPr>
      <w:r w:rsidRPr="00E31389">
        <w:rPr>
          <w:rFonts w:eastAsia="Calibri"/>
          <w:lang w:val="es-ES" w:eastAsia="en-US"/>
        </w:rPr>
        <w:t xml:space="preserve">La afectación renal aguda puede estar presente en estos pacientes. El 6,7 % de los pacientes con SARS tuvieron insuficiencia renal aguda, con una mortalidad del 91 %. La presencia de proteinuria, hematuria y creatinina basal elevadas, constituyen un mayor </w:t>
      </w:r>
      <w:proofErr w:type="gramStart"/>
      <w:r w:rsidRPr="00E31389">
        <w:rPr>
          <w:rFonts w:eastAsia="Calibri"/>
          <w:lang w:val="es-ES" w:eastAsia="en-US"/>
        </w:rPr>
        <w:t>riesgo.</w:t>
      </w:r>
      <w:r w:rsidRPr="00E31389">
        <w:rPr>
          <w:rFonts w:eastAsia="Calibri"/>
          <w:vertAlign w:val="superscript"/>
          <w:lang w:val="es-ES" w:eastAsia="en-US"/>
        </w:rPr>
        <w:t>(</w:t>
      </w:r>
      <w:proofErr w:type="gramEnd"/>
      <w:r w:rsidRPr="00E31389">
        <w:rPr>
          <w:rFonts w:eastAsia="Calibri"/>
          <w:vertAlign w:val="superscript"/>
          <w:lang w:val="es-ES" w:eastAsia="en-US"/>
        </w:rPr>
        <w:t>1)</w:t>
      </w:r>
    </w:p>
    <w:p w14:paraId="1A34D43E" w14:textId="77777777" w:rsidR="00E31389" w:rsidRPr="00E31389" w:rsidRDefault="00E31389" w:rsidP="00E31389">
      <w:pPr>
        <w:spacing w:line="360" w:lineRule="auto"/>
        <w:jc w:val="both"/>
        <w:rPr>
          <w:rFonts w:eastAsia="Calibri"/>
          <w:lang w:val="es-ES" w:eastAsia="en-US"/>
        </w:rPr>
      </w:pPr>
      <w:r w:rsidRPr="00E31389">
        <w:rPr>
          <w:rFonts w:eastAsia="Calibri"/>
          <w:lang w:val="es-ES" w:eastAsia="en-US"/>
        </w:rPr>
        <w:t xml:space="preserve">Es importante tener en cuenta que la presencia de enfermedad renal previa a la infección, representa un mayor riesgo de deterioro del paciente. Los pacientes en hemodiálisis son un grupo de alta vulnerabilidad, no solo por la insuficiencia renal, también porque la gran mayoría presentan otras múltiples </w:t>
      </w:r>
      <w:proofErr w:type="gramStart"/>
      <w:r w:rsidRPr="00E31389">
        <w:rPr>
          <w:rFonts w:eastAsia="Calibri"/>
          <w:lang w:val="es-ES" w:eastAsia="en-US"/>
        </w:rPr>
        <w:t>comorbilidades.</w:t>
      </w:r>
      <w:r w:rsidRPr="00E31389">
        <w:rPr>
          <w:rFonts w:eastAsia="Calibri"/>
          <w:vertAlign w:val="superscript"/>
          <w:lang w:val="es-ES" w:eastAsia="en-US"/>
        </w:rPr>
        <w:t>(</w:t>
      </w:r>
      <w:proofErr w:type="gramEnd"/>
      <w:r w:rsidRPr="00E31389">
        <w:rPr>
          <w:rFonts w:eastAsia="Calibri"/>
          <w:vertAlign w:val="superscript"/>
          <w:lang w:val="es-ES" w:eastAsia="en-US"/>
        </w:rPr>
        <w:t>1,6)</w:t>
      </w:r>
    </w:p>
    <w:p w14:paraId="77BF1BD9" w14:textId="77777777" w:rsidR="00E31389" w:rsidRPr="00E31389" w:rsidRDefault="00E31389" w:rsidP="00E31389">
      <w:pPr>
        <w:spacing w:line="360" w:lineRule="auto"/>
        <w:jc w:val="both"/>
        <w:rPr>
          <w:rFonts w:eastAsia="Calibri"/>
          <w:lang w:val="es-ES" w:eastAsia="en-US"/>
        </w:rPr>
      </w:pPr>
      <w:r w:rsidRPr="00E31389">
        <w:rPr>
          <w:rFonts w:eastAsia="Calibri"/>
          <w:lang w:val="es-ES" w:eastAsia="en-US"/>
        </w:rPr>
        <w:t>En Cuba desde el primer momento, se trazaron estrategias para la prevención y control de la pandemia, incluso mucho antes del diagnóstico de los primeros casos en el país. Se designaron instituciones para la atención de pacientes positivos al SARS-CoV-2, donde estaba incluida la atención a los pacientes en hemodiálisis que fueran diagnosticados con el virus.</w:t>
      </w:r>
    </w:p>
    <w:p w14:paraId="799C3F0D" w14:textId="77777777" w:rsidR="00E31389" w:rsidRPr="00E31389" w:rsidRDefault="00E31389" w:rsidP="00E31389">
      <w:pPr>
        <w:spacing w:line="360" w:lineRule="auto"/>
        <w:jc w:val="both"/>
        <w:rPr>
          <w:rFonts w:eastAsia="Calibri"/>
          <w:lang w:val="es-ES" w:eastAsia="en-US"/>
        </w:rPr>
      </w:pPr>
      <w:r w:rsidRPr="00E31389">
        <w:rPr>
          <w:rFonts w:eastAsia="Calibri"/>
          <w:lang w:val="es-ES" w:eastAsia="en-US"/>
        </w:rPr>
        <w:lastRenderedPageBreak/>
        <w:t xml:space="preserve">El interés fue lograr una primera casuística que pueda ser reportada tempranamente, para la divulgación dentro de la comunidad médica, con la esperanza de que esta experiencia ayude en la atención de futuros pacientes con esta enfermedad de base. </w:t>
      </w:r>
    </w:p>
    <w:p w14:paraId="0EB57971" w14:textId="77777777" w:rsidR="00626EFA" w:rsidRPr="00EE19BF" w:rsidRDefault="00626EFA" w:rsidP="00626EFA">
      <w:pPr>
        <w:spacing w:line="360" w:lineRule="auto"/>
        <w:jc w:val="both"/>
      </w:pPr>
      <w:r w:rsidRPr="00EE19BF">
        <w:t>El objetivo de este estudio</w:t>
      </w:r>
      <w:r>
        <w:t xml:space="preserve"> es e</w:t>
      </w:r>
      <w:r w:rsidRPr="003018BF">
        <w:t>specificar las características de pacientes con la COVID-19, portadores de enfermedad renal crónica, en régimen de hemodiálisis</w:t>
      </w:r>
      <w:r w:rsidRPr="00EE19BF">
        <w:t>.</w:t>
      </w:r>
    </w:p>
    <w:p w14:paraId="7A2BD339" w14:textId="3D4B5981" w:rsidR="00E31389" w:rsidRPr="00626EFA" w:rsidRDefault="00E31389" w:rsidP="00E31389">
      <w:pPr>
        <w:spacing w:line="360" w:lineRule="auto"/>
        <w:jc w:val="both"/>
        <w:rPr>
          <w:rFonts w:eastAsia="Calibri"/>
          <w:lang w:eastAsia="en-US"/>
        </w:rPr>
      </w:pPr>
    </w:p>
    <w:p w14:paraId="7E533B7F" w14:textId="77777777" w:rsidR="00E31389" w:rsidRPr="00E31389" w:rsidRDefault="00E31389" w:rsidP="00E31389">
      <w:pPr>
        <w:spacing w:line="360" w:lineRule="auto"/>
        <w:jc w:val="both"/>
        <w:rPr>
          <w:rFonts w:eastAsia="Calibri"/>
          <w:lang w:val="es-ES" w:eastAsia="en-US"/>
        </w:rPr>
      </w:pPr>
    </w:p>
    <w:p w14:paraId="5E0E93C4" w14:textId="77777777" w:rsidR="00E31389" w:rsidRPr="00E31389" w:rsidRDefault="00E31389" w:rsidP="00E31389">
      <w:pPr>
        <w:spacing w:line="360" w:lineRule="auto"/>
        <w:jc w:val="center"/>
        <w:rPr>
          <w:rFonts w:eastAsia="Calibri"/>
          <w:b/>
          <w:sz w:val="32"/>
          <w:szCs w:val="32"/>
          <w:lang w:val="es-ES" w:eastAsia="en-US"/>
        </w:rPr>
      </w:pPr>
      <w:r w:rsidRPr="00E31389">
        <w:rPr>
          <w:rFonts w:eastAsia="Calibri"/>
          <w:b/>
          <w:sz w:val="32"/>
          <w:szCs w:val="32"/>
          <w:lang w:val="es-ES" w:eastAsia="en-US"/>
        </w:rPr>
        <w:t>MÉTODOS</w:t>
      </w:r>
    </w:p>
    <w:p w14:paraId="7047A0DD" w14:textId="77777777" w:rsidR="00E31389" w:rsidRPr="00E31389" w:rsidRDefault="00E31389" w:rsidP="00E31389">
      <w:pPr>
        <w:spacing w:line="360" w:lineRule="auto"/>
        <w:jc w:val="both"/>
        <w:rPr>
          <w:rFonts w:eastAsia="Calibri"/>
          <w:lang w:val="es-ES" w:eastAsia="en-US"/>
        </w:rPr>
      </w:pPr>
      <w:r w:rsidRPr="00E31389">
        <w:rPr>
          <w:rFonts w:eastAsia="Calibri"/>
          <w:lang w:val="es-ES" w:eastAsia="en-US"/>
        </w:rPr>
        <w:t xml:space="preserve">Se realizó un estudio descriptivo, de corte transversal en 14 pacientes con enfermedad renal crónica, en hemodiálisis, positivos al SARS-CoV-2, atendidos en el Hospital Militar Central “Dr. Luis Díaz Soto”, desde el 11 de marzo hasta el 11 de junio de 2020. </w:t>
      </w:r>
    </w:p>
    <w:p w14:paraId="06F33640" w14:textId="77777777" w:rsidR="00E31389" w:rsidRPr="00E31389" w:rsidRDefault="00E31389" w:rsidP="00E31389">
      <w:pPr>
        <w:spacing w:line="360" w:lineRule="auto"/>
        <w:jc w:val="both"/>
        <w:rPr>
          <w:rFonts w:eastAsia="Calibri"/>
          <w:lang w:val="es-ES" w:eastAsia="en-US"/>
        </w:rPr>
      </w:pPr>
      <w:r w:rsidRPr="00E31389">
        <w:rPr>
          <w:rFonts w:eastAsia="Calibri"/>
          <w:lang w:val="es-ES" w:eastAsia="en-US"/>
        </w:rPr>
        <w:t xml:space="preserve">Fueron incluidos todos los pacientes con más de seis meses en régimen dialítico en el momento de ser diagnosticados con el SARS-CoV-2. Todos los casos fueron diagnosticados positivos para SARS-CoV-2 a través de la prueba molecular de </w:t>
      </w:r>
      <w:proofErr w:type="spellStart"/>
      <w:r w:rsidRPr="00E31389">
        <w:rPr>
          <w:rFonts w:eastAsia="Calibri"/>
          <w:i/>
          <w:lang w:val="es-ES" w:eastAsia="en-US"/>
        </w:rPr>
        <w:t>polimerase</w:t>
      </w:r>
      <w:proofErr w:type="spellEnd"/>
      <w:r w:rsidRPr="00E31389">
        <w:rPr>
          <w:rFonts w:eastAsia="Calibri"/>
          <w:i/>
          <w:lang w:val="es-ES" w:eastAsia="en-US"/>
        </w:rPr>
        <w:t xml:space="preserve"> </w:t>
      </w:r>
      <w:proofErr w:type="spellStart"/>
      <w:r w:rsidRPr="00E31389">
        <w:rPr>
          <w:rFonts w:eastAsia="Calibri"/>
          <w:i/>
          <w:lang w:val="es-ES" w:eastAsia="en-US"/>
        </w:rPr>
        <w:t>chain</w:t>
      </w:r>
      <w:proofErr w:type="spellEnd"/>
      <w:r w:rsidRPr="00E31389">
        <w:rPr>
          <w:rFonts w:eastAsia="Calibri"/>
          <w:i/>
          <w:lang w:val="es-ES" w:eastAsia="en-US"/>
        </w:rPr>
        <w:t xml:space="preserve"> </w:t>
      </w:r>
      <w:proofErr w:type="spellStart"/>
      <w:r w:rsidRPr="00E31389">
        <w:rPr>
          <w:rFonts w:eastAsia="Calibri"/>
          <w:i/>
          <w:lang w:val="es-ES" w:eastAsia="en-US"/>
        </w:rPr>
        <w:t>reaction</w:t>
      </w:r>
      <w:proofErr w:type="spellEnd"/>
      <w:r w:rsidRPr="00E31389">
        <w:rPr>
          <w:rFonts w:eastAsia="Calibri"/>
          <w:i/>
          <w:lang w:val="es-ES" w:eastAsia="en-US"/>
        </w:rPr>
        <w:t xml:space="preserve"> – real time </w:t>
      </w:r>
      <w:r w:rsidRPr="00E31389">
        <w:rPr>
          <w:rFonts w:eastAsia="Calibri"/>
          <w:lang w:val="es-ES" w:eastAsia="en-US"/>
        </w:rPr>
        <w:t xml:space="preserve">(PCR-TR). </w:t>
      </w:r>
    </w:p>
    <w:p w14:paraId="3B74E162" w14:textId="77777777" w:rsidR="00E31389" w:rsidRPr="00E31389" w:rsidRDefault="00E31389" w:rsidP="00E31389">
      <w:pPr>
        <w:spacing w:line="360" w:lineRule="auto"/>
        <w:jc w:val="both"/>
        <w:rPr>
          <w:rFonts w:eastAsia="Calibri"/>
          <w:lang w:val="es-ES" w:eastAsia="en-US"/>
        </w:rPr>
      </w:pPr>
      <w:r w:rsidRPr="00E31389">
        <w:rPr>
          <w:rFonts w:eastAsia="Calibri"/>
          <w:lang w:val="es-ES" w:eastAsia="en-US"/>
        </w:rPr>
        <w:t xml:space="preserve">Se registraron las características demográficas, se determinó la fuente de infección, así como los síntomas y signos al momento del diagnóstico. </w:t>
      </w:r>
    </w:p>
    <w:p w14:paraId="0DF745EB" w14:textId="77777777" w:rsidR="00E31389" w:rsidRPr="00E31389" w:rsidRDefault="00E31389" w:rsidP="00E31389">
      <w:pPr>
        <w:spacing w:line="360" w:lineRule="auto"/>
        <w:jc w:val="both"/>
        <w:rPr>
          <w:rFonts w:eastAsia="Calibri"/>
          <w:lang w:val="es-ES" w:eastAsia="en-US"/>
        </w:rPr>
      </w:pPr>
      <w:r w:rsidRPr="00E31389">
        <w:rPr>
          <w:rFonts w:eastAsia="Calibri"/>
          <w:lang w:val="es-ES" w:eastAsia="en-US"/>
        </w:rPr>
        <w:t xml:space="preserve">A todos los pacientes se les realizaron complementarias iniciales, con las técnicas para su medición, en un auto analizador Hitachi modelo 902, se midieron en el suero los niveles de leucocitos, ferritina, </w:t>
      </w:r>
      <w:proofErr w:type="gramStart"/>
      <w:r w:rsidRPr="00E31389">
        <w:rPr>
          <w:rFonts w:eastAsia="Calibri"/>
          <w:lang w:val="es-ES" w:eastAsia="en-US"/>
        </w:rPr>
        <w:t>transaminasa glutámico</w:t>
      </w:r>
      <w:proofErr w:type="gramEnd"/>
      <w:r w:rsidRPr="00E31389">
        <w:rPr>
          <w:rFonts w:eastAsia="Calibri"/>
          <w:lang w:val="es-ES" w:eastAsia="en-US"/>
        </w:rPr>
        <w:t xml:space="preserve"> </w:t>
      </w:r>
      <w:proofErr w:type="spellStart"/>
      <w:r w:rsidRPr="00E31389">
        <w:rPr>
          <w:rFonts w:eastAsia="Calibri"/>
          <w:lang w:val="es-ES" w:eastAsia="en-US"/>
        </w:rPr>
        <w:t>oxalacética</w:t>
      </w:r>
      <w:proofErr w:type="spellEnd"/>
      <w:r w:rsidRPr="00E31389">
        <w:rPr>
          <w:rFonts w:eastAsia="Calibri"/>
          <w:lang w:val="es-ES" w:eastAsia="en-US"/>
        </w:rPr>
        <w:t xml:space="preserve"> (TGO), transaminasa glutámico pirúvica (TGP) y proteína C reactiva.</w:t>
      </w:r>
    </w:p>
    <w:p w14:paraId="62420FA0" w14:textId="77777777" w:rsidR="00E31389" w:rsidRPr="00E31389" w:rsidRDefault="00E31389" w:rsidP="00E31389">
      <w:pPr>
        <w:spacing w:line="360" w:lineRule="auto"/>
        <w:jc w:val="both"/>
        <w:rPr>
          <w:rFonts w:eastAsia="Calibri"/>
          <w:lang w:val="es-ES" w:eastAsia="en-US"/>
        </w:rPr>
      </w:pPr>
      <w:r w:rsidRPr="00E31389">
        <w:rPr>
          <w:rFonts w:eastAsia="Calibri"/>
          <w:lang w:val="es-ES" w:eastAsia="en-US"/>
        </w:rPr>
        <w:t xml:space="preserve">Se determinaron la media y la desviación estándar de los complementarios iniciales. Los resultados se expusieron en tablas y gráficos para su mejor análisis.  </w:t>
      </w:r>
    </w:p>
    <w:p w14:paraId="1B5E635D" w14:textId="77777777" w:rsidR="00E31389" w:rsidRPr="00E31389" w:rsidRDefault="00E31389" w:rsidP="00E31389">
      <w:pPr>
        <w:spacing w:line="360" w:lineRule="auto"/>
        <w:jc w:val="both"/>
        <w:rPr>
          <w:rFonts w:eastAsia="Calibri"/>
          <w:lang w:eastAsia="en-US"/>
        </w:rPr>
      </w:pPr>
    </w:p>
    <w:p w14:paraId="0F16B264" w14:textId="77777777" w:rsidR="00E31389" w:rsidRPr="00E31389" w:rsidRDefault="00E31389" w:rsidP="00E31389">
      <w:pPr>
        <w:spacing w:line="360" w:lineRule="auto"/>
        <w:jc w:val="both"/>
        <w:rPr>
          <w:rFonts w:eastAsia="Calibri"/>
          <w:b/>
          <w:lang w:eastAsia="en-US"/>
        </w:rPr>
      </w:pPr>
    </w:p>
    <w:p w14:paraId="74C6645E" w14:textId="77777777" w:rsidR="00E31389" w:rsidRPr="00E31389" w:rsidRDefault="00E31389" w:rsidP="00E31389">
      <w:pPr>
        <w:spacing w:line="360" w:lineRule="auto"/>
        <w:jc w:val="center"/>
        <w:rPr>
          <w:rFonts w:eastAsia="Calibri"/>
          <w:b/>
          <w:sz w:val="32"/>
          <w:szCs w:val="32"/>
          <w:lang w:eastAsia="en-US"/>
        </w:rPr>
      </w:pPr>
      <w:r w:rsidRPr="00E31389">
        <w:rPr>
          <w:rFonts w:eastAsia="Calibri"/>
          <w:b/>
          <w:sz w:val="32"/>
          <w:szCs w:val="32"/>
          <w:lang w:eastAsia="en-US"/>
        </w:rPr>
        <w:t>RESULTADOS</w:t>
      </w:r>
    </w:p>
    <w:p w14:paraId="7A055345" w14:textId="77777777" w:rsidR="00E31389" w:rsidRPr="00E31389" w:rsidRDefault="00E31389" w:rsidP="00E31389">
      <w:pPr>
        <w:spacing w:line="360" w:lineRule="auto"/>
        <w:jc w:val="both"/>
        <w:rPr>
          <w:rFonts w:eastAsia="Calibri"/>
          <w:lang w:val="es-ES" w:eastAsia="en-US"/>
        </w:rPr>
      </w:pPr>
      <w:r w:rsidRPr="00E31389">
        <w:rPr>
          <w:rFonts w:eastAsia="Calibri"/>
          <w:lang w:val="es-ES" w:eastAsia="en-US"/>
        </w:rPr>
        <w:t>En la serie estudiada, como se ilustra en la tabla 1, predominaron los pacientes masculinos, para un 57,1 %; el 78 % presentaba más de 45 años, dado por 6 (42,8 %) pacientes entre 45 y 64 años y 5 (35,</w:t>
      </w:r>
      <w:proofErr w:type="gramStart"/>
      <w:r w:rsidRPr="00E31389">
        <w:rPr>
          <w:rFonts w:eastAsia="Calibri"/>
          <w:lang w:val="es-ES" w:eastAsia="en-US"/>
        </w:rPr>
        <w:t>7  %</w:t>
      </w:r>
      <w:proofErr w:type="gramEnd"/>
      <w:r w:rsidRPr="00E31389">
        <w:rPr>
          <w:rFonts w:eastAsia="Calibri"/>
          <w:lang w:val="es-ES" w:eastAsia="en-US"/>
        </w:rPr>
        <w:t xml:space="preserve">) quienes presentaban 65 o más años en el momento del diagnóstico. </w:t>
      </w:r>
    </w:p>
    <w:p w14:paraId="39587846" w14:textId="77777777" w:rsidR="00E31389" w:rsidRPr="00E31389" w:rsidRDefault="00E31389" w:rsidP="00E31389">
      <w:pPr>
        <w:spacing w:line="360" w:lineRule="auto"/>
        <w:jc w:val="both"/>
        <w:rPr>
          <w:rFonts w:eastAsia="Calibri"/>
          <w:sz w:val="22"/>
          <w:szCs w:val="22"/>
          <w:lang w:eastAsia="en-US"/>
        </w:rPr>
      </w:pPr>
    </w:p>
    <w:p w14:paraId="120AF92A" w14:textId="7A761C97" w:rsidR="00E31389" w:rsidRPr="00E31389" w:rsidRDefault="00E31389" w:rsidP="00E31389">
      <w:pPr>
        <w:keepNext/>
        <w:spacing w:after="200"/>
        <w:jc w:val="center"/>
        <w:rPr>
          <w:rFonts w:eastAsia="Calibri"/>
          <w:b/>
          <w:bCs/>
          <w:sz w:val="22"/>
          <w:szCs w:val="22"/>
          <w:lang w:val="es-ES" w:eastAsia="en-US"/>
        </w:rPr>
      </w:pPr>
      <w:r w:rsidRPr="00E31389">
        <w:rPr>
          <w:rFonts w:eastAsia="Calibri"/>
          <w:b/>
          <w:bCs/>
          <w:sz w:val="22"/>
          <w:szCs w:val="22"/>
          <w:lang w:val="es-ES" w:eastAsia="en-US"/>
        </w:rPr>
        <w:lastRenderedPageBreak/>
        <w:t xml:space="preserve">Tabla </w:t>
      </w:r>
      <w:r w:rsidRPr="00E31389">
        <w:rPr>
          <w:rFonts w:eastAsia="Calibri"/>
          <w:b/>
          <w:bCs/>
          <w:sz w:val="22"/>
          <w:szCs w:val="22"/>
          <w:lang w:val="es-ES" w:eastAsia="en-US"/>
        </w:rPr>
        <w:fldChar w:fldCharType="begin"/>
      </w:r>
      <w:r w:rsidRPr="00E31389">
        <w:rPr>
          <w:rFonts w:eastAsia="Calibri"/>
          <w:b/>
          <w:bCs/>
          <w:sz w:val="22"/>
          <w:szCs w:val="22"/>
          <w:lang w:val="es-ES" w:eastAsia="en-US"/>
        </w:rPr>
        <w:instrText xml:space="preserve"> SEQ Tabla \* ARABIC </w:instrText>
      </w:r>
      <w:r w:rsidRPr="00E31389">
        <w:rPr>
          <w:rFonts w:eastAsia="Calibri"/>
          <w:b/>
          <w:bCs/>
          <w:sz w:val="22"/>
          <w:szCs w:val="22"/>
          <w:lang w:val="es-ES" w:eastAsia="en-US"/>
        </w:rPr>
        <w:fldChar w:fldCharType="separate"/>
      </w:r>
      <w:r w:rsidR="00F50FCC">
        <w:rPr>
          <w:rFonts w:eastAsia="Calibri"/>
          <w:b/>
          <w:bCs/>
          <w:noProof/>
          <w:sz w:val="22"/>
          <w:szCs w:val="22"/>
          <w:lang w:val="es-ES" w:eastAsia="en-US"/>
        </w:rPr>
        <w:t>1</w:t>
      </w:r>
      <w:r w:rsidRPr="00E31389">
        <w:rPr>
          <w:rFonts w:eastAsia="Calibri"/>
          <w:b/>
          <w:bCs/>
          <w:sz w:val="22"/>
          <w:szCs w:val="22"/>
          <w:lang w:val="es-ES" w:eastAsia="en-US"/>
        </w:rPr>
        <w:fldChar w:fldCharType="end"/>
      </w:r>
      <w:r w:rsidRPr="00E31389">
        <w:rPr>
          <w:rFonts w:eastAsia="Calibri"/>
          <w:b/>
          <w:bCs/>
          <w:sz w:val="22"/>
          <w:szCs w:val="22"/>
          <w:lang w:val="es-ES" w:eastAsia="en-US"/>
        </w:rPr>
        <w:t xml:space="preserve"> - </w:t>
      </w:r>
      <w:r w:rsidRPr="00E31389">
        <w:rPr>
          <w:rFonts w:eastAsia="Calibri"/>
          <w:bCs/>
          <w:sz w:val="22"/>
          <w:szCs w:val="22"/>
          <w:lang w:val="es-ES" w:eastAsia="en-US"/>
        </w:rPr>
        <w:t>Variables sociodemográficas</w:t>
      </w:r>
    </w:p>
    <w:p w14:paraId="4A056AAB" w14:textId="66238377" w:rsidR="00E31389" w:rsidRPr="000F38A5" w:rsidRDefault="000F38A5" w:rsidP="00E31389">
      <w:pPr>
        <w:spacing w:line="360" w:lineRule="auto"/>
        <w:jc w:val="center"/>
        <w:rPr>
          <w:rFonts w:eastAsia="Calibri"/>
          <w:lang w:val="es-ES" w:eastAsia="en-US"/>
        </w:rPr>
      </w:pPr>
      <w:r>
        <w:rPr>
          <w:rFonts w:eastAsia="Calibri"/>
          <w:noProof/>
          <w:lang w:val="es-ES" w:eastAsia="en-US"/>
        </w:rPr>
        <w:drawing>
          <wp:inline distT="0" distB="0" distL="0" distR="0" wp14:anchorId="7B775773" wp14:editId="044418BD">
            <wp:extent cx="5153025" cy="1247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5">
                      <a:extLst>
                        <a:ext uri="{28A0092B-C50C-407E-A947-70E740481C1C}">
                          <a14:useLocalDpi xmlns:a14="http://schemas.microsoft.com/office/drawing/2010/main" val="0"/>
                        </a:ext>
                      </a:extLst>
                    </a:blip>
                    <a:stretch>
                      <a:fillRect/>
                    </a:stretch>
                  </pic:blipFill>
                  <pic:spPr>
                    <a:xfrm>
                      <a:off x="0" y="0"/>
                      <a:ext cx="5153025" cy="1247775"/>
                    </a:xfrm>
                    <a:prstGeom prst="rect">
                      <a:avLst/>
                    </a:prstGeom>
                  </pic:spPr>
                </pic:pic>
              </a:graphicData>
            </a:graphic>
          </wp:inline>
        </w:drawing>
      </w:r>
    </w:p>
    <w:p w14:paraId="4CD9F49E" w14:textId="77777777" w:rsidR="00E31389" w:rsidRPr="00E31389" w:rsidRDefault="00E31389" w:rsidP="00E31389">
      <w:pPr>
        <w:spacing w:line="360" w:lineRule="auto"/>
        <w:jc w:val="both"/>
        <w:rPr>
          <w:rFonts w:eastAsia="Calibri"/>
          <w:lang w:eastAsia="en-US"/>
        </w:rPr>
      </w:pPr>
    </w:p>
    <w:p w14:paraId="608A2AB6" w14:textId="77777777" w:rsidR="00E31389" w:rsidRPr="00E31389" w:rsidRDefault="00E31389" w:rsidP="00E31389">
      <w:pPr>
        <w:spacing w:line="360" w:lineRule="auto"/>
        <w:jc w:val="both"/>
        <w:rPr>
          <w:rFonts w:eastAsia="Calibri"/>
          <w:lang w:eastAsia="en-US"/>
        </w:rPr>
      </w:pPr>
      <w:r w:rsidRPr="00E31389">
        <w:rPr>
          <w:rFonts w:eastAsia="Calibri"/>
          <w:lang w:eastAsia="en-US"/>
        </w:rPr>
        <w:t xml:space="preserve">En el caso de los pacientes atendidos al analizar la fuente de infección (tabla 2), el 92,8 % (13), tuvo contacto previo con algún caso positivo, solo 1 paciente presentó fuente de infección en el extranjero. Al momento del diagnóstico, 9 (64,28 %) pacientes presentaban síntomas y 5 (35,7 %) fueron asintomáticos. </w:t>
      </w:r>
    </w:p>
    <w:p w14:paraId="2F9575BD" w14:textId="77777777" w:rsidR="00E31389" w:rsidRPr="00E31389" w:rsidRDefault="00E31389" w:rsidP="00E31389">
      <w:pPr>
        <w:spacing w:line="360" w:lineRule="auto"/>
        <w:jc w:val="both"/>
        <w:rPr>
          <w:rFonts w:eastAsia="Calibri"/>
          <w:lang w:eastAsia="en-US"/>
        </w:rPr>
      </w:pPr>
      <w:r w:rsidRPr="00E31389">
        <w:rPr>
          <w:rFonts w:eastAsia="Calibri"/>
          <w:lang w:eastAsia="en-US"/>
        </w:rPr>
        <w:t xml:space="preserve">  </w:t>
      </w:r>
    </w:p>
    <w:p w14:paraId="13D2A389" w14:textId="6046C668" w:rsidR="00E31389" w:rsidRPr="00E31389" w:rsidRDefault="00E31389" w:rsidP="00E31389">
      <w:pPr>
        <w:keepNext/>
        <w:spacing w:after="200"/>
        <w:jc w:val="center"/>
        <w:rPr>
          <w:rFonts w:eastAsia="Calibri"/>
          <w:b/>
          <w:bCs/>
          <w:sz w:val="22"/>
          <w:szCs w:val="22"/>
          <w:lang w:val="es-ES" w:eastAsia="en-US"/>
        </w:rPr>
      </w:pPr>
      <w:r w:rsidRPr="00E31389">
        <w:rPr>
          <w:rFonts w:eastAsia="Calibri"/>
          <w:b/>
          <w:bCs/>
          <w:sz w:val="22"/>
          <w:szCs w:val="22"/>
          <w:lang w:val="es-ES" w:eastAsia="en-US"/>
        </w:rPr>
        <w:t xml:space="preserve">Tabla </w:t>
      </w:r>
      <w:r w:rsidRPr="00E31389">
        <w:rPr>
          <w:rFonts w:eastAsia="Calibri"/>
          <w:b/>
          <w:bCs/>
          <w:sz w:val="22"/>
          <w:szCs w:val="22"/>
          <w:lang w:val="es-ES" w:eastAsia="en-US"/>
        </w:rPr>
        <w:fldChar w:fldCharType="begin"/>
      </w:r>
      <w:r w:rsidRPr="00E31389">
        <w:rPr>
          <w:rFonts w:eastAsia="Calibri"/>
          <w:b/>
          <w:bCs/>
          <w:sz w:val="22"/>
          <w:szCs w:val="22"/>
          <w:lang w:val="es-ES" w:eastAsia="en-US"/>
        </w:rPr>
        <w:instrText xml:space="preserve"> SEQ Tabla \* ARABIC </w:instrText>
      </w:r>
      <w:r w:rsidRPr="00E31389">
        <w:rPr>
          <w:rFonts w:eastAsia="Calibri"/>
          <w:b/>
          <w:bCs/>
          <w:sz w:val="22"/>
          <w:szCs w:val="22"/>
          <w:lang w:val="es-ES" w:eastAsia="en-US"/>
        </w:rPr>
        <w:fldChar w:fldCharType="separate"/>
      </w:r>
      <w:r w:rsidR="00F50FCC">
        <w:rPr>
          <w:rFonts w:eastAsia="Calibri"/>
          <w:b/>
          <w:bCs/>
          <w:noProof/>
          <w:sz w:val="22"/>
          <w:szCs w:val="22"/>
          <w:lang w:val="es-ES" w:eastAsia="en-US"/>
        </w:rPr>
        <w:t>2</w:t>
      </w:r>
      <w:r w:rsidRPr="00E31389">
        <w:rPr>
          <w:rFonts w:eastAsia="Calibri"/>
          <w:b/>
          <w:bCs/>
          <w:sz w:val="22"/>
          <w:szCs w:val="22"/>
          <w:lang w:val="es-ES" w:eastAsia="en-US"/>
        </w:rPr>
        <w:fldChar w:fldCharType="end"/>
      </w:r>
      <w:r w:rsidRPr="00E31389">
        <w:rPr>
          <w:rFonts w:eastAsia="Calibri"/>
          <w:b/>
          <w:bCs/>
          <w:sz w:val="22"/>
          <w:szCs w:val="22"/>
          <w:lang w:val="es-ES" w:eastAsia="en-US"/>
        </w:rPr>
        <w:t xml:space="preserve"> - </w:t>
      </w:r>
      <w:r w:rsidRPr="00E31389">
        <w:rPr>
          <w:rFonts w:eastAsia="Calibri"/>
          <w:bCs/>
          <w:sz w:val="22"/>
          <w:szCs w:val="22"/>
          <w:lang w:val="es-ES" w:eastAsia="en-US"/>
        </w:rPr>
        <w:t>Características clínico epidemiológicas (n = 14)</w:t>
      </w:r>
    </w:p>
    <w:p w14:paraId="12D88A60" w14:textId="423A5FA6" w:rsidR="00E31389" w:rsidRPr="00E31389" w:rsidRDefault="00E31389" w:rsidP="00E31389">
      <w:pPr>
        <w:spacing w:line="360" w:lineRule="auto"/>
        <w:jc w:val="center"/>
        <w:rPr>
          <w:rFonts w:eastAsia="Calibri"/>
          <w:lang w:eastAsia="en-US"/>
        </w:rPr>
      </w:pPr>
      <w:r w:rsidRPr="00E31389">
        <w:rPr>
          <w:rFonts w:eastAsia="Calibri"/>
          <w:noProof/>
          <w:lang w:eastAsia="en-US"/>
        </w:rPr>
        <w:drawing>
          <wp:inline distT="0" distB="0" distL="0" distR="0" wp14:anchorId="32C5B542" wp14:editId="35D18725">
            <wp:extent cx="3848100" cy="1257300"/>
            <wp:effectExtent l="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8100" cy="1257300"/>
                    </a:xfrm>
                    <a:prstGeom prst="rect">
                      <a:avLst/>
                    </a:prstGeom>
                    <a:noFill/>
                    <a:ln>
                      <a:noFill/>
                    </a:ln>
                  </pic:spPr>
                </pic:pic>
              </a:graphicData>
            </a:graphic>
          </wp:inline>
        </w:drawing>
      </w:r>
    </w:p>
    <w:p w14:paraId="184142EB" w14:textId="77777777" w:rsidR="00E31389" w:rsidRPr="00E31389" w:rsidRDefault="00E31389" w:rsidP="00E31389">
      <w:pPr>
        <w:spacing w:line="360" w:lineRule="auto"/>
        <w:jc w:val="both"/>
        <w:rPr>
          <w:rFonts w:eastAsia="Calibri"/>
          <w:lang w:eastAsia="en-US"/>
        </w:rPr>
      </w:pPr>
    </w:p>
    <w:p w14:paraId="1AB0F423" w14:textId="77777777" w:rsidR="00E31389" w:rsidRPr="00E31389" w:rsidRDefault="00E31389" w:rsidP="00E31389">
      <w:pPr>
        <w:spacing w:line="360" w:lineRule="auto"/>
        <w:jc w:val="both"/>
        <w:rPr>
          <w:rFonts w:eastAsia="Calibri"/>
          <w:noProof/>
          <w:lang w:val="es-ES" w:eastAsia="es-ES"/>
        </w:rPr>
      </w:pPr>
      <w:r w:rsidRPr="00E31389">
        <w:rPr>
          <w:rFonts w:eastAsia="Calibri"/>
          <w:lang w:eastAsia="en-US"/>
        </w:rPr>
        <w:t>En cuanto a la frecuencia de síntomas y signos constatados, como muestra la figura 1, predominó la disnea (8 pacientes), la fiebre y la tos seca, ambos observados en 7 pacientes.</w:t>
      </w:r>
      <w:r w:rsidRPr="00E31389">
        <w:rPr>
          <w:rFonts w:eastAsia="Calibri"/>
          <w:noProof/>
          <w:lang w:val="es-ES" w:eastAsia="es-ES"/>
        </w:rPr>
        <w:t xml:space="preserve"> </w:t>
      </w:r>
    </w:p>
    <w:p w14:paraId="11929020" w14:textId="77777777" w:rsidR="00E31389" w:rsidRPr="00E31389" w:rsidRDefault="00E31389" w:rsidP="00E31389">
      <w:pPr>
        <w:spacing w:line="360" w:lineRule="auto"/>
        <w:jc w:val="both"/>
        <w:rPr>
          <w:rFonts w:eastAsia="Calibri"/>
          <w:noProof/>
          <w:lang w:val="es-ES" w:eastAsia="es-ES"/>
        </w:rPr>
      </w:pPr>
    </w:p>
    <w:p w14:paraId="3EAFD1F3" w14:textId="0A7BA546" w:rsidR="00E31389" w:rsidRPr="00E31389" w:rsidRDefault="00E31389" w:rsidP="00E31389">
      <w:pPr>
        <w:spacing w:line="360" w:lineRule="auto"/>
        <w:jc w:val="center"/>
        <w:rPr>
          <w:rFonts w:eastAsia="Calibri"/>
          <w:noProof/>
          <w:lang w:val="es-ES" w:eastAsia="es-ES"/>
        </w:rPr>
      </w:pPr>
      <w:r w:rsidRPr="00E31389">
        <w:rPr>
          <w:rFonts w:eastAsia="Calibri"/>
          <w:noProof/>
          <w:lang w:val="es-ES" w:eastAsia="es-ES"/>
        </w:rPr>
        <w:lastRenderedPageBreak/>
        <w:drawing>
          <wp:inline distT="0" distB="0" distL="0" distR="0" wp14:anchorId="1BF43F10" wp14:editId="3EE24B9D">
            <wp:extent cx="4229100" cy="4438650"/>
            <wp:effectExtent l="0" t="0" r="0"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9100" cy="4438650"/>
                    </a:xfrm>
                    <a:prstGeom prst="rect">
                      <a:avLst/>
                    </a:prstGeom>
                    <a:noFill/>
                    <a:ln>
                      <a:noFill/>
                    </a:ln>
                  </pic:spPr>
                </pic:pic>
              </a:graphicData>
            </a:graphic>
          </wp:inline>
        </w:drawing>
      </w:r>
    </w:p>
    <w:p w14:paraId="7A162533" w14:textId="4FEE0DF7" w:rsidR="00E31389" w:rsidRPr="00E31389" w:rsidRDefault="00E31389" w:rsidP="00E31389">
      <w:pPr>
        <w:spacing w:after="200"/>
        <w:jc w:val="center"/>
        <w:rPr>
          <w:rFonts w:eastAsia="Calibri"/>
          <w:bCs/>
          <w:sz w:val="22"/>
          <w:szCs w:val="22"/>
          <w:lang w:val="es-ES" w:eastAsia="en-US"/>
        </w:rPr>
      </w:pPr>
      <w:r w:rsidRPr="00E31389">
        <w:rPr>
          <w:rFonts w:eastAsia="Calibri"/>
          <w:b/>
          <w:bCs/>
          <w:sz w:val="22"/>
          <w:szCs w:val="22"/>
          <w:lang w:val="es-ES" w:eastAsia="en-US"/>
        </w:rPr>
        <w:t xml:space="preserve">Fig. </w:t>
      </w:r>
      <w:r w:rsidRPr="00E31389">
        <w:rPr>
          <w:rFonts w:eastAsia="Calibri"/>
          <w:b/>
          <w:bCs/>
          <w:sz w:val="22"/>
          <w:szCs w:val="22"/>
          <w:lang w:val="es-ES" w:eastAsia="en-US"/>
        </w:rPr>
        <w:fldChar w:fldCharType="begin"/>
      </w:r>
      <w:r w:rsidRPr="00E31389">
        <w:rPr>
          <w:rFonts w:eastAsia="Calibri"/>
          <w:b/>
          <w:bCs/>
          <w:sz w:val="22"/>
          <w:szCs w:val="22"/>
          <w:lang w:val="es-ES" w:eastAsia="en-US"/>
        </w:rPr>
        <w:instrText xml:space="preserve"> SEQ Gráfico \* ARABIC </w:instrText>
      </w:r>
      <w:r w:rsidRPr="00E31389">
        <w:rPr>
          <w:rFonts w:eastAsia="Calibri"/>
          <w:b/>
          <w:bCs/>
          <w:sz w:val="22"/>
          <w:szCs w:val="22"/>
          <w:lang w:val="es-ES" w:eastAsia="en-US"/>
        </w:rPr>
        <w:fldChar w:fldCharType="separate"/>
      </w:r>
      <w:r w:rsidR="00F50FCC">
        <w:rPr>
          <w:rFonts w:eastAsia="Calibri"/>
          <w:b/>
          <w:bCs/>
          <w:noProof/>
          <w:sz w:val="22"/>
          <w:szCs w:val="22"/>
          <w:lang w:val="es-ES" w:eastAsia="en-US"/>
        </w:rPr>
        <w:t>1</w:t>
      </w:r>
      <w:r w:rsidRPr="00E31389">
        <w:rPr>
          <w:rFonts w:eastAsia="Calibri"/>
          <w:b/>
          <w:bCs/>
          <w:sz w:val="22"/>
          <w:szCs w:val="22"/>
          <w:lang w:val="es-ES" w:eastAsia="en-US"/>
        </w:rPr>
        <w:fldChar w:fldCharType="end"/>
      </w:r>
      <w:r w:rsidRPr="00E31389">
        <w:rPr>
          <w:rFonts w:eastAsia="Calibri"/>
          <w:b/>
          <w:bCs/>
          <w:sz w:val="22"/>
          <w:szCs w:val="22"/>
          <w:lang w:val="es-ES" w:eastAsia="en-US"/>
        </w:rPr>
        <w:t xml:space="preserve"> - </w:t>
      </w:r>
      <w:r w:rsidRPr="00E31389">
        <w:rPr>
          <w:rFonts w:eastAsia="Calibri"/>
          <w:bCs/>
          <w:sz w:val="22"/>
          <w:szCs w:val="22"/>
          <w:lang w:val="es-ES" w:eastAsia="en-US"/>
        </w:rPr>
        <w:t>Frecuencia de síntomas y signos.</w:t>
      </w:r>
    </w:p>
    <w:p w14:paraId="3E9E1222" w14:textId="77777777" w:rsidR="00E31389" w:rsidRPr="00E31389" w:rsidRDefault="00E31389" w:rsidP="00E31389">
      <w:pPr>
        <w:spacing w:after="160" w:line="256" w:lineRule="auto"/>
        <w:jc w:val="both"/>
        <w:rPr>
          <w:rFonts w:eastAsia="Calibri"/>
          <w:sz w:val="20"/>
          <w:szCs w:val="20"/>
          <w:lang w:val="es-ES" w:eastAsia="en-US"/>
        </w:rPr>
      </w:pPr>
    </w:p>
    <w:p w14:paraId="512A7EE3" w14:textId="77777777" w:rsidR="00E31389" w:rsidRPr="00E31389" w:rsidRDefault="00E31389" w:rsidP="00E31389">
      <w:pPr>
        <w:spacing w:line="360" w:lineRule="auto"/>
        <w:jc w:val="both"/>
        <w:rPr>
          <w:rFonts w:eastAsia="Calibri"/>
          <w:lang w:eastAsia="en-US"/>
        </w:rPr>
      </w:pPr>
      <w:r w:rsidRPr="00E31389">
        <w:rPr>
          <w:rFonts w:eastAsia="Calibri"/>
          <w:lang w:eastAsia="en-US"/>
        </w:rPr>
        <w:t>La figura 2 muestra la distribución de síntomas y signos por sexos. Se observa que en las mujeres predominaron la congestión nasal y la disnea en 4 pacientes, y 3 presentaron fiebre. En el caso de los pacientes masculinos, predominó la tos seca en 5 enfermos, y la disnea y la fiebre en 4 de ellos.</w:t>
      </w:r>
    </w:p>
    <w:p w14:paraId="6652B0D1" w14:textId="77777777" w:rsidR="00E31389" w:rsidRPr="00E31389" w:rsidRDefault="00E31389" w:rsidP="00E31389">
      <w:pPr>
        <w:spacing w:line="360" w:lineRule="auto"/>
        <w:jc w:val="both"/>
        <w:rPr>
          <w:rFonts w:eastAsia="Calibri"/>
          <w:lang w:eastAsia="en-US"/>
        </w:rPr>
      </w:pPr>
    </w:p>
    <w:p w14:paraId="0D56206A" w14:textId="13F39D0C" w:rsidR="00E31389" w:rsidRPr="00E31389" w:rsidRDefault="00E31389" w:rsidP="00E31389">
      <w:pPr>
        <w:keepNext/>
        <w:spacing w:after="160" w:line="256" w:lineRule="auto"/>
        <w:jc w:val="center"/>
        <w:rPr>
          <w:rFonts w:eastAsia="Calibri"/>
          <w:lang w:val="es-ES" w:eastAsia="en-US"/>
        </w:rPr>
      </w:pPr>
      <w:r w:rsidRPr="00E31389">
        <w:rPr>
          <w:rFonts w:eastAsia="Calibri"/>
          <w:noProof/>
          <w:lang w:val="es-ES" w:eastAsia="en-US"/>
        </w:rPr>
        <w:lastRenderedPageBreak/>
        <w:drawing>
          <wp:inline distT="0" distB="0" distL="0" distR="0" wp14:anchorId="4397DB30" wp14:editId="1317D283">
            <wp:extent cx="3771900" cy="4219575"/>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71900" cy="4219575"/>
                    </a:xfrm>
                    <a:prstGeom prst="rect">
                      <a:avLst/>
                    </a:prstGeom>
                    <a:noFill/>
                    <a:ln>
                      <a:noFill/>
                    </a:ln>
                  </pic:spPr>
                </pic:pic>
              </a:graphicData>
            </a:graphic>
          </wp:inline>
        </w:drawing>
      </w:r>
    </w:p>
    <w:p w14:paraId="3C2637DB" w14:textId="37CC98CD" w:rsidR="00E31389" w:rsidRPr="00E31389" w:rsidRDefault="00E31389" w:rsidP="00E31389">
      <w:pPr>
        <w:spacing w:after="200"/>
        <w:jc w:val="center"/>
        <w:rPr>
          <w:rFonts w:eastAsia="Calibri"/>
          <w:bCs/>
          <w:color w:val="4F81BD"/>
          <w:sz w:val="22"/>
          <w:szCs w:val="22"/>
          <w:lang w:val="es-ES" w:eastAsia="en-US"/>
        </w:rPr>
      </w:pPr>
      <w:r w:rsidRPr="00E31389">
        <w:rPr>
          <w:rFonts w:eastAsia="Calibri"/>
          <w:b/>
          <w:bCs/>
          <w:sz w:val="22"/>
          <w:szCs w:val="22"/>
          <w:lang w:val="es-ES" w:eastAsia="en-US"/>
        </w:rPr>
        <w:t xml:space="preserve">Fig. </w:t>
      </w:r>
      <w:r w:rsidRPr="00E31389">
        <w:rPr>
          <w:rFonts w:eastAsia="Calibri"/>
          <w:b/>
          <w:bCs/>
          <w:sz w:val="22"/>
          <w:szCs w:val="22"/>
          <w:lang w:val="es-ES" w:eastAsia="en-US"/>
        </w:rPr>
        <w:fldChar w:fldCharType="begin"/>
      </w:r>
      <w:r w:rsidRPr="00E31389">
        <w:rPr>
          <w:rFonts w:eastAsia="Calibri"/>
          <w:b/>
          <w:bCs/>
          <w:sz w:val="22"/>
          <w:szCs w:val="22"/>
          <w:lang w:val="es-ES" w:eastAsia="en-US"/>
        </w:rPr>
        <w:instrText xml:space="preserve"> SEQ Gráfico \* ARABIC </w:instrText>
      </w:r>
      <w:r w:rsidRPr="00E31389">
        <w:rPr>
          <w:rFonts w:eastAsia="Calibri"/>
          <w:b/>
          <w:bCs/>
          <w:sz w:val="22"/>
          <w:szCs w:val="22"/>
          <w:lang w:val="es-ES" w:eastAsia="en-US"/>
        </w:rPr>
        <w:fldChar w:fldCharType="separate"/>
      </w:r>
      <w:r w:rsidR="00F50FCC">
        <w:rPr>
          <w:rFonts w:eastAsia="Calibri"/>
          <w:b/>
          <w:bCs/>
          <w:noProof/>
          <w:sz w:val="22"/>
          <w:szCs w:val="22"/>
          <w:lang w:val="es-ES" w:eastAsia="en-US"/>
        </w:rPr>
        <w:t>2</w:t>
      </w:r>
      <w:r w:rsidRPr="00E31389">
        <w:rPr>
          <w:rFonts w:eastAsia="Calibri"/>
          <w:b/>
          <w:bCs/>
          <w:sz w:val="22"/>
          <w:szCs w:val="22"/>
          <w:lang w:val="es-ES" w:eastAsia="en-US"/>
        </w:rPr>
        <w:fldChar w:fldCharType="end"/>
      </w:r>
      <w:r w:rsidRPr="00E31389">
        <w:rPr>
          <w:rFonts w:eastAsia="Calibri"/>
          <w:b/>
          <w:bCs/>
          <w:sz w:val="22"/>
          <w:szCs w:val="22"/>
          <w:lang w:val="es-ES" w:eastAsia="en-US"/>
        </w:rPr>
        <w:t xml:space="preserve"> - </w:t>
      </w:r>
      <w:r w:rsidRPr="00E31389">
        <w:rPr>
          <w:rFonts w:eastAsia="Calibri"/>
          <w:bCs/>
          <w:sz w:val="22"/>
          <w:szCs w:val="22"/>
          <w:lang w:val="es-ES" w:eastAsia="en-US"/>
        </w:rPr>
        <w:t>Frecuencia de síntomas y signos por sexo</w:t>
      </w:r>
      <w:r>
        <w:rPr>
          <w:rFonts w:eastAsia="Calibri"/>
          <w:bCs/>
          <w:sz w:val="22"/>
          <w:szCs w:val="22"/>
          <w:lang w:val="es-ES" w:eastAsia="en-US"/>
        </w:rPr>
        <w:t>s</w:t>
      </w:r>
      <w:r w:rsidRPr="00E31389">
        <w:rPr>
          <w:rFonts w:eastAsia="Calibri"/>
          <w:bCs/>
          <w:sz w:val="22"/>
          <w:szCs w:val="22"/>
          <w:lang w:val="es-ES" w:eastAsia="en-US"/>
        </w:rPr>
        <w:t>.</w:t>
      </w:r>
    </w:p>
    <w:p w14:paraId="2139B2FD" w14:textId="77777777" w:rsidR="00E31389" w:rsidRPr="00E31389" w:rsidRDefault="00E31389" w:rsidP="00E31389">
      <w:pPr>
        <w:tabs>
          <w:tab w:val="left" w:pos="1005"/>
        </w:tabs>
        <w:spacing w:after="160" w:line="256" w:lineRule="auto"/>
        <w:jc w:val="both"/>
        <w:rPr>
          <w:rFonts w:eastAsia="Calibri"/>
          <w:lang w:eastAsia="en-US"/>
        </w:rPr>
      </w:pPr>
    </w:p>
    <w:p w14:paraId="3D945300" w14:textId="77777777" w:rsidR="00E31389" w:rsidRPr="00E31389" w:rsidRDefault="00E31389" w:rsidP="00E31389">
      <w:pPr>
        <w:tabs>
          <w:tab w:val="left" w:pos="1005"/>
        </w:tabs>
        <w:spacing w:line="360" w:lineRule="auto"/>
        <w:jc w:val="both"/>
        <w:rPr>
          <w:rFonts w:eastAsia="Calibri"/>
          <w:lang w:eastAsia="en-US"/>
        </w:rPr>
      </w:pPr>
      <w:r w:rsidRPr="00E31389">
        <w:rPr>
          <w:rFonts w:eastAsia="Calibri"/>
          <w:lang w:eastAsia="en-US"/>
        </w:rPr>
        <w:t xml:space="preserve">Cuando se analizan los exámenes complementarios realizados al momento del diagnóstico, según el cuadro clínico (tabla 3), se aprecia </w:t>
      </w:r>
      <w:proofErr w:type="spellStart"/>
      <w:r w:rsidRPr="00E31389">
        <w:rPr>
          <w:rFonts w:eastAsia="Calibri"/>
          <w:lang w:eastAsia="en-US"/>
        </w:rPr>
        <w:t>linfopenia</w:t>
      </w:r>
      <w:proofErr w:type="spellEnd"/>
      <w:r w:rsidRPr="00E31389">
        <w:rPr>
          <w:rFonts w:eastAsia="Calibri"/>
          <w:lang w:eastAsia="en-US"/>
        </w:rPr>
        <w:t xml:space="preserve"> con una media de 0,12 inicial en los pacientes que presentaban síntomas, por una media de linfocitos en sangre periférica de 0,31 en los pacientes asintomáticos. </w:t>
      </w:r>
    </w:p>
    <w:p w14:paraId="7E40FE96" w14:textId="77777777" w:rsidR="00E31389" w:rsidRPr="00E31389" w:rsidRDefault="00E31389" w:rsidP="00E31389">
      <w:pPr>
        <w:tabs>
          <w:tab w:val="left" w:pos="1005"/>
        </w:tabs>
        <w:spacing w:line="360" w:lineRule="auto"/>
        <w:jc w:val="both"/>
        <w:rPr>
          <w:rFonts w:eastAsia="Calibri"/>
          <w:lang w:eastAsia="en-US"/>
        </w:rPr>
      </w:pPr>
      <w:r w:rsidRPr="00E31389">
        <w:rPr>
          <w:rFonts w:eastAsia="Calibri"/>
          <w:lang w:eastAsia="en-US"/>
        </w:rPr>
        <w:t xml:space="preserve">Se comprobó además el incremento de los valores medios de ferritina, de 3096 µg/L en los pacientes sintomáticos por 1001 µg/L en los asintomáticos, similares resultados se observaron en los valores de proteína C reactiva, la cual presentaba una media de 67 mg/L en los pacientes sintomáticos por 18,2 mg/L en los asintomáticos. </w:t>
      </w:r>
    </w:p>
    <w:p w14:paraId="1E73CDA9" w14:textId="77777777" w:rsidR="00E31389" w:rsidRPr="00E31389" w:rsidRDefault="00E31389" w:rsidP="00E31389">
      <w:pPr>
        <w:tabs>
          <w:tab w:val="left" w:pos="1005"/>
        </w:tabs>
        <w:spacing w:after="160" w:line="256" w:lineRule="auto"/>
        <w:jc w:val="both"/>
        <w:rPr>
          <w:rFonts w:eastAsia="Calibri"/>
          <w:lang w:eastAsia="en-US"/>
        </w:rPr>
      </w:pPr>
    </w:p>
    <w:p w14:paraId="5BA587F6" w14:textId="00FB6CC5" w:rsidR="00E31389" w:rsidRPr="00E31389" w:rsidRDefault="00E31389" w:rsidP="00E31389">
      <w:pPr>
        <w:keepNext/>
        <w:spacing w:after="200"/>
        <w:jc w:val="center"/>
        <w:rPr>
          <w:rFonts w:eastAsia="Calibri"/>
          <w:bCs/>
          <w:sz w:val="22"/>
          <w:szCs w:val="22"/>
          <w:lang w:val="es-ES" w:eastAsia="en-US"/>
        </w:rPr>
      </w:pPr>
      <w:r w:rsidRPr="00E31389">
        <w:rPr>
          <w:rFonts w:eastAsia="Calibri"/>
          <w:b/>
          <w:bCs/>
          <w:sz w:val="22"/>
          <w:szCs w:val="22"/>
          <w:lang w:val="es-ES" w:eastAsia="en-US"/>
        </w:rPr>
        <w:lastRenderedPageBreak/>
        <w:t xml:space="preserve">Tabla </w:t>
      </w:r>
      <w:r w:rsidRPr="00E31389">
        <w:rPr>
          <w:rFonts w:eastAsia="Calibri"/>
          <w:b/>
          <w:bCs/>
          <w:sz w:val="22"/>
          <w:szCs w:val="22"/>
          <w:lang w:val="es-ES" w:eastAsia="en-US"/>
        </w:rPr>
        <w:fldChar w:fldCharType="begin"/>
      </w:r>
      <w:r w:rsidRPr="00E31389">
        <w:rPr>
          <w:rFonts w:eastAsia="Calibri"/>
          <w:b/>
          <w:bCs/>
          <w:sz w:val="22"/>
          <w:szCs w:val="22"/>
          <w:lang w:val="es-ES" w:eastAsia="en-US"/>
        </w:rPr>
        <w:instrText xml:space="preserve"> SEQ Tabla \* ARABIC </w:instrText>
      </w:r>
      <w:r w:rsidRPr="00E31389">
        <w:rPr>
          <w:rFonts w:eastAsia="Calibri"/>
          <w:b/>
          <w:bCs/>
          <w:sz w:val="22"/>
          <w:szCs w:val="22"/>
          <w:lang w:val="es-ES" w:eastAsia="en-US"/>
        </w:rPr>
        <w:fldChar w:fldCharType="separate"/>
      </w:r>
      <w:r w:rsidR="00F50FCC">
        <w:rPr>
          <w:rFonts w:eastAsia="Calibri"/>
          <w:b/>
          <w:bCs/>
          <w:noProof/>
          <w:sz w:val="22"/>
          <w:szCs w:val="22"/>
          <w:lang w:val="es-ES" w:eastAsia="en-US"/>
        </w:rPr>
        <w:t>3</w:t>
      </w:r>
      <w:r w:rsidRPr="00E31389">
        <w:rPr>
          <w:rFonts w:eastAsia="Calibri"/>
          <w:b/>
          <w:bCs/>
          <w:sz w:val="22"/>
          <w:szCs w:val="22"/>
          <w:lang w:val="es-ES" w:eastAsia="en-US"/>
        </w:rPr>
        <w:fldChar w:fldCharType="end"/>
      </w:r>
      <w:r w:rsidRPr="00E31389">
        <w:rPr>
          <w:rFonts w:eastAsia="Calibri"/>
          <w:b/>
          <w:bCs/>
          <w:sz w:val="22"/>
          <w:szCs w:val="22"/>
          <w:lang w:val="es-ES" w:eastAsia="en-US"/>
        </w:rPr>
        <w:t xml:space="preserve"> - </w:t>
      </w:r>
      <w:r w:rsidRPr="00E31389">
        <w:rPr>
          <w:rFonts w:eastAsia="Calibri"/>
          <w:bCs/>
          <w:sz w:val="22"/>
          <w:szCs w:val="22"/>
          <w:lang w:val="es-ES" w:eastAsia="en-US"/>
        </w:rPr>
        <w:t>Exámenes complementarios al momento del diagnóstico según cuadro clínico</w:t>
      </w:r>
    </w:p>
    <w:p w14:paraId="785DD1B7" w14:textId="25DDBFAD" w:rsidR="00E31389" w:rsidRPr="00E31389" w:rsidRDefault="00E31389" w:rsidP="00E31389">
      <w:pPr>
        <w:tabs>
          <w:tab w:val="left" w:pos="1005"/>
        </w:tabs>
        <w:spacing w:after="160" w:line="256" w:lineRule="auto"/>
        <w:jc w:val="center"/>
        <w:rPr>
          <w:rFonts w:eastAsia="Calibri"/>
          <w:sz w:val="16"/>
          <w:szCs w:val="16"/>
          <w:lang w:eastAsia="en-US"/>
        </w:rPr>
      </w:pPr>
      <w:r w:rsidRPr="00E31389">
        <w:rPr>
          <w:rFonts w:eastAsia="Calibri"/>
          <w:noProof/>
          <w:sz w:val="16"/>
          <w:szCs w:val="16"/>
          <w:lang w:eastAsia="en-US"/>
        </w:rPr>
        <w:drawing>
          <wp:inline distT="0" distB="0" distL="0" distR="0" wp14:anchorId="5DA1C432" wp14:editId="17940DAF">
            <wp:extent cx="5400675" cy="828675"/>
            <wp:effectExtent l="0" t="0" r="0" b="0"/>
            <wp:docPr id="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675" cy="828675"/>
                    </a:xfrm>
                    <a:prstGeom prst="rect">
                      <a:avLst/>
                    </a:prstGeom>
                    <a:noFill/>
                    <a:ln>
                      <a:noFill/>
                    </a:ln>
                  </pic:spPr>
                </pic:pic>
              </a:graphicData>
            </a:graphic>
          </wp:inline>
        </w:drawing>
      </w:r>
    </w:p>
    <w:p w14:paraId="42434228" w14:textId="77777777" w:rsidR="00E31389" w:rsidRPr="00E31389" w:rsidRDefault="00E31389" w:rsidP="00E31389">
      <w:pPr>
        <w:tabs>
          <w:tab w:val="left" w:pos="1005"/>
        </w:tabs>
        <w:spacing w:after="160" w:line="256" w:lineRule="auto"/>
        <w:jc w:val="center"/>
        <w:rPr>
          <w:rFonts w:eastAsia="Calibri"/>
          <w:sz w:val="16"/>
          <w:szCs w:val="16"/>
          <w:lang w:eastAsia="en-US"/>
        </w:rPr>
      </w:pPr>
      <w:r w:rsidRPr="00E31389">
        <w:rPr>
          <w:rFonts w:eastAsia="Calibri"/>
          <w:sz w:val="16"/>
          <w:szCs w:val="16"/>
          <w:lang w:eastAsia="en-US"/>
        </w:rPr>
        <w:t xml:space="preserve">TGO: </w:t>
      </w:r>
      <w:proofErr w:type="gramStart"/>
      <w:r w:rsidRPr="00E31389">
        <w:rPr>
          <w:rFonts w:eastAsia="Calibri"/>
          <w:sz w:val="16"/>
          <w:szCs w:val="16"/>
          <w:lang w:eastAsia="en-US"/>
        </w:rPr>
        <w:t>transaminasa glutámico</w:t>
      </w:r>
      <w:proofErr w:type="gramEnd"/>
      <w:r w:rsidRPr="00E31389">
        <w:rPr>
          <w:rFonts w:eastAsia="Calibri"/>
          <w:sz w:val="16"/>
          <w:szCs w:val="16"/>
          <w:lang w:eastAsia="en-US"/>
        </w:rPr>
        <w:t xml:space="preserve"> oxalacética, TGP: transaminasa glutámico pirúvica.</w:t>
      </w:r>
    </w:p>
    <w:p w14:paraId="294DC8EE" w14:textId="77777777" w:rsidR="00E31389" w:rsidRPr="00E31389" w:rsidRDefault="00E31389" w:rsidP="00E31389">
      <w:pPr>
        <w:tabs>
          <w:tab w:val="left" w:pos="1005"/>
        </w:tabs>
        <w:spacing w:after="160" w:line="256" w:lineRule="auto"/>
        <w:jc w:val="both"/>
        <w:rPr>
          <w:rFonts w:eastAsia="Calibri"/>
          <w:sz w:val="20"/>
          <w:szCs w:val="20"/>
          <w:lang w:eastAsia="en-US"/>
        </w:rPr>
      </w:pPr>
    </w:p>
    <w:p w14:paraId="2822287B" w14:textId="77777777" w:rsidR="00E31389" w:rsidRPr="00E31389" w:rsidRDefault="00E31389" w:rsidP="00E31389">
      <w:pPr>
        <w:tabs>
          <w:tab w:val="left" w:pos="1005"/>
        </w:tabs>
        <w:spacing w:after="160" w:line="256" w:lineRule="auto"/>
        <w:rPr>
          <w:rFonts w:eastAsia="Calibri"/>
          <w:b/>
          <w:lang w:eastAsia="en-US"/>
        </w:rPr>
      </w:pPr>
    </w:p>
    <w:p w14:paraId="4177BE3E" w14:textId="77777777" w:rsidR="00E31389" w:rsidRPr="00E31389" w:rsidRDefault="00E31389" w:rsidP="00E31389">
      <w:pPr>
        <w:tabs>
          <w:tab w:val="left" w:pos="1005"/>
        </w:tabs>
        <w:spacing w:after="160" w:line="256" w:lineRule="auto"/>
        <w:jc w:val="center"/>
        <w:rPr>
          <w:rFonts w:eastAsia="Calibri"/>
          <w:sz w:val="32"/>
          <w:szCs w:val="32"/>
          <w:lang w:eastAsia="en-US"/>
        </w:rPr>
      </w:pPr>
      <w:r w:rsidRPr="00E31389">
        <w:rPr>
          <w:rFonts w:eastAsia="Calibri"/>
          <w:b/>
          <w:sz w:val="32"/>
          <w:szCs w:val="32"/>
          <w:lang w:eastAsia="en-US"/>
        </w:rPr>
        <w:t>DISCUSIÓN</w:t>
      </w:r>
    </w:p>
    <w:p w14:paraId="29CA15E9" w14:textId="77777777" w:rsidR="00E31389" w:rsidRPr="00E31389" w:rsidRDefault="00E31389" w:rsidP="00E31389">
      <w:pPr>
        <w:tabs>
          <w:tab w:val="left" w:pos="1005"/>
        </w:tabs>
        <w:spacing w:line="360" w:lineRule="auto"/>
        <w:jc w:val="both"/>
        <w:rPr>
          <w:rFonts w:eastAsia="Calibri"/>
          <w:b/>
          <w:lang w:val="es-ES" w:eastAsia="en-US"/>
        </w:rPr>
      </w:pPr>
      <w:r w:rsidRPr="00E31389">
        <w:rPr>
          <w:rFonts w:eastAsia="Calibri"/>
          <w:lang w:val="es-ES" w:eastAsia="en-US"/>
        </w:rPr>
        <w:t xml:space="preserve">Los pacientes con ERC en hemodiálisis, tienen más riesgo de contraer enfermedades infecciosas, por la disminución de su función inmunológica, además como se ha comentado en la presente investigación también por la alta comorbilidad. Constituyen por tanto, un grupo vulnerable frente a este tipo de </w:t>
      </w:r>
      <w:proofErr w:type="gramStart"/>
      <w:r w:rsidRPr="00E31389">
        <w:rPr>
          <w:rFonts w:eastAsia="Calibri"/>
          <w:lang w:val="es-ES" w:eastAsia="en-US"/>
        </w:rPr>
        <w:t>enfermedades.</w:t>
      </w:r>
      <w:r w:rsidRPr="00E31389">
        <w:rPr>
          <w:rFonts w:eastAsia="Calibri"/>
          <w:vertAlign w:val="superscript"/>
          <w:lang w:val="es-ES" w:eastAsia="en-US"/>
        </w:rPr>
        <w:t>(</w:t>
      </w:r>
      <w:proofErr w:type="gramEnd"/>
      <w:r w:rsidRPr="00E31389">
        <w:rPr>
          <w:rFonts w:eastAsia="Calibri"/>
          <w:vertAlign w:val="superscript"/>
          <w:lang w:val="es-ES" w:eastAsia="en-US"/>
        </w:rPr>
        <w:t>7)</w:t>
      </w:r>
    </w:p>
    <w:p w14:paraId="48B746C3" w14:textId="77777777" w:rsidR="00E31389" w:rsidRPr="00E31389" w:rsidRDefault="00E31389" w:rsidP="00E31389">
      <w:pPr>
        <w:autoSpaceDE w:val="0"/>
        <w:autoSpaceDN w:val="0"/>
        <w:adjustRightInd w:val="0"/>
        <w:spacing w:line="360" w:lineRule="auto"/>
        <w:jc w:val="both"/>
        <w:rPr>
          <w:rFonts w:ascii="Arial" w:eastAsia="Calibri" w:hAnsi="Arial" w:cs="Arial"/>
          <w:sz w:val="20"/>
          <w:szCs w:val="20"/>
          <w:lang w:val="es-ES" w:eastAsia="en-US"/>
        </w:rPr>
      </w:pPr>
      <w:r w:rsidRPr="00E31389">
        <w:rPr>
          <w:rFonts w:eastAsia="Calibri"/>
          <w:lang w:val="es-ES" w:eastAsia="en-US"/>
        </w:rPr>
        <w:t xml:space="preserve">Según el Registro de la Sociedad Española de Nefrología (SEN) en su Informe 2 (18 marzo - 4 abril de 2020), en España se registran 637 casos de la COVID-19 confirmados en pacientes con enfermedad renal. El 81 % de los pacientes positivos a la COVID-19 con ERC, ha precisado ingreso hospitalario, de los cuales, el 5 % llega a la unidad de cuidados </w:t>
      </w:r>
      <w:proofErr w:type="gramStart"/>
      <w:r w:rsidRPr="00E31389">
        <w:rPr>
          <w:rFonts w:eastAsia="Calibri"/>
          <w:lang w:val="es-ES" w:eastAsia="en-US"/>
        </w:rPr>
        <w:t>intensivos.</w:t>
      </w:r>
      <w:r w:rsidRPr="00E31389">
        <w:rPr>
          <w:rFonts w:eastAsia="Calibri"/>
          <w:vertAlign w:val="superscript"/>
          <w:lang w:val="es-ES" w:eastAsia="en-US"/>
        </w:rPr>
        <w:t>(</w:t>
      </w:r>
      <w:proofErr w:type="gramEnd"/>
      <w:r w:rsidRPr="00E31389">
        <w:rPr>
          <w:rFonts w:eastAsia="Calibri"/>
          <w:vertAlign w:val="superscript"/>
          <w:lang w:val="es-ES" w:eastAsia="en-US"/>
        </w:rPr>
        <w:t>8)</w:t>
      </w:r>
    </w:p>
    <w:p w14:paraId="3A228CBE" w14:textId="77777777" w:rsidR="00E31389" w:rsidRPr="00E31389" w:rsidRDefault="00E31389" w:rsidP="00E31389">
      <w:pPr>
        <w:autoSpaceDE w:val="0"/>
        <w:autoSpaceDN w:val="0"/>
        <w:adjustRightInd w:val="0"/>
        <w:spacing w:line="360" w:lineRule="auto"/>
        <w:jc w:val="both"/>
        <w:rPr>
          <w:rFonts w:ascii="Arial" w:eastAsia="Calibri" w:hAnsi="Arial" w:cs="Arial"/>
          <w:sz w:val="20"/>
          <w:szCs w:val="20"/>
          <w:lang w:val="es-ES" w:eastAsia="en-US"/>
        </w:rPr>
      </w:pPr>
      <w:r w:rsidRPr="00E31389">
        <w:rPr>
          <w:rFonts w:eastAsia="Calibri"/>
          <w:lang w:val="es-ES" w:eastAsia="en-US"/>
        </w:rPr>
        <w:t xml:space="preserve">En la serie estudiada, como parte del protocolo nacional, todos los pacientes positivos se ingresan, muchos de ellos son diagnosticados al realizar estudios por ser contacto de casos positivos, esto puede contribuir a que sean detectados antes de desarrollar síntomas, sin </w:t>
      </w:r>
      <w:proofErr w:type="gramStart"/>
      <w:r w:rsidRPr="00E31389">
        <w:rPr>
          <w:rFonts w:eastAsia="Calibri"/>
          <w:lang w:val="es-ES" w:eastAsia="en-US"/>
        </w:rPr>
        <w:t>embargo</w:t>
      </w:r>
      <w:proofErr w:type="gramEnd"/>
      <w:r w:rsidRPr="00E31389">
        <w:rPr>
          <w:rFonts w:eastAsia="Calibri"/>
          <w:lang w:val="es-ES" w:eastAsia="en-US"/>
        </w:rPr>
        <w:t xml:space="preserve"> predominaron los casos sintomáticos.</w:t>
      </w:r>
    </w:p>
    <w:p w14:paraId="5A7E300F" w14:textId="77777777" w:rsidR="00E31389" w:rsidRPr="00E31389" w:rsidRDefault="00E31389" w:rsidP="00E31389">
      <w:pPr>
        <w:autoSpaceDE w:val="0"/>
        <w:autoSpaceDN w:val="0"/>
        <w:adjustRightInd w:val="0"/>
        <w:spacing w:line="360" w:lineRule="auto"/>
        <w:jc w:val="both"/>
        <w:rPr>
          <w:rFonts w:ascii="Arial" w:eastAsia="Calibri" w:hAnsi="Arial" w:cs="Arial"/>
          <w:sz w:val="20"/>
          <w:szCs w:val="20"/>
          <w:lang w:val="es-ES" w:eastAsia="en-US"/>
        </w:rPr>
      </w:pPr>
      <w:r w:rsidRPr="00E31389">
        <w:rPr>
          <w:rFonts w:eastAsia="Calibri"/>
          <w:lang w:val="es-ES" w:eastAsia="en-US"/>
        </w:rPr>
        <w:t xml:space="preserve">En algunas investigaciones se plantea </w:t>
      </w:r>
      <w:proofErr w:type="gramStart"/>
      <w:r w:rsidRPr="00E31389">
        <w:rPr>
          <w:rFonts w:eastAsia="Calibri"/>
          <w:lang w:val="es-ES" w:eastAsia="en-US"/>
        </w:rPr>
        <w:t>que</w:t>
      </w:r>
      <w:proofErr w:type="gramEnd"/>
      <w:r w:rsidRPr="00E31389">
        <w:rPr>
          <w:rFonts w:eastAsia="Calibri"/>
          <w:lang w:val="es-ES" w:eastAsia="en-US"/>
        </w:rPr>
        <w:t xml:space="preserve"> hasta el momento, hay una diferenciación en la relación de las manifestaciones clínicas de la población en general y de la población que sufre ERC, en cualquiera de sus vertientes. En España, en algunas series estudiadas, el 81 % de la población con ERC y la COVID-19, ha precisado ingreso hospitalario y el porcentaje de asintomáticos es menor que en el resto de la población, mientras que, en la población, el 80 % de los pacientes se recupera de forma espontánea, sin precisar hospitalización, solo el 9 % de pacientes con ERC y la COVID-19, permanecen </w:t>
      </w:r>
      <w:proofErr w:type="gramStart"/>
      <w:r w:rsidRPr="00E31389">
        <w:rPr>
          <w:rFonts w:eastAsia="Calibri"/>
          <w:lang w:val="es-ES" w:eastAsia="en-US"/>
        </w:rPr>
        <w:t>asintomáticos.</w:t>
      </w:r>
      <w:r w:rsidRPr="00E31389">
        <w:rPr>
          <w:rFonts w:eastAsia="Calibri"/>
          <w:vertAlign w:val="superscript"/>
          <w:lang w:val="es-ES" w:eastAsia="en-US"/>
        </w:rPr>
        <w:t>(</w:t>
      </w:r>
      <w:proofErr w:type="gramEnd"/>
      <w:r w:rsidRPr="00E31389">
        <w:rPr>
          <w:rFonts w:eastAsia="Calibri"/>
          <w:vertAlign w:val="superscript"/>
          <w:lang w:val="es-ES" w:eastAsia="en-US"/>
        </w:rPr>
        <w:t>9)</w:t>
      </w:r>
    </w:p>
    <w:p w14:paraId="3606A3E4" w14:textId="77777777" w:rsidR="00E31389" w:rsidRPr="00E31389" w:rsidRDefault="00E31389" w:rsidP="00E31389">
      <w:pPr>
        <w:autoSpaceDE w:val="0"/>
        <w:autoSpaceDN w:val="0"/>
        <w:adjustRightInd w:val="0"/>
        <w:spacing w:line="360" w:lineRule="auto"/>
        <w:jc w:val="both"/>
        <w:rPr>
          <w:rFonts w:ascii="Arial" w:eastAsia="Calibri" w:hAnsi="Arial" w:cs="Arial"/>
          <w:sz w:val="20"/>
          <w:szCs w:val="20"/>
          <w:lang w:val="es-ES" w:eastAsia="en-US"/>
        </w:rPr>
      </w:pPr>
      <w:r w:rsidRPr="00E31389">
        <w:rPr>
          <w:rFonts w:eastAsia="Calibri"/>
          <w:lang w:val="es-ES" w:eastAsia="en-US"/>
        </w:rPr>
        <w:t xml:space="preserve">Las manifestaciones clínicas son las mismas que en la población general, sin embargo, el porcentaje de aparición de estas es mayor. La SEN indica, que manifestaciones como fiebre (75 %), síntomas </w:t>
      </w:r>
      <w:r w:rsidRPr="00E31389">
        <w:rPr>
          <w:rFonts w:eastAsia="Calibri"/>
          <w:lang w:val="es-ES" w:eastAsia="en-US"/>
        </w:rPr>
        <w:lastRenderedPageBreak/>
        <w:t xml:space="preserve">respiratorios de vías altas (69 %) y disnea (42 %), son parámetros semejantes a la población general, síntomas que también predominaron en la presente </w:t>
      </w:r>
      <w:proofErr w:type="gramStart"/>
      <w:r w:rsidRPr="00E31389">
        <w:rPr>
          <w:rFonts w:eastAsia="Calibri"/>
          <w:lang w:val="es-ES" w:eastAsia="en-US"/>
        </w:rPr>
        <w:t>investigación.</w:t>
      </w:r>
      <w:r w:rsidRPr="00E31389">
        <w:rPr>
          <w:rFonts w:eastAsia="Calibri"/>
          <w:vertAlign w:val="superscript"/>
          <w:lang w:val="es-ES" w:eastAsia="en-US"/>
        </w:rPr>
        <w:t>(</w:t>
      </w:r>
      <w:proofErr w:type="gramEnd"/>
      <w:r w:rsidRPr="00E31389">
        <w:rPr>
          <w:rFonts w:eastAsia="Calibri"/>
          <w:vertAlign w:val="superscript"/>
          <w:lang w:val="es-ES" w:eastAsia="en-US"/>
        </w:rPr>
        <w:t>10)</w:t>
      </w:r>
    </w:p>
    <w:p w14:paraId="37CA1FA5" w14:textId="77777777" w:rsidR="00E31389" w:rsidRPr="00E31389" w:rsidRDefault="00E31389" w:rsidP="00E31389">
      <w:pPr>
        <w:autoSpaceDE w:val="0"/>
        <w:autoSpaceDN w:val="0"/>
        <w:adjustRightInd w:val="0"/>
        <w:spacing w:line="360" w:lineRule="auto"/>
        <w:jc w:val="both"/>
        <w:rPr>
          <w:rFonts w:eastAsia="Calibri"/>
          <w:vertAlign w:val="superscript"/>
          <w:lang w:val="es-ES" w:eastAsia="en-US"/>
        </w:rPr>
      </w:pPr>
      <w:r w:rsidRPr="00E31389">
        <w:rPr>
          <w:rFonts w:eastAsia="Calibri"/>
          <w:lang w:val="es-ES" w:eastAsia="en-US"/>
        </w:rPr>
        <w:t xml:space="preserve">Los estudios mencionados plantean que las diferencias se encuentran en la aparición de neumonía y de </w:t>
      </w:r>
      <w:proofErr w:type="spellStart"/>
      <w:r w:rsidRPr="00E31389">
        <w:rPr>
          <w:rFonts w:eastAsia="Calibri"/>
          <w:lang w:val="es-ES" w:eastAsia="en-US"/>
        </w:rPr>
        <w:t>linfopenia</w:t>
      </w:r>
      <w:proofErr w:type="spellEnd"/>
      <w:r w:rsidRPr="00E31389">
        <w:rPr>
          <w:rFonts w:eastAsia="Calibri"/>
          <w:lang w:val="es-ES" w:eastAsia="en-US"/>
        </w:rPr>
        <w:t xml:space="preserve">, ya que el 71 % de los pacientes con ERC y la COVID-19, padecerán neumonía y el 80 %, </w:t>
      </w:r>
      <w:proofErr w:type="spellStart"/>
      <w:proofErr w:type="gramStart"/>
      <w:r w:rsidRPr="00E31389">
        <w:rPr>
          <w:rFonts w:eastAsia="Calibri"/>
          <w:lang w:val="es-ES" w:eastAsia="en-US"/>
        </w:rPr>
        <w:t>linfopenia</w:t>
      </w:r>
      <w:proofErr w:type="spellEnd"/>
      <w:r w:rsidRPr="00E31389">
        <w:rPr>
          <w:rFonts w:eastAsia="Calibri"/>
          <w:lang w:val="es-ES" w:eastAsia="en-US"/>
        </w:rPr>
        <w:t>.</w:t>
      </w:r>
      <w:r w:rsidRPr="00E31389">
        <w:rPr>
          <w:rFonts w:eastAsia="Calibri"/>
          <w:vertAlign w:val="superscript"/>
          <w:lang w:val="es-ES" w:eastAsia="en-US"/>
        </w:rPr>
        <w:t>(</w:t>
      </w:r>
      <w:proofErr w:type="gramEnd"/>
      <w:r w:rsidRPr="00E31389">
        <w:rPr>
          <w:rFonts w:eastAsia="Calibri"/>
          <w:vertAlign w:val="superscript"/>
          <w:lang w:val="es-ES" w:eastAsia="en-US"/>
        </w:rPr>
        <w:t>9,10)</w:t>
      </w:r>
    </w:p>
    <w:p w14:paraId="602CD129" w14:textId="77777777" w:rsidR="00E31389" w:rsidRPr="00E31389" w:rsidRDefault="00E31389" w:rsidP="00E31389">
      <w:pPr>
        <w:autoSpaceDE w:val="0"/>
        <w:autoSpaceDN w:val="0"/>
        <w:adjustRightInd w:val="0"/>
        <w:spacing w:line="360" w:lineRule="auto"/>
        <w:jc w:val="both"/>
        <w:rPr>
          <w:rFonts w:eastAsia="Calibri"/>
          <w:color w:val="000000"/>
          <w:lang w:val="es-ES" w:eastAsia="en-US"/>
        </w:rPr>
      </w:pPr>
      <w:r w:rsidRPr="00E31389">
        <w:rPr>
          <w:rFonts w:eastAsia="Calibri"/>
          <w:color w:val="000000"/>
          <w:lang w:val="es-ES" w:eastAsia="en-US"/>
        </w:rPr>
        <w:t xml:space="preserve">En los pacientes estudiados, también se observó la presencia de </w:t>
      </w:r>
      <w:proofErr w:type="spellStart"/>
      <w:r w:rsidRPr="00E31389">
        <w:rPr>
          <w:rFonts w:eastAsia="Calibri"/>
          <w:color w:val="000000"/>
          <w:lang w:val="es-ES" w:eastAsia="en-US"/>
        </w:rPr>
        <w:t>linfopenia</w:t>
      </w:r>
      <w:proofErr w:type="spellEnd"/>
      <w:r w:rsidRPr="00E31389">
        <w:rPr>
          <w:rFonts w:eastAsia="Calibri"/>
          <w:color w:val="000000"/>
          <w:lang w:val="es-ES" w:eastAsia="en-US"/>
        </w:rPr>
        <w:t xml:space="preserve">, más acentuada en los que presentaban sintomatología. </w:t>
      </w:r>
    </w:p>
    <w:p w14:paraId="3260F207" w14:textId="77777777" w:rsidR="00E31389" w:rsidRPr="00E31389" w:rsidRDefault="00E31389" w:rsidP="00E31389">
      <w:pPr>
        <w:autoSpaceDE w:val="0"/>
        <w:autoSpaceDN w:val="0"/>
        <w:adjustRightInd w:val="0"/>
        <w:spacing w:line="360" w:lineRule="auto"/>
        <w:jc w:val="both"/>
        <w:rPr>
          <w:rFonts w:eastAsia="Calibri"/>
          <w:lang w:val="es-ES" w:eastAsia="en-US"/>
        </w:rPr>
      </w:pPr>
      <w:r w:rsidRPr="00E31389">
        <w:rPr>
          <w:rFonts w:eastAsia="Calibri"/>
          <w:color w:val="000000"/>
          <w:lang w:val="es-ES" w:eastAsia="en-US"/>
        </w:rPr>
        <w:t xml:space="preserve">En estudios realizados en el servicio de nefrología del </w:t>
      </w:r>
      <w:r w:rsidRPr="00E31389">
        <w:rPr>
          <w:rFonts w:eastAsia="Calibri"/>
          <w:lang w:val="es-ES" w:eastAsia="en-US"/>
        </w:rPr>
        <w:t xml:space="preserve">Hospital Universitario Infanta Leonor de Madrid, luego del primer mes de la </w:t>
      </w:r>
      <w:proofErr w:type="gramStart"/>
      <w:r w:rsidRPr="00E31389">
        <w:rPr>
          <w:rFonts w:eastAsia="Calibri"/>
          <w:lang w:val="es-ES" w:eastAsia="en-US"/>
        </w:rPr>
        <w:t>pandemia,  se</w:t>
      </w:r>
      <w:proofErr w:type="gramEnd"/>
      <w:r w:rsidRPr="00E31389">
        <w:rPr>
          <w:rFonts w:eastAsia="Calibri"/>
          <w:lang w:val="es-ES" w:eastAsia="en-US"/>
        </w:rPr>
        <w:t xml:space="preserve"> pudo constatar que el 50 % de los pacientes sintomáticos presentaban </w:t>
      </w:r>
      <w:proofErr w:type="spellStart"/>
      <w:r w:rsidRPr="00E31389">
        <w:rPr>
          <w:rFonts w:eastAsia="Calibri"/>
          <w:lang w:val="es-ES" w:eastAsia="en-US"/>
        </w:rPr>
        <w:t>linfopenia</w:t>
      </w:r>
      <w:proofErr w:type="spellEnd"/>
      <w:r w:rsidRPr="00E31389">
        <w:rPr>
          <w:rFonts w:eastAsia="Calibri"/>
          <w:lang w:val="es-ES" w:eastAsia="en-US"/>
        </w:rPr>
        <w:t xml:space="preserve"> y el 46,7 % en el caso de los diagnosticados asintomáticos, los cuales representaron el 40,5 % de la muestra estudiada.</w:t>
      </w:r>
      <w:r w:rsidRPr="00E31389">
        <w:rPr>
          <w:rFonts w:eastAsia="Calibri"/>
          <w:vertAlign w:val="superscript"/>
          <w:lang w:val="es-ES" w:eastAsia="en-US"/>
        </w:rPr>
        <w:t>(11)</w:t>
      </w:r>
    </w:p>
    <w:p w14:paraId="4C31D21B" w14:textId="77777777" w:rsidR="00E31389" w:rsidRPr="00E31389" w:rsidRDefault="00E31389" w:rsidP="00E31389">
      <w:pPr>
        <w:autoSpaceDE w:val="0"/>
        <w:autoSpaceDN w:val="0"/>
        <w:adjustRightInd w:val="0"/>
        <w:spacing w:line="360" w:lineRule="auto"/>
        <w:jc w:val="both"/>
        <w:rPr>
          <w:rFonts w:eastAsia="Calibri"/>
          <w:lang w:val="es-ES" w:eastAsia="en-US"/>
        </w:rPr>
      </w:pPr>
      <w:r w:rsidRPr="00E31389">
        <w:rPr>
          <w:lang w:val="es-ES" w:eastAsia="es-ES"/>
        </w:rPr>
        <w:t xml:space="preserve">Algunos estudios realizados en China, en la población general plantean que alrededor del 80 % de los pacientes tiene </w:t>
      </w:r>
      <w:proofErr w:type="spellStart"/>
      <w:r w:rsidRPr="00E31389">
        <w:rPr>
          <w:lang w:val="es-ES" w:eastAsia="es-ES"/>
        </w:rPr>
        <w:t>linfopenia</w:t>
      </w:r>
      <w:proofErr w:type="spellEnd"/>
      <w:r w:rsidRPr="00E31389">
        <w:rPr>
          <w:lang w:val="es-ES" w:eastAsia="es-ES"/>
        </w:rPr>
        <w:t xml:space="preserve"> con recuento celular de glóbulos blancos normal o casi normal. Se ha observado que la progresión de la </w:t>
      </w:r>
      <w:proofErr w:type="spellStart"/>
      <w:r w:rsidRPr="00E31389">
        <w:rPr>
          <w:lang w:val="es-ES" w:eastAsia="es-ES"/>
        </w:rPr>
        <w:t>linfopenia</w:t>
      </w:r>
      <w:proofErr w:type="spellEnd"/>
      <w:r w:rsidRPr="00E31389">
        <w:rPr>
          <w:lang w:val="es-ES" w:eastAsia="es-ES"/>
        </w:rPr>
        <w:t xml:space="preserve"> es un factor pronóstico individual de mortalidad. Los pacientes más graves tienden a evolucionar hacia un recuento de linfocitos menor al 5 % del recuento </w:t>
      </w:r>
      <w:proofErr w:type="gramStart"/>
      <w:r w:rsidRPr="00E31389">
        <w:rPr>
          <w:lang w:val="es-ES" w:eastAsia="es-ES"/>
        </w:rPr>
        <w:t>total.</w:t>
      </w:r>
      <w:r w:rsidRPr="00E31389">
        <w:rPr>
          <w:vertAlign w:val="superscript"/>
          <w:lang w:val="es-ES" w:eastAsia="es-ES"/>
        </w:rPr>
        <w:t>(</w:t>
      </w:r>
      <w:proofErr w:type="gramEnd"/>
      <w:r w:rsidRPr="00E31389">
        <w:rPr>
          <w:vertAlign w:val="superscript"/>
          <w:lang w:val="es-ES" w:eastAsia="es-ES"/>
        </w:rPr>
        <w:t>12)</w:t>
      </w:r>
    </w:p>
    <w:p w14:paraId="2E562E4D" w14:textId="77777777" w:rsidR="00E31389" w:rsidRPr="00E31389" w:rsidRDefault="00E31389" w:rsidP="00E31389">
      <w:pPr>
        <w:autoSpaceDE w:val="0"/>
        <w:autoSpaceDN w:val="0"/>
        <w:adjustRightInd w:val="0"/>
        <w:spacing w:line="360" w:lineRule="auto"/>
        <w:jc w:val="both"/>
        <w:rPr>
          <w:rFonts w:eastAsia="Calibri"/>
          <w:color w:val="000000"/>
          <w:vertAlign w:val="superscript"/>
          <w:lang w:val="es-ES" w:eastAsia="en-US"/>
        </w:rPr>
      </w:pPr>
      <w:r w:rsidRPr="00E31389">
        <w:rPr>
          <w:rFonts w:eastAsia="Calibri"/>
          <w:color w:val="000000"/>
          <w:lang w:val="es-ES" w:eastAsia="en-US"/>
        </w:rPr>
        <w:t xml:space="preserve">Se asoció además un incremento en los niveles de ferritina y proteína C reactiva, como parte de los marcadores inflamatorios elevados encontrados en estos pacientes. Múltiples estudios en Asia e Italia plantean que los niveles altos de proteína C reactiva se relacionaron con mayor necesidad de oxigenoterapia. Se ha descrito que entre los pacientes hospitalizados positivos a SARS-CoV-2, quienes tuvieron necesidad de oxígeno suplementario tuvieron una media de proteína C reactiva más elevada, en comparación con aquellos que no necesitaron </w:t>
      </w:r>
      <w:proofErr w:type="gramStart"/>
      <w:r w:rsidRPr="00E31389">
        <w:rPr>
          <w:rFonts w:eastAsia="Calibri"/>
          <w:color w:val="000000"/>
          <w:lang w:val="es-ES" w:eastAsia="en-US"/>
        </w:rPr>
        <w:t>oxígeno.</w:t>
      </w:r>
      <w:r w:rsidRPr="00E31389">
        <w:rPr>
          <w:rFonts w:eastAsia="Calibri"/>
          <w:color w:val="000000"/>
          <w:vertAlign w:val="superscript"/>
          <w:lang w:val="es-ES" w:eastAsia="en-US"/>
        </w:rPr>
        <w:t>(</w:t>
      </w:r>
      <w:proofErr w:type="gramEnd"/>
      <w:r w:rsidRPr="00E31389">
        <w:rPr>
          <w:rFonts w:eastAsia="Calibri"/>
          <w:color w:val="000000"/>
          <w:vertAlign w:val="superscript"/>
          <w:lang w:val="es-ES" w:eastAsia="en-US"/>
        </w:rPr>
        <w:t>13,14,15)</w:t>
      </w:r>
    </w:p>
    <w:p w14:paraId="3B3B074E" w14:textId="77777777" w:rsidR="00E31389" w:rsidRPr="00E31389" w:rsidRDefault="00E31389" w:rsidP="00E31389">
      <w:pPr>
        <w:autoSpaceDE w:val="0"/>
        <w:autoSpaceDN w:val="0"/>
        <w:adjustRightInd w:val="0"/>
        <w:spacing w:line="360" w:lineRule="auto"/>
        <w:jc w:val="both"/>
        <w:rPr>
          <w:rFonts w:eastAsia="Calibri"/>
          <w:color w:val="000000"/>
          <w:vertAlign w:val="superscript"/>
          <w:lang w:val="es-ES" w:eastAsia="en-US"/>
        </w:rPr>
      </w:pPr>
      <w:r w:rsidRPr="00E31389">
        <w:rPr>
          <w:rFonts w:eastAsia="Calibri"/>
          <w:color w:val="000000"/>
          <w:lang w:val="es-ES" w:eastAsia="en-US"/>
        </w:rPr>
        <w:t xml:space="preserve">De los parámetros de laboratorio, la proteína C reactiva al inicio y, sobre todo, el nivel máximo de ferritina y la interleucina-6 son los que muestran más diferencias entre las personas vivas y fallecidas. Estos dos parámetros se consideran discriminadores de enfermedad </w:t>
      </w:r>
      <w:proofErr w:type="gramStart"/>
      <w:r w:rsidRPr="00E31389">
        <w:rPr>
          <w:rFonts w:eastAsia="Calibri"/>
          <w:color w:val="000000"/>
          <w:lang w:val="es-ES" w:eastAsia="en-US"/>
        </w:rPr>
        <w:t>grave.</w:t>
      </w:r>
      <w:r w:rsidRPr="00E31389">
        <w:rPr>
          <w:rFonts w:eastAsia="Calibri"/>
          <w:color w:val="000000"/>
          <w:vertAlign w:val="superscript"/>
          <w:lang w:val="es-ES" w:eastAsia="en-US"/>
        </w:rPr>
        <w:t>(</w:t>
      </w:r>
      <w:proofErr w:type="gramEnd"/>
      <w:r w:rsidRPr="00E31389">
        <w:rPr>
          <w:rFonts w:eastAsia="Calibri"/>
          <w:color w:val="000000"/>
          <w:vertAlign w:val="superscript"/>
          <w:lang w:val="es-ES" w:eastAsia="en-US"/>
        </w:rPr>
        <w:t>16,17,18,19)</w:t>
      </w:r>
    </w:p>
    <w:p w14:paraId="6294122D" w14:textId="77777777" w:rsidR="00E31389" w:rsidRPr="00E31389" w:rsidRDefault="00E31389" w:rsidP="00E31389">
      <w:pPr>
        <w:autoSpaceDE w:val="0"/>
        <w:autoSpaceDN w:val="0"/>
        <w:adjustRightInd w:val="0"/>
        <w:spacing w:line="360" w:lineRule="auto"/>
        <w:jc w:val="both"/>
        <w:rPr>
          <w:rFonts w:eastAsia="Calibri"/>
          <w:color w:val="000000"/>
          <w:vertAlign w:val="superscript"/>
          <w:lang w:val="es-ES" w:eastAsia="en-US"/>
        </w:rPr>
      </w:pPr>
      <w:r w:rsidRPr="00E31389">
        <w:rPr>
          <w:rFonts w:eastAsia="Calibri"/>
          <w:color w:val="000000"/>
          <w:lang w:val="es-ES" w:eastAsia="en-US"/>
        </w:rPr>
        <w:t xml:space="preserve">Este estudio constituye un punto de partida para nuevas investigaciones sobre esta enfermedad en pacientes en general, pero fundamentalmente en grupos vulnerables como es el caso de los pacientes en hemodiálisis. </w:t>
      </w:r>
    </w:p>
    <w:p w14:paraId="658A3631" w14:textId="77777777" w:rsidR="00E31389" w:rsidRPr="00E31389" w:rsidRDefault="00E31389" w:rsidP="00E31389">
      <w:pPr>
        <w:autoSpaceDE w:val="0"/>
        <w:autoSpaceDN w:val="0"/>
        <w:adjustRightInd w:val="0"/>
        <w:spacing w:line="360" w:lineRule="auto"/>
        <w:jc w:val="both"/>
        <w:rPr>
          <w:rFonts w:eastAsia="Calibri"/>
          <w:b/>
          <w:color w:val="0000FF"/>
          <w:lang w:val="es-ES" w:eastAsia="en-US"/>
        </w:rPr>
      </w:pPr>
      <w:r w:rsidRPr="00E31389">
        <w:rPr>
          <w:rFonts w:eastAsia="Calibri"/>
          <w:color w:val="000000"/>
          <w:lang w:val="es-ES" w:eastAsia="en-US"/>
        </w:rPr>
        <w:lastRenderedPageBreak/>
        <w:t>Entre las limitaciones, se debe mencionar que solo se tuvo en cuenta la forma clínica de presentación y las complementarias iniciales, realizados en el momento del diagnóstico. Un mayor tiempo de seguimiento pudiera contribuir a evaluar la evolución clínica y de los estudios de laboratorio, así como la tolerancia al tratamiento de este particular grupo de pacientes.</w:t>
      </w:r>
    </w:p>
    <w:p w14:paraId="024DDA95" w14:textId="77777777" w:rsidR="00E31389" w:rsidRPr="00E31389" w:rsidRDefault="00E31389" w:rsidP="00E31389">
      <w:pPr>
        <w:autoSpaceDE w:val="0"/>
        <w:autoSpaceDN w:val="0"/>
        <w:adjustRightInd w:val="0"/>
        <w:spacing w:line="360" w:lineRule="auto"/>
        <w:jc w:val="both"/>
        <w:rPr>
          <w:rFonts w:eastAsia="Calibri"/>
          <w:color w:val="000000"/>
          <w:lang w:val="es-ES" w:eastAsia="en-US"/>
        </w:rPr>
      </w:pPr>
      <w:r w:rsidRPr="00E31389">
        <w:rPr>
          <w:rFonts w:eastAsia="Calibri"/>
          <w:color w:val="000000"/>
          <w:lang w:val="es-ES" w:eastAsia="en-US"/>
        </w:rPr>
        <w:t xml:space="preserve">En los pacientes con enfermedad renal crónica en hemodiálisis diagnosticados con la COVID-19, fue frecuente el contacto previo con casos positivos como fuente de infección. Existieron pocas diferencias en el sexo en cuanto a la sintomatología, además presentaron </w:t>
      </w:r>
      <w:proofErr w:type="spellStart"/>
      <w:r w:rsidRPr="00E31389">
        <w:rPr>
          <w:rFonts w:eastAsia="Calibri"/>
          <w:color w:val="000000"/>
          <w:lang w:val="es-ES" w:eastAsia="en-US"/>
        </w:rPr>
        <w:t>linfopenia</w:t>
      </w:r>
      <w:proofErr w:type="spellEnd"/>
      <w:r w:rsidRPr="00E31389">
        <w:rPr>
          <w:rFonts w:eastAsia="Calibri"/>
          <w:color w:val="000000"/>
          <w:lang w:val="es-ES" w:eastAsia="en-US"/>
        </w:rPr>
        <w:t xml:space="preserve"> y de marcadores inflamatorios elevados en el momento del diagnóstico, fundamentalmente en los pacientes sintomáticos. </w:t>
      </w:r>
    </w:p>
    <w:p w14:paraId="7FC7455D" w14:textId="77777777" w:rsidR="00E31389" w:rsidRPr="00E31389" w:rsidRDefault="00E31389" w:rsidP="00E31389">
      <w:pPr>
        <w:spacing w:line="360" w:lineRule="auto"/>
        <w:jc w:val="both"/>
        <w:rPr>
          <w:rFonts w:eastAsia="Calibri" w:cs="Tahoma"/>
          <w:bCs/>
          <w:szCs w:val="20"/>
          <w:lang w:val="es-ES" w:eastAsia="en-US"/>
        </w:rPr>
      </w:pPr>
    </w:p>
    <w:p w14:paraId="1ABD0CAE" w14:textId="77777777" w:rsidR="00E31389" w:rsidRPr="00E31389" w:rsidRDefault="00E31389" w:rsidP="00E31389">
      <w:pPr>
        <w:spacing w:line="360" w:lineRule="auto"/>
        <w:rPr>
          <w:rFonts w:eastAsia="Calibri" w:cs="Arial"/>
          <w:b/>
          <w:szCs w:val="20"/>
          <w:lang w:val="es-ES" w:eastAsia="en-US"/>
        </w:rPr>
      </w:pPr>
    </w:p>
    <w:p w14:paraId="619C3E69" w14:textId="77777777" w:rsidR="00E31389" w:rsidRPr="00E31389" w:rsidRDefault="00E31389" w:rsidP="00E31389">
      <w:pPr>
        <w:spacing w:line="360" w:lineRule="auto"/>
        <w:jc w:val="center"/>
        <w:rPr>
          <w:rFonts w:eastAsia="Calibri" w:cs="Arial"/>
          <w:b/>
          <w:sz w:val="32"/>
          <w:szCs w:val="32"/>
          <w:lang w:val="es-ES" w:eastAsia="en-US"/>
        </w:rPr>
      </w:pPr>
      <w:r w:rsidRPr="00E31389">
        <w:rPr>
          <w:rFonts w:eastAsia="Calibri" w:cs="Arial"/>
          <w:b/>
          <w:sz w:val="32"/>
          <w:szCs w:val="32"/>
          <w:lang w:val="es-ES" w:eastAsia="en-US"/>
        </w:rPr>
        <w:t>REFERENCIAS BIBLIOGRÁFICAS</w:t>
      </w:r>
    </w:p>
    <w:p w14:paraId="42131BC2" w14:textId="77777777" w:rsidR="00E31389" w:rsidRPr="00E31389" w:rsidRDefault="00E31389" w:rsidP="00E31389">
      <w:pPr>
        <w:spacing w:line="360" w:lineRule="auto"/>
        <w:rPr>
          <w:rFonts w:eastAsia="Calibri"/>
          <w:szCs w:val="20"/>
          <w:lang w:val="en-US" w:eastAsia="en-US"/>
        </w:rPr>
      </w:pPr>
      <w:r w:rsidRPr="00E31389">
        <w:rPr>
          <w:rFonts w:eastAsia="Calibri"/>
          <w:lang w:val="es-CU" w:eastAsia="en-US"/>
        </w:rPr>
        <w:t xml:space="preserve">1. Cheng Y, </w:t>
      </w:r>
      <w:proofErr w:type="spellStart"/>
      <w:r w:rsidRPr="00E31389">
        <w:rPr>
          <w:rFonts w:eastAsia="Calibri"/>
          <w:lang w:val="es-CU" w:eastAsia="en-US"/>
        </w:rPr>
        <w:t>Luo</w:t>
      </w:r>
      <w:proofErr w:type="spellEnd"/>
      <w:r w:rsidRPr="00E31389">
        <w:rPr>
          <w:rFonts w:eastAsia="Calibri"/>
          <w:lang w:val="es-CU" w:eastAsia="en-US"/>
        </w:rPr>
        <w:t xml:space="preserve"> R, Wang K, Zhang M, Wang Z, Dong L, et al. </w:t>
      </w:r>
      <w:r w:rsidRPr="00E31389">
        <w:rPr>
          <w:rFonts w:eastAsia="Calibri"/>
          <w:lang w:val="en-US" w:eastAsia="en-US"/>
        </w:rPr>
        <w:t>Kidney disease is associated with in-hospital death of patients with COVID-19. Kidney Int. 2020 [</w:t>
      </w:r>
      <w:proofErr w:type="spellStart"/>
      <w:r w:rsidRPr="00E31389">
        <w:rPr>
          <w:rFonts w:eastAsia="Calibri"/>
          <w:lang w:val="en-US" w:eastAsia="en-US"/>
        </w:rPr>
        <w:t>acceso</w:t>
      </w:r>
      <w:proofErr w:type="spellEnd"/>
      <w:r w:rsidRPr="00E31389">
        <w:rPr>
          <w:rFonts w:eastAsia="Calibri"/>
          <w:lang w:val="en-US" w:eastAsia="en-US"/>
        </w:rPr>
        <w:t xml:space="preserve">: 20/04/2020];97(5):829-38. Disponible </w:t>
      </w:r>
      <w:proofErr w:type="spellStart"/>
      <w:r w:rsidRPr="00E31389">
        <w:rPr>
          <w:rFonts w:eastAsia="Calibri"/>
          <w:lang w:val="en-US" w:eastAsia="en-US"/>
        </w:rPr>
        <w:t>en</w:t>
      </w:r>
      <w:proofErr w:type="spellEnd"/>
      <w:r w:rsidRPr="00E31389">
        <w:rPr>
          <w:rFonts w:eastAsia="Calibri"/>
          <w:lang w:val="en-US" w:eastAsia="en-US"/>
        </w:rPr>
        <w:t xml:space="preserve">: </w:t>
      </w:r>
      <w:hyperlink r:id="rId20" w:history="1">
        <w:r w:rsidRPr="00E31389">
          <w:rPr>
            <w:rFonts w:eastAsia="Calibri"/>
            <w:color w:val="0000FF"/>
            <w:u w:val="single"/>
            <w:lang w:val="en-US" w:eastAsia="en-US"/>
          </w:rPr>
          <w:t>http://www.sciencedirect.com/science/article/pii/S0085253820302556</w:t>
        </w:r>
      </w:hyperlink>
    </w:p>
    <w:p w14:paraId="721CC49B" w14:textId="77777777" w:rsidR="00E31389" w:rsidRPr="00E31389" w:rsidRDefault="00E31389" w:rsidP="00E31389">
      <w:pPr>
        <w:spacing w:line="360" w:lineRule="auto"/>
        <w:rPr>
          <w:rFonts w:eastAsia="Calibri"/>
          <w:lang w:val="en-US" w:eastAsia="en-US"/>
        </w:rPr>
      </w:pPr>
      <w:r w:rsidRPr="00E31389">
        <w:rPr>
          <w:rFonts w:eastAsia="Calibri"/>
          <w:lang w:val="en-US" w:eastAsia="en-US"/>
        </w:rPr>
        <w:t xml:space="preserve">2. </w:t>
      </w:r>
      <w:proofErr w:type="spellStart"/>
      <w:r w:rsidRPr="00E31389">
        <w:rPr>
          <w:rFonts w:eastAsia="Calibri"/>
          <w:lang w:val="en-US" w:eastAsia="en-US"/>
        </w:rPr>
        <w:t>Lipsitch</w:t>
      </w:r>
      <w:proofErr w:type="spellEnd"/>
      <w:r w:rsidRPr="00E31389">
        <w:rPr>
          <w:rFonts w:eastAsia="Calibri"/>
          <w:lang w:val="en-US" w:eastAsia="en-US"/>
        </w:rPr>
        <w:t xml:space="preserve"> M, </w:t>
      </w:r>
      <w:proofErr w:type="spellStart"/>
      <w:r w:rsidRPr="00E31389">
        <w:rPr>
          <w:rFonts w:eastAsia="Calibri"/>
          <w:lang w:val="en-US" w:eastAsia="en-US"/>
        </w:rPr>
        <w:t>Swerdlow</w:t>
      </w:r>
      <w:proofErr w:type="spellEnd"/>
      <w:r w:rsidRPr="00E31389">
        <w:rPr>
          <w:rFonts w:eastAsia="Calibri"/>
          <w:lang w:val="en-US" w:eastAsia="en-US"/>
        </w:rPr>
        <w:t xml:space="preserve"> DL, </w:t>
      </w:r>
      <w:proofErr w:type="spellStart"/>
      <w:r w:rsidRPr="00E31389">
        <w:rPr>
          <w:rFonts w:eastAsia="Calibri"/>
          <w:lang w:val="en-US" w:eastAsia="en-US"/>
        </w:rPr>
        <w:t>Finelli</w:t>
      </w:r>
      <w:proofErr w:type="spellEnd"/>
      <w:r w:rsidRPr="00E31389">
        <w:rPr>
          <w:rFonts w:eastAsia="Calibri"/>
          <w:lang w:val="en-US" w:eastAsia="en-US"/>
        </w:rPr>
        <w:t xml:space="preserve"> L. Defining the Epidemiology of Covid-19-Studies Needed. N </w:t>
      </w:r>
      <w:proofErr w:type="spellStart"/>
      <w:r w:rsidRPr="00E31389">
        <w:rPr>
          <w:rFonts w:eastAsia="Calibri"/>
          <w:lang w:val="en-US" w:eastAsia="en-US"/>
        </w:rPr>
        <w:t>Engl</w:t>
      </w:r>
      <w:proofErr w:type="spellEnd"/>
      <w:r w:rsidRPr="00E31389">
        <w:rPr>
          <w:rFonts w:eastAsia="Calibri"/>
          <w:lang w:val="en-US" w:eastAsia="en-US"/>
        </w:rPr>
        <w:t xml:space="preserve"> J Med. 2020[</w:t>
      </w:r>
      <w:proofErr w:type="spellStart"/>
      <w:r w:rsidRPr="00E31389">
        <w:rPr>
          <w:rFonts w:eastAsia="Calibri"/>
          <w:lang w:val="en-US" w:eastAsia="en-US"/>
        </w:rPr>
        <w:t>acceso</w:t>
      </w:r>
      <w:proofErr w:type="spellEnd"/>
      <w:r w:rsidRPr="00E31389">
        <w:rPr>
          <w:rFonts w:eastAsia="Calibri"/>
          <w:lang w:val="en-US" w:eastAsia="en-US"/>
        </w:rPr>
        <w:t>: 20/05/2020];</w:t>
      </w:r>
      <w:r w:rsidRPr="00E31389">
        <w:rPr>
          <w:rFonts w:eastAsia="Calibri"/>
          <w:iCs/>
          <w:lang w:val="en-US" w:eastAsia="en-US"/>
        </w:rPr>
        <w:t>382</w:t>
      </w:r>
      <w:r w:rsidRPr="00E31389">
        <w:rPr>
          <w:rFonts w:eastAsia="Calibri"/>
          <w:lang w:val="en-US" w:eastAsia="en-US"/>
        </w:rPr>
        <w:t>(13):1194–96. DOI: 10.1056/NEJMp2002125</w:t>
      </w:r>
    </w:p>
    <w:p w14:paraId="54AF540F" w14:textId="77777777" w:rsidR="00E31389" w:rsidRPr="00E31389" w:rsidRDefault="00E31389" w:rsidP="00E31389">
      <w:pPr>
        <w:spacing w:line="360" w:lineRule="auto"/>
        <w:rPr>
          <w:rFonts w:eastAsia="Calibri"/>
          <w:lang w:val="en-US" w:eastAsia="en-US"/>
        </w:rPr>
      </w:pPr>
      <w:r w:rsidRPr="00E31389">
        <w:rPr>
          <w:rFonts w:eastAsia="Calibri"/>
          <w:lang w:val="en-US" w:eastAsia="en-US"/>
        </w:rPr>
        <w:t xml:space="preserve">3. Zhu N, Zhang D, Wang W, Li X, Yang B, Song J, et al. A novel coronavirus from patients with pneumonia in China, 2019. N </w:t>
      </w:r>
      <w:proofErr w:type="spellStart"/>
      <w:r w:rsidRPr="00E31389">
        <w:rPr>
          <w:rFonts w:eastAsia="Calibri"/>
          <w:lang w:val="en-US" w:eastAsia="en-US"/>
        </w:rPr>
        <w:t>Engl</w:t>
      </w:r>
      <w:proofErr w:type="spellEnd"/>
      <w:r w:rsidRPr="00E31389">
        <w:rPr>
          <w:rFonts w:eastAsia="Calibri"/>
          <w:lang w:val="en-US" w:eastAsia="en-US"/>
        </w:rPr>
        <w:t xml:space="preserve"> J Med. 2020[</w:t>
      </w:r>
      <w:proofErr w:type="spellStart"/>
      <w:r w:rsidRPr="00E31389">
        <w:rPr>
          <w:rFonts w:eastAsia="Calibri"/>
          <w:lang w:val="en-US" w:eastAsia="en-US"/>
        </w:rPr>
        <w:t>acceso</w:t>
      </w:r>
      <w:proofErr w:type="spellEnd"/>
      <w:r w:rsidRPr="00E31389">
        <w:rPr>
          <w:rFonts w:eastAsia="Calibri"/>
          <w:lang w:val="en-US" w:eastAsia="en-US"/>
        </w:rPr>
        <w:t>: 16/05/2020];382(8):727–33.</w:t>
      </w:r>
      <w:r w:rsidRPr="00E31389">
        <w:rPr>
          <w:rFonts w:ascii="Calibri" w:eastAsia="Calibri" w:hAnsi="Calibri"/>
          <w:sz w:val="22"/>
          <w:szCs w:val="22"/>
          <w:lang w:val="en-US" w:eastAsia="en-US"/>
        </w:rPr>
        <w:t xml:space="preserve"> </w:t>
      </w:r>
      <w:r w:rsidRPr="00E31389">
        <w:rPr>
          <w:rFonts w:eastAsia="Calibri"/>
          <w:lang w:val="en-US" w:eastAsia="en-US"/>
        </w:rPr>
        <w:t>DOI: 10.1056/NEJMoa2001017</w:t>
      </w:r>
    </w:p>
    <w:p w14:paraId="6538B710" w14:textId="77777777" w:rsidR="00E31389" w:rsidRPr="00E31389" w:rsidRDefault="00E31389" w:rsidP="00E31389">
      <w:pPr>
        <w:spacing w:line="360" w:lineRule="auto"/>
        <w:rPr>
          <w:rFonts w:eastAsia="Calibri"/>
          <w:szCs w:val="20"/>
          <w:lang w:val="es-ES" w:eastAsia="en-US"/>
        </w:rPr>
      </w:pPr>
      <w:r w:rsidRPr="00E31389">
        <w:rPr>
          <w:rFonts w:eastAsia="Calibri"/>
          <w:lang w:val="en-US" w:eastAsia="en-US"/>
        </w:rPr>
        <w:t xml:space="preserve">4. Shen C, Wang Z, Zhao F, Yang Y, Li J, Yuan J, et al. Treatment of 5 Critically III Patients with COVID-19 with Convalescent Plasma. </w:t>
      </w:r>
      <w:r w:rsidRPr="00E31389">
        <w:rPr>
          <w:rFonts w:eastAsia="Calibri"/>
          <w:lang w:val="es-CU" w:eastAsia="en-US"/>
        </w:rPr>
        <w:t xml:space="preserve">Jama. 2020[acceso: 22/05/2020];323(16):1582–89. </w:t>
      </w:r>
      <w:r w:rsidRPr="00E31389">
        <w:rPr>
          <w:rFonts w:eastAsia="Calibri"/>
          <w:lang w:val="es-ES" w:eastAsia="en-US"/>
        </w:rPr>
        <w:t xml:space="preserve">Disponible en: </w:t>
      </w:r>
      <w:hyperlink r:id="rId21" w:history="1">
        <w:r w:rsidRPr="00E31389">
          <w:rPr>
            <w:rFonts w:eastAsia="Calibri"/>
            <w:color w:val="0000FF"/>
            <w:u w:val="single"/>
            <w:lang w:val="es-ES" w:eastAsia="en-US"/>
          </w:rPr>
          <w:t>http://www.ncbi.nlm.nih.gov/pubmed/32219428</w:t>
        </w:r>
      </w:hyperlink>
    </w:p>
    <w:p w14:paraId="4BD3C511" w14:textId="77777777" w:rsidR="00E31389" w:rsidRPr="00E31389" w:rsidRDefault="00E31389" w:rsidP="00E31389">
      <w:pPr>
        <w:spacing w:line="360" w:lineRule="auto"/>
        <w:rPr>
          <w:rFonts w:eastAsia="Calibri"/>
          <w:lang w:val="en-US" w:eastAsia="en-US"/>
        </w:rPr>
      </w:pPr>
      <w:r w:rsidRPr="00E31389">
        <w:rPr>
          <w:rFonts w:eastAsia="Calibri"/>
          <w:lang w:val="en-US" w:eastAsia="en-US"/>
        </w:rPr>
        <w:t xml:space="preserve">5. </w:t>
      </w:r>
      <w:proofErr w:type="spellStart"/>
      <w:r w:rsidRPr="00E31389">
        <w:rPr>
          <w:rFonts w:eastAsia="Calibri"/>
          <w:lang w:val="en-US" w:eastAsia="en-US"/>
        </w:rPr>
        <w:t>Bajema</w:t>
      </w:r>
      <w:proofErr w:type="spellEnd"/>
      <w:r w:rsidRPr="00E31389">
        <w:rPr>
          <w:rFonts w:eastAsia="Calibri"/>
          <w:lang w:val="en-US" w:eastAsia="en-US"/>
        </w:rPr>
        <w:t xml:space="preserve"> KL, Oster AM, McGovern OL, Lindstrom S, Stenger MR, Anderson TC, et al. Persons Evaluated for 2019 Novel Coronavirus - United States, January 2020. MMWR </w:t>
      </w:r>
      <w:proofErr w:type="spellStart"/>
      <w:r w:rsidRPr="00E31389">
        <w:rPr>
          <w:rFonts w:eastAsia="Calibri"/>
          <w:lang w:val="en-US" w:eastAsia="en-US"/>
        </w:rPr>
        <w:t>Morb</w:t>
      </w:r>
      <w:proofErr w:type="spellEnd"/>
      <w:r w:rsidRPr="00E31389">
        <w:rPr>
          <w:rFonts w:eastAsia="Calibri"/>
          <w:lang w:val="en-US" w:eastAsia="en-US"/>
        </w:rPr>
        <w:t xml:space="preserve"> Mortal </w:t>
      </w:r>
      <w:proofErr w:type="spellStart"/>
      <w:r w:rsidRPr="00E31389">
        <w:rPr>
          <w:rFonts w:eastAsia="Calibri"/>
          <w:lang w:val="en-US" w:eastAsia="en-US"/>
        </w:rPr>
        <w:t>Wkly</w:t>
      </w:r>
      <w:proofErr w:type="spellEnd"/>
      <w:r w:rsidRPr="00E31389">
        <w:rPr>
          <w:rFonts w:eastAsia="Calibri"/>
          <w:lang w:val="en-US" w:eastAsia="en-US"/>
        </w:rPr>
        <w:t xml:space="preserve"> Rep. 2020[</w:t>
      </w:r>
      <w:proofErr w:type="spellStart"/>
      <w:r w:rsidRPr="00E31389">
        <w:rPr>
          <w:rFonts w:eastAsia="Calibri"/>
          <w:lang w:val="en-US" w:eastAsia="en-US"/>
        </w:rPr>
        <w:t>acceso</w:t>
      </w:r>
      <w:proofErr w:type="spellEnd"/>
      <w:r w:rsidRPr="00E31389">
        <w:rPr>
          <w:rFonts w:eastAsia="Calibri"/>
          <w:lang w:val="en-US" w:eastAsia="en-US"/>
        </w:rPr>
        <w:t>: 28/03/2020];69(6):166–70. DOI: 10.15585/mmwr.mm6906e1</w:t>
      </w:r>
    </w:p>
    <w:p w14:paraId="163BF85E" w14:textId="77777777" w:rsidR="00E31389" w:rsidRPr="00E31389" w:rsidRDefault="00E31389" w:rsidP="00E31389">
      <w:pPr>
        <w:spacing w:line="360" w:lineRule="auto"/>
        <w:rPr>
          <w:rFonts w:eastAsia="Calibri"/>
          <w:szCs w:val="20"/>
          <w:highlight w:val="yellow"/>
          <w:lang w:val="en-US" w:eastAsia="en-US"/>
        </w:rPr>
      </w:pPr>
      <w:r w:rsidRPr="00E31389">
        <w:rPr>
          <w:rFonts w:eastAsia="Calibri"/>
          <w:lang w:val="en-US" w:eastAsia="en-US"/>
        </w:rPr>
        <w:t>6. Wang D, Hu B, Hu C, Zhu F, Liu X, Zhang J, et al. Clinical Characteristics of 138 Hospitalized Patients with 2019 Novel Coronavirus-Infected Pneumonia in Wuhan, China. JAMA - J Am Med Assoc. 2020[</w:t>
      </w:r>
      <w:proofErr w:type="spellStart"/>
      <w:r w:rsidRPr="00E31389">
        <w:rPr>
          <w:rFonts w:eastAsia="Calibri"/>
          <w:lang w:val="en-US" w:eastAsia="en-US"/>
        </w:rPr>
        <w:t>acceso</w:t>
      </w:r>
      <w:proofErr w:type="spellEnd"/>
      <w:r w:rsidRPr="00E31389">
        <w:rPr>
          <w:rFonts w:eastAsia="Calibri"/>
          <w:lang w:val="en-US" w:eastAsia="en-US"/>
        </w:rPr>
        <w:t>: 15/05/2020];323(11):1061–9. DOI: 10.1001/jama.2020.1585</w:t>
      </w:r>
    </w:p>
    <w:p w14:paraId="15B3E3CD" w14:textId="77777777" w:rsidR="00E31389" w:rsidRPr="00E31389" w:rsidRDefault="00E31389" w:rsidP="00E31389">
      <w:pPr>
        <w:spacing w:line="360" w:lineRule="auto"/>
        <w:rPr>
          <w:rFonts w:eastAsia="Calibri"/>
          <w:szCs w:val="20"/>
          <w:lang w:val="es-ES" w:eastAsia="en-US"/>
        </w:rPr>
      </w:pPr>
      <w:r w:rsidRPr="00E31389">
        <w:rPr>
          <w:rFonts w:eastAsia="Calibri"/>
          <w:lang w:val="en-US" w:eastAsia="en-US"/>
        </w:rPr>
        <w:lastRenderedPageBreak/>
        <w:t xml:space="preserve">7. Park HC, Lee SH, Kim J, Kim DH, Cho A, Jeon HJ, et al. Effect of isolation practice on the transmission of Middle East respiratory syndrome coronavirus among hemodialysis patients: A 2-year prospective cohort study. </w:t>
      </w:r>
      <w:r w:rsidRPr="00E31389">
        <w:rPr>
          <w:rFonts w:eastAsia="Calibri"/>
          <w:lang w:val="es-CU" w:eastAsia="en-US"/>
        </w:rPr>
        <w:t>Medicine. 2020[acceso: 25/03/2020];99(3):</w:t>
      </w:r>
      <w:r w:rsidRPr="00E31389">
        <w:rPr>
          <w:rFonts w:ascii="Calibri" w:eastAsia="Calibri" w:hAnsi="Calibri"/>
          <w:sz w:val="22"/>
          <w:szCs w:val="22"/>
          <w:lang w:val="es-ES" w:eastAsia="en-US"/>
        </w:rPr>
        <w:t xml:space="preserve"> </w:t>
      </w:r>
      <w:r w:rsidRPr="00E31389">
        <w:rPr>
          <w:rFonts w:eastAsia="Calibri"/>
          <w:lang w:val="es-CU" w:eastAsia="en-US"/>
        </w:rPr>
        <w:t xml:space="preserve">e18782. </w:t>
      </w:r>
      <w:r w:rsidRPr="00E31389">
        <w:rPr>
          <w:rFonts w:eastAsia="Calibri"/>
          <w:lang w:val="es-ES" w:eastAsia="en-US"/>
        </w:rPr>
        <w:t xml:space="preserve">Disponible en: </w:t>
      </w:r>
      <w:hyperlink r:id="rId22" w:history="1">
        <w:r w:rsidRPr="00E31389">
          <w:rPr>
            <w:rFonts w:eastAsia="Calibri"/>
            <w:color w:val="0000FF"/>
            <w:u w:val="single"/>
            <w:lang w:val="es-ES" w:eastAsia="en-US"/>
          </w:rPr>
          <w:t>https://journals.lww.com/md-journal/fulltext/2020/01170/effect_of_isolation_practice_on_the_transmission.43.aspx</w:t>
        </w:r>
      </w:hyperlink>
      <w:r w:rsidRPr="00E31389">
        <w:rPr>
          <w:rFonts w:eastAsia="Calibri"/>
          <w:lang w:val="es-ES" w:eastAsia="en-US"/>
        </w:rPr>
        <w:t xml:space="preserve"> </w:t>
      </w:r>
    </w:p>
    <w:p w14:paraId="3136E50C" w14:textId="77777777" w:rsidR="00E31389" w:rsidRPr="00E31389" w:rsidRDefault="00E31389" w:rsidP="00E31389">
      <w:pPr>
        <w:spacing w:line="360" w:lineRule="auto"/>
        <w:rPr>
          <w:rFonts w:eastAsia="Calibri"/>
          <w:szCs w:val="20"/>
          <w:lang w:val="es-ES" w:eastAsia="en-US"/>
        </w:rPr>
      </w:pPr>
      <w:r w:rsidRPr="00E31389">
        <w:rPr>
          <w:rFonts w:eastAsia="Calibri"/>
          <w:lang w:val="es-ES" w:eastAsia="en-US"/>
        </w:rPr>
        <w:t xml:space="preserve">8. de Francisco ALM, Pérez Canga JL. Coronavirus y Riñón: actualización completa 09 de </w:t>
      </w:r>
      <w:proofErr w:type="gramStart"/>
      <w:r w:rsidRPr="00E31389">
        <w:rPr>
          <w:rFonts w:eastAsia="Calibri"/>
          <w:lang w:val="es-ES" w:eastAsia="en-US"/>
        </w:rPr>
        <w:t>Junio</w:t>
      </w:r>
      <w:proofErr w:type="gramEnd"/>
      <w:r w:rsidRPr="00E31389">
        <w:rPr>
          <w:rFonts w:eastAsia="Calibri"/>
          <w:lang w:val="es-ES" w:eastAsia="en-US"/>
        </w:rPr>
        <w:t xml:space="preserve"> de 2020. Barcelona: Nefrología al día, Sociedad Española de nefrología; </w:t>
      </w:r>
      <w:proofErr w:type="gramStart"/>
      <w:r w:rsidRPr="00E31389">
        <w:rPr>
          <w:rFonts w:eastAsia="Calibri"/>
          <w:lang w:val="es-ES" w:eastAsia="en-US"/>
        </w:rPr>
        <w:t>2020.[</w:t>
      </w:r>
      <w:proofErr w:type="gramEnd"/>
      <w:r w:rsidRPr="00E31389">
        <w:rPr>
          <w:rFonts w:eastAsia="Calibri"/>
          <w:lang w:val="es-ES" w:eastAsia="en-US"/>
        </w:rPr>
        <w:t xml:space="preserve">acceso: 29/05/2020]. Disponible en: </w:t>
      </w:r>
      <w:hyperlink r:id="rId23" w:history="1">
        <w:r w:rsidRPr="00E31389">
          <w:rPr>
            <w:rFonts w:eastAsia="Calibri"/>
            <w:color w:val="0000FF"/>
            <w:u w:val="single"/>
            <w:lang w:val="es-ES" w:eastAsia="en-US"/>
          </w:rPr>
          <w:t>https://www.nefrologiaaldia.org/es-articulo-coronavirus-rinon-actualizacion-completa-09-305</w:t>
        </w:r>
      </w:hyperlink>
      <w:r w:rsidRPr="00E31389">
        <w:rPr>
          <w:rFonts w:ascii="Calibri" w:eastAsia="Calibri" w:hAnsi="Calibri"/>
          <w:sz w:val="22"/>
          <w:szCs w:val="22"/>
          <w:lang w:val="es-ES" w:eastAsia="en-US"/>
        </w:rPr>
        <w:t xml:space="preserve"> </w:t>
      </w:r>
    </w:p>
    <w:p w14:paraId="21FDD255" w14:textId="77777777" w:rsidR="00E31389" w:rsidRPr="00E31389" w:rsidRDefault="00E31389" w:rsidP="00E31389">
      <w:pPr>
        <w:spacing w:line="360" w:lineRule="auto"/>
        <w:rPr>
          <w:rFonts w:eastAsia="Calibri"/>
          <w:szCs w:val="20"/>
          <w:lang w:val="es-ES" w:eastAsia="en-US"/>
        </w:rPr>
      </w:pPr>
      <w:r w:rsidRPr="00E31389">
        <w:rPr>
          <w:rFonts w:eastAsia="Calibri"/>
          <w:lang w:val="en-US" w:eastAsia="en-US"/>
        </w:rPr>
        <w:t xml:space="preserve">9. </w:t>
      </w:r>
      <w:proofErr w:type="spellStart"/>
      <w:r w:rsidRPr="00E31389">
        <w:rPr>
          <w:rFonts w:eastAsia="Calibri"/>
          <w:lang w:val="en-US" w:eastAsia="en-US"/>
        </w:rPr>
        <w:t>Perico</w:t>
      </w:r>
      <w:proofErr w:type="spellEnd"/>
      <w:r w:rsidRPr="00E31389">
        <w:rPr>
          <w:rFonts w:eastAsia="Calibri"/>
          <w:lang w:val="en-US" w:eastAsia="en-US"/>
        </w:rPr>
        <w:t xml:space="preserve"> L, Benigni A, </w:t>
      </w:r>
      <w:proofErr w:type="spellStart"/>
      <w:r w:rsidRPr="00E31389">
        <w:rPr>
          <w:rFonts w:eastAsia="Calibri"/>
          <w:lang w:val="en-US" w:eastAsia="en-US"/>
        </w:rPr>
        <w:t>Remuzzi</w:t>
      </w:r>
      <w:proofErr w:type="spellEnd"/>
      <w:r w:rsidRPr="00E31389">
        <w:rPr>
          <w:rFonts w:eastAsia="Calibri"/>
          <w:lang w:val="en-US" w:eastAsia="en-US"/>
        </w:rPr>
        <w:t xml:space="preserve"> G. Should COVID-19 Concern Nephrologists? Why and to What Extent? The Emerging Impasse of Angiotensin Blockade. </w:t>
      </w:r>
      <w:proofErr w:type="spellStart"/>
      <w:r w:rsidRPr="00E31389">
        <w:rPr>
          <w:rFonts w:eastAsia="Calibri"/>
          <w:lang w:val="es-ES" w:eastAsia="en-US"/>
        </w:rPr>
        <w:t>Nephron</w:t>
      </w:r>
      <w:proofErr w:type="spellEnd"/>
      <w:r w:rsidRPr="00E31389">
        <w:rPr>
          <w:rFonts w:eastAsia="Calibri"/>
          <w:lang w:val="es-ES" w:eastAsia="en-US"/>
        </w:rPr>
        <w:t>. 2020[acceso: 10/05/2020</w:t>
      </w:r>
      <w:proofErr w:type="gramStart"/>
      <w:r w:rsidRPr="00E31389">
        <w:rPr>
          <w:rFonts w:eastAsia="Calibri"/>
          <w:lang w:val="es-ES" w:eastAsia="en-US"/>
        </w:rPr>
        <w:t>];144:213</w:t>
      </w:r>
      <w:proofErr w:type="gramEnd"/>
      <w:r w:rsidRPr="00E31389">
        <w:rPr>
          <w:rFonts w:eastAsia="Calibri"/>
          <w:lang w:val="es-ES" w:eastAsia="en-US"/>
        </w:rPr>
        <w:t>–21. DOI: 10.1159/000507305</w:t>
      </w:r>
    </w:p>
    <w:p w14:paraId="217AB99C" w14:textId="77777777" w:rsidR="00E31389" w:rsidRPr="00E31389" w:rsidRDefault="00E31389" w:rsidP="00E31389">
      <w:pPr>
        <w:spacing w:line="360" w:lineRule="auto"/>
        <w:rPr>
          <w:rFonts w:eastAsia="Calibri"/>
          <w:szCs w:val="20"/>
          <w:lang w:val="es-ES" w:eastAsia="en-US"/>
        </w:rPr>
      </w:pPr>
      <w:r w:rsidRPr="00E31389">
        <w:rPr>
          <w:rFonts w:eastAsia="Calibri"/>
          <w:szCs w:val="20"/>
          <w:lang w:val="es-ES" w:eastAsia="en-US"/>
        </w:rPr>
        <w:t>10. Beltrán PAG, Carranza ED, Rubio FM, Márquez MP. Recomendaciones para el manejo del paciente con enfermedad renal crónica con SARS-Cov-2. Enfermería Clínica. 2020[acceso: 30/05/2020];</w:t>
      </w:r>
      <w:proofErr w:type="gramStart"/>
      <w:r w:rsidRPr="00E31389">
        <w:rPr>
          <w:rFonts w:eastAsia="Calibri"/>
          <w:szCs w:val="20"/>
          <w:lang w:val="es-ES" w:eastAsia="en-US"/>
        </w:rPr>
        <w:t>31:S</w:t>
      </w:r>
      <w:proofErr w:type="gramEnd"/>
      <w:r w:rsidRPr="00E31389">
        <w:rPr>
          <w:rFonts w:eastAsia="Calibri"/>
          <w:szCs w:val="20"/>
          <w:lang w:val="es-ES" w:eastAsia="en-US"/>
        </w:rPr>
        <w:t>55-61. DOI: 10.1016/j.enfcli.2020.05.017</w:t>
      </w:r>
    </w:p>
    <w:p w14:paraId="7C2F4805" w14:textId="77777777" w:rsidR="00E31389" w:rsidRPr="00E31389" w:rsidRDefault="00E31389" w:rsidP="00E31389">
      <w:pPr>
        <w:spacing w:line="360" w:lineRule="auto"/>
        <w:rPr>
          <w:rFonts w:eastAsia="Calibri"/>
          <w:szCs w:val="20"/>
          <w:lang w:val="en-US" w:eastAsia="en-US"/>
        </w:rPr>
      </w:pPr>
      <w:r w:rsidRPr="00E31389">
        <w:rPr>
          <w:rFonts w:eastAsia="Calibri"/>
          <w:szCs w:val="20"/>
          <w:lang w:val="es-ES" w:eastAsia="en-US"/>
        </w:rPr>
        <w:t xml:space="preserve">11. Albalate M, Arribas P, Torres E, Cintra M, Alcázar R, Puerta M, et al. Alta prevalencia de COVID-19 asintomático en hemodiálisis: Aprendiendo día a día el primer mes de pandemia de COVID-19. </w:t>
      </w:r>
      <w:proofErr w:type="spellStart"/>
      <w:r w:rsidRPr="00E31389">
        <w:rPr>
          <w:rFonts w:eastAsia="Calibri"/>
          <w:szCs w:val="20"/>
          <w:lang w:val="en-US" w:eastAsia="en-US"/>
        </w:rPr>
        <w:t>Nefrología</w:t>
      </w:r>
      <w:proofErr w:type="spellEnd"/>
      <w:r w:rsidRPr="00E31389">
        <w:rPr>
          <w:rFonts w:eastAsia="Calibri"/>
          <w:szCs w:val="20"/>
          <w:lang w:val="en-US" w:eastAsia="en-US"/>
        </w:rPr>
        <w:t>. 2020[</w:t>
      </w:r>
      <w:proofErr w:type="spellStart"/>
      <w:r w:rsidRPr="00E31389">
        <w:rPr>
          <w:rFonts w:eastAsia="Calibri"/>
          <w:szCs w:val="20"/>
          <w:lang w:val="en-US" w:eastAsia="en-US"/>
        </w:rPr>
        <w:t>acceso</w:t>
      </w:r>
      <w:proofErr w:type="spellEnd"/>
      <w:r w:rsidRPr="00E31389">
        <w:rPr>
          <w:rFonts w:eastAsia="Calibri"/>
          <w:szCs w:val="20"/>
          <w:lang w:val="en-US" w:eastAsia="en-US"/>
        </w:rPr>
        <w:t>: 30/04/2020];40(3):279-86. DOI: 10.1016/j.nefro.2020.04.005</w:t>
      </w:r>
    </w:p>
    <w:p w14:paraId="3CEAEA6B" w14:textId="77777777" w:rsidR="00E31389" w:rsidRPr="00E31389" w:rsidRDefault="00E31389" w:rsidP="00E31389">
      <w:pPr>
        <w:spacing w:line="360" w:lineRule="auto"/>
        <w:rPr>
          <w:rFonts w:eastAsia="Calibri"/>
          <w:szCs w:val="20"/>
          <w:lang w:val="en-US" w:eastAsia="en-US"/>
        </w:rPr>
      </w:pPr>
      <w:r w:rsidRPr="00E31389">
        <w:rPr>
          <w:rFonts w:eastAsia="Calibri"/>
          <w:color w:val="000000"/>
          <w:lang w:val="en-US" w:eastAsia="en-US"/>
        </w:rPr>
        <w:t>12. Tan L, Wang Q, Zhang D, Ding J, Huang Q, Tang YQ, et al. Lymphopenia predicts disease severity of COVID-19: a descriptive and predictive study, China. Signal Transduction and Targeted Therapy. 2020[</w:t>
      </w:r>
      <w:proofErr w:type="spellStart"/>
      <w:r w:rsidRPr="00E31389">
        <w:rPr>
          <w:rFonts w:eastAsia="Calibri"/>
          <w:color w:val="000000"/>
          <w:lang w:val="en-US" w:eastAsia="en-US"/>
        </w:rPr>
        <w:t>acceso</w:t>
      </w:r>
      <w:proofErr w:type="spellEnd"/>
      <w:r w:rsidRPr="00E31389">
        <w:rPr>
          <w:rFonts w:eastAsia="Calibri"/>
          <w:color w:val="000000"/>
          <w:lang w:val="en-US" w:eastAsia="en-US"/>
        </w:rPr>
        <w:t xml:space="preserve">: 12/05/2020];5(1):33. DOI: </w:t>
      </w:r>
      <w:r w:rsidRPr="00E31389">
        <w:rPr>
          <w:rFonts w:eastAsia="Calibri"/>
          <w:lang w:val="en-US" w:eastAsia="en-US"/>
        </w:rPr>
        <w:t>10.1038/s41392-020-0148-4</w:t>
      </w:r>
    </w:p>
    <w:p w14:paraId="1B2FD56D" w14:textId="77777777" w:rsidR="00E31389" w:rsidRPr="00E31389" w:rsidRDefault="00E31389" w:rsidP="00E31389">
      <w:pPr>
        <w:spacing w:line="360" w:lineRule="auto"/>
        <w:rPr>
          <w:rFonts w:eastAsia="Calibri"/>
          <w:szCs w:val="20"/>
          <w:lang w:val="en-US" w:eastAsia="en-US"/>
        </w:rPr>
      </w:pPr>
      <w:r w:rsidRPr="00E31389">
        <w:rPr>
          <w:rFonts w:eastAsia="Calibri"/>
          <w:szCs w:val="20"/>
          <w:lang w:val="en-US" w:eastAsia="en-US"/>
        </w:rPr>
        <w:t xml:space="preserve">13. Young BE, Ong SWX, </w:t>
      </w:r>
      <w:proofErr w:type="spellStart"/>
      <w:r w:rsidRPr="00E31389">
        <w:rPr>
          <w:rFonts w:eastAsia="Calibri"/>
          <w:szCs w:val="20"/>
          <w:lang w:val="en-US" w:eastAsia="en-US"/>
        </w:rPr>
        <w:t>Kalimuddin</w:t>
      </w:r>
      <w:proofErr w:type="spellEnd"/>
      <w:r w:rsidRPr="00E31389">
        <w:rPr>
          <w:rFonts w:eastAsia="Calibri"/>
          <w:szCs w:val="20"/>
          <w:lang w:val="en-US" w:eastAsia="en-US"/>
        </w:rPr>
        <w:t xml:space="preserve"> S, Low JG, Tan SY, </w:t>
      </w:r>
      <w:proofErr w:type="spellStart"/>
      <w:r w:rsidRPr="00E31389">
        <w:rPr>
          <w:rFonts w:eastAsia="Calibri"/>
          <w:szCs w:val="20"/>
          <w:lang w:val="en-US" w:eastAsia="en-US"/>
        </w:rPr>
        <w:t>Loh</w:t>
      </w:r>
      <w:proofErr w:type="spellEnd"/>
      <w:r w:rsidRPr="00E31389">
        <w:rPr>
          <w:rFonts w:eastAsia="Calibri"/>
          <w:szCs w:val="20"/>
          <w:lang w:val="en-US" w:eastAsia="en-US"/>
        </w:rPr>
        <w:t xml:space="preserve"> J, et al. Epidemiologic features and clinical course of patients infected with SARS-CoV-2 in Singapore. JAMA. 2020[</w:t>
      </w:r>
      <w:proofErr w:type="spellStart"/>
      <w:r w:rsidRPr="00E31389">
        <w:rPr>
          <w:rFonts w:eastAsia="Calibri"/>
          <w:szCs w:val="20"/>
          <w:lang w:val="en-US" w:eastAsia="en-US"/>
        </w:rPr>
        <w:t>acceso</w:t>
      </w:r>
      <w:proofErr w:type="spellEnd"/>
      <w:r w:rsidRPr="00E31389">
        <w:rPr>
          <w:rFonts w:eastAsia="Calibri"/>
          <w:szCs w:val="20"/>
          <w:lang w:val="en-US" w:eastAsia="en-US"/>
        </w:rPr>
        <w:t xml:space="preserve">: 22/03/2020];323(15):1488–94. DOI: 10.1001/jama.2020.3204 </w:t>
      </w:r>
    </w:p>
    <w:p w14:paraId="151B862D" w14:textId="77777777" w:rsidR="00E31389" w:rsidRPr="00E31389" w:rsidRDefault="00E31389" w:rsidP="00E31389">
      <w:pPr>
        <w:spacing w:line="360" w:lineRule="auto"/>
        <w:rPr>
          <w:rFonts w:eastAsia="Calibri"/>
          <w:szCs w:val="20"/>
          <w:lang w:val="en-US" w:eastAsia="en-US"/>
        </w:rPr>
      </w:pPr>
      <w:r w:rsidRPr="00E31389">
        <w:rPr>
          <w:rFonts w:eastAsia="Calibri"/>
          <w:szCs w:val="20"/>
          <w:lang w:val="en-US" w:eastAsia="en-US"/>
        </w:rPr>
        <w:t xml:space="preserve">14. Lippi G, </w:t>
      </w:r>
      <w:proofErr w:type="spellStart"/>
      <w:r w:rsidRPr="00E31389">
        <w:rPr>
          <w:rFonts w:eastAsia="Calibri"/>
          <w:szCs w:val="20"/>
          <w:lang w:val="en-US" w:eastAsia="en-US"/>
        </w:rPr>
        <w:t>Plebani</w:t>
      </w:r>
      <w:proofErr w:type="spellEnd"/>
      <w:r w:rsidRPr="00E31389">
        <w:rPr>
          <w:rFonts w:eastAsia="Calibri"/>
          <w:szCs w:val="20"/>
          <w:lang w:val="en-US" w:eastAsia="en-US"/>
        </w:rPr>
        <w:t xml:space="preserve"> M. Procalcitonin in patients with severe coronavirus disease 2019 (COVID-19): A metanalysis. </w:t>
      </w:r>
      <w:proofErr w:type="spellStart"/>
      <w:r w:rsidRPr="00E31389">
        <w:rPr>
          <w:rFonts w:eastAsia="Calibri"/>
          <w:szCs w:val="20"/>
          <w:lang w:val="en-US" w:eastAsia="en-US"/>
        </w:rPr>
        <w:t>Clinica</w:t>
      </w:r>
      <w:proofErr w:type="spellEnd"/>
      <w:r w:rsidRPr="00E31389">
        <w:rPr>
          <w:rFonts w:eastAsia="Calibri"/>
          <w:szCs w:val="20"/>
          <w:lang w:val="en-US" w:eastAsia="en-US"/>
        </w:rPr>
        <w:t xml:space="preserve"> </w:t>
      </w:r>
      <w:proofErr w:type="spellStart"/>
      <w:r w:rsidRPr="00E31389">
        <w:rPr>
          <w:rFonts w:eastAsia="Calibri"/>
          <w:szCs w:val="20"/>
          <w:lang w:val="en-US" w:eastAsia="en-US"/>
        </w:rPr>
        <w:t>Chimica</w:t>
      </w:r>
      <w:proofErr w:type="spellEnd"/>
      <w:r w:rsidRPr="00E31389">
        <w:rPr>
          <w:rFonts w:eastAsia="Calibri"/>
          <w:szCs w:val="20"/>
          <w:lang w:val="en-US" w:eastAsia="en-US"/>
        </w:rPr>
        <w:t xml:space="preserve"> Acta. 2020[</w:t>
      </w:r>
      <w:proofErr w:type="spellStart"/>
      <w:r w:rsidRPr="00E31389">
        <w:rPr>
          <w:rFonts w:eastAsia="Calibri"/>
          <w:szCs w:val="20"/>
          <w:lang w:val="en-US" w:eastAsia="en-US"/>
        </w:rPr>
        <w:t>acceso</w:t>
      </w:r>
      <w:proofErr w:type="spellEnd"/>
      <w:r w:rsidRPr="00E31389">
        <w:rPr>
          <w:rFonts w:eastAsia="Calibri"/>
          <w:szCs w:val="20"/>
          <w:lang w:val="en-US" w:eastAsia="en-US"/>
        </w:rPr>
        <w:t>: 10/06/2020</w:t>
      </w:r>
      <w:proofErr w:type="gramStart"/>
      <w:r w:rsidRPr="00E31389">
        <w:rPr>
          <w:rFonts w:eastAsia="Calibri"/>
          <w:szCs w:val="20"/>
          <w:lang w:val="en-US" w:eastAsia="en-US"/>
        </w:rPr>
        <w:t>];505:190</w:t>
      </w:r>
      <w:proofErr w:type="gramEnd"/>
      <w:r w:rsidRPr="00E31389">
        <w:rPr>
          <w:rFonts w:eastAsia="Calibri"/>
          <w:szCs w:val="20"/>
          <w:lang w:val="en-US" w:eastAsia="en-US"/>
        </w:rPr>
        <w:t>-1. DOI: 10.1016/j.cca.2020.03.004</w:t>
      </w:r>
    </w:p>
    <w:p w14:paraId="5BF71C13" w14:textId="77777777" w:rsidR="00E31389" w:rsidRPr="00E31389" w:rsidRDefault="00E31389" w:rsidP="00E31389">
      <w:pPr>
        <w:spacing w:line="360" w:lineRule="auto"/>
        <w:rPr>
          <w:rFonts w:eastAsia="Calibri"/>
          <w:szCs w:val="20"/>
          <w:lang w:val="en-US" w:eastAsia="en-US"/>
        </w:rPr>
      </w:pPr>
      <w:r w:rsidRPr="00E31389">
        <w:rPr>
          <w:rFonts w:eastAsia="Calibri"/>
          <w:szCs w:val="20"/>
          <w:lang w:val="en-US" w:eastAsia="en-US"/>
        </w:rPr>
        <w:lastRenderedPageBreak/>
        <w:t>15. Zhou B, She J, Wang J, Ma X. Utility of ferritin, procalcitonin, and C-reactive protein in severe patients with 2019 novel coronavirus disease. BMC Pulmonary Research Square [preprint]. [</w:t>
      </w:r>
      <w:proofErr w:type="spellStart"/>
      <w:r w:rsidRPr="00E31389">
        <w:rPr>
          <w:rFonts w:eastAsia="Calibri"/>
          <w:szCs w:val="20"/>
          <w:lang w:val="en-US" w:eastAsia="en-US"/>
        </w:rPr>
        <w:t>actualizado</w:t>
      </w:r>
      <w:proofErr w:type="spellEnd"/>
      <w:r w:rsidRPr="00E31389">
        <w:rPr>
          <w:rFonts w:eastAsia="Calibri"/>
          <w:szCs w:val="20"/>
          <w:lang w:val="en-US" w:eastAsia="en-US"/>
        </w:rPr>
        <w:t xml:space="preserve">: 19/03/2020; </w:t>
      </w:r>
      <w:proofErr w:type="spellStart"/>
      <w:r w:rsidRPr="00E31389">
        <w:rPr>
          <w:rFonts w:eastAsia="Calibri"/>
          <w:szCs w:val="20"/>
          <w:lang w:val="en-US" w:eastAsia="en-US"/>
        </w:rPr>
        <w:t>acceso</w:t>
      </w:r>
      <w:proofErr w:type="spellEnd"/>
      <w:r w:rsidRPr="00E31389">
        <w:rPr>
          <w:rFonts w:eastAsia="Calibri"/>
          <w:szCs w:val="20"/>
          <w:lang w:val="en-US" w:eastAsia="en-US"/>
        </w:rPr>
        <w:t>: 27/05/2020</w:t>
      </w:r>
      <w:proofErr w:type="gramStart"/>
      <w:r w:rsidRPr="00E31389">
        <w:rPr>
          <w:rFonts w:eastAsia="Calibri"/>
          <w:szCs w:val="20"/>
          <w:lang w:val="en-US" w:eastAsia="en-US"/>
        </w:rPr>
        <w:t>]:[</w:t>
      </w:r>
      <w:proofErr w:type="gramEnd"/>
      <w:r w:rsidRPr="00E31389">
        <w:rPr>
          <w:rFonts w:eastAsia="Calibri"/>
          <w:szCs w:val="20"/>
          <w:lang w:val="en-US" w:eastAsia="en-US"/>
        </w:rPr>
        <w:t xml:space="preserve">12 p]. </w:t>
      </w:r>
      <w:r w:rsidRPr="00E31389">
        <w:rPr>
          <w:rFonts w:eastAsia="Calibri"/>
          <w:bCs/>
          <w:szCs w:val="20"/>
          <w:lang w:val="en-US" w:eastAsia="en-US"/>
        </w:rPr>
        <w:t xml:space="preserve">DOI: </w:t>
      </w:r>
      <w:r w:rsidRPr="00E31389">
        <w:rPr>
          <w:rFonts w:eastAsia="Calibri"/>
          <w:szCs w:val="20"/>
          <w:lang w:val="en-US" w:eastAsia="en-US"/>
        </w:rPr>
        <w:t>10.21203/rs.3.rs-18079/v1</w:t>
      </w:r>
    </w:p>
    <w:p w14:paraId="31FCF9CB" w14:textId="77777777" w:rsidR="00E31389" w:rsidRPr="00E31389" w:rsidRDefault="00E31389" w:rsidP="00E31389">
      <w:pPr>
        <w:spacing w:line="360" w:lineRule="auto"/>
        <w:rPr>
          <w:rFonts w:eastAsia="Calibri"/>
          <w:szCs w:val="20"/>
          <w:lang w:val="es-ES" w:eastAsia="en-US"/>
        </w:rPr>
      </w:pPr>
      <w:r w:rsidRPr="00E31389">
        <w:rPr>
          <w:rFonts w:eastAsia="Calibri"/>
          <w:szCs w:val="20"/>
          <w:lang w:val="en-US" w:eastAsia="en-US"/>
        </w:rPr>
        <w:t xml:space="preserve">16. Ma Y, </w:t>
      </w:r>
      <w:proofErr w:type="spellStart"/>
      <w:r w:rsidRPr="00E31389">
        <w:rPr>
          <w:rFonts w:eastAsia="Calibri"/>
          <w:szCs w:val="20"/>
          <w:lang w:val="en-US" w:eastAsia="en-US"/>
        </w:rPr>
        <w:t>Diao</w:t>
      </w:r>
      <w:proofErr w:type="spellEnd"/>
      <w:r w:rsidRPr="00E31389">
        <w:rPr>
          <w:rFonts w:eastAsia="Calibri"/>
          <w:szCs w:val="20"/>
          <w:lang w:val="en-US" w:eastAsia="en-US"/>
        </w:rPr>
        <w:t xml:space="preserve"> B, </w:t>
      </w:r>
      <w:proofErr w:type="spellStart"/>
      <w:r w:rsidRPr="00E31389">
        <w:rPr>
          <w:rFonts w:eastAsia="Calibri"/>
          <w:szCs w:val="20"/>
          <w:lang w:val="en-US" w:eastAsia="en-US"/>
        </w:rPr>
        <w:t>Lv</w:t>
      </w:r>
      <w:proofErr w:type="spellEnd"/>
      <w:r w:rsidRPr="00E31389">
        <w:rPr>
          <w:rFonts w:eastAsia="Calibri"/>
          <w:szCs w:val="20"/>
          <w:lang w:val="en-US" w:eastAsia="en-US"/>
        </w:rPr>
        <w:t xml:space="preserve"> X, Zhu J, Liang W, Liu L, et al. 2019 novel coronavirus disease in hemodialysis (HD) patients: Report from one HD center in Wuhan, China. </w:t>
      </w:r>
      <w:proofErr w:type="spellStart"/>
      <w:r w:rsidRPr="00E31389">
        <w:rPr>
          <w:rFonts w:eastAsia="Calibri"/>
          <w:szCs w:val="20"/>
          <w:lang w:val="en-US" w:eastAsia="en-US"/>
        </w:rPr>
        <w:t>medRxiv</w:t>
      </w:r>
      <w:proofErr w:type="spellEnd"/>
      <w:r w:rsidRPr="00E31389">
        <w:rPr>
          <w:rFonts w:eastAsia="Calibri"/>
          <w:szCs w:val="20"/>
          <w:lang w:val="en-US" w:eastAsia="en-US"/>
        </w:rPr>
        <w:t xml:space="preserve"> [preprint]. </w:t>
      </w:r>
      <w:r w:rsidRPr="00E31389">
        <w:rPr>
          <w:rFonts w:eastAsia="Calibri"/>
          <w:szCs w:val="20"/>
          <w:lang w:val="es-CU" w:eastAsia="en-US"/>
        </w:rPr>
        <w:t xml:space="preserve">[actualizado: 27/02/2020; acceso: 17/03/2020]. </w:t>
      </w:r>
      <w:r w:rsidRPr="00E31389">
        <w:rPr>
          <w:rFonts w:eastAsia="Calibri"/>
          <w:szCs w:val="20"/>
          <w:lang w:val="es-ES" w:eastAsia="en-US"/>
        </w:rPr>
        <w:t xml:space="preserve">Disponible en: </w:t>
      </w:r>
      <w:hyperlink r:id="rId24" w:history="1">
        <w:r w:rsidRPr="00E31389">
          <w:rPr>
            <w:rFonts w:eastAsia="Calibri"/>
            <w:color w:val="0000FF"/>
            <w:szCs w:val="20"/>
            <w:u w:val="single"/>
            <w:lang w:val="es-ES" w:eastAsia="en-US"/>
          </w:rPr>
          <w:t>https://www.medrxiv.org/content/10.1101/2020.02.24.20027201v2.full.pdf</w:t>
        </w:r>
      </w:hyperlink>
    </w:p>
    <w:p w14:paraId="5107A202" w14:textId="77777777" w:rsidR="00E31389" w:rsidRPr="00E31389" w:rsidRDefault="00E31389" w:rsidP="00E31389">
      <w:pPr>
        <w:spacing w:line="360" w:lineRule="auto"/>
        <w:rPr>
          <w:rFonts w:eastAsia="Calibri"/>
          <w:szCs w:val="20"/>
          <w:lang w:val="en-US" w:eastAsia="en-US"/>
        </w:rPr>
      </w:pPr>
      <w:r w:rsidRPr="00E31389">
        <w:rPr>
          <w:rFonts w:eastAsia="Calibri"/>
          <w:szCs w:val="20"/>
          <w:lang w:val="es-ES" w:eastAsia="en-US"/>
        </w:rPr>
        <w:t xml:space="preserve">17. </w:t>
      </w:r>
      <w:proofErr w:type="spellStart"/>
      <w:r w:rsidRPr="00E31389">
        <w:rPr>
          <w:rFonts w:eastAsia="Calibri"/>
          <w:szCs w:val="20"/>
          <w:lang w:val="es-ES" w:eastAsia="en-US"/>
        </w:rPr>
        <w:t>Alberici</w:t>
      </w:r>
      <w:proofErr w:type="spellEnd"/>
      <w:r w:rsidRPr="00E31389">
        <w:rPr>
          <w:rFonts w:eastAsia="Calibri"/>
          <w:szCs w:val="20"/>
          <w:lang w:val="es-ES" w:eastAsia="en-US"/>
        </w:rPr>
        <w:t xml:space="preserve"> F, </w:t>
      </w:r>
      <w:proofErr w:type="spellStart"/>
      <w:r w:rsidRPr="00E31389">
        <w:rPr>
          <w:rFonts w:eastAsia="Calibri"/>
          <w:szCs w:val="20"/>
          <w:lang w:val="es-ES" w:eastAsia="en-US"/>
        </w:rPr>
        <w:t>Delbarba</w:t>
      </w:r>
      <w:proofErr w:type="spellEnd"/>
      <w:r w:rsidRPr="00E31389">
        <w:rPr>
          <w:rFonts w:eastAsia="Calibri"/>
          <w:szCs w:val="20"/>
          <w:lang w:val="es-ES" w:eastAsia="en-US"/>
        </w:rPr>
        <w:t xml:space="preserve"> E, </w:t>
      </w:r>
      <w:proofErr w:type="spellStart"/>
      <w:r w:rsidRPr="00E31389">
        <w:rPr>
          <w:rFonts w:eastAsia="Calibri"/>
          <w:szCs w:val="20"/>
          <w:lang w:val="es-ES" w:eastAsia="en-US"/>
        </w:rPr>
        <w:t>Manenti</w:t>
      </w:r>
      <w:proofErr w:type="spellEnd"/>
      <w:r w:rsidRPr="00E31389">
        <w:rPr>
          <w:rFonts w:eastAsia="Calibri"/>
          <w:szCs w:val="20"/>
          <w:lang w:val="es-ES" w:eastAsia="en-US"/>
        </w:rPr>
        <w:t xml:space="preserve"> C, </w:t>
      </w:r>
      <w:proofErr w:type="spellStart"/>
      <w:r w:rsidRPr="00E31389">
        <w:rPr>
          <w:rFonts w:eastAsia="Calibri"/>
          <w:szCs w:val="20"/>
          <w:lang w:val="es-ES" w:eastAsia="en-US"/>
        </w:rPr>
        <w:t>Econimo</w:t>
      </w:r>
      <w:proofErr w:type="spellEnd"/>
      <w:r w:rsidRPr="00E31389">
        <w:rPr>
          <w:rFonts w:eastAsia="Calibri"/>
          <w:szCs w:val="20"/>
          <w:lang w:val="es-ES" w:eastAsia="en-US"/>
        </w:rPr>
        <w:t xml:space="preserve"> L, Valerio F, Pola A, et al. </w:t>
      </w:r>
      <w:r w:rsidRPr="00E31389">
        <w:rPr>
          <w:rFonts w:eastAsia="Calibri"/>
          <w:szCs w:val="20"/>
          <w:lang w:val="en-US" w:eastAsia="en-US"/>
        </w:rPr>
        <w:t>Management of patients on dialysis and with kidney transplant during SARS-CoV-2 (COVID-19) pandemic in Brescia, Italy. Kidney Int Rep. 2020[</w:t>
      </w:r>
      <w:proofErr w:type="spellStart"/>
      <w:r w:rsidRPr="00E31389">
        <w:rPr>
          <w:rFonts w:eastAsia="Calibri"/>
          <w:szCs w:val="20"/>
          <w:lang w:val="en-US" w:eastAsia="en-US"/>
        </w:rPr>
        <w:t>acceso</w:t>
      </w:r>
      <w:proofErr w:type="spellEnd"/>
      <w:r w:rsidRPr="00E31389">
        <w:rPr>
          <w:rFonts w:eastAsia="Calibri"/>
          <w:szCs w:val="20"/>
          <w:lang w:val="en-US" w:eastAsia="en-US"/>
        </w:rPr>
        <w:t>: 16/05/2020];5(5):580-5. DOI: 10.1016/j.ekir.2020.04.001</w:t>
      </w:r>
    </w:p>
    <w:p w14:paraId="2CDF0896" w14:textId="77777777" w:rsidR="00E31389" w:rsidRPr="00E31389" w:rsidRDefault="00E31389" w:rsidP="00E31389">
      <w:pPr>
        <w:spacing w:line="360" w:lineRule="auto"/>
        <w:rPr>
          <w:rFonts w:eastAsia="Calibri"/>
          <w:szCs w:val="20"/>
          <w:lang w:val="en-US" w:eastAsia="en-US"/>
        </w:rPr>
      </w:pPr>
      <w:r w:rsidRPr="00E31389">
        <w:rPr>
          <w:rFonts w:eastAsia="Calibri"/>
          <w:szCs w:val="20"/>
          <w:lang w:val="en-US" w:eastAsia="en-US"/>
        </w:rPr>
        <w:t xml:space="preserve">18. Henry BM, de Oliveira MHS, Benoit S, </w:t>
      </w:r>
      <w:proofErr w:type="spellStart"/>
      <w:r w:rsidRPr="00E31389">
        <w:rPr>
          <w:rFonts w:eastAsia="Calibri"/>
          <w:szCs w:val="20"/>
          <w:lang w:val="en-US" w:eastAsia="en-US"/>
        </w:rPr>
        <w:t>Plebani</w:t>
      </w:r>
      <w:proofErr w:type="spellEnd"/>
      <w:r w:rsidRPr="00E31389">
        <w:rPr>
          <w:rFonts w:eastAsia="Calibri"/>
          <w:szCs w:val="20"/>
          <w:lang w:val="en-US" w:eastAsia="en-US"/>
        </w:rPr>
        <w:t xml:space="preserve"> M, Lippi G. Hematologic, biochemical and immune biomarker abnormalities associated with severe illness and mortality in coronavirus disease 2019 (COVID-19): A meta-analysis. Clin Chem Lab Med. 2020[</w:t>
      </w:r>
      <w:proofErr w:type="spellStart"/>
      <w:r w:rsidRPr="00E31389">
        <w:rPr>
          <w:rFonts w:eastAsia="Calibri"/>
          <w:szCs w:val="20"/>
          <w:lang w:val="en-US" w:eastAsia="en-US"/>
        </w:rPr>
        <w:t>acceso</w:t>
      </w:r>
      <w:proofErr w:type="spellEnd"/>
      <w:r w:rsidRPr="00E31389">
        <w:rPr>
          <w:rFonts w:eastAsia="Calibri"/>
          <w:szCs w:val="20"/>
          <w:lang w:val="en-US" w:eastAsia="en-US"/>
        </w:rPr>
        <w:t xml:space="preserve">: 19/05/2020];58(7):1021-28. DOI: 10.1515/cclm-2020-0369 </w:t>
      </w:r>
    </w:p>
    <w:p w14:paraId="03591E84" w14:textId="77777777" w:rsidR="00E31389" w:rsidRPr="00E31389" w:rsidRDefault="00E31389" w:rsidP="00E31389">
      <w:pPr>
        <w:spacing w:line="360" w:lineRule="auto"/>
        <w:rPr>
          <w:rFonts w:eastAsia="Calibri"/>
          <w:szCs w:val="20"/>
          <w:lang w:val="es-ES" w:eastAsia="en-US"/>
        </w:rPr>
      </w:pPr>
      <w:r w:rsidRPr="00B32AD5">
        <w:rPr>
          <w:rFonts w:eastAsia="Calibri"/>
          <w:szCs w:val="20"/>
          <w:lang w:val="es-CU" w:eastAsia="en-US"/>
        </w:rPr>
        <w:t xml:space="preserve">19. Pérez Abreu MR, Gómez Tejeda JJ, </w:t>
      </w:r>
      <w:proofErr w:type="spellStart"/>
      <w:r w:rsidRPr="00B32AD5">
        <w:rPr>
          <w:rFonts w:eastAsia="Calibri"/>
          <w:szCs w:val="20"/>
          <w:lang w:val="es-CU" w:eastAsia="en-US"/>
        </w:rPr>
        <w:t>Dieguez</w:t>
      </w:r>
      <w:proofErr w:type="spellEnd"/>
      <w:r w:rsidRPr="00B32AD5">
        <w:rPr>
          <w:rFonts w:eastAsia="Calibri"/>
          <w:szCs w:val="20"/>
          <w:lang w:val="es-CU" w:eastAsia="en-US"/>
        </w:rPr>
        <w:t xml:space="preserve"> </w:t>
      </w:r>
      <w:proofErr w:type="spellStart"/>
      <w:r w:rsidRPr="00B32AD5">
        <w:rPr>
          <w:rFonts w:eastAsia="Calibri"/>
          <w:szCs w:val="20"/>
          <w:lang w:val="es-CU" w:eastAsia="en-US"/>
        </w:rPr>
        <w:t>Guach</w:t>
      </w:r>
      <w:proofErr w:type="spellEnd"/>
      <w:r w:rsidRPr="00B32AD5">
        <w:rPr>
          <w:rFonts w:eastAsia="Calibri"/>
          <w:szCs w:val="20"/>
          <w:lang w:val="es-CU" w:eastAsia="en-US"/>
        </w:rPr>
        <w:t xml:space="preserve"> RA. </w:t>
      </w:r>
      <w:r w:rsidRPr="00E31389">
        <w:rPr>
          <w:rFonts w:eastAsia="Calibri"/>
          <w:szCs w:val="20"/>
          <w:lang w:val="es-ES" w:eastAsia="en-US"/>
        </w:rPr>
        <w:t xml:space="preserve">Características clínico-epidemiológicas de la COVID-19. </w:t>
      </w:r>
      <w:proofErr w:type="spellStart"/>
      <w:r w:rsidRPr="00E31389">
        <w:rPr>
          <w:rFonts w:eastAsia="Calibri"/>
          <w:szCs w:val="20"/>
          <w:lang w:val="es-ES" w:eastAsia="en-US"/>
        </w:rPr>
        <w:t>Rev</w:t>
      </w:r>
      <w:proofErr w:type="spellEnd"/>
      <w:r w:rsidRPr="00E31389">
        <w:rPr>
          <w:rFonts w:eastAsia="Calibri"/>
          <w:szCs w:val="20"/>
          <w:lang w:val="es-ES" w:eastAsia="en-US"/>
        </w:rPr>
        <w:t xml:space="preserve"> </w:t>
      </w:r>
      <w:proofErr w:type="spellStart"/>
      <w:r w:rsidRPr="00E31389">
        <w:rPr>
          <w:rFonts w:eastAsia="Calibri"/>
          <w:szCs w:val="20"/>
          <w:lang w:val="es-ES" w:eastAsia="en-US"/>
        </w:rPr>
        <w:t>haban</w:t>
      </w:r>
      <w:proofErr w:type="spellEnd"/>
      <w:r w:rsidRPr="00E31389">
        <w:rPr>
          <w:rFonts w:eastAsia="Calibri"/>
          <w:szCs w:val="20"/>
          <w:lang w:val="es-ES" w:eastAsia="en-US"/>
        </w:rPr>
        <w:t xml:space="preserve"> </w:t>
      </w:r>
      <w:proofErr w:type="spellStart"/>
      <w:r w:rsidRPr="00E31389">
        <w:rPr>
          <w:rFonts w:eastAsia="Calibri"/>
          <w:szCs w:val="20"/>
          <w:lang w:val="es-ES" w:eastAsia="en-US"/>
        </w:rPr>
        <w:t>cienc</w:t>
      </w:r>
      <w:proofErr w:type="spellEnd"/>
      <w:r w:rsidRPr="00E31389">
        <w:rPr>
          <w:rFonts w:eastAsia="Calibri"/>
          <w:szCs w:val="20"/>
          <w:lang w:val="es-ES" w:eastAsia="en-US"/>
        </w:rPr>
        <w:t xml:space="preserve"> </w:t>
      </w:r>
      <w:proofErr w:type="spellStart"/>
      <w:r w:rsidRPr="00E31389">
        <w:rPr>
          <w:rFonts w:eastAsia="Calibri"/>
          <w:szCs w:val="20"/>
          <w:lang w:val="es-ES" w:eastAsia="en-US"/>
        </w:rPr>
        <w:t>méd</w:t>
      </w:r>
      <w:proofErr w:type="spellEnd"/>
      <w:r w:rsidRPr="00E31389">
        <w:rPr>
          <w:rFonts w:eastAsia="Calibri"/>
          <w:szCs w:val="20"/>
          <w:lang w:val="es-ES" w:eastAsia="en-US"/>
        </w:rPr>
        <w:t>. 2020[acceso: 11/05/2020];19(2</w:t>
      </w:r>
      <w:proofErr w:type="gramStart"/>
      <w:r w:rsidRPr="00E31389">
        <w:rPr>
          <w:rFonts w:eastAsia="Calibri"/>
          <w:szCs w:val="20"/>
          <w:lang w:val="es-ES" w:eastAsia="en-US"/>
        </w:rPr>
        <w:t>):e</w:t>
      </w:r>
      <w:proofErr w:type="gramEnd"/>
      <w:r w:rsidRPr="00E31389">
        <w:rPr>
          <w:rFonts w:eastAsia="Calibri"/>
          <w:szCs w:val="20"/>
          <w:lang w:val="es-ES" w:eastAsia="en-US"/>
        </w:rPr>
        <w:t xml:space="preserve">_3254. Disponible en: </w:t>
      </w:r>
      <w:hyperlink r:id="rId25" w:history="1">
        <w:r w:rsidRPr="00E31389">
          <w:rPr>
            <w:rFonts w:eastAsia="Calibri"/>
            <w:color w:val="0000FF"/>
            <w:szCs w:val="20"/>
            <w:u w:val="single"/>
            <w:lang w:val="es-ES" w:eastAsia="en-US"/>
          </w:rPr>
          <w:t>http://www.revhabanera.sld.cu/index.php/rhab/article/view/3254/2505</w:t>
        </w:r>
      </w:hyperlink>
    </w:p>
    <w:p w14:paraId="0CF44E07" w14:textId="77777777" w:rsidR="00E31389" w:rsidRPr="00E31389" w:rsidRDefault="00E31389" w:rsidP="00E31389">
      <w:pPr>
        <w:spacing w:line="360" w:lineRule="auto"/>
        <w:contextualSpacing/>
        <w:rPr>
          <w:rFonts w:eastAsia="Calibri"/>
          <w:szCs w:val="20"/>
          <w:lang w:val="es-ES" w:eastAsia="en-US"/>
        </w:rPr>
      </w:pPr>
    </w:p>
    <w:p w14:paraId="13620C22" w14:textId="77777777" w:rsidR="00E31389" w:rsidRPr="00E31389" w:rsidRDefault="00E31389" w:rsidP="00E31389">
      <w:pPr>
        <w:spacing w:line="360" w:lineRule="auto"/>
        <w:contextualSpacing/>
        <w:rPr>
          <w:rFonts w:eastAsia="Calibri"/>
          <w:szCs w:val="20"/>
          <w:lang w:val="es-ES" w:eastAsia="en-US"/>
        </w:rPr>
      </w:pPr>
    </w:p>
    <w:p w14:paraId="3378208F" w14:textId="77777777" w:rsidR="00E31389" w:rsidRPr="00E31389" w:rsidRDefault="00E31389" w:rsidP="00E31389">
      <w:pPr>
        <w:spacing w:line="360" w:lineRule="auto"/>
        <w:jc w:val="center"/>
        <w:rPr>
          <w:rFonts w:eastAsia="Calibri" w:cs="Arial"/>
          <w:szCs w:val="20"/>
          <w:lang w:val="es-ES" w:eastAsia="en-US"/>
        </w:rPr>
      </w:pPr>
      <w:r w:rsidRPr="00E31389">
        <w:rPr>
          <w:rFonts w:eastAsia="Calibri" w:cs="Tahoma"/>
          <w:b/>
          <w:bCs/>
          <w:szCs w:val="20"/>
          <w:lang w:val="es-ES" w:eastAsia="en-US"/>
        </w:rPr>
        <w:t>Conflictos de intereses</w:t>
      </w:r>
    </w:p>
    <w:p w14:paraId="2285EE3C" w14:textId="77777777" w:rsidR="00E31389" w:rsidRPr="00E31389" w:rsidRDefault="00E31389" w:rsidP="00E31389">
      <w:pPr>
        <w:spacing w:line="360" w:lineRule="auto"/>
        <w:rPr>
          <w:rFonts w:eastAsia="Calibri" w:cs="Tahoma"/>
          <w:bCs/>
          <w:szCs w:val="20"/>
          <w:lang w:val="es-ES" w:eastAsia="en-US"/>
        </w:rPr>
      </w:pPr>
      <w:r w:rsidRPr="00E31389">
        <w:rPr>
          <w:rFonts w:eastAsia="Calibri" w:cs="Tahoma"/>
          <w:bCs/>
          <w:szCs w:val="20"/>
          <w:lang w:val="es-ES" w:eastAsia="en-US"/>
        </w:rPr>
        <w:t>Los autores no declaran conflictos de intereses relacionados con la presente investigación.</w:t>
      </w:r>
    </w:p>
    <w:p w14:paraId="071136F0" w14:textId="77777777" w:rsidR="00E31389" w:rsidRPr="00E31389" w:rsidRDefault="00E31389" w:rsidP="00E31389">
      <w:pPr>
        <w:spacing w:line="360" w:lineRule="auto"/>
        <w:rPr>
          <w:rFonts w:eastAsia="Calibri" w:cs="Tahoma"/>
          <w:bCs/>
          <w:szCs w:val="20"/>
          <w:lang w:val="es-ES" w:eastAsia="en-US"/>
        </w:rPr>
      </w:pPr>
    </w:p>
    <w:p w14:paraId="3A753F13" w14:textId="77777777" w:rsidR="00E31389" w:rsidRPr="00E31389" w:rsidRDefault="00E31389" w:rsidP="00E31389">
      <w:pPr>
        <w:spacing w:line="360" w:lineRule="auto"/>
        <w:jc w:val="center"/>
        <w:rPr>
          <w:rFonts w:eastAsia="Calibri" w:cs="Tahoma"/>
          <w:b/>
          <w:bCs/>
          <w:szCs w:val="20"/>
          <w:lang w:val="es-ES" w:eastAsia="en-US"/>
        </w:rPr>
      </w:pPr>
      <w:r w:rsidRPr="00E31389">
        <w:rPr>
          <w:rFonts w:eastAsia="Calibri" w:cs="Tahoma"/>
          <w:b/>
          <w:bCs/>
          <w:szCs w:val="20"/>
          <w:lang w:val="es-ES" w:eastAsia="en-US"/>
        </w:rPr>
        <w:t>Contribuciones de los autores</w:t>
      </w:r>
    </w:p>
    <w:p w14:paraId="3F0183FC" w14:textId="77777777" w:rsidR="00E31389" w:rsidRPr="00E31389" w:rsidRDefault="00E31389" w:rsidP="00E31389">
      <w:pPr>
        <w:spacing w:line="360" w:lineRule="auto"/>
        <w:rPr>
          <w:rFonts w:eastAsia="Calibri" w:cs="Tahoma"/>
          <w:b/>
          <w:bCs/>
          <w:szCs w:val="20"/>
          <w:lang w:val="es-ES" w:eastAsia="en-US"/>
        </w:rPr>
      </w:pPr>
      <w:r w:rsidRPr="00E31389">
        <w:rPr>
          <w:i/>
          <w:szCs w:val="20"/>
          <w:lang w:val="es-ES" w:eastAsia="es-ES"/>
        </w:rPr>
        <w:t xml:space="preserve">Tomás de Armas Gil: </w:t>
      </w:r>
      <w:r w:rsidRPr="00E31389">
        <w:rPr>
          <w:szCs w:val="20"/>
          <w:lang w:val="es-ES" w:eastAsia="es-ES"/>
        </w:rPr>
        <w:t xml:space="preserve">realizó el trabajo asistencial, seleccionó la bibliografía y confeccionó el informe final. </w:t>
      </w:r>
    </w:p>
    <w:p w14:paraId="38312A59" w14:textId="77777777" w:rsidR="00E31389" w:rsidRPr="00E31389" w:rsidRDefault="00E31389" w:rsidP="00E31389">
      <w:pPr>
        <w:spacing w:line="360" w:lineRule="auto"/>
        <w:rPr>
          <w:rFonts w:eastAsia="Calibri" w:cs="Tahoma"/>
          <w:b/>
          <w:bCs/>
          <w:szCs w:val="20"/>
          <w:lang w:val="es-ES" w:eastAsia="en-US"/>
        </w:rPr>
      </w:pPr>
      <w:proofErr w:type="spellStart"/>
      <w:r w:rsidRPr="00E31389">
        <w:rPr>
          <w:i/>
          <w:szCs w:val="20"/>
          <w:lang w:val="es-ES" w:eastAsia="es-ES"/>
        </w:rPr>
        <w:t>Yeneisis</w:t>
      </w:r>
      <w:proofErr w:type="spellEnd"/>
      <w:r w:rsidRPr="00E31389">
        <w:rPr>
          <w:i/>
          <w:szCs w:val="20"/>
          <w:lang w:val="es-ES" w:eastAsia="es-ES"/>
        </w:rPr>
        <w:t xml:space="preserve"> Herrera Oropesa:</w:t>
      </w:r>
      <w:r w:rsidRPr="00E31389">
        <w:rPr>
          <w:szCs w:val="20"/>
          <w:lang w:val="es-ES" w:eastAsia="es-ES"/>
        </w:rPr>
        <w:t xml:space="preserve"> seleccionó la bibliografía. Revisó, corrigió y aprobó el informe final. </w:t>
      </w:r>
    </w:p>
    <w:p w14:paraId="51325CF7" w14:textId="77777777" w:rsidR="00E31389" w:rsidRPr="00E31389" w:rsidRDefault="00E31389" w:rsidP="00E31389">
      <w:pPr>
        <w:spacing w:line="360" w:lineRule="auto"/>
        <w:rPr>
          <w:szCs w:val="20"/>
          <w:lang w:val="es-ES" w:eastAsia="es-ES"/>
        </w:rPr>
      </w:pPr>
      <w:r w:rsidRPr="00E31389">
        <w:rPr>
          <w:i/>
          <w:szCs w:val="20"/>
          <w:lang w:val="pt-BR" w:eastAsia="es-ES"/>
        </w:rPr>
        <w:t>Jorge Barroso Cruz:</w:t>
      </w:r>
      <w:r w:rsidRPr="00E31389">
        <w:rPr>
          <w:szCs w:val="20"/>
          <w:lang w:val="pt-BR" w:eastAsia="es-ES"/>
        </w:rPr>
        <w:t xml:space="preserve"> </w:t>
      </w:r>
      <w:r w:rsidRPr="00E31389">
        <w:rPr>
          <w:szCs w:val="20"/>
          <w:lang w:val="es-ES" w:eastAsia="es-ES"/>
        </w:rPr>
        <w:t>realizó el trabajo asistencial</w:t>
      </w:r>
      <w:r w:rsidRPr="00E31389">
        <w:rPr>
          <w:szCs w:val="20"/>
          <w:lang w:val="pt-BR" w:eastAsia="es-ES"/>
        </w:rPr>
        <w:t xml:space="preserve">, </w:t>
      </w:r>
      <w:r w:rsidRPr="00E31389">
        <w:rPr>
          <w:szCs w:val="20"/>
          <w:lang w:val="es-ES" w:eastAsia="es-ES"/>
        </w:rPr>
        <w:t xml:space="preserve">revisó, corrigió y aprobó el informe final. </w:t>
      </w:r>
    </w:p>
    <w:p w14:paraId="14255842" w14:textId="77777777" w:rsidR="00E31389" w:rsidRPr="00E31389" w:rsidRDefault="00E31389" w:rsidP="00E31389">
      <w:pPr>
        <w:spacing w:line="360" w:lineRule="auto"/>
        <w:rPr>
          <w:szCs w:val="20"/>
          <w:lang w:val="es-ES" w:eastAsia="es-ES"/>
        </w:rPr>
      </w:pPr>
      <w:r w:rsidRPr="00E31389">
        <w:rPr>
          <w:i/>
          <w:szCs w:val="20"/>
          <w:lang w:val="es-ES" w:eastAsia="es-ES"/>
        </w:rPr>
        <w:t>Harold Ricardo Joseph Planas:</w:t>
      </w:r>
      <w:r w:rsidRPr="00E31389">
        <w:rPr>
          <w:szCs w:val="20"/>
          <w:lang w:val="es-ES" w:eastAsia="es-ES"/>
        </w:rPr>
        <w:t xml:space="preserve"> realizó el trabajo asistencial, revisó, corrigió y aprobó el informe final. </w:t>
      </w:r>
    </w:p>
    <w:p w14:paraId="77B79E5C" w14:textId="77777777" w:rsidR="00E31389" w:rsidRPr="00E31389" w:rsidRDefault="00E31389" w:rsidP="00E31389">
      <w:pPr>
        <w:spacing w:line="360" w:lineRule="auto"/>
        <w:rPr>
          <w:szCs w:val="20"/>
          <w:lang w:val="es-ES" w:eastAsia="es-ES"/>
        </w:rPr>
      </w:pPr>
      <w:r w:rsidRPr="00E31389">
        <w:rPr>
          <w:i/>
          <w:szCs w:val="20"/>
          <w:lang w:val="es-ES" w:eastAsia="es-ES"/>
        </w:rPr>
        <w:t>Ailyn Bárbara Rey Torres:</w:t>
      </w:r>
      <w:r w:rsidRPr="00E31389">
        <w:rPr>
          <w:szCs w:val="20"/>
          <w:lang w:val="es-ES" w:eastAsia="es-ES"/>
        </w:rPr>
        <w:t xml:space="preserve"> realizó el trabajo asistencial, participó en el diseño y redacción del trabajo.</w:t>
      </w:r>
    </w:p>
    <w:p w14:paraId="5A432D13" w14:textId="77777777" w:rsidR="00E31389" w:rsidRPr="00E31389" w:rsidRDefault="00E31389" w:rsidP="00E31389">
      <w:pPr>
        <w:spacing w:line="360" w:lineRule="auto"/>
        <w:rPr>
          <w:szCs w:val="20"/>
          <w:lang w:val="es-ES" w:eastAsia="es-ES"/>
        </w:rPr>
      </w:pPr>
      <w:r w:rsidRPr="00E31389">
        <w:rPr>
          <w:i/>
          <w:szCs w:val="20"/>
          <w:lang w:val="es-ES" w:eastAsia="es-ES"/>
        </w:rPr>
        <w:lastRenderedPageBreak/>
        <w:t>Jorge Fuentes Abreu:</w:t>
      </w:r>
      <w:r w:rsidRPr="00E31389">
        <w:rPr>
          <w:szCs w:val="20"/>
          <w:lang w:val="es-ES" w:eastAsia="es-ES"/>
        </w:rPr>
        <w:t xml:space="preserve"> participó en el diseño y redacción del trabajo.</w:t>
      </w:r>
    </w:p>
    <w:p w14:paraId="5E252344" w14:textId="77777777" w:rsidR="00E31389" w:rsidRPr="00E31389" w:rsidRDefault="00E31389" w:rsidP="00E31389">
      <w:pPr>
        <w:spacing w:line="360" w:lineRule="auto"/>
        <w:rPr>
          <w:szCs w:val="20"/>
          <w:lang w:val="es-ES" w:eastAsia="es-ES"/>
        </w:rPr>
      </w:pPr>
      <w:proofErr w:type="spellStart"/>
      <w:r w:rsidRPr="00E31389">
        <w:rPr>
          <w:i/>
          <w:szCs w:val="20"/>
          <w:lang w:val="es-ES" w:eastAsia="es-ES"/>
        </w:rPr>
        <w:t>Zulimay</w:t>
      </w:r>
      <w:proofErr w:type="spellEnd"/>
      <w:r w:rsidRPr="00E31389">
        <w:rPr>
          <w:i/>
          <w:szCs w:val="20"/>
          <w:lang w:val="es-ES" w:eastAsia="es-ES"/>
        </w:rPr>
        <w:t xml:space="preserve"> Torres García</w:t>
      </w:r>
      <w:r w:rsidRPr="00E31389">
        <w:rPr>
          <w:szCs w:val="20"/>
          <w:lang w:val="es-ES" w:eastAsia="es-ES"/>
        </w:rPr>
        <w:t>: realizó el trabajo asistencial, participó en el diseño y redacción del trabajo.</w:t>
      </w:r>
    </w:p>
    <w:p w14:paraId="51C6E116" w14:textId="77777777" w:rsidR="00E31389" w:rsidRPr="00E31389" w:rsidRDefault="00E31389" w:rsidP="00E31389">
      <w:pPr>
        <w:spacing w:line="360" w:lineRule="auto"/>
        <w:rPr>
          <w:szCs w:val="20"/>
          <w:lang w:val="es-ES" w:eastAsia="es-ES"/>
        </w:rPr>
      </w:pPr>
      <w:r w:rsidRPr="00E31389">
        <w:rPr>
          <w:i/>
          <w:szCs w:val="20"/>
          <w:lang w:val="es-ES" w:eastAsia="es-ES"/>
        </w:rPr>
        <w:t xml:space="preserve">Yadira González </w:t>
      </w:r>
      <w:proofErr w:type="spellStart"/>
      <w:r w:rsidRPr="00E31389">
        <w:rPr>
          <w:i/>
          <w:szCs w:val="20"/>
          <w:lang w:val="es-ES" w:eastAsia="es-ES"/>
        </w:rPr>
        <w:t>Viciedo</w:t>
      </w:r>
      <w:proofErr w:type="spellEnd"/>
      <w:r w:rsidRPr="00E31389">
        <w:rPr>
          <w:i/>
          <w:szCs w:val="20"/>
          <w:lang w:val="es-ES" w:eastAsia="es-ES"/>
        </w:rPr>
        <w:t>:</w:t>
      </w:r>
      <w:r w:rsidRPr="00E31389">
        <w:rPr>
          <w:szCs w:val="20"/>
          <w:lang w:val="es-ES" w:eastAsia="es-ES"/>
        </w:rPr>
        <w:t xml:space="preserve"> realizó el trabajo asistencial, participó en el diseño y redacción del trabajo.</w:t>
      </w:r>
    </w:p>
    <w:p w14:paraId="55B5ECB9" w14:textId="77777777" w:rsidR="00E31389" w:rsidRPr="00E31389" w:rsidRDefault="00E31389" w:rsidP="00E31389">
      <w:pPr>
        <w:spacing w:line="360" w:lineRule="auto"/>
        <w:rPr>
          <w:rFonts w:eastAsia="Calibri" w:cs="Tahoma"/>
          <w:bCs/>
          <w:szCs w:val="20"/>
          <w:lang w:val="es-ES" w:eastAsia="en-US"/>
        </w:rPr>
      </w:pPr>
      <w:r w:rsidRPr="00E31389">
        <w:rPr>
          <w:rFonts w:eastAsia="Calibri" w:cs="Tahoma"/>
          <w:bCs/>
          <w:szCs w:val="20"/>
          <w:lang w:val="es-ES" w:eastAsia="en-US"/>
        </w:rPr>
        <w:t>Los autores se hacen individualmente responsables de la totalidad del trabajo presentado a publicar.</w:t>
      </w:r>
    </w:p>
    <w:p w14:paraId="3C2C09DE" w14:textId="77777777" w:rsidR="00675476" w:rsidRPr="00E31389" w:rsidRDefault="00675476" w:rsidP="00391509">
      <w:pPr>
        <w:rPr>
          <w:lang w:val="es-ES"/>
        </w:rPr>
      </w:pPr>
    </w:p>
    <w:sectPr w:rsidR="00675476" w:rsidRPr="00E31389" w:rsidSect="00486BFA">
      <w:headerReference w:type="default" r:id="rId26"/>
      <w:footerReference w:type="even" r:id="rId27"/>
      <w:footerReference w:type="default" r:id="rId28"/>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D1B38" w14:textId="77777777" w:rsidR="00EB69DC" w:rsidRDefault="00EB69DC">
      <w:r>
        <w:separator/>
      </w:r>
    </w:p>
  </w:endnote>
  <w:endnote w:type="continuationSeparator" w:id="0">
    <w:p w14:paraId="3C1229DD" w14:textId="77777777" w:rsidR="00EB69DC" w:rsidRDefault="00EB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D4C7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3A48D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22838" w14:textId="3FD09D90" w:rsidR="000F3690" w:rsidRPr="00AE044C" w:rsidRDefault="00E31389"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0BC6EDB6" wp14:editId="76268BDD">
              <wp:simplePos x="0" y="0"/>
              <wp:positionH relativeFrom="column">
                <wp:posOffset>3810</wp:posOffset>
              </wp:positionH>
              <wp:positionV relativeFrom="paragraph">
                <wp:posOffset>50165</wp:posOffset>
              </wp:positionV>
              <wp:extent cx="6286500" cy="19050"/>
              <wp:effectExtent l="19050" t="1905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CEC5E6"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SJyAEAAG4DAAAOAAAAZHJzL2Uyb0RvYy54bWysU02P2yAQvVfqf0DcGzupkk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E1FdInIAQAAbgMAAA4AAAAAAAAAAAAA&#10;AAAALgIAAGRycy9lMm9Eb2MueG1sUEsBAi0AFAAGAAgAAAAhAIaAvpPaAAAABQEAAA8AAAAAAAAA&#10;AAAAAAAAIgQAAGRycy9kb3ducmV2LnhtbFBLBQYAAAAABAAEAPMAAAApBQAAAAA=&#10;" strokecolor="blue" strokeweight="2.25pt"/>
          </w:pict>
        </mc:Fallback>
      </mc:AlternateContent>
    </w:r>
  </w:p>
  <w:p w14:paraId="501DC4FC" w14:textId="77777777" w:rsidR="00675476" w:rsidRPr="00AE044C" w:rsidRDefault="00EB69DC" w:rsidP="00391509">
    <w:pPr>
      <w:pStyle w:val="Piedepgina"/>
      <w:ind w:right="360"/>
      <w:rPr>
        <w:sz w:val="22"/>
        <w:szCs w:val="22"/>
      </w:rPr>
    </w:pPr>
    <w:hyperlink r:id="rId1" w:history="1">
      <w:r w:rsidR="00391509" w:rsidRPr="00AE044C">
        <w:rPr>
          <w:rStyle w:val="Hipervnculo"/>
          <w:sz w:val="22"/>
          <w:szCs w:val="22"/>
        </w:rPr>
        <w:t>http://scielo.sld.cu</w:t>
      </w:r>
    </w:hyperlink>
  </w:p>
  <w:p w14:paraId="211ACCD1" w14:textId="77777777" w:rsidR="00391509" w:rsidRPr="00AE044C" w:rsidRDefault="00EB69DC"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C303C87" w14:textId="2A7784BA"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E31389" w:rsidRPr="00E31389">
      <w:rPr>
        <w:rFonts w:ascii="Verdana" w:hAnsi="Verdana"/>
        <w:noProof/>
        <w:sz w:val="18"/>
        <w:szCs w:val="18"/>
        <w:lang w:val="en-US" w:eastAsia="en-US"/>
      </w:rPr>
      <w:drawing>
        <wp:inline distT="0" distB="0" distL="0" distR="0" wp14:anchorId="699A137D" wp14:editId="1E688308">
          <wp:extent cx="638175" cy="152400"/>
          <wp:effectExtent l="0" t="0" r="0" b="0"/>
          <wp:docPr id="2"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7B000" w14:textId="77777777" w:rsidR="00EB69DC" w:rsidRDefault="00EB69DC">
      <w:r>
        <w:separator/>
      </w:r>
    </w:p>
  </w:footnote>
  <w:footnote w:type="continuationSeparator" w:id="0">
    <w:p w14:paraId="7EA96C1D" w14:textId="77777777" w:rsidR="00EB69DC" w:rsidRDefault="00EB6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712CA" w14:textId="131CE31E" w:rsidR="00CC376A" w:rsidRPr="00AE044C" w:rsidRDefault="00E31389"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0304C405" wp14:editId="0F783F31">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proofErr w:type="gramStart"/>
    <w:r w:rsidR="00493701" w:rsidRPr="00AE044C">
      <w:rPr>
        <w:sz w:val="22"/>
        <w:szCs w:val="22"/>
      </w:rPr>
      <w:t>)</w:t>
    </w:r>
    <w:r w:rsidR="00391509" w:rsidRPr="00AE044C">
      <w:rPr>
        <w:sz w:val="22"/>
        <w:szCs w:val="22"/>
      </w:rPr>
      <w:t>:</w:t>
    </w:r>
    <w:r>
      <w:rPr>
        <w:sz w:val="22"/>
        <w:szCs w:val="22"/>
      </w:rPr>
      <w:t>e</w:t>
    </w:r>
    <w:proofErr w:type="gramEnd"/>
    <w:r>
      <w:rPr>
        <w:sz w:val="22"/>
        <w:szCs w:val="22"/>
      </w:rPr>
      <w:t>0210859</w:t>
    </w:r>
  </w:p>
  <w:p w14:paraId="3098A5ED" w14:textId="3581D0A2" w:rsidR="00A477DE" w:rsidRDefault="00E31389">
    <w:r>
      <w:rPr>
        <w:noProof/>
      </w:rPr>
      <mc:AlternateContent>
        <mc:Choice Requires="wps">
          <w:drawing>
            <wp:anchor distT="0" distB="0" distL="114300" distR="114300" simplePos="0" relativeHeight="251657216" behindDoc="0" locked="0" layoutInCell="1" allowOverlap="1" wp14:anchorId="68E09BD3" wp14:editId="55C3041E">
              <wp:simplePos x="0" y="0"/>
              <wp:positionH relativeFrom="column">
                <wp:posOffset>3810</wp:posOffset>
              </wp:positionH>
              <wp:positionV relativeFrom="paragraph">
                <wp:posOffset>44450</wp:posOffset>
              </wp:positionV>
              <wp:extent cx="6276975" cy="28575"/>
              <wp:effectExtent l="19050" t="19050" r="9525"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35E89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jQwQ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89"/>
    <w:rsid w:val="000F28E3"/>
    <w:rsid w:val="000F3690"/>
    <w:rsid w:val="000F38A5"/>
    <w:rsid w:val="001221D1"/>
    <w:rsid w:val="00180CE9"/>
    <w:rsid w:val="001C002F"/>
    <w:rsid w:val="00230DD5"/>
    <w:rsid w:val="002F1AD0"/>
    <w:rsid w:val="00380D64"/>
    <w:rsid w:val="00391509"/>
    <w:rsid w:val="003E03D5"/>
    <w:rsid w:val="00400A6A"/>
    <w:rsid w:val="00486BFA"/>
    <w:rsid w:val="00493701"/>
    <w:rsid w:val="004A0AE4"/>
    <w:rsid w:val="004C6071"/>
    <w:rsid w:val="004E2065"/>
    <w:rsid w:val="005508A2"/>
    <w:rsid w:val="00566F71"/>
    <w:rsid w:val="005918BD"/>
    <w:rsid w:val="00626EFA"/>
    <w:rsid w:val="00640ABC"/>
    <w:rsid w:val="00675476"/>
    <w:rsid w:val="007C430F"/>
    <w:rsid w:val="007D614D"/>
    <w:rsid w:val="00960D6A"/>
    <w:rsid w:val="009A0560"/>
    <w:rsid w:val="009B0917"/>
    <w:rsid w:val="00A23C0C"/>
    <w:rsid w:val="00A46501"/>
    <w:rsid w:val="00A477DE"/>
    <w:rsid w:val="00A71E65"/>
    <w:rsid w:val="00A94444"/>
    <w:rsid w:val="00AE044C"/>
    <w:rsid w:val="00B31971"/>
    <w:rsid w:val="00B32AD5"/>
    <w:rsid w:val="00B4380A"/>
    <w:rsid w:val="00B66ECB"/>
    <w:rsid w:val="00C7523A"/>
    <w:rsid w:val="00CC1B6E"/>
    <w:rsid w:val="00CC376A"/>
    <w:rsid w:val="00CC48A1"/>
    <w:rsid w:val="00CF50E0"/>
    <w:rsid w:val="00D8107F"/>
    <w:rsid w:val="00D85951"/>
    <w:rsid w:val="00E31389"/>
    <w:rsid w:val="00E62606"/>
    <w:rsid w:val="00EB1603"/>
    <w:rsid w:val="00EB69DC"/>
    <w:rsid w:val="00F50FCC"/>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C54E9"/>
  <w15:docId w15:val="{F3A83C5A-E924-4DA3-B7C6-01BB85A2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415-6187" TargetMode="External"/><Relationship Id="rId13" Type="http://schemas.openxmlformats.org/officeDocument/2006/relationships/hyperlink" Target="https://orcid.org/0000-0002-5033-8195" TargetMode="External"/><Relationship Id="rId18" Type="http://schemas.openxmlformats.org/officeDocument/2006/relationships/image" Target="media/image4.jpeg"/><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ncbi.nlm.nih.gov/pubmed/32219428" TargetMode="External"/><Relationship Id="rId7" Type="http://schemas.openxmlformats.org/officeDocument/2006/relationships/hyperlink" Target="https://orcid.org/0000-0002-9185-1112" TargetMode="External"/><Relationship Id="rId12" Type="http://schemas.openxmlformats.org/officeDocument/2006/relationships/hyperlink" Target="https://orcid.org/0000-0003-3622-5706" TargetMode="External"/><Relationship Id="rId17" Type="http://schemas.openxmlformats.org/officeDocument/2006/relationships/image" Target="media/image3.jpeg"/><Relationship Id="rId25" Type="http://schemas.openxmlformats.org/officeDocument/2006/relationships/hyperlink" Target="http://www.revhabanera.sld.cu/index.php/rhab/article/view/3254/2505" TargetMode="External"/><Relationship Id="rId2" Type="http://schemas.openxmlformats.org/officeDocument/2006/relationships/settings" Target="settings.xml"/><Relationship Id="rId16" Type="http://schemas.openxmlformats.org/officeDocument/2006/relationships/image" Target="media/image2.gif"/><Relationship Id="rId20" Type="http://schemas.openxmlformats.org/officeDocument/2006/relationships/hyperlink" Target="http://www.sciencedirect.com/science/article/pii/S008525382030255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rcid.org/0000-0002-6149-6965" TargetMode="External"/><Relationship Id="rId11" Type="http://schemas.openxmlformats.org/officeDocument/2006/relationships/hyperlink" Target="https://orcid.org/0000-0003-2603-6442" TargetMode="External"/><Relationship Id="rId24" Type="http://schemas.openxmlformats.org/officeDocument/2006/relationships/hyperlink" Target="https://www.medrxiv.org/content/10.1101/2020.02.24.20027201v2.full.pdf" TargetMode="External"/><Relationship Id="rId5" Type="http://schemas.openxmlformats.org/officeDocument/2006/relationships/endnotes" Target="endnotes.xml"/><Relationship Id="rId15" Type="http://schemas.openxmlformats.org/officeDocument/2006/relationships/image" Target="media/image1.gif"/><Relationship Id="rId23" Type="http://schemas.openxmlformats.org/officeDocument/2006/relationships/hyperlink" Target="https://www.nefrologiaaldia.org/es-articulo-coronavirus-rinon-actualizacion-completa-09-305" TargetMode="External"/><Relationship Id="rId28" Type="http://schemas.openxmlformats.org/officeDocument/2006/relationships/footer" Target="footer2.xml"/><Relationship Id="rId10" Type="http://schemas.openxmlformats.org/officeDocument/2006/relationships/hyperlink" Target="https://orcid.org/0000-0001-9562-5713" TargetMode="External"/><Relationship Id="rId19"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hyperlink" Target="https://orcid.org/0000-0002-8835-3657" TargetMode="External"/><Relationship Id="rId14" Type="http://schemas.openxmlformats.org/officeDocument/2006/relationships/hyperlink" Target="mailto:tomasitocuba83@gmail.c" TargetMode="External"/><Relationship Id="rId22" Type="http://schemas.openxmlformats.org/officeDocument/2006/relationships/hyperlink" Target="https://journals.lww.com/md-journal/fulltext/2020/01170/effect_of_isolation_practice_on_the_transmission.43.aspx"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15</TotalTime>
  <Pages>13</Pages>
  <Words>3329</Words>
  <Characters>18310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21596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15</cp:revision>
  <cp:lastPrinted>2021-02-13T16:48:00Z</cp:lastPrinted>
  <dcterms:created xsi:type="dcterms:W3CDTF">2021-02-08T20:29:00Z</dcterms:created>
  <dcterms:modified xsi:type="dcterms:W3CDTF">2021-02-13T16:48:00Z</dcterms:modified>
</cp:coreProperties>
</file>