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8F8E3" w14:textId="77777777" w:rsidR="0039555A" w:rsidRPr="0039555A" w:rsidRDefault="0039555A" w:rsidP="0039555A">
      <w:pPr>
        <w:spacing w:line="360" w:lineRule="auto"/>
        <w:jc w:val="right"/>
        <w:rPr>
          <w:bCs/>
          <w:sz w:val="20"/>
          <w:szCs w:val="20"/>
          <w:lang w:val="es-ES" w:eastAsia="es-ES"/>
        </w:rPr>
      </w:pPr>
      <w:r w:rsidRPr="0039555A">
        <w:rPr>
          <w:bCs/>
          <w:sz w:val="20"/>
          <w:szCs w:val="20"/>
          <w:lang w:val="es-ES" w:eastAsia="es-ES"/>
        </w:rPr>
        <w:t>Artículo de investigación</w:t>
      </w:r>
    </w:p>
    <w:p w14:paraId="58E10A3C" w14:textId="77777777" w:rsidR="0039555A" w:rsidRPr="0039555A" w:rsidRDefault="0039555A" w:rsidP="0039555A">
      <w:pPr>
        <w:spacing w:line="360" w:lineRule="auto"/>
        <w:jc w:val="both"/>
        <w:rPr>
          <w:b/>
          <w:bCs/>
          <w:lang w:val="es-ES" w:eastAsia="es-ES"/>
        </w:rPr>
      </w:pPr>
    </w:p>
    <w:p w14:paraId="4C527D9B" w14:textId="77777777" w:rsidR="0039555A" w:rsidRPr="0039555A" w:rsidRDefault="0039555A" w:rsidP="0039555A">
      <w:pPr>
        <w:spacing w:line="360" w:lineRule="auto"/>
        <w:jc w:val="center"/>
        <w:rPr>
          <w:b/>
          <w:bCs/>
          <w:sz w:val="28"/>
          <w:szCs w:val="28"/>
          <w:lang w:val="es-ES" w:eastAsia="es-ES"/>
        </w:rPr>
      </w:pPr>
      <w:r w:rsidRPr="0039555A">
        <w:rPr>
          <w:b/>
          <w:bCs/>
          <w:sz w:val="28"/>
          <w:szCs w:val="28"/>
          <w:lang w:val="es-ES" w:eastAsia="es-ES"/>
        </w:rPr>
        <w:t>Pacientes asintomáticos positivos a la COVID-19</w:t>
      </w:r>
    </w:p>
    <w:p w14:paraId="13A98D09" w14:textId="77777777" w:rsidR="0039555A" w:rsidRPr="0039555A" w:rsidRDefault="0039555A" w:rsidP="0039555A">
      <w:pPr>
        <w:spacing w:line="360" w:lineRule="auto"/>
        <w:jc w:val="center"/>
        <w:rPr>
          <w:bCs/>
          <w:sz w:val="28"/>
          <w:szCs w:val="28"/>
          <w:lang w:val="en-US" w:eastAsia="es-ES"/>
        </w:rPr>
      </w:pPr>
      <w:r w:rsidRPr="0039555A">
        <w:rPr>
          <w:bCs/>
          <w:sz w:val="28"/>
          <w:szCs w:val="28"/>
          <w:lang w:val="en-US" w:eastAsia="es-ES"/>
        </w:rPr>
        <w:t>COVID-19 positive asymptomatic patients</w:t>
      </w:r>
    </w:p>
    <w:p w14:paraId="6A94510F" w14:textId="77777777" w:rsidR="0039555A" w:rsidRPr="0039555A" w:rsidRDefault="0039555A" w:rsidP="0039555A">
      <w:pPr>
        <w:spacing w:line="360" w:lineRule="auto"/>
        <w:jc w:val="center"/>
        <w:rPr>
          <w:bCs/>
          <w:lang w:val="en-US" w:eastAsia="es-ES"/>
        </w:rPr>
      </w:pPr>
    </w:p>
    <w:p w14:paraId="56F68E87" w14:textId="77777777" w:rsidR="0039555A" w:rsidRPr="0039555A" w:rsidRDefault="0039555A" w:rsidP="0039555A">
      <w:pPr>
        <w:spacing w:line="360" w:lineRule="auto"/>
        <w:jc w:val="both"/>
        <w:rPr>
          <w:lang w:val="en-US" w:eastAsia="es-ES"/>
        </w:rPr>
      </w:pPr>
      <w:r w:rsidRPr="0039555A">
        <w:rPr>
          <w:lang w:val="en-US" w:eastAsia="es-ES"/>
        </w:rPr>
        <w:t>Juan Bruno Ruiz Nápoles</w:t>
      </w:r>
      <w:r w:rsidRPr="0039555A">
        <w:rPr>
          <w:vertAlign w:val="superscript"/>
          <w:lang w:val="en-US" w:eastAsia="es-ES"/>
        </w:rPr>
        <w:t>1</w:t>
      </w:r>
      <w:r w:rsidRPr="0039555A">
        <w:rPr>
          <w:lang w:val="en-US" w:eastAsia="es-ES"/>
        </w:rPr>
        <w:t xml:space="preserve">* </w:t>
      </w:r>
      <w:hyperlink r:id="rId7" w:history="1">
        <w:r w:rsidRPr="0039555A">
          <w:rPr>
            <w:color w:val="0000FF"/>
            <w:u w:val="single"/>
            <w:lang w:val="en-US" w:eastAsia="es-ES"/>
          </w:rPr>
          <w:t>https://orcid.org/0000-0001-6942-3333</w:t>
        </w:r>
      </w:hyperlink>
      <w:r w:rsidRPr="0039555A">
        <w:rPr>
          <w:lang w:val="en-US" w:eastAsia="es-ES"/>
        </w:rPr>
        <w:t xml:space="preserve"> </w:t>
      </w:r>
    </w:p>
    <w:p w14:paraId="4BC6C854" w14:textId="77777777" w:rsidR="0039555A" w:rsidRPr="0039555A" w:rsidRDefault="0039555A" w:rsidP="0039555A">
      <w:pPr>
        <w:spacing w:line="360" w:lineRule="auto"/>
        <w:rPr>
          <w:lang w:val="es-ES" w:eastAsia="es-ES"/>
        </w:rPr>
      </w:pPr>
      <w:proofErr w:type="spellStart"/>
      <w:r w:rsidRPr="0039555A">
        <w:rPr>
          <w:lang w:val="es-ES" w:eastAsia="es-ES"/>
        </w:rPr>
        <w:t>Katerine</w:t>
      </w:r>
      <w:proofErr w:type="spellEnd"/>
      <w:r w:rsidRPr="0039555A">
        <w:rPr>
          <w:lang w:val="es-ES" w:eastAsia="es-ES"/>
        </w:rPr>
        <w:t xml:space="preserve"> Ruiz Nápoles</w:t>
      </w:r>
      <w:r w:rsidRPr="0039555A">
        <w:rPr>
          <w:vertAlign w:val="superscript"/>
          <w:lang w:val="es-ES" w:eastAsia="es-ES"/>
        </w:rPr>
        <w:t>2</w:t>
      </w:r>
      <w:r w:rsidRPr="0039555A">
        <w:rPr>
          <w:lang w:val="es-ES" w:eastAsia="es-ES"/>
        </w:rPr>
        <w:t xml:space="preserve"> </w:t>
      </w:r>
      <w:hyperlink r:id="rId8" w:history="1">
        <w:r w:rsidRPr="0039555A">
          <w:rPr>
            <w:color w:val="0000FF"/>
            <w:u w:val="single"/>
            <w:lang w:val="es-ES" w:eastAsia="es-ES"/>
          </w:rPr>
          <w:t>https://orcid.org/0000-0002-5304-3675</w:t>
        </w:r>
      </w:hyperlink>
    </w:p>
    <w:p w14:paraId="24001EF3" w14:textId="77777777" w:rsidR="0039555A" w:rsidRPr="0039555A" w:rsidRDefault="0039555A" w:rsidP="0039555A">
      <w:pPr>
        <w:spacing w:line="360" w:lineRule="auto"/>
        <w:jc w:val="both"/>
        <w:rPr>
          <w:lang w:val="es-ES" w:eastAsia="es-ES"/>
        </w:rPr>
      </w:pPr>
    </w:p>
    <w:p w14:paraId="33B0215A" w14:textId="77777777" w:rsidR="0039555A" w:rsidRPr="0039555A" w:rsidRDefault="0039555A" w:rsidP="0039555A">
      <w:pPr>
        <w:spacing w:line="360" w:lineRule="auto"/>
        <w:jc w:val="both"/>
        <w:rPr>
          <w:lang w:val="es-ES" w:eastAsia="es-ES"/>
        </w:rPr>
      </w:pPr>
      <w:r w:rsidRPr="0039555A">
        <w:rPr>
          <w:vertAlign w:val="superscript"/>
          <w:lang w:val="es-ES" w:eastAsia="es-ES"/>
        </w:rPr>
        <w:t>1</w:t>
      </w:r>
      <w:r w:rsidRPr="0039555A">
        <w:rPr>
          <w:lang w:val="es-ES" w:eastAsia="es-ES"/>
        </w:rPr>
        <w:t>Hospital Militar “Dr. Fermín Valdés Domínguez”. Holguín, Cuba.</w:t>
      </w:r>
    </w:p>
    <w:p w14:paraId="06FC41B5" w14:textId="77777777" w:rsidR="0039555A" w:rsidRPr="0039555A" w:rsidRDefault="0039555A" w:rsidP="0039555A">
      <w:pPr>
        <w:spacing w:line="360" w:lineRule="auto"/>
        <w:rPr>
          <w:bCs/>
          <w:lang w:val="es-ES" w:eastAsia="es-ES"/>
        </w:rPr>
      </w:pPr>
      <w:r w:rsidRPr="0039555A">
        <w:rPr>
          <w:bCs/>
          <w:vertAlign w:val="superscript"/>
          <w:lang w:val="es-ES" w:eastAsia="es-ES"/>
        </w:rPr>
        <w:t>2</w:t>
      </w:r>
      <w:r w:rsidRPr="0039555A">
        <w:rPr>
          <w:bCs/>
          <w:lang w:val="es-ES" w:eastAsia="es-ES"/>
        </w:rPr>
        <w:t xml:space="preserve">Policlínico Docente Universitario “Pedro Díaz Coello”. Holguín, Cuba. </w:t>
      </w:r>
    </w:p>
    <w:p w14:paraId="16715F39" w14:textId="77777777" w:rsidR="0039555A" w:rsidRPr="0039555A" w:rsidRDefault="0039555A" w:rsidP="0039555A">
      <w:pPr>
        <w:spacing w:line="360" w:lineRule="auto"/>
        <w:jc w:val="both"/>
        <w:rPr>
          <w:lang w:val="es-ES" w:eastAsia="es-ES"/>
        </w:rPr>
      </w:pPr>
      <w:r w:rsidRPr="0039555A">
        <w:rPr>
          <w:lang w:val="es-ES" w:eastAsia="es-ES"/>
        </w:rPr>
        <w:t xml:space="preserve">*Correo electrónico: </w:t>
      </w:r>
      <w:hyperlink r:id="rId9" w:history="1">
        <w:r w:rsidRPr="0039555A">
          <w:rPr>
            <w:color w:val="0000FF"/>
            <w:u w:val="single"/>
            <w:lang w:val="es-ES" w:eastAsia="es-ES"/>
          </w:rPr>
          <w:t>juanbhlg@infomed.sld.cu</w:t>
        </w:r>
      </w:hyperlink>
      <w:r w:rsidRPr="0039555A">
        <w:rPr>
          <w:lang w:val="es-ES" w:eastAsia="es-ES"/>
        </w:rPr>
        <w:t xml:space="preserve"> </w:t>
      </w:r>
    </w:p>
    <w:p w14:paraId="165ED677" w14:textId="77777777" w:rsidR="0039555A" w:rsidRPr="0039555A" w:rsidRDefault="0039555A" w:rsidP="0039555A">
      <w:pPr>
        <w:spacing w:line="360" w:lineRule="auto"/>
        <w:jc w:val="both"/>
        <w:rPr>
          <w:b/>
          <w:bCs/>
          <w:lang w:val="es-ES" w:eastAsia="es-ES"/>
        </w:rPr>
      </w:pPr>
    </w:p>
    <w:p w14:paraId="4F565504" w14:textId="77777777" w:rsidR="0039555A" w:rsidRPr="0039555A" w:rsidRDefault="0039555A" w:rsidP="0039555A">
      <w:pPr>
        <w:spacing w:line="360" w:lineRule="auto"/>
        <w:jc w:val="both"/>
        <w:rPr>
          <w:b/>
          <w:bCs/>
          <w:lang w:val="es-ES" w:eastAsia="es-ES"/>
        </w:rPr>
      </w:pPr>
      <w:r w:rsidRPr="0039555A">
        <w:rPr>
          <w:b/>
          <w:bCs/>
          <w:lang w:val="es-ES" w:eastAsia="es-ES"/>
        </w:rPr>
        <w:t xml:space="preserve">RESUMEN </w:t>
      </w:r>
    </w:p>
    <w:p w14:paraId="3E0866BA" w14:textId="77777777" w:rsidR="0039555A" w:rsidRPr="0039555A" w:rsidRDefault="0039555A" w:rsidP="0039555A">
      <w:pPr>
        <w:spacing w:line="360" w:lineRule="auto"/>
        <w:jc w:val="both"/>
        <w:rPr>
          <w:color w:val="000000"/>
          <w:lang w:val="es-ES" w:eastAsia="es-ES"/>
        </w:rPr>
      </w:pPr>
      <w:r w:rsidRPr="0039555A">
        <w:rPr>
          <w:b/>
          <w:color w:val="000000"/>
          <w:lang w:val="es-ES" w:eastAsia="es-ES"/>
        </w:rPr>
        <w:t>Introducción:</w:t>
      </w:r>
      <w:r w:rsidRPr="0039555A">
        <w:rPr>
          <w:color w:val="000000"/>
          <w:lang w:val="es-ES" w:eastAsia="es-ES"/>
        </w:rPr>
        <w:t xml:space="preserve"> La COVID-19 es una enfermedad emergente de categoría pandémica. Las formas clínicas son variables y existe una elevada frecuencia de la forma asintomática. </w:t>
      </w:r>
    </w:p>
    <w:p w14:paraId="6359B31A" w14:textId="77777777" w:rsidR="0039555A" w:rsidRPr="0039555A" w:rsidRDefault="0039555A" w:rsidP="0039555A">
      <w:pPr>
        <w:spacing w:line="360" w:lineRule="auto"/>
        <w:jc w:val="both"/>
        <w:rPr>
          <w:color w:val="000000"/>
          <w:lang w:val="es-ES" w:eastAsia="es-ES"/>
        </w:rPr>
      </w:pPr>
      <w:r w:rsidRPr="0039555A">
        <w:rPr>
          <w:b/>
          <w:color w:val="000000"/>
          <w:lang w:val="es-ES" w:eastAsia="es-ES"/>
        </w:rPr>
        <w:t>Objetivo:</w:t>
      </w:r>
      <w:r w:rsidRPr="0039555A">
        <w:rPr>
          <w:color w:val="000000"/>
          <w:lang w:val="es-ES" w:eastAsia="es-ES"/>
        </w:rPr>
        <w:t xml:space="preserve"> Describir las características clínicas y epidemiológicas en los pacientes de la COVID-19 asintomáticos.</w:t>
      </w:r>
    </w:p>
    <w:p w14:paraId="0338DBDE" w14:textId="77777777" w:rsidR="0039555A" w:rsidRPr="0039555A" w:rsidRDefault="0039555A" w:rsidP="0039555A">
      <w:pPr>
        <w:spacing w:line="360" w:lineRule="auto"/>
        <w:jc w:val="both"/>
        <w:rPr>
          <w:lang w:val="es-ES" w:eastAsia="es-ES"/>
        </w:rPr>
      </w:pPr>
      <w:r w:rsidRPr="0039555A">
        <w:rPr>
          <w:b/>
          <w:color w:val="000000"/>
          <w:lang w:val="es-ES" w:eastAsia="es-ES"/>
        </w:rPr>
        <w:t>Métodos</w:t>
      </w:r>
      <w:r w:rsidRPr="0039555A">
        <w:rPr>
          <w:color w:val="000000"/>
          <w:lang w:val="es-ES" w:eastAsia="es-ES"/>
        </w:rPr>
        <w:t xml:space="preserve">: Se realizó </w:t>
      </w:r>
      <w:r w:rsidRPr="0039555A">
        <w:rPr>
          <w:lang w:val="es-ES" w:eastAsia="es-ES"/>
        </w:rPr>
        <w:t xml:space="preserve">un estudio descriptivo, con todos los pacientes asintomáticos al ingreso, con diagnóstico confirmado, por la prueba de reacción en cadena de la polimerasa-transcriptasa inversa en tiempo real, para el SARS-CoV-2 en el Hospital Militar “Dr. Fermín Valdés Domínguez”, desde marzo hasta julio de 2020. Fueron estudiadas las variables expresividad clínica, proporción de asintomáticos, edad, sexo, antecedentes epidemiológicos y clínicos. Se utilizaron medidas de frecuencias. </w:t>
      </w:r>
    </w:p>
    <w:p w14:paraId="37578AF2" w14:textId="77777777" w:rsidR="0039555A" w:rsidRPr="0039555A" w:rsidRDefault="0039555A" w:rsidP="0039555A">
      <w:pPr>
        <w:spacing w:line="360" w:lineRule="auto"/>
        <w:jc w:val="both"/>
        <w:rPr>
          <w:b/>
          <w:color w:val="000000"/>
          <w:lang w:val="es-ES" w:eastAsia="es-ES"/>
        </w:rPr>
      </w:pPr>
      <w:r w:rsidRPr="0039555A">
        <w:rPr>
          <w:b/>
          <w:color w:val="000000"/>
          <w:lang w:val="es-ES" w:eastAsia="es-ES"/>
        </w:rPr>
        <w:t xml:space="preserve">Resultados: </w:t>
      </w:r>
      <w:r w:rsidRPr="0039555A">
        <w:rPr>
          <w:color w:val="000000"/>
          <w:lang w:val="es-ES" w:eastAsia="es-ES"/>
        </w:rPr>
        <w:t>El</w:t>
      </w:r>
      <w:r w:rsidRPr="0039555A">
        <w:rPr>
          <w:b/>
          <w:color w:val="000000"/>
          <w:lang w:val="es-ES" w:eastAsia="es-ES"/>
        </w:rPr>
        <w:t xml:space="preserve"> </w:t>
      </w:r>
      <w:r w:rsidRPr="0039555A">
        <w:rPr>
          <w:color w:val="000000"/>
          <w:lang w:val="es-ES" w:eastAsia="es-ES"/>
        </w:rPr>
        <w:t>41,8 % de los pacientes permanecieron asintomáticos, predominó el grupo etario entre 20 y 39 años (33,3 %) y el sexo femenino (55,6 %). La fuente de infección más frecuente fue el contacto con caso confirmado (88,9 %) y los municipios de mayor frecuencia fueron Holguín, Gibara y Banes. Los factores de riesgo clínico preponderante fueron: la condición de adulto mayor (</w:t>
      </w:r>
      <w:r w:rsidRPr="0039555A">
        <w:rPr>
          <w:lang w:val="es-ES" w:eastAsia="es-ES"/>
        </w:rPr>
        <w:t>20 %</w:t>
      </w:r>
      <w:r w:rsidRPr="0039555A">
        <w:rPr>
          <w:color w:val="000000"/>
          <w:lang w:val="es-ES" w:eastAsia="es-ES"/>
        </w:rPr>
        <w:t>) y la hipertensión arterial (</w:t>
      </w:r>
      <w:r w:rsidRPr="0039555A">
        <w:rPr>
          <w:lang w:val="es-ES" w:eastAsia="es-ES"/>
        </w:rPr>
        <w:t>17,8 %). El 57, 8 % de los pacientes no tenían comorbilidades.</w:t>
      </w:r>
      <w:r w:rsidRPr="0039555A">
        <w:rPr>
          <w:b/>
          <w:color w:val="000000"/>
          <w:lang w:val="es-ES" w:eastAsia="es-ES"/>
        </w:rPr>
        <w:t xml:space="preserve"> </w:t>
      </w:r>
    </w:p>
    <w:p w14:paraId="347A41B4" w14:textId="77777777" w:rsidR="0039555A" w:rsidRPr="0039555A" w:rsidRDefault="0039555A" w:rsidP="0039555A">
      <w:pPr>
        <w:spacing w:line="360" w:lineRule="auto"/>
        <w:jc w:val="both"/>
        <w:rPr>
          <w:color w:val="000000"/>
          <w:lang w:val="es-ES" w:eastAsia="es-ES"/>
        </w:rPr>
      </w:pPr>
      <w:r w:rsidRPr="0039555A">
        <w:rPr>
          <w:b/>
          <w:color w:val="000000"/>
          <w:lang w:val="es-ES" w:eastAsia="es-ES"/>
        </w:rPr>
        <w:t>Conclusiones:</w:t>
      </w:r>
      <w:r w:rsidRPr="0039555A">
        <w:rPr>
          <w:color w:val="000000"/>
          <w:lang w:val="es-ES" w:eastAsia="es-ES"/>
        </w:rPr>
        <w:t xml:space="preserve"> Predominaron los adultos jóvenes, del sexo femenino, pertenecientes a los municipios Holguín, Gibara y Banes, con antecedentes epidemiológicos de ser contactos de casos confirmados. La </w:t>
      </w:r>
      <w:r w:rsidRPr="0039555A">
        <w:rPr>
          <w:color w:val="000000"/>
          <w:lang w:val="es-ES" w:eastAsia="es-ES"/>
        </w:rPr>
        <w:lastRenderedPageBreak/>
        <w:t>condición adulto mayor y la hipertensión arterial fueron los factores de riesgo más frecuentes y la mayoría de los casos no presentaron comorbilidades.</w:t>
      </w:r>
    </w:p>
    <w:p w14:paraId="5137746D" w14:textId="77777777" w:rsidR="0039555A" w:rsidRPr="0039555A" w:rsidRDefault="0039555A" w:rsidP="0039555A">
      <w:pPr>
        <w:spacing w:line="360" w:lineRule="auto"/>
        <w:jc w:val="both"/>
        <w:rPr>
          <w:bCs/>
          <w:lang w:val="es-ES" w:eastAsia="es-ES"/>
        </w:rPr>
      </w:pPr>
      <w:r w:rsidRPr="0039555A">
        <w:rPr>
          <w:b/>
          <w:color w:val="000000"/>
          <w:lang w:val="es-ES" w:eastAsia="es-ES"/>
        </w:rPr>
        <w:t>Palabras clave</w:t>
      </w:r>
      <w:r w:rsidRPr="0039555A">
        <w:rPr>
          <w:b/>
          <w:bCs/>
          <w:color w:val="000000"/>
          <w:lang w:val="es-ES" w:eastAsia="es-ES"/>
        </w:rPr>
        <w:t>:</w:t>
      </w:r>
      <w:r w:rsidRPr="0039555A">
        <w:rPr>
          <w:color w:val="000000"/>
          <w:lang w:val="es-ES" w:eastAsia="es-ES"/>
        </w:rPr>
        <w:t xml:space="preserve"> coronavirus; SARS-CoV-2; pandemia; COVID-19; enfermos asintomáticos.</w:t>
      </w:r>
    </w:p>
    <w:p w14:paraId="577A51DD" w14:textId="77777777" w:rsidR="0039555A" w:rsidRPr="0039555A" w:rsidRDefault="0039555A" w:rsidP="0039555A">
      <w:pPr>
        <w:spacing w:line="360" w:lineRule="auto"/>
        <w:jc w:val="both"/>
        <w:rPr>
          <w:b/>
          <w:color w:val="000000"/>
          <w:lang w:val="es-CU" w:eastAsia="es-ES"/>
        </w:rPr>
      </w:pPr>
    </w:p>
    <w:p w14:paraId="0AA36414" w14:textId="77777777" w:rsidR="0039555A" w:rsidRPr="0039555A" w:rsidRDefault="0039555A" w:rsidP="0039555A">
      <w:pPr>
        <w:spacing w:line="360" w:lineRule="auto"/>
        <w:jc w:val="both"/>
        <w:rPr>
          <w:b/>
          <w:color w:val="000000"/>
          <w:lang w:val="en-US" w:eastAsia="es-ES"/>
        </w:rPr>
      </w:pPr>
      <w:r w:rsidRPr="0039555A">
        <w:rPr>
          <w:b/>
          <w:color w:val="000000"/>
          <w:lang w:val="en-US" w:eastAsia="es-ES"/>
        </w:rPr>
        <w:t>ABSTRACT</w:t>
      </w:r>
    </w:p>
    <w:p w14:paraId="3943101C" w14:textId="77777777" w:rsidR="0039555A" w:rsidRPr="0039555A" w:rsidRDefault="0039555A" w:rsidP="0039555A">
      <w:pPr>
        <w:spacing w:line="360" w:lineRule="auto"/>
        <w:jc w:val="both"/>
        <w:rPr>
          <w:b/>
          <w:color w:val="000000"/>
          <w:lang w:val="en-US" w:eastAsia="es-ES"/>
        </w:rPr>
      </w:pPr>
      <w:r w:rsidRPr="0039555A">
        <w:rPr>
          <w:b/>
          <w:color w:val="000000"/>
          <w:lang w:val="en-US" w:eastAsia="es-ES"/>
        </w:rPr>
        <w:t xml:space="preserve">Introduction: </w:t>
      </w:r>
      <w:r w:rsidRPr="0039555A">
        <w:rPr>
          <w:color w:val="000000"/>
          <w:lang w:val="en-US" w:eastAsia="es-ES"/>
        </w:rPr>
        <w:t>COVID-19 is an emerging disease of pandemic category. The clinical forms are variable and the asymptomatic form has high frequency.</w:t>
      </w:r>
    </w:p>
    <w:p w14:paraId="5CCDC887" w14:textId="77777777" w:rsidR="0039555A" w:rsidRPr="0039555A" w:rsidRDefault="0039555A" w:rsidP="0039555A">
      <w:pPr>
        <w:spacing w:line="360" w:lineRule="auto"/>
        <w:jc w:val="both"/>
        <w:rPr>
          <w:color w:val="000000"/>
          <w:lang w:val="en-US" w:eastAsia="es-ES"/>
        </w:rPr>
      </w:pPr>
      <w:r w:rsidRPr="0039555A">
        <w:rPr>
          <w:b/>
          <w:color w:val="000000"/>
          <w:lang w:val="en-US" w:eastAsia="es-ES"/>
        </w:rPr>
        <w:t>Objective</w:t>
      </w:r>
      <w:r w:rsidRPr="0039555A">
        <w:rPr>
          <w:color w:val="000000"/>
          <w:lang w:val="en-US" w:eastAsia="es-ES"/>
        </w:rPr>
        <w:t>: To describe the clinical and epidemiological characteristics of COVID-19 positive and asymptomatic patients.</w:t>
      </w:r>
    </w:p>
    <w:p w14:paraId="5D92D263" w14:textId="77777777" w:rsidR="0039555A" w:rsidRPr="0039555A" w:rsidRDefault="0039555A" w:rsidP="0039555A">
      <w:pPr>
        <w:spacing w:line="360" w:lineRule="auto"/>
        <w:jc w:val="both"/>
        <w:rPr>
          <w:lang w:val="en-US" w:eastAsia="es-ES"/>
        </w:rPr>
      </w:pPr>
      <w:r w:rsidRPr="0039555A">
        <w:rPr>
          <w:b/>
          <w:color w:val="000000"/>
          <w:lang w:val="en-US" w:eastAsia="es-ES"/>
        </w:rPr>
        <w:t>Methods</w:t>
      </w:r>
      <w:r w:rsidRPr="0039555A">
        <w:rPr>
          <w:color w:val="000000"/>
          <w:lang w:val="en-US" w:eastAsia="es-ES"/>
        </w:rPr>
        <w:t xml:space="preserve">: A descriptive study was carried out, including all asymptomatic patients on admission, whit a confirmed diagnosis, by the real-time reverse transcriptase-polymerase chain reaction test for </w:t>
      </w:r>
      <w:r w:rsidRPr="0039555A">
        <w:rPr>
          <w:lang w:val="en-US" w:eastAsia="es-ES"/>
        </w:rPr>
        <w:t xml:space="preserve">SARS-CoV-2 </w:t>
      </w:r>
      <w:r w:rsidRPr="0039555A">
        <w:rPr>
          <w:color w:val="000000"/>
          <w:lang w:val="en-US" w:eastAsia="es-ES"/>
        </w:rPr>
        <w:t xml:space="preserve">infection at Military Hospital </w:t>
      </w:r>
      <w:r w:rsidRPr="0039555A">
        <w:rPr>
          <w:lang w:val="en-US" w:eastAsia="es-ES"/>
        </w:rPr>
        <w:t>“Dr. Fermín Valdés Domínguez” from March to July 2020. The variables age, sex, clinical expressiveness, clinical and epidemiological history were studied. Frequencies and percentage were used.</w:t>
      </w:r>
    </w:p>
    <w:p w14:paraId="649DF6A8" w14:textId="77777777" w:rsidR="0039555A" w:rsidRPr="0039555A" w:rsidRDefault="0039555A" w:rsidP="0039555A">
      <w:pPr>
        <w:spacing w:line="360" w:lineRule="auto"/>
        <w:jc w:val="both"/>
        <w:rPr>
          <w:bCs/>
          <w:color w:val="000000"/>
          <w:lang w:val="en-US" w:eastAsia="es-ES"/>
        </w:rPr>
      </w:pPr>
      <w:r w:rsidRPr="0039555A">
        <w:rPr>
          <w:b/>
          <w:bCs/>
          <w:color w:val="000000"/>
          <w:lang w:val="en-US" w:eastAsia="es-ES"/>
        </w:rPr>
        <w:t>Results:</w:t>
      </w:r>
      <w:r w:rsidRPr="0039555A">
        <w:rPr>
          <w:bCs/>
          <w:color w:val="000000"/>
          <w:lang w:val="en-US" w:eastAsia="es-ES"/>
        </w:rPr>
        <w:t xml:space="preserve"> The 41,8 percent of the patients remained asymptomatic, the age group between 20 and 39 years (33,3 %) and female sex predominated (55,6 %). The most frequent source of infection was contact with confirmed case (88,9 %) and the most frequent municipalities were Holguín, </w:t>
      </w:r>
      <w:proofErr w:type="spellStart"/>
      <w:r w:rsidRPr="0039555A">
        <w:rPr>
          <w:bCs/>
          <w:color w:val="000000"/>
          <w:lang w:val="en-US" w:eastAsia="es-ES"/>
        </w:rPr>
        <w:t>Gibara</w:t>
      </w:r>
      <w:proofErr w:type="spellEnd"/>
      <w:r w:rsidRPr="0039555A">
        <w:rPr>
          <w:bCs/>
          <w:color w:val="000000"/>
          <w:lang w:val="en-US" w:eastAsia="es-ES"/>
        </w:rPr>
        <w:t xml:space="preserve"> and Banes. Older adults and hypertension were most frequent clinical risk factors (20,0 and 57,8 % respectively) and 57,8 % of the patients had no comorbidities.</w:t>
      </w:r>
    </w:p>
    <w:p w14:paraId="1B0C6AF1" w14:textId="77777777" w:rsidR="0039555A" w:rsidRPr="0039555A" w:rsidRDefault="0039555A" w:rsidP="0039555A">
      <w:pPr>
        <w:spacing w:line="360" w:lineRule="auto"/>
        <w:jc w:val="both"/>
        <w:rPr>
          <w:bCs/>
          <w:color w:val="000000"/>
          <w:lang w:val="en-US" w:eastAsia="es-ES"/>
        </w:rPr>
      </w:pPr>
      <w:r w:rsidRPr="0039555A">
        <w:rPr>
          <w:b/>
          <w:bCs/>
          <w:color w:val="000000"/>
          <w:lang w:val="en-US" w:eastAsia="es-ES"/>
        </w:rPr>
        <w:t xml:space="preserve">Conclusions: </w:t>
      </w:r>
      <w:r w:rsidRPr="0039555A">
        <w:rPr>
          <w:bCs/>
          <w:color w:val="000000"/>
          <w:lang w:val="en-US" w:eastAsia="es-ES"/>
        </w:rPr>
        <w:t xml:space="preserve">Young adults predominated, female sex, from Holguín, </w:t>
      </w:r>
      <w:proofErr w:type="spellStart"/>
      <w:r w:rsidRPr="0039555A">
        <w:rPr>
          <w:bCs/>
          <w:color w:val="000000"/>
          <w:lang w:val="en-US" w:eastAsia="es-ES"/>
        </w:rPr>
        <w:t>Gibara</w:t>
      </w:r>
      <w:proofErr w:type="spellEnd"/>
      <w:r w:rsidRPr="0039555A">
        <w:rPr>
          <w:bCs/>
          <w:color w:val="000000"/>
          <w:lang w:val="en-US" w:eastAsia="es-ES"/>
        </w:rPr>
        <w:t xml:space="preserve"> and Banes municipalities with a history of being a contact confirmed case. Elderly condition and hypertension were the most frequent risk factors and most of the cases did not have comorbidities.</w:t>
      </w:r>
    </w:p>
    <w:p w14:paraId="466F6635" w14:textId="77777777" w:rsidR="0039555A" w:rsidRPr="0039555A" w:rsidRDefault="0039555A" w:rsidP="0039555A">
      <w:pPr>
        <w:spacing w:line="360" w:lineRule="auto"/>
        <w:jc w:val="both"/>
        <w:rPr>
          <w:bCs/>
          <w:color w:val="000000"/>
          <w:lang w:val="en-US" w:eastAsia="es-ES"/>
        </w:rPr>
      </w:pPr>
      <w:r w:rsidRPr="0039555A">
        <w:rPr>
          <w:b/>
          <w:bCs/>
          <w:color w:val="000000"/>
          <w:lang w:val="en-US" w:eastAsia="es-ES"/>
        </w:rPr>
        <w:t>Keywords:</w:t>
      </w:r>
      <w:r w:rsidRPr="0039555A">
        <w:rPr>
          <w:color w:val="000000"/>
          <w:lang w:val="en-US" w:eastAsia="es-ES"/>
        </w:rPr>
        <w:t xml:space="preserve"> coronavirus; SARS-CoV-2; pandemic; COVID-19; asymptomatic patients.</w:t>
      </w:r>
      <w:r w:rsidRPr="0039555A">
        <w:rPr>
          <w:bCs/>
          <w:color w:val="000000"/>
          <w:lang w:val="en-US" w:eastAsia="es-ES"/>
        </w:rPr>
        <w:t xml:space="preserve"> </w:t>
      </w:r>
    </w:p>
    <w:p w14:paraId="3AB0E41C" w14:textId="77777777" w:rsidR="0039555A" w:rsidRPr="0039555A" w:rsidRDefault="0039555A" w:rsidP="0039555A">
      <w:pPr>
        <w:spacing w:line="360" w:lineRule="auto"/>
        <w:jc w:val="both"/>
        <w:rPr>
          <w:bCs/>
          <w:color w:val="000000"/>
          <w:lang w:val="en-US" w:eastAsia="es-ES"/>
        </w:rPr>
      </w:pPr>
    </w:p>
    <w:p w14:paraId="2F2BCC62" w14:textId="77777777" w:rsidR="0039555A" w:rsidRPr="0039555A" w:rsidRDefault="0039555A" w:rsidP="0039555A">
      <w:pPr>
        <w:spacing w:line="360" w:lineRule="auto"/>
        <w:jc w:val="both"/>
        <w:rPr>
          <w:bCs/>
          <w:color w:val="000000"/>
          <w:lang w:val="en-US" w:eastAsia="es-ES"/>
        </w:rPr>
      </w:pPr>
    </w:p>
    <w:p w14:paraId="3E4C86A5" w14:textId="77777777" w:rsidR="0039555A" w:rsidRPr="0039555A" w:rsidRDefault="0039555A" w:rsidP="0039555A">
      <w:pPr>
        <w:spacing w:line="360" w:lineRule="auto"/>
        <w:jc w:val="both"/>
        <w:rPr>
          <w:bCs/>
          <w:color w:val="000000"/>
          <w:lang w:val="es-ES" w:eastAsia="es-ES"/>
        </w:rPr>
      </w:pPr>
      <w:r w:rsidRPr="0039555A">
        <w:rPr>
          <w:bCs/>
          <w:color w:val="000000"/>
          <w:lang w:val="es-ES" w:eastAsia="es-ES"/>
        </w:rPr>
        <w:t>Recibido: 01/08/2020</w:t>
      </w:r>
    </w:p>
    <w:p w14:paraId="18D646E1" w14:textId="77777777" w:rsidR="0039555A" w:rsidRPr="0039555A" w:rsidRDefault="0039555A" w:rsidP="0039555A">
      <w:pPr>
        <w:spacing w:line="360" w:lineRule="auto"/>
        <w:jc w:val="both"/>
        <w:rPr>
          <w:bCs/>
          <w:color w:val="000000"/>
          <w:lang w:val="es-ES" w:eastAsia="es-ES"/>
        </w:rPr>
      </w:pPr>
      <w:r w:rsidRPr="0039555A">
        <w:rPr>
          <w:bCs/>
          <w:color w:val="000000"/>
          <w:lang w:val="es-ES" w:eastAsia="es-ES"/>
        </w:rPr>
        <w:t>Aprobado: 08/02/2021</w:t>
      </w:r>
    </w:p>
    <w:p w14:paraId="6F69DE88" w14:textId="77777777" w:rsidR="0039555A" w:rsidRPr="0039555A" w:rsidRDefault="0039555A" w:rsidP="0039555A">
      <w:pPr>
        <w:spacing w:line="360" w:lineRule="auto"/>
        <w:jc w:val="center"/>
        <w:rPr>
          <w:b/>
          <w:bCs/>
          <w:sz w:val="32"/>
          <w:szCs w:val="32"/>
          <w:lang w:val="es-ES" w:eastAsia="es-ES"/>
        </w:rPr>
      </w:pPr>
    </w:p>
    <w:p w14:paraId="4B8AFB78" w14:textId="77777777" w:rsidR="0039555A" w:rsidRPr="0039555A" w:rsidRDefault="0039555A" w:rsidP="0039555A">
      <w:pPr>
        <w:spacing w:line="360" w:lineRule="auto"/>
        <w:jc w:val="center"/>
        <w:rPr>
          <w:b/>
          <w:bCs/>
          <w:sz w:val="32"/>
          <w:szCs w:val="32"/>
          <w:lang w:val="es-ES" w:eastAsia="es-ES"/>
        </w:rPr>
      </w:pPr>
    </w:p>
    <w:p w14:paraId="2DDE125F" w14:textId="77777777" w:rsidR="0039555A" w:rsidRPr="0039555A" w:rsidRDefault="0039555A" w:rsidP="0039555A">
      <w:pPr>
        <w:spacing w:line="360" w:lineRule="auto"/>
        <w:jc w:val="center"/>
        <w:rPr>
          <w:b/>
          <w:bCs/>
          <w:sz w:val="32"/>
          <w:szCs w:val="32"/>
          <w:lang w:val="es-ES" w:eastAsia="es-ES"/>
        </w:rPr>
      </w:pPr>
      <w:r w:rsidRPr="0039555A">
        <w:rPr>
          <w:b/>
          <w:bCs/>
          <w:sz w:val="32"/>
          <w:szCs w:val="32"/>
          <w:lang w:val="es-ES" w:eastAsia="es-ES"/>
        </w:rPr>
        <w:lastRenderedPageBreak/>
        <w:t>INTRODUCCIÓN</w:t>
      </w:r>
    </w:p>
    <w:p w14:paraId="3B738FF1" w14:textId="77777777" w:rsidR="0039555A" w:rsidRPr="0039555A" w:rsidRDefault="0039555A" w:rsidP="0039555A">
      <w:pPr>
        <w:spacing w:line="360" w:lineRule="auto"/>
        <w:jc w:val="both"/>
        <w:rPr>
          <w:bCs/>
          <w:lang w:val="es-ES" w:eastAsia="es-ES"/>
        </w:rPr>
      </w:pPr>
      <w:r w:rsidRPr="0039555A">
        <w:rPr>
          <w:bCs/>
          <w:lang w:val="es-ES" w:eastAsia="es-ES"/>
        </w:rPr>
        <w:t xml:space="preserve">En diciembre del 2019 un grupo de pacientes con neumonía de causa desconocida fue reportado oficialmente en Wuhan, China. En consecuencia, se aisló un nuevo coronavirus (enero del 2020) responsable del síndrome respiratorio agudo grave, denominado por el </w:t>
      </w:r>
      <w:r w:rsidRPr="0039555A">
        <w:rPr>
          <w:bCs/>
          <w:iCs/>
          <w:lang w:val="es-ES" w:eastAsia="es-ES"/>
        </w:rPr>
        <w:t>Comité Internacional de Taxonomía de Virus,</w:t>
      </w:r>
      <w:r w:rsidRPr="0039555A">
        <w:rPr>
          <w:bCs/>
          <w:i/>
          <w:lang w:val="es-ES" w:eastAsia="es-ES"/>
        </w:rPr>
        <w:t xml:space="preserve"> </w:t>
      </w:r>
      <w:r w:rsidRPr="0039555A">
        <w:rPr>
          <w:bCs/>
          <w:iCs/>
          <w:lang w:val="es-ES" w:eastAsia="es-ES"/>
        </w:rPr>
        <w:t>SARS-CoV-</w:t>
      </w:r>
      <w:proofErr w:type="gramStart"/>
      <w:r w:rsidRPr="0039555A">
        <w:rPr>
          <w:bCs/>
          <w:iCs/>
          <w:lang w:val="es-ES" w:eastAsia="es-ES"/>
        </w:rPr>
        <w:t>2</w:t>
      </w:r>
      <w:r w:rsidRPr="0039555A">
        <w:rPr>
          <w:bCs/>
          <w:lang w:val="es-ES" w:eastAsia="es-ES"/>
        </w:rPr>
        <w:t>.</w:t>
      </w:r>
      <w:r w:rsidRPr="0039555A">
        <w:rPr>
          <w:bCs/>
          <w:vertAlign w:val="superscript"/>
          <w:lang w:val="es-ES" w:eastAsia="es-ES"/>
        </w:rPr>
        <w:t>(</w:t>
      </w:r>
      <w:proofErr w:type="gramEnd"/>
      <w:r w:rsidRPr="0039555A">
        <w:rPr>
          <w:bCs/>
          <w:vertAlign w:val="superscript"/>
          <w:lang w:val="es-ES" w:eastAsia="es-ES"/>
        </w:rPr>
        <w:t>1,2,3,4)</w:t>
      </w:r>
      <w:r w:rsidRPr="0039555A">
        <w:rPr>
          <w:bCs/>
          <w:lang w:val="es-ES" w:eastAsia="es-ES"/>
        </w:rPr>
        <w:t xml:space="preserve"> </w:t>
      </w:r>
    </w:p>
    <w:p w14:paraId="5B65EAB0" w14:textId="77777777" w:rsidR="0039555A" w:rsidRPr="0039555A" w:rsidRDefault="0039555A" w:rsidP="0039555A">
      <w:pPr>
        <w:spacing w:line="360" w:lineRule="auto"/>
        <w:jc w:val="both"/>
        <w:rPr>
          <w:bCs/>
          <w:lang w:val="es-ES" w:eastAsia="es-ES"/>
        </w:rPr>
      </w:pPr>
      <w:r w:rsidRPr="0039555A">
        <w:rPr>
          <w:bCs/>
          <w:lang w:val="es-ES" w:eastAsia="es-ES"/>
        </w:rPr>
        <w:t xml:space="preserve">En febrero, la Organización Mundial de la Salud (OMS) nombró </w:t>
      </w:r>
      <w:r w:rsidRPr="0039555A">
        <w:rPr>
          <w:lang w:val="es-ES" w:eastAsia="es-ES"/>
        </w:rPr>
        <w:t>a esta enfermedad infecto contagiosa</w:t>
      </w:r>
      <w:r w:rsidRPr="0039555A">
        <w:rPr>
          <w:bCs/>
          <w:lang w:val="es-ES" w:eastAsia="es-ES"/>
        </w:rPr>
        <w:t xml:space="preserve"> </w:t>
      </w:r>
      <w:r w:rsidRPr="0039555A">
        <w:rPr>
          <w:lang w:val="es-ES" w:eastAsia="es-ES"/>
        </w:rPr>
        <w:t>“</w:t>
      </w:r>
      <w:r w:rsidRPr="0039555A">
        <w:rPr>
          <w:i/>
          <w:iCs/>
          <w:lang w:val="es-ES" w:eastAsia="es-ES"/>
        </w:rPr>
        <w:t xml:space="preserve">coronavirus </w:t>
      </w:r>
      <w:proofErr w:type="spellStart"/>
      <w:r w:rsidRPr="0039555A">
        <w:rPr>
          <w:i/>
          <w:iCs/>
          <w:lang w:val="es-ES" w:eastAsia="es-ES"/>
        </w:rPr>
        <w:t>disease</w:t>
      </w:r>
      <w:proofErr w:type="spellEnd"/>
      <w:r w:rsidRPr="0039555A">
        <w:rPr>
          <w:i/>
          <w:iCs/>
          <w:lang w:val="es-ES" w:eastAsia="es-ES"/>
        </w:rPr>
        <w:t xml:space="preserve"> 2019</w:t>
      </w:r>
      <w:r w:rsidRPr="0039555A">
        <w:rPr>
          <w:lang w:val="es-ES" w:eastAsia="es-ES"/>
        </w:rPr>
        <w:t>” (COVID</w:t>
      </w:r>
      <w:r w:rsidRPr="0039555A">
        <w:rPr>
          <w:lang w:val="es-ES" w:eastAsia="es-ES"/>
        </w:rPr>
        <w:softHyphen/>
        <w:t xml:space="preserve">-19) y un mes después, </w:t>
      </w:r>
      <w:r w:rsidRPr="0039555A">
        <w:rPr>
          <w:bCs/>
          <w:lang w:val="es-ES" w:eastAsia="es-ES"/>
        </w:rPr>
        <w:t xml:space="preserve">fue declarada </w:t>
      </w:r>
      <w:proofErr w:type="gramStart"/>
      <w:r w:rsidRPr="0039555A">
        <w:rPr>
          <w:bCs/>
          <w:lang w:val="es-ES" w:eastAsia="es-ES"/>
        </w:rPr>
        <w:t>pandemia.</w:t>
      </w:r>
      <w:r w:rsidRPr="0039555A">
        <w:rPr>
          <w:bCs/>
          <w:vertAlign w:val="superscript"/>
          <w:lang w:val="es-ES" w:eastAsia="es-ES"/>
        </w:rPr>
        <w:t>(</w:t>
      </w:r>
      <w:proofErr w:type="gramEnd"/>
      <w:r w:rsidRPr="0039555A">
        <w:rPr>
          <w:bCs/>
          <w:vertAlign w:val="superscript"/>
          <w:lang w:val="es-ES" w:eastAsia="es-ES"/>
        </w:rPr>
        <w:t>5,6,7)</w:t>
      </w:r>
    </w:p>
    <w:p w14:paraId="6FE94F7B" w14:textId="77777777" w:rsidR="0039555A" w:rsidRPr="0039555A" w:rsidRDefault="0039555A" w:rsidP="0039555A">
      <w:pPr>
        <w:spacing w:line="360" w:lineRule="auto"/>
        <w:jc w:val="both"/>
        <w:rPr>
          <w:lang w:val="es-ES" w:eastAsia="es-ES"/>
        </w:rPr>
      </w:pPr>
      <w:r w:rsidRPr="0039555A">
        <w:rPr>
          <w:lang w:val="es-ES" w:eastAsia="es-ES"/>
        </w:rPr>
        <w:t xml:space="preserve">En el momento que se redacta este reporte (23 julio de 2020), la COVID-19 afecta a 185 países con 1 497 036 casos confirmados acumulados, 205 780 en las últimas 24 horas y más de 618 017 fallecidos, para una letalidad de 5,67 %. En la región de las Américas, se reportan 7 948 513 casos confirmados, 192 833 fallecidos y una letalidad de 5,41 %. En Cuba se acumulan 2462 pacientes diagnosticados, 87 fallecidos y 3,48 % de </w:t>
      </w:r>
      <w:proofErr w:type="gramStart"/>
      <w:r w:rsidRPr="0039555A">
        <w:rPr>
          <w:lang w:val="es-ES" w:eastAsia="es-ES"/>
        </w:rPr>
        <w:t>letalidad.</w:t>
      </w:r>
      <w:r w:rsidRPr="0039555A">
        <w:rPr>
          <w:vertAlign w:val="superscript"/>
          <w:lang w:val="es-ES" w:eastAsia="es-ES"/>
        </w:rPr>
        <w:t>(</w:t>
      </w:r>
      <w:proofErr w:type="gramEnd"/>
      <w:r w:rsidRPr="0039555A">
        <w:rPr>
          <w:vertAlign w:val="superscript"/>
          <w:lang w:val="es-ES" w:eastAsia="es-ES"/>
        </w:rPr>
        <w:t>8)</w:t>
      </w:r>
    </w:p>
    <w:p w14:paraId="649B10F3" w14:textId="77777777" w:rsidR="0039555A" w:rsidRPr="0039555A" w:rsidRDefault="0039555A" w:rsidP="0039555A">
      <w:pPr>
        <w:spacing w:line="360" w:lineRule="auto"/>
        <w:jc w:val="both"/>
        <w:rPr>
          <w:lang w:val="es-ES" w:eastAsia="es-ES"/>
        </w:rPr>
      </w:pPr>
      <w:r w:rsidRPr="0039555A">
        <w:rPr>
          <w:lang w:val="es-ES" w:eastAsia="es-ES"/>
        </w:rPr>
        <w:t xml:space="preserve">La COVID-19 tiene un espectro clínico que va desde formas asintomáticas, hasta formas graves. La mayoría de los pacientes sintomáticos refieren fiebre, síntomas generales, síntomas respiratorios como tos, disnea y en menor proporción manifestaciones </w:t>
      </w:r>
      <w:proofErr w:type="gramStart"/>
      <w:r w:rsidRPr="0039555A">
        <w:rPr>
          <w:lang w:val="es-ES" w:eastAsia="es-ES"/>
        </w:rPr>
        <w:t>extrapulmonares.</w:t>
      </w:r>
      <w:r w:rsidRPr="0039555A">
        <w:rPr>
          <w:vertAlign w:val="superscript"/>
          <w:lang w:val="es-ES" w:eastAsia="es-ES"/>
        </w:rPr>
        <w:t>(</w:t>
      </w:r>
      <w:proofErr w:type="gramEnd"/>
      <w:r w:rsidRPr="0039555A">
        <w:rPr>
          <w:vertAlign w:val="superscript"/>
          <w:lang w:val="es-ES" w:eastAsia="es-ES"/>
        </w:rPr>
        <w:t>3,4,7,9)</w:t>
      </w:r>
    </w:p>
    <w:p w14:paraId="2BE63071" w14:textId="77777777" w:rsidR="0039555A" w:rsidRPr="0039555A" w:rsidRDefault="0039555A" w:rsidP="0039555A">
      <w:pPr>
        <w:spacing w:line="360" w:lineRule="auto"/>
        <w:jc w:val="both"/>
        <w:rPr>
          <w:lang w:val="es-ES" w:eastAsia="es-ES"/>
        </w:rPr>
      </w:pPr>
      <w:r w:rsidRPr="0039555A">
        <w:rPr>
          <w:lang w:val="es-ES" w:eastAsia="es-ES"/>
        </w:rPr>
        <w:t xml:space="preserve">Es llamativa la elevada frecuencia de casos asintomáticos, quienes pueden trasmitir la enfermedad y hacen más difícil su diagnóstico. La prevalencia reportada para esta forma clínica es variable, se ha alcanzado hasta el 58 </w:t>
      </w:r>
      <w:proofErr w:type="gramStart"/>
      <w:r w:rsidRPr="0039555A">
        <w:rPr>
          <w:lang w:val="es-ES" w:eastAsia="es-ES"/>
        </w:rPr>
        <w:t>%.</w:t>
      </w:r>
      <w:r w:rsidRPr="0039555A">
        <w:rPr>
          <w:vertAlign w:val="superscript"/>
          <w:lang w:val="es-ES" w:eastAsia="es-ES"/>
        </w:rPr>
        <w:t>(</w:t>
      </w:r>
      <w:proofErr w:type="gramEnd"/>
      <w:r w:rsidRPr="0039555A">
        <w:rPr>
          <w:vertAlign w:val="superscript"/>
          <w:lang w:val="es-ES" w:eastAsia="es-ES"/>
        </w:rPr>
        <w:t>8,9)</w:t>
      </w:r>
    </w:p>
    <w:p w14:paraId="38DD23B0" w14:textId="77777777" w:rsidR="0039555A" w:rsidRPr="0039555A" w:rsidRDefault="0039555A" w:rsidP="0039555A">
      <w:pPr>
        <w:spacing w:line="360" w:lineRule="auto"/>
        <w:jc w:val="both"/>
        <w:rPr>
          <w:lang w:val="es-ES" w:eastAsia="es-ES"/>
        </w:rPr>
      </w:pPr>
      <w:r w:rsidRPr="0039555A">
        <w:rPr>
          <w:lang w:val="es-ES" w:eastAsia="es-ES"/>
        </w:rPr>
        <w:t xml:space="preserve">Teniendo en cuenta, las pocas investigaciones realizadas sobre los casos asintomáticos, principalmente por investigadores cubanos, se diseñó la presente investigación con el propósito de describir la características clínicas y epidemiológicas de pacientes asintomáticos con la COVID-19. </w:t>
      </w:r>
    </w:p>
    <w:p w14:paraId="16AED91A" w14:textId="77777777" w:rsidR="0039555A" w:rsidRPr="0039555A" w:rsidRDefault="0039555A" w:rsidP="0039555A">
      <w:pPr>
        <w:spacing w:line="360" w:lineRule="auto"/>
        <w:jc w:val="both"/>
        <w:rPr>
          <w:lang w:val="es-ES" w:eastAsia="es-ES"/>
        </w:rPr>
      </w:pPr>
    </w:p>
    <w:p w14:paraId="4CCB7CD5" w14:textId="77777777" w:rsidR="0039555A" w:rsidRPr="0039555A" w:rsidRDefault="0039555A" w:rsidP="0039555A">
      <w:pPr>
        <w:spacing w:line="360" w:lineRule="auto"/>
        <w:jc w:val="both"/>
        <w:rPr>
          <w:b/>
          <w:lang w:val="es-ES" w:eastAsia="es-ES"/>
        </w:rPr>
      </w:pPr>
    </w:p>
    <w:p w14:paraId="3580CEAC" w14:textId="77777777" w:rsidR="0039555A" w:rsidRPr="0039555A" w:rsidRDefault="0039555A" w:rsidP="0039555A">
      <w:pPr>
        <w:spacing w:line="360" w:lineRule="auto"/>
        <w:jc w:val="center"/>
        <w:rPr>
          <w:b/>
          <w:sz w:val="32"/>
          <w:szCs w:val="32"/>
          <w:lang w:val="es-ES" w:eastAsia="es-ES"/>
        </w:rPr>
      </w:pPr>
      <w:r w:rsidRPr="0039555A">
        <w:rPr>
          <w:b/>
          <w:sz w:val="32"/>
          <w:szCs w:val="32"/>
          <w:lang w:val="es-ES" w:eastAsia="es-ES"/>
        </w:rPr>
        <w:t>MÉTODOS</w:t>
      </w:r>
    </w:p>
    <w:p w14:paraId="2985676A" w14:textId="77777777" w:rsidR="0039555A" w:rsidRPr="0039555A" w:rsidRDefault="0039555A" w:rsidP="0039555A">
      <w:pPr>
        <w:spacing w:line="360" w:lineRule="auto"/>
        <w:jc w:val="both"/>
        <w:rPr>
          <w:lang w:val="es-ES" w:eastAsia="es-ES"/>
        </w:rPr>
      </w:pPr>
      <w:r w:rsidRPr="0039555A">
        <w:rPr>
          <w:lang w:val="es-ES" w:eastAsia="es-ES"/>
        </w:rPr>
        <w:t>Se realizó un estudio descriptivo, que incluyó a todos los pacientes con diagnostico confirmado a la infección por SARS-CoV-2 (mediante la prueba reacción en cadena de la polimerasa-transcriptasa inversa (PCR) en tiempo real), atendidos en el Hospital Militar “Dr. Fermín Valdés Domínguez”, desde marzo hasta julio de 2020, que permanecieron asintomáticos a partir de las 72 horas de ingreso. De 109 pacientes positivos a la COVID-19, 45 permanecieron asintomáticos.</w:t>
      </w:r>
    </w:p>
    <w:p w14:paraId="7DDD198E" w14:textId="77777777" w:rsidR="0039555A" w:rsidRPr="0039555A" w:rsidRDefault="0039555A" w:rsidP="0039555A">
      <w:pPr>
        <w:spacing w:line="360" w:lineRule="auto"/>
        <w:jc w:val="both"/>
        <w:rPr>
          <w:lang w:val="es-ES" w:eastAsia="es-ES"/>
        </w:rPr>
      </w:pPr>
      <w:r w:rsidRPr="0039555A">
        <w:rPr>
          <w:lang w:val="es-ES" w:eastAsia="es-ES"/>
        </w:rPr>
        <w:lastRenderedPageBreak/>
        <w:t>Las siguientes variables fueron estudiadas: edad (dividida en los grupos &lt;= 19 años, de 20 – 39 años, 40 – 59 años, 60 – 79 años y 80+ para 80 y más años); sexo; antecedentes epidemiológicos (fuente de infección y municipio de residencia); las comorbilidades asociadas (hipertensión arterial, diabetes mellitus, enfermedad pulmonar obstructiva crónica, asma bronquial y cardiopatía isquémica); provincia y municipio de procedencia.</w:t>
      </w:r>
    </w:p>
    <w:p w14:paraId="262A6ACD" w14:textId="77777777" w:rsidR="0039555A" w:rsidRPr="0039555A" w:rsidRDefault="0039555A" w:rsidP="0039555A">
      <w:pPr>
        <w:spacing w:line="360" w:lineRule="auto"/>
        <w:jc w:val="both"/>
        <w:rPr>
          <w:lang w:val="es-ES" w:eastAsia="es-ES"/>
        </w:rPr>
      </w:pPr>
      <w:r w:rsidRPr="0039555A">
        <w:rPr>
          <w:lang w:val="es-ES" w:eastAsia="es-ES"/>
        </w:rPr>
        <w:t>Los datos se obtuvieron de la base de datos de la Dirección Provincial de Salud y las historias clínicas hospitalarias. Una vez recogidos fueron procesados por el programa estadístico SPSS versión 26.0. Las frecuencias absolutas y relativas se emplearon como medida de resumen de la información.</w:t>
      </w:r>
    </w:p>
    <w:p w14:paraId="44500B05" w14:textId="77777777" w:rsidR="0039555A" w:rsidRPr="0039555A" w:rsidRDefault="0039555A" w:rsidP="0039555A">
      <w:pPr>
        <w:spacing w:line="360" w:lineRule="auto"/>
        <w:jc w:val="both"/>
        <w:rPr>
          <w:lang w:val="es-ES" w:eastAsia="es-ES"/>
        </w:rPr>
      </w:pPr>
      <w:r w:rsidRPr="0039555A">
        <w:rPr>
          <w:lang w:val="es-ES" w:eastAsia="es-ES"/>
        </w:rPr>
        <w:t xml:space="preserve">Esta investigación se realizó de acuerdo con los principios establecidos en la Declaración de Helsinki de la Asamblea Médica </w:t>
      </w:r>
      <w:proofErr w:type="gramStart"/>
      <w:r w:rsidRPr="0039555A">
        <w:rPr>
          <w:lang w:val="es-ES" w:eastAsia="es-ES"/>
        </w:rPr>
        <w:t>Mundial.</w:t>
      </w:r>
      <w:r w:rsidRPr="0039555A">
        <w:rPr>
          <w:vertAlign w:val="superscript"/>
          <w:lang w:val="es-ES" w:eastAsia="es-ES"/>
        </w:rPr>
        <w:t>(</w:t>
      </w:r>
      <w:proofErr w:type="gramEnd"/>
      <w:r w:rsidRPr="0039555A">
        <w:rPr>
          <w:vertAlign w:val="superscript"/>
          <w:lang w:val="es-ES" w:eastAsia="es-ES"/>
        </w:rPr>
        <w:t>10)</w:t>
      </w:r>
    </w:p>
    <w:p w14:paraId="4DC3A2C5" w14:textId="77777777" w:rsidR="0039555A" w:rsidRPr="0039555A" w:rsidRDefault="0039555A" w:rsidP="0039555A">
      <w:pPr>
        <w:spacing w:line="360" w:lineRule="auto"/>
        <w:jc w:val="both"/>
        <w:rPr>
          <w:b/>
          <w:lang w:val="es-ES" w:eastAsia="es-ES"/>
        </w:rPr>
      </w:pPr>
    </w:p>
    <w:p w14:paraId="6548453E" w14:textId="77777777" w:rsidR="0039555A" w:rsidRPr="0039555A" w:rsidRDefault="0039555A" w:rsidP="0039555A">
      <w:pPr>
        <w:spacing w:line="360" w:lineRule="auto"/>
        <w:jc w:val="both"/>
        <w:rPr>
          <w:b/>
          <w:lang w:val="es-ES" w:eastAsia="es-ES"/>
        </w:rPr>
      </w:pPr>
    </w:p>
    <w:p w14:paraId="20954806" w14:textId="77777777" w:rsidR="0039555A" w:rsidRPr="0039555A" w:rsidRDefault="0039555A" w:rsidP="0039555A">
      <w:pPr>
        <w:spacing w:line="360" w:lineRule="auto"/>
        <w:jc w:val="center"/>
        <w:rPr>
          <w:b/>
          <w:sz w:val="32"/>
          <w:szCs w:val="32"/>
          <w:lang w:val="es-ES" w:eastAsia="es-ES"/>
        </w:rPr>
      </w:pPr>
      <w:r w:rsidRPr="0039555A">
        <w:rPr>
          <w:b/>
          <w:sz w:val="32"/>
          <w:szCs w:val="32"/>
          <w:lang w:val="es-ES" w:eastAsia="es-ES"/>
        </w:rPr>
        <w:t>RESULTADOS</w:t>
      </w:r>
    </w:p>
    <w:p w14:paraId="19F8C242" w14:textId="2E1CD690" w:rsidR="0039555A" w:rsidRPr="0039555A" w:rsidRDefault="0039555A" w:rsidP="0039555A">
      <w:pPr>
        <w:spacing w:line="360" w:lineRule="auto"/>
        <w:jc w:val="both"/>
        <w:rPr>
          <w:lang w:val="es-ES" w:eastAsia="es-ES"/>
        </w:rPr>
      </w:pPr>
      <w:r w:rsidRPr="0039555A">
        <w:rPr>
          <w:lang w:val="es-ES" w:eastAsia="es-ES"/>
        </w:rPr>
        <w:t>Del total de pacientes atendidos con la COVID-19, a las 72 horas permanecieron asintomáticos 45 (41,8</w:t>
      </w:r>
      <w:r w:rsidR="0055754F">
        <w:rPr>
          <w:lang w:val="es-ES" w:eastAsia="es-ES"/>
        </w:rPr>
        <w:t> </w:t>
      </w:r>
      <w:r w:rsidRPr="0039555A">
        <w:rPr>
          <w:lang w:val="es-ES" w:eastAsia="es-ES"/>
        </w:rPr>
        <w:t xml:space="preserve">%). Según grupos etarios (tabla 1), predominó el comprendido entre 20 y 39 años y se acumula un 80 % de pacientes en edades inferiores a 60 años. </w:t>
      </w:r>
    </w:p>
    <w:p w14:paraId="77411AAA" w14:textId="77777777" w:rsidR="0039555A" w:rsidRPr="0039555A" w:rsidRDefault="0039555A" w:rsidP="0039555A">
      <w:pPr>
        <w:spacing w:line="360" w:lineRule="auto"/>
        <w:jc w:val="both"/>
        <w:rPr>
          <w:lang w:val="es-ES" w:eastAsia="es-ES"/>
        </w:rPr>
      </w:pPr>
    </w:p>
    <w:p w14:paraId="17A8F0E8" w14:textId="4A21F904" w:rsidR="0039555A" w:rsidRDefault="0039555A" w:rsidP="0039555A">
      <w:pPr>
        <w:spacing w:line="360" w:lineRule="auto"/>
        <w:jc w:val="center"/>
        <w:rPr>
          <w:sz w:val="22"/>
          <w:szCs w:val="22"/>
          <w:lang w:val="es-ES" w:eastAsia="es-ES"/>
        </w:rPr>
      </w:pPr>
      <w:r w:rsidRPr="0039555A">
        <w:rPr>
          <w:b/>
          <w:bCs/>
          <w:sz w:val="22"/>
          <w:szCs w:val="22"/>
          <w:lang w:val="es-ES" w:eastAsia="es-ES"/>
        </w:rPr>
        <w:t>Tabla 1 -</w:t>
      </w:r>
      <w:r w:rsidRPr="0039555A">
        <w:rPr>
          <w:sz w:val="22"/>
          <w:szCs w:val="22"/>
          <w:lang w:val="es-ES" w:eastAsia="es-ES"/>
        </w:rPr>
        <w:t xml:space="preserve"> Distribución según grupo etarios</w:t>
      </w:r>
    </w:p>
    <w:tbl>
      <w:tblPr>
        <w:tblStyle w:val="Sombreadomedio2-nfasis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660" w:firstRow="1" w:lastRow="1" w:firstColumn="0" w:lastColumn="0" w:noHBand="1" w:noVBand="1"/>
      </w:tblPr>
      <w:tblGrid>
        <w:gridCol w:w="1361"/>
        <w:gridCol w:w="1815"/>
        <w:gridCol w:w="1559"/>
        <w:gridCol w:w="1046"/>
        <w:gridCol w:w="1487"/>
      </w:tblGrid>
      <w:tr w:rsidR="0039555A" w:rsidRPr="0039555A" w14:paraId="2CFA4822" w14:textId="77777777" w:rsidTr="0039555A">
        <w:trPr>
          <w:cnfStyle w:val="100000000000" w:firstRow="1" w:lastRow="0" w:firstColumn="0" w:lastColumn="0" w:oddVBand="0" w:evenVBand="0" w:oddHBand="0" w:evenHBand="0" w:firstRowFirstColumn="0" w:firstRowLastColumn="0" w:lastRowFirstColumn="0" w:lastRowLastColumn="0"/>
          <w:jc w:val="center"/>
        </w:trPr>
        <w:tc>
          <w:tcPr>
            <w:tcW w:w="0" w:type="auto"/>
            <w:tcBorders>
              <w:top w:val="none" w:sz="0" w:space="0" w:color="auto"/>
              <w:left w:val="none" w:sz="0" w:space="0" w:color="auto"/>
              <w:bottom w:val="none" w:sz="0" w:space="0" w:color="auto"/>
              <w:right w:val="none" w:sz="0" w:space="0" w:color="auto"/>
            </w:tcBorders>
            <w:shd w:val="clear" w:color="auto" w:fill="FFFFFF"/>
            <w:noWrap/>
            <w:vAlign w:val="center"/>
          </w:tcPr>
          <w:p w14:paraId="7DC1B96F" w14:textId="77777777" w:rsidR="0039555A" w:rsidRPr="0039555A" w:rsidRDefault="0039555A" w:rsidP="0039555A">
            <w:pPr>
              <w:spacing w:line="360" w:lineRule="auto"/>
              <w:jc w:val="center"/>
              <w:rPr>
                <w:rFonts w:ascii="Times New Roman" w:eastAsia="Calibri" w:hAnsi="Times New Roman"/>
                <w:color w:val="auto"/>
                <w:sz w:val="18"/>
                <w:szCs w:val="18"/>
                <w:lang w:val="es-ES" w:eastAsia="en-US"/>
              </w:rPr>
            </w:pPr>
            <w:r w:rsidRPr="0039555A">
              <w:rPr>
                <w:rFonts w:ascii="Times New Roman" w:eastAsia="Calibri" w:hAnsi="Times New Roman"/>
                <w:color w:val="auto"/>
                <w:sz w:val="18"/>
                <w:szCs w:val="18"/>
                <w:lang w:val="es-ES" w:eastAsia="en-US"/>
              </w:rPr>
              <w:t>Grupos etarios</w:t>
            </w:r>
          </w:p>
        </w:tc>
        <w:tc>
          <w:tcPr>
            <w:tcW w:w="1815" w:type="dxa"/>
            <w:tcBorders>
              <w:top w:val="none" w:sz="0" w:space="0" w:color="auto"/>
              <w:left w:val="none" w:sz="0" w:space="0" w:color="auto"/>
              <w:bottom w:val="none" w:sz="0" w:space="0" w:color="auto"/>
              <w:right w:val="none" w:sz="0" w:space="0" w:color="auto"/>
            </w:tcBorders>
            <w:shd w:val="clear" w:color="auto" w:fill="FFFFFF"/>
            <w:vAlign w:val="center"/>
          </w:tcPr>
          <w:p w14:paraId="0BF3DFB2" w14:textId="77777777" w:rsidR="0039555A" w:rsidRPr="0039555A" w:rsidRDefault="0039555A" w:rsidP="0039555A">
            <w:pPr>
              <w:spacing w:line="360" w:lineRule="auto"/>
              <w:jc w:val="center"/>
              <w:rPr>
                <w:rFonts w:ascii="Times New Roman" w:eastAsia="Calibri" w:hAnsi="Times New Roman"/>
                <w:color w:val="auto"/>
                <w:sz w:val="18"/>
                <w:szCs w:val="18"/>
                <w:lang w:val="es-ES" w:eastAsia="en-US"/>
              </w:rPr>
            </w:pPr>
            <w:r w:rsidRPr="0039555A">
              <w:rPr>
                <w:rFonts w:ascii="Times New Roman" w:eastAsia="Calibri" w:hAnsi="Times New Roman"/>
                <w:color w:val="auto"/>
                <w:sz w:val="18"/>
                <w:szCs w:val="18"/>
                <w:lang w:val="es-ES" w:eastAsia="en-US"/>
              </w:rPr>
              <w:t>Frecuencia absoluta</w:t>
            </w:r>
          </w:p>
        </w:tc>
        <w:tc>
          <w:tcPr>
            <w:tcW w:w="1559" w:type="dxa"/>
            <w:tcBorders>
              <w:top w:val="none" w:sz="0" w:space="0" w:color="auto"/>
              <w:left w:val="none" w:sz="0" w:space="0" w:color="auto"/>
              <w:bottom w:val="none" w:sz="0" w:space="0" w:color="auto"/>
              <w:right w:val="none" w:sz="0" w:space="0" w:color="auto"/>
            </w:tcBorders>
            <w:shd w:val="clear" w:color="auto" w:fill="FFFFFF"/>
            <w:vAlign w:val="center"/>
          </w:tcPr>
          <w:p w14:paraId="25D9799F" w14:textId="77777777" w:rsidR="0039555A" w:rsidRPr="0039555A" w:rsidRDefault="0039555A" w:rsidP="0039555A">
            <w:pPr>
              <w:spacing w:line="360" w:lineRule="auto"/>
              <w:jc w:val="center"/>
              <w:rPr>
                <w:rFonts w:ascii="Times New Roman" w:eastAsia="Calibri" w:hAnsi="Times New Roman"/>
                <w:color w:val="auto"/>
                <w:sz w:val="18"/>
                <w:szCs w:val="18"/>
                <w:lang w:val="es-ES" w:eastAsia="en-US"/>
              </w:rPr>
            </w:pPr>
            <w:r w:rsidRPr="0039555A">
              <w:rPr>
                <w:rFonts w:ascii="Times New Roman" w:eastAsia="Calibri" w:hAnsi="Times New Roman"/>
                <w:color w:val="auto"/>
                <w:sz w:val="18"/>
                <w:szCs w:val="18"/>
                <w:lang w:val="es-ES" w:eastAsia="en-US"/>
              </w:rPr>
              <w:t>Frecuencia acumulada</w:t>
            </w:r>
          </w:p>
        </w:tc>
        <w:tc>
          <w:tcPr>
            <w:tcW w:w="0" w:type="auto"/>
            <w:tcBorders>
              <w:top w:val="none" w:sz="0" w:space="0" w:color="auto"/>
              <w:left w:val="none" w:sz="0" w:space="0" w:color="auto"/>
              <w:bottom w:val="none" w:sz="0" w:space="0" w:color="auto"/>
              <w:right w:val="none" w:sz="0" w:space="0" w:color="auto"/>
            </w:tcBorders>
            <w:shd w:val="clear" w:color="auto" w:fill="FFFFFF"/>
            <w:vAlign w:val="center"/>
          </w:tcPr>
          <w:p w14:paraId="231B86F4" w14:textId="77777777" w:rsidR="0039555A" w:rsidRPr="0039555A" w:rsidRDefault="0039555A" w:rsidP="0039555A">
            <w:pPr>
              <w:spacing w:line="360" w:lineRule="auto"/>
              <w:jc w:val="center"/>
              <w:rPr>
                <w:rFonts w:ascii="Times New Roman" w:eastAsia="Calibri" w:hAnsi="Times New Roman"/>
                <w:color w:val="auto"/>
                <w:sz w:val="18"/>
                <w:szCs w:val="18"/>
                <w:lang w:val="es-ES" w:eastAsia="en-US"/>
              </w:rPr>
            </w:pPr>
            <w:r w:rsidRPr="0039555A">
              <w:rPr>
                <w:rFonts w:ascii="Times New Roman" w:eastAsia="Calibri" w:hAnsi="Times New Roman"/>
                <w:color w:val="auto"/>
                <w:sz w:val="18"/>
                <w:szCs w:val="18"/>
                <w:lang w:val="es-ES" w:eastAsia="en-US"/>
              </w:rPr>
              <w:t>Porcentaje</w:t>
            </w:r>
          </w:p>
        </w:tc>
        <w:tc>
          <w:tcPr>
            <w:tcW w:w="1487" w:type="dxa"/>
            <w:tcBorders>
              <w:top w:val="none" w:sz="0" w:space="0" w:color="auto"/>
              <w:left w:val="none" w:sz="0" w:space="0" w:color="auto"/>
              <w:bottom w:val="none" w:sz="0" w:space="0" w:color="auto"/>
              <w:right w:val="none" w:sz="0" w:space="0" w:color="auto"/>
            </w:tcBorders>
            <w:shd w:val="clear" w:color="auto" w:fill="FFFFFF"/>
            <w:vAlign w:val="center"/>
          </w:tcPr>
          <w:p w14:paraId="72150F56" w14:textId="77777777" w:rsidR="0039555A" w:rsidRPr="0039555A" w:rsidRDefault="0039555A" w:rsidP="0039555A">
            <w:pPr>
              <w:spacing w:line="360" w:lineRule="auto"/>
              <w:jc w:val="center"/>
              <w:rPr>
                <w:rFonts w:ascii="Times New Roman" w:eastAsia="Calibri" w:hAnsi="Times New Roman"/>
                <w:color w:val="auto"/>
                <w:sz w:val="18"/>
                <w:szCs w:val="18"/>
                <w:lang w:val="es-ES" w:eastAsia="en-US"/>
              </w:rPr>
            </w:pPr>
            <w:r w:rsidRPr="0039555A">
              <w:rPr>
                <w:rFonts w:ascii="Times New Roman" w:eastAsia="Calibri" w:hAnsi="Times New Roman"/>
                <w:color w:val="auto"/>
                <w:sz w:val="18"/>
                <w:szCs w:val="18"/>
                <w:lang w:val="es-ES" w:eastAsia="en-US"/>
              </w:rPr>
              <w:t>Porcentaje acumulado</w:t>
            </w:r>
          </w:p>
        </w:tc>
      </w:tr>
      <w:tr w:rsidR="0039555A" w:rsidRPr="0039555A" w14:paraId="6340BBE0" w14:textId="77777777" w:rsidTr="0039555A">
        <w:trPr>
          <w:jc w:val="center"/>
        </w:trPr>
        <w:tc>
          <w:tcPr>
            <w:tcW w:w="0" w:type="auto"/>
            <w:shd w:val="clear" w:color="auto" w:fill="FFFFFF"/>
            <w:noWrap/>
            <w:vAlign w:val="center"/>
          </w:tcPr>
          <w:p w14:paraId="18AE1DCA" w14:textId="77777777" w:rsidR="0039555A" w:rsidRPr="0039555A" w:rsidRDefault="0039555A" w:rsidP="0039555A">
            <w:pPr>
              <w:spacing w:line="360" w:lineRule="auto"/>
              <w:rPr>
                <w:rFonts w:ascii="Times New Roman" w:hAnsi="Times New Roman"/>
                <w:sz w:val="18"/>
                <w:szCs w:val="18"/>
                <w:lang w:val="es-ES" w:eastAsia="es-ES"/>
              </w:rPr>
            </w:pPr>
            <w:r w:rsidRPr="0039555A">
              <w:rPr>
                <w:rFonts w:ascii="Times New Roman" w:hAnsi="Times New Roman"/>
                <w:sz w:val="18"/>
                <w:szCs w:val="18"/>
                <w:lang w:val="es-ES" w:eastAsia="es-ES"/>
              </w:rPr>
              <w:t>&lt;= 19</w:t>
            </w:r>
          </w:p>
        </w:tc>
        <w:tc>
          <w:tcPr>
            <w:tcW w:w="1815" w:type="dxa"/>
            <w:shd w:val="clear" w:color="auto" w:fill="FFFFFF"/>
            <w:vAlign w:val="center"/>
          </w:tcPr>
          <w:p w14:paraId="6AB99543"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9</w:t>
            </w:r>
          </w:p>
        </w:tc>
        <w:tc>
          <w:tcPr>
            <w:tcW w:w="1559" w:type="dxa"/>
            <w:shd w:val="clear" w:color="auto" w:fill="FFFFFF"/>
            <w:vAlign w:val="center"/>
          </w:tcPr>
          <w:p w14:paraId="6CA02519"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9</w:t>
            </w:r>
          </w:p>
        </w:tc>
        <w:tc>
          <w:tcPr>
            <w:tcW w:w="0" w:type="auto"/>
            <w:shd w:val="clear" w:color="auto" w:fill="FFFFFF"/>
            <w:vAlign w:val="center"/>
          </w:tcPr>
          <w:p w14:paraId="56BC104A"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20,0</w:t>
            </w:r>
          </w:p>
        </w:tc>
        <w:tc>
          <w:tcPr>
            <w:tcW w:w="1487" w:type="dxa"/>
            <w:shd w:val="clear" w:color="auto" w:fill="FFFFFF"/>
            <w:vAlign w:val="center"/>
          </w:tcPr>
          <w:p w14:paraId="07C9C96B"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20,0</w:t>
            </w:r>
          </w:p>
        </w:tc>
      </w:tr>
      <w:tr w:rsidR="0039555A" w:rsidRPr="0039555A" w14:paraId="40962E68" w14:textId="77777777" w:rsidTr="0039555A">
        <w:trPr>
          <w:jc w:val="center"/>
        </w:trPr>
        <w:tc>
          <w:tcPr>
            <w:tcW w:w="0" w:type="auto"/>
            <w:shd w:val="clear" w:color="auto" w:fill="FFFFFF"/>
            <w:noWrap/>
            <w:vAlign w:val="center"/>
          </w:tcPr>
          <w:p w14:paraId="45746E72" w14:textId="77777777" w:rsidR="0039555A" w:rsidRPr="0039555A" w:rsidRDefault="0039555A" w:rsidP="0039555A">
            <w:pPr>
              <w:spacing w:line="360" w:lineRule="auto"/>
              <w:rPr>
                <w:rFonts w:ascii="Times New Roman" w:hAnsi="Times New Roman"/>
                <w:sz w:val="18"/>
                <w:szCs w:val="18"/>
                <w:lang w:val="es-ES" w:eastAsia="es-ES"/>
              </w:rPr>
            </w:pPr>
            <w:r w:rsidRPr="0039555A">
              <w:rPr>
                <w:rFonts w:ascii="Times New Roman" w:hAnsi="Times New Roman"/>
                <w:sz w:val="18"/>
                <w:szCs w:val="18"/>
                <w:lang w:val="es-ES" w:eastAsia="es-ES"/>
              </w:rPr>
              <w:t>20 – 39</w:t>
            </w:r>
          </w:p>
        </w:tc>
        <w:tc>
          <w:tcPr>
            <w:tcW w:w="1815" w:type="dxa"/>
            <w:shd w:val="clear" w:color="auto" w:fill="FFFFFF"/>
            <w:vAlign w:val="center"/>
          </w:tcPr>
          <w:p w14:paraId="1EBDDEBD"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15</w:t>
            </w:r>
          </w:p>
        </w:tc>
        <w:tc>
          <w:tcPr>
            <w:tcW w:w="1559" w:type="dxa"/>
            <w:shd w:val="clear" w:color="auto" w:fill="FFFFFF"/>
            <w:vAlign w:val="center"/>
          </w:tcPr>
          <w:p w14:paraId="7516AB89"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24</w:t>
            </w:r>
          </w:p>
        </w:tc>
        <w:tc>
          <w:tcPr>
            <w:tcW w:w="0" w:type="auto"/>
            <w:shd w:val="clear" w:color="auto" w:fill="FFFFFF"/>
            <w:vAlign w:val="center"/>
          </w:tcPr>
          <w:p w14:paraId="01BF8D6D"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33,3</w:t>
            </w:r>
          </w:p>
        </w:tc>
        <w:tc>
          <w:tcPr>
            <w:tcW w:w="1487" w:type="dxa"/>
            <w:shd w:val="clear" w:color="auto" w:fill="FFFFFF"/>
            <w:vAlign w:val="center"/>
          </w:tcPr>
          <w:p w14:paraId="2CA13C61"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53,3</w:t>
            </w:r>
          </w:p>
        </w:tc>
      </w:tr>
      <w:tr w:rsidR="0039555A" w:rsidRPr="0039555A" w14:paraId="65095C15" w14:textId="77777777" w:rsidTr="0039555A">
        <w:trPr>
          <w:jc w:val="center"/>
        </w:trPr>
        <w:tc>
          <w:tcPr>
            <w:tcW w:w="0" w:type="auto"/>
            <w:shd w:val="clear" w:color="auto" w:fill="FFFFFF"/>
            <w:noWrap/>
            <w:vAlign w:val="center"/>
          </w:tcPr>
          <w:p w14:paraId="5C7F1C1A" w14:textId="77777777" w:rsidR="0039555A" w:rsidRPr="0039555A" w:rsidRDefault="0039555A" w:rsidP="0039555A">
            <w:pPr>
              <w:autoSpaceDE w:val="0"/>
              <w:autoSpaceDN w:val="0"/>
              <w:adjustRightInd w:val="0"/>
              <w:spacing w:line="360" w:lineRule="auto"/>
              <w:ind w:left="60" w:right="60"/>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40 – 59</w:t>
            </w:r>
          </w:p>
        </w:tc>
        <w:tc>
          <w:tcPr>
            <w:tcW w:w="1815" w:type="dxa"/>
            <w:shd w:val="clear" w:color="auto" w:fill="FFFFFF"/>
            <w:vAlign w:val="center"/>
          </w:tcPr>
          <w:p w14:paraId="136606DC"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12</w:t>
            </w:r>
          </w:p>
        </w:tc>
        <w:tc>
          <w:tcPr>
            <w:tcW w:w="1559" w:type="dxa"/>
            <w:shd w:val="clear" w:color="auto" w:fill="FFFFFF"/>
            <w:vAlign w:val="center"/>
          </w:tcPr>
          <w:p w14:paraId="4C21F199"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36</w:t>
            </w:r>
          </w:p>
        </w:tc>
        <w:tc>
          <w:tcPr>
            <w:tcW w:w="0" w:type="auto"/>
            <w:shd w:val="clear" w:color="auto" w:fill="FFFFFF"/>
            <w:vAlign w:val="center"/>
          </w:tcPr>
          <w:p w14:paraId="4D3E65F4"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26,7</w:t>
            </w:r>
          </w:p>
        </w:tc>
        <w:tc>
          <w:tcPr>
            <w:tcW w:w="1487" w:type="dxa"/>
            <w:shd w:val="clear" w:color="auto" w:fill="FFFFFF"/>
            <w:vAlign w:val="center"/>
          </w:tcPr>
          <w:p w14:paraId="6DDA26A4"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80,0</w:t>
            </w:r>
          </w:p>
        </w:tc>
      </w:tr>
      <w:tr w:rsidR="0039555A" w:rsidRPr="0039555A" w14:paraId="14554BF3" w14:textId="77777777" w:rsidTr="0039555A">
        <w:trPr>
          <w:jc w:val="center"/>
        </w:trPr>
        <w:tc>
          <w:tcPr>
            <w:tcW w:w="0" w:type="auto"/>
            <w:shd w:val="clear" w:color="auto" w:fill="FFFFFF"/>
            <w:noWrap/>
            <w:vAlign w:val="center"/>
          </w:tcPr>
          <w:p w14:paraId="331E913C" w14:textId="77777777" w:rsidR="0039555A" w:rsidRPr="0039555A" w:rsidRDefault="0039555A" w:rsidP="0039555A">
            <w:pPr>
              <w:autoSpaceDE w:val="0"/>
              <w:autoSpaceDN w:val="0"/>
              <w:adjustRightInd w:val="0"/>
              <w:spacing w:line="360" w:lineRule="auto"/>
              <w:ind w:left="60" w:right="60"/>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60 – 79</w:t>
            </w:r>
          </w:p>
        </w:tc>
        <w:tc>
          <w:tcPr>
            <w:tcW w:w="1815" w:type="dxa"/>
            <w:shd w:val="clear" w:color="auto" w:fill="FFFFFF"/>
            <w:vAlign w:val="center"/>
          </w:tcPr>
          <w:p w14:paraId="36B66B16"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7</w:t>
            </w:r>
          </w:p>
        </w:tc>
        <w:tc>
          <w:tcPr>
            <w:tcW w:w="1559" w:type="dxa"/>
            <w:shd w:val="clear" w:color="auto" w:fill="FFFFFF"/>
            <w:vAlign w:val="center"/>
          </w:tcPr>
          <w:p w14:paraId="0F36FEFD"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43</w:t>
            </w:r>
          </w:p>
        </w:tc>
        <w:tc>
          <w:tcPr>
            <w:tcW w:w="0" w:type="auto"/>
            <w:shd w:val="clear" w:color="auto" w:fill="FFFFFF"/>
            <w:vAlign w:val="center"/>
          </w:tcPr>
          <w:p w14:paraId="4BE0FB23"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14,3</w:t>
            </w:r>
          </w:p>
        </w:tc>
        <w:tc>
          <w:tcPr>
            <w:tcW w:w="1487" w:type="dxa"/>
            <w:shd w:val="clear" w:color="auto" w:fill="FFFFFF"/>
            <w:vAlign w:val="center"/>
          </w:tcPr>
          <w:p w14:paraId="110F55A5"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97,6</w:t>
            </w:r>
          </w:p>
        </w:tc>
      </w:tr>
      <w:tr w:rsidR="0039555A" w:rsidRPr="0039555A" w14:paraId="1BC8DB9A" w14:textId="77777777" w:rsidTr="0039555A">
        <w:trPr>
          <w:jc w:val="center"/>
        </w:trPr>
        <w:tc>
          <w:tcPr>
            <w:tcW w:w="0" w:type="auto"/>
            <w:shd w:val="clear" w:color="auto" w:fill="FFFFFF"/>
            <w:noWrap/>
            <w:vAlign w:val="center"/>
          </w:tcPr>
          <w:p w14:paraId="274F54D0" w14:textId="77777777" w:rsidR="0039555A" w:rsidRPr="0039555A" w:rsidRDefault="0039555A" w:rsidP="0039555A">
            <w:pPr>
              <w:autoSpaceDE w:val="0"/>
              <w:autoSpaceDN w:val="0"/>
              <w:adjustRightInd w:val="0"/>
              <w:spacing w:line="360" w:lineRule="auto"/>
              <w:ind w:left="60" w:right="60"/>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80+</w:t>
            </w:r>
          </w:p>
        </w:tc>
        <w:tc>
          <w:tcPr>
            <w:tcW w:w="1815" w:type="dxa"/>
            <w:shd w:val="clear" w:color="auto" w:fill="FFFFFF"/>
            <w:vAlign w:val="center"/>
          </w:tcPr>
          <w:p w14:paraId="2975777F"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2</w:t>
            </w:r>
          </w:p>
        </w:tc>
        <w:tc>
          <w:tcPr>
            <w:tcW w:w="1559" w:type="dxa"/>
            <w:shd w:val="clear" w:color="auto" w:fill="FFFFFF"/>
            <w:vAlign w:val="center"/>
          </w:tcPr>
          <w:p w14:paraId="1A760500"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45</w:t>
            </w:r>
          </w:p>
        </w:tc>
        <w:tc>
          <w:tcPr>
            <w:tcW w:w="0" w:type="auto"/>
            <w:shd w:val="clear" w:color="auto" w:fill="FFFFFF"/>
            <w:vAlign w:val="center"/>
          </w:tcPr>
          <w:p w14:paraId="3CAA9DE1"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2,4</w:t>
            </w:r>
          </w:p>
        </w:tc>
        <w:tc>
          <w:tcPr>
            <w:tcW w:w="1487" w:type="dxa"/>
            <w:shd w:val="clear" w:color="auto" w:fill="FFFFFF"/>
            <w:vAlign w:val="center"/>
          </w:tcPr>
          <w:p w14:paraId="78778226" w14:textId="77777777" w:rsidR="0039555A" w:rsidRPr="0039555A" w:rsidRDefault="0039555A" w:rsidP="0039555A">
            <w:pPr>
              <w:spacing w:line="360" w:lineRule="auto"/>
              <w:jc w:val="center"/>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100,0</w:t>
            </w:r>
          </w:p>
        </w:tc>
      </w:tr>
      <w:tr w:rsidR="0039555A" w:rsidRPr="0039555A" w14:paraId="0C7D529E" w14:textId="77777777" w:rsidTr="0039555A">
        <w:trPr>
          <w:cnfStyle w:val="010000000000" w:firstRow="0" w:lastRow="1" w:firstColumn="0" w:lastColumn="0" w:oddVBand="0" w:evenVBand="0" w:oddHBand="0" w:evenHBand="0" w:firstRowFirstColumn="0" w:firstRowLastColumn="0" w:lastRowFirstColumn="0" w:lastRowLastColumn="0"/>
          <w:jc w:val="center"/>
        </w:trPr>
        <w:tc>
          <w:tcPr>
            <w:tcW w:w="0" w:type="auto"/>
            <w:tcBorders>
              <w:top w:val="none" w:sz="0" w:space="0" w:color="auto"/>
              <w:left w:val="none" w:sz="0" w:space="0" w:color="auto"/>
              <w:bottom w:val="none" w:sz="0" w:space="0" w:color="auto"/>
              <w:right w:val="none" w:sz="0" w:space="0" w:color="auto"/>
            </w:tcBorders>
            <w:noWrap/>
            <w:vAlign w:val="center"/>
          </w:tcPr>
          <w:p w14:paraId="039D56BA" w14:textId="77777777" w:rsidR="0039555A" w:rsidRPr="0039555A" w:rsidRDefault="0039555A" w:rsidP="0039555A">
            <w:pPr>
              <w:autoSpaceDE w:val="0"/>
              <w:autoSpaceDN w:val="0"/>
              <w:adjustRightInd w:val="0"/>
              <w:spacing w:line="360" w:lineRule="auto"/>
              <w:ind w:left="60" w:right="60"/>
              <w:rPr>
                <w:rFonts w:ascii="Times New Roman" w:eastAsia="Calibri" w:hAnsi="Times New Roman"/>
                <w:sz w:val="18"/>
                <w:szCs w:val="18"/>
                <w:lang w:val="es-ES" w:eastAsia="en-US"/>
              </w:rPr>
            </w:pPr>
            <w:r w:rsidRPr="0039555A">
              <w:rPr>
                <w:rFonts w:ascii="Times New Roman" w:eastAsia="Calibri" w:hAnsi="Times New Roman"/>
                <w:sz w:val="18"/>
                <w:szCs w:val="18"/>
                <w:lang w:val="es-ES" w:eastAsia="en-US"/>
              </w:rPr>
              <w:t>Total</w:t>
            </w:r>
          </w:p>
        </w:tc>
        <w:tc>
          <w:tcPr>
            <w:tcW w:w="1815" w:type="dxa"/>
            <w:tcBorders>
              <w:top w:val="none" w:sz="0" w:space="0" w:color="auto"/>
              <w:left w:val="none" w:sz="0" w:space="0" w:color="auto"/>
              <w:bottom w:val="none" w:sz="0" w:space="0" w:color="auto"/>
              <w:right w:val="none" w:sz="0" w:space="0" w:color="auto"/>
            </w:tcBorders>
            <w:vAlign w:val="center"/>
          </w:tcPr>
          <w:p w14:paraId="4614BE64" w14:textId="77777777" w:rsidR="0039555A" w:rsidRPr="0039555A" w:rsidRDefault="0039555A" w:rsidP="0039555A">
            <w:pPr>
              <w:tabs>
                <w:tab w:val="decimal" w:pos="360"/>
              </w:tabs>
              <w:spacing w:line="360" w:lineRule="auto"/>
              <w:jc w:val="center"/>
              <w:rPr>
                <w:rFonts w:ascii="Times New Roman" w:hAnsi="Times New Roman"/>
                <w:sz w:val="18"/>
                <w:szCs w:val="18"/>
                <w:lang w:val="es-ES" w:eastAsia="es-ES"/>
              </w:rPr>
            </w:pPr>
            <w:r w:rsidRPr="0039555A">
              <w:rPr>
                <w:rFonts w:ascii="Times New Roman" w:hAnsi="Times New Roman"/>
                <w:sz w:val="18"/>
                <w:szCs w:val="18"/>
                <w:lang w:val="es-ES" w:eastAsia="es-ES"/>
              </w:rPr>
              <w:t>45</w:t>
            </w:r>
          </w:p>
        </w:tc>
        <w:tc>
          <w:tcPr>
            <w:tcW w:w="1559" w:type="dxa"/>
            <w:tcBorders>
              <w:top w:val="none" w:sz="0" w:space="0" w:color="auto"/>
              <w:left w:val="none" w:sz="0" w:space="0" w:color="auto"/>
              <w:bottom w:val="none" w:sz="0" w:space="0" w:color="auto"/>
              <w:right w:val="none" w:sz="0" w:space="0" w:color="auto"/>
            </w:tcBorders>
            <w:vAlign w:val="center"/>
          </w:tcPr>
          <w:p w14:paraId="24D8CB3C" w14:textId="77777777" w:rsidR="0039555A" w:rsidRPr="0039555A" w:rsidRDefault="0039555A" w:rsidP="0039555A">
            <w:pPr>
              <w:spacing w:line="360" w:lineRule="auto"/>
              <w:jc w:val="center"/>
              <w:rPr>
                <w:rFonts w:ascii="Times New Roman" w:hAnsi="Times New Roman"/>
                <w:sz w:val="18"/>
                <w:szCs w:val="18"/>
                <w:lang w:val="es-ES" w:eastAsia="es-ES"/>
              </w:rPr>
            </w:pPr>
            <w:r w:rsidRPr="0039555A">
              <w:rPr>
                <w:rFonts w:ascii="Times New Roman" w:hAnsi="Times New Roman"/>
                <w:sz w:val="18"/>
                <w:szCs w:val="18"/>
                <w:lang w:val="es-ES" w:eastAsia="es-ES"/>
              </w:rPr>
              <w:t>-</w:t>
            </w:r>
          </w:p>
        </w:tc>
        <w:tc>
          <w:tcPr>
            <w:tcW w:w="0" w:type="auto"/>
            <w:tcBorders>
              <w:top w:val="none" w:sz="0" w:space="0" w:color="auto"/>
              <w:left w:val="none" w:sz="0" w:space="0" w:color="auto"/>
              <w:bottom w:val="none" w:sz="0" w:space="0" w:color="auto"/>
              <w:right w:val="none" w:sz="0" w:space="0" w:color="auto"/>
            </w:tcBorders>
            <w:vAlign w:val="center"/>
          </w:tcPr>
          <w:p w14:paraId="2BF98C86" w14:textId="77777777" w:rsidR="0039555A" w:rsidRPr="0039555A" w:rsidRDefault="0039555A" w:rsidP="0039555A">
            <w:pPr>
              <w:tabs>
                <w:tab w:val="decimal" w:pos="360"/>
              </w:tabs>
              <w:spacing w:line="360" w:lineRule="auto"/>
              <w:jc w:val="center"/>
              <w:rPr>
                <w:rFonts w:ascii="Times New Roman" w:hAnsi="Times New Roman"/>
                <w:sz w:val="18"/>
                <w:szCs w:val="18"/>
                <w:lang w:val="es-ES" w:eastAsia="es-ES"/>
              </w:rPr>
            </w:pPr>
            <w:r w:rsidRPr="0039555A">
              <w:rPr>
                <w:rFonts w:ascii="Times New Roman" w:hAnsi="Times New Roman"/>
                <w:sz w:val="18"/>
                <w:szCs w:val="18"/>
                <w:lang w:val="es-ES" w:eastAsia="es-ES"/>
              </w:rPr>
              <w:t>100</w:t>
            </w:r>
          </w:p>
        </w:tc>
        <w:tc>
          <w:tcPr>
            <w:tcW w:w="1487" w:type="dxa"/>
            <w:tcBorders>
              <w:top w:val="none" w:sz="0" w:space="0" w:color="auto"/>
              <w:left w:val="none" w:sz="0" w:space="0" w:color="auto"/>
              <w:bottom w:val="none" w:sz="0" w:space="0" w:color="auto"/>
              <w:right w:val="none" w:sz="0" w:space="0" w:color="auto"/>
            </w:tcBorders>
            <w:vAlign w:val="center"/>
          </w:tcPr>
          <w:p w14:paraId="1F90AE59" w14:textId="77777777" w:rsidR="0039555A" w:rsidRPr="0039555A" w:rsidRDefault="0039555A" w:rsidP="0039555A">
            <w:pPr>
              <w:spacing w:line="360" w:lineRule="auto"/>
              <w:jc w:val="center"/>
              <w:rPr>
                <w:rFonts w:ascii="Times New Roman" w:hAnsi="Times New Roman"/>
                <w:sz w:val="18"/>
                <w:szCs w:val="18"/>
                <w:lang w:val="es-ES" w:eastAsia="es-ES"/>
              </w:rPr>
            </w:pPr>
            <w:r w:rsidRPr="0039555A">
              <w:rPr>
                <w:rFonts w:ascii="Times New Roman" w:hAnsi="Times New Roman"/>
                <w:sz w:val="18"/>
                <w:szCs w:val="18"/>
                <w:lang w:val="es-ES" w:eastAsia="es-ES"/>
              </w:rPr>
              <w:t>-</w:t>
            </w:r>
          </w:p>
        </w:tc>
      </w:tr>
    </w:tbl>
    <w:p w14:paraId="2C5DACCB" w14:textId="77777777" w:rsidR="0039555A" w:rsidRDefault="0039555A" w:rsidP="0039555A">
      <w:pPr>
        <w:spacing w:line="360" w:lineRule="auto"/>
        <w:jc w:val="both"/>
        <w:rPr>
          <w:lang w:val="es-ES" w:eastAsia="es-ES"/>
        </w:rPr>
      </w:pPr>
    </w:p>
    <w:p w14:paraId="519E4564" w14:textId="0E2E96D9" w:rsidR="0039555A" w:rsidRPr="0039555A" w:rsidRDefault="0039555A" w:rsidP="0039555A">
      <w:pPr>
        <w:spacing w:line="360" w:lineRule="auto"/>
        <w:jc w:val="both"/>
        <w:rPr>
          <w:lang w:val="es-ES" w:eastAsia="es-ES"/>
        </w:rPr>
      </w:pPr>
      <w:r w:rsidRPr="0039555A">
        <w:rPr>
          <w:lang w:val="es-ES" w:eastAsia="es-ES"/>
        </w:rPr>
        <w:t>Al analizar la distribución según sexo, prevaleció el femenino, con 25 pacientes (55,6 %).</w:t>
      </w:r>
    </w:p>
    <w:p w14:paraId="3FD8DCAD" w14:textId="77777777" w:rsidR="0039555A" w:rsidRPr="0039555A" w:rsidRDefault="0039555A" w:rsidP="0039555A">
      <w:pPr>
        <w:spacing w:line="360" w:lineRule="auto"/>
        <w:jc w:val="both"/>
        <w:rPr>
          <w:lang w:val="es-ES" w:eastAsia="es-ES"/>
        </w:rPr>
      </w:pPr>
      <w:r w:rsidRPr="0039555A">
        <w:rPr>
          <w:lang w:val="es-ES" w:eastAsia="es-ES"/>
        </w:rPr>
        <w:t xml:space="preserve">Referente a los antecedentes epidemiológicos (tabla 2), manifestó mayor frecuencia la fuente de infección, contacto con caso confirmado (88,9 %). Los municipios de la provincia Holguín que aportaron </w:t>
      </w:r>
      <w:r w:rsidRPr="0039555A">
        <w:rPr>
          <w:lang w:val="es-ES" w:eastAsia="es-ES"/>
        </w:rPr>
        <w:lastRenderedPageBreak/>
        <w:t>más casos fueron Holguín, Gibara y Banes (68,9 %). Los atendidos de la provincia Las Tunas, alcanzaron un 22,2 %.</w:t>
      </w:r>
    </w:p>
    <w:p w14:paraId="7D96C065" w14:textId="77777777" w:rsidR="0039555A" w:rsidRPr="0039555A" w:rsidRDefault="0039555A" w:rsidP="0039555A">
      <w:pPr>
        <w:spacing w:line="360" w:lineRule="auto"/>
        <w:jc w:val="center"/>
        <w:rPr>
          <w:b/>
          <w:bCs/>
          <w:sz w:val="22"/>
          <w:szCs w:val="22"/>
          <w:lang w:val="es-ES" w:eastAsia="es-ES"/>
        </w:rPr>
      </w:pPr>
    </w:p>
    <w:p w14:paraId="1B5FE3F2" w14:textId="77777777" w:rsidR="0039555A" w:rsidRPr="0039555A" w:rsidRDefault="0039555A" w:rsidP="0039555A">
      <w:pPr>
        <w:spacing w:line="360" w:lineRule="auto"/>
        <w:jc w:val="center"/>
        <w:rPr>
          <w:sz w:val="22"/>
          <w:szCs w:val="22"/>
          <w:lang w:val="es-ES" w:eastAsia="es-ES"/>
        </w:rPr>
      </w:pPr>
      <w:r w:rsidRPr="0039555A">
        <w:rPr>
          <w:b/>
          <w:bCs/>
          <w:sz w:val="22"/>
          <w:szCs w:val="22"/>
          <w:lang w:val="es-ES" w:eastAsia="es-ES"/>
        </w:rPr>
        <w:t>Tabla 2 -</w:t>
      </w:r>
      <w:r w:rsidRPr="0039555A">
        <w:rPr>
          <w:sz w:val="22"/>
          <w:szCs w:val="22"/>
          <w:lang w:val="es-ES" w:eastAsia="es-ES"/>
        </w:rPr>
        <w:t xml:space="preserve"> Distribución de los antecedentes epidemiológicos</w:t>
      </w:r>
    </w:p>
    <w:p w14:paraId="48B87B21" w14:textId="00A142E9" w:rsidR="0039555A" w:rsidRPr="0039555A" w:rsidRDefault="0039555A" w:rsidP="0039555A">
      <w:pPr>
        <w:spacing w:line="360" w:lineRule="auto"/>
        <w:jc w:val="center"/>
        <w:rPr>
          <w:iCs/>
          <w:sz w:val="18"/>
          <w:szCs w:val="18"/>
          <w:lang w:val="es-ES" w:eastAsia="es-ES"/>
        </w:rPr>
      </w:pPr>
      <w:r w:rsidRPr="0039555A">
        <w:rPr>
          <w:noProof/>
          <w:sz w:val="18"/>
          <w:szCs w:val="18"/>
          <w:lang w:val="es-ES" w:eastAsia="es-ES"/>
        </w:rPr>
        <w:drawing>
          <wp:inline distT="0" distB="0" distL="0" distR="0" wp14:anchorId="214796E5" wp14:editId="3AE8F85D">
            <wp:extent cx="4008120" cy="3498112"/>
            <wp:effectExtent l="0" t="0" r="0" b="762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5061" cy="3504170"/>
                    </a:xfrm>
                    <a:prstGeom prst="rect">
                      <a:avLst/>
                    </a:prstGeom>
                    <a:noFill/>
                    <a:ln>
                      <a:noFill/>
                    </a:ln>
                  </pic:spPr>
                </pic:pic>
              </a:graphicData>
            </a:graphic>
          </wp:inline>
        </w:drawing>
      </w:r>
    </w:p>
    <w:p w14:paraId="68586E03" w14:textId="77777777" w:rsidR="0039555A" w:rsidRPr="0039555A" w:rsidRDefault="0039555A" w:rsidP="0039555A">
      <w:pPr>
        <w:spacing w:line="360" w:lineRule="auto"/>
        <w:jc w:val="both"/>
        <w:rPr>
          <w:iCs/>
          <w:sz w:val="18"/>
          <w:szCs w:val="18"/>
          <w:lang w:val="es-ES" w:eastAsia="es-ES"/>
        </w:rPr>
      </w:pPr>
    </w:p>
    <w:p w14:paraId="23815ECE" w14:textId="77777777" w:rsidR="0039555A" w:rsidRPr="0039555A" w:rsidRDefault="0039555A" w:rsidP="0039555A">
      <w:pPr>
        <w:spacing w:line="360" w:lineRule="auto"/>
        <w:jc w:val="both"/>
        <w:rPr>
          <w:rFonts w:eastAsia="Calibri"/>
          <w:lang w:val="es-ES" w:eastAsia="en-US"/>
        </w:rPr>
      </w:pPr>
      <w:r w:rsidRPr="0039555A">
        <w:rPr>
          <w:rFonts w:eastAsia="Calibri"/>
          <w:lang w:val="es-ES" w:eastAsia="en-US"/>
        </w:rPr>
        <w:t>Al analizar los antecedentes clínicos (tabla 3), los más frecuentes fueron las condiciones de adulto mayor, y las comorbilidades de hipertensión arterial y asma bronquial, con 20,0 %; 17,8 % y 11,1 % respectivamente. El 57, 8 % de los pacientes no tenían comorbilidades.</w:t>
      </w:r>
    </w:p>
    <w:p w14:paraId="351EC606" w14:textId="77777777" w:rsidR="0039555A" w:rsidRPr="0039555A" w:rsidRDefault="0039555A" w:rsidP="0039555A">
      <w:pPr>
        <w:spacing w:after="200" w:line="276" w:lineRule="auto"/>
        <w:rPr>
          <w:rFonts w:eastAsia="Calibri"/>
          <w:lang w:val="es-ES" w:eastAsia="en-US"/>
        </w:rPr>
      </w:pPr>
      <w:r w:rsidRPr="0039555A">
        <w:rPr>
          <w:rFonts w:eastAsia="Calibri"/>
          <w:lang w:val="es-ES" w:eastAsia="en-US"/>
        </w:rPr>
        <w:br w:type="page"/>
      </w:r>
    </w:p>
    <w:p w14:paraId="6542AA44" w14:textId="77777777" w:rsidR="0039555A" w:rsidRPr="0039555A" w:rsidRDefault="0039555A" w:rsidP="0039555A">
      <w:pPr>
        <w:spacing w:line="360" w:lineRule="auto"/>
        <w:jc w:val="center"/>
        <w:rPr>
          <w:sz w:val="22"/>
          <w:szCs w:val="22"/>
          <w:lang w:val="es-ES" w:eastAsia="es-ES"/>
        </w:rPr>
      </w:pPr>
      <w:r w:rsidRPr="0039555A">
        <w:rPr>
          <w:b/>
          <w:bCs/>
          <w:sz w:val="22"/>
          <w:szCs w:val="22"/>
          <w:lang w:val="es-ES" w:eastAsia="es-ES"/>
        </w:rPr>
        <w:lastRenderedPageBreak/>
        <w:t>Tabla 3 -</w:t>
      </w:r>
      <w:r w:rsidRPr="0039555A">
        <w:rPr>
          <w:sz w:val="22"/>
          <w:szCs w:val="22"/>
          <w:lang w:val="es-ES" w:eastAsia="es-ES"/>
        </w:rPr>
        <w:t xml:space="preserve"> Distribución de los antecedentes clínicos</w:t>
      </w:r>
    </w:p>
    <w:p w14:paraId="498AEC89" w14:textId="568B48A5" w:rsidR="0039555A" w:rsidRPr="0039555A" w:rsidRDefault="0039555A" w:rsidP="0039555A">
      <w:pPr>
        <w:spacing w:line="360" w:lineRule="auto"/>
        <w:jc w:val="center"/>
        <w:rPr>
          <w:b/>
          <w:lang w:val="es-ES" w:eastAsia="es-ES"/>
        </w:rPr>
      </w:pPr>
      <w:r w:rsidRPr="0039555A">
        <w:rPr>
          <w:b/>
          <w:noProof/>
          <w:lang w:val="es-ES" w:eastAsia="es-ES"/>
        </w:rPr>
        <w:drawing>
          <wp:inline distT="0" distB="0" distL="0" distR="0" wp14:anchorId="205CA4C1" wp14:editId="14BACBBE">
            <wp:extent cx="4146917" cy="3104707"/>
            <wp:effectExtent l="0" t="0" r="6350" b="635"/>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1845" cy="3108397"/>
                    </a:xfrm>
                    <a:prstGeom prst="rect">
                      <a:avLst/>
                    </a:prstGeom>
                    <a:noFill/>
                    <a:ln>
                      <a:noFill/>
                    </a:ln>
                  </pic:spPr>
                </pic:pic>
              </a:graphicData>
            </a:graphic>
          </wp:inline>
        </w:drawing>
      </w:r>
    </w:p>
    <w:p w14:paraId="71A12AF1" w14:textId="77777777" w:rsidR="0039555A" w:rsidRPr="0039555A" w:rsidRDefault="0039555A" w:rsidP="0039555A">
      <w:pPr>
        <w:spacing w:line="360" w:lineRule="auto"/>
        <w:jc w:val="both"/>
        <w:rPr>
          <w:b/>
          <w:lang w:val="es-ES" w:eastAsia="es-ES"/>
        </w:rPr>
      </w:pPr>
    </w:p>
    <w:p w14:paraId="4EF96453" w14:textId="77777777" w:rsidR="0039555A" w:rsidRPr="0039555A" w:rsidRDefault="0039555A" w:rsidP="0039555A">
      <w:pPr>
        <w:spacing w:line="360" w:lineRule="auto"/>
        <w:jc w:val="center"/>
        <w:rPr>
          <w:b/>
          <w:sz w:val="32"/>
          <w:szCs w:val="32"/>
          <w:lang w:val="es-ES" w:eastAsia="es-ES"/>
        </w:rPr>
      </w:pPr>
    </w:p>
    <w:p w14:paraId="508A98E5" w14:textId="77777777" w:rsidR="0039555A" w:rsidRPr="0039555A" w:rsidRDefault="0039555A" w:rsidP="0039555A">
      <w:pPr>
        <w:spacing w:line="360" w:lineRule="auto"/>
        <w:jc w:val="center"/>
        <w:rPr>
          <w:b/>
          <w:sz w:val="32"/>
          <w:szCs w:val="32"/>
          <w:lang w:val="es-ES" w:eastAsia="es-ES"/>
        </w:rPr>
      </w:pPr>
      <w:r w:rsidRPr="0039555A">
        <w:rPr>
          <w:b/>
          <w:sz w:val="32"/>
          <w:szCs w:val="32"/>
          <w:lang w:val="es-ES" w:eastAsia="es-ES"/>
        </w:rPr>
        <w:t>DISCUSIÓN</w:t>
      </w:r>
    </w:p>
    <w:p w14:paraId="701873BD" w14:textId="77777777" w:rsidR="0039555A" w:rsidRPr="0039555A" w:rsidRDefault="0039555A" w:rsidP="0039555A">
      <w:pPr>
        <w:spacing w:line="360" w:lineRule="auto"/>
        <w:jc w:val="both"/>
        <w:rPr>
          <w:lang w:val="es-ES" w:eastAsia="es-ES"/>
        </w:rPr>
      </w:pPr>
      <w:r w:rsidRPr="0039555A">
        <w:rPr>
          <w:lang w:val="es-ES" w:eastAsia="es-ES"/>
        </w:rPr>
        <w:t xml:space="preserve">La transmisibilidad del virus SARS-CoV-2 de persona a persona, ha sido documentada tanto desde pacientes sintomáticos como de asintomáticos, desde los inicios de la </w:t>
      </w:r>
      <w:proofErr w:type="gramStart"/>
      <w:r w:rsidRPr="0039555A">
        <w:rPr>
          <w:lang w:val="es-ES" w:eastAsia="es-ES"/>
        </w:rPr>
        <w:t>enfermedad.</w:t>
      </w:r>
      <w:r w:rsidRPr="0039555A">
        <w:rPr>
          <w:vertAlign w:val="superscript"/>
          <w:lang w:val="es-ES" w:eastAsia="es-ES"/>
        </w:rPr>
        <w:t>(</w:t>
      </w:r>
      <w:proofErr w:type="gramEnd"/>
      <w:r w:rsidRPr="0039555A">
        <w:rPr>
          <w:vertAlign w:val="superscript"/>
          <w:lang w:val="es-ES" w:eastAsia="es-ES"/>
        </w:rPr>
        <w:t>11,12)</w:t>
      </w:r>
      <w:r w:rsidRPr="0039555A">
        <w:rPr>
          <w:lang w:val="es-ES" w:eastAsia="es-ES"/>
        </w:rPr>
        <w:t xml:space="preserve"> Por este motivo es importante la búsqueda activa de los asintomáticos, considerados reproductores silenciosos de la epidemia.</w:t>
      </w:r>
    </w:p>
    <w:p w14:paraId="751CFEBC" w14:textId="2D8C4B8E" w:rsidR="0039555A" w:rsidRPr="0039555A" w:rsidRDefault="0039555A" w:rsidP="0039555A">
      <w:pPr>
        <w:spacing w:line="360" w:lineRule="auto"/>
        <w:jc w:val="both"/>
        <w:rPr>
          <w:lang w:val="es-ES" w:eastAsia="es-ES"/>
        </w:rPr>
      </w:pPr>
      <w:r w:rsidRPr="0039555A">
        <w:rPr>
          <w:lang w:val="es-ES" w:eastAsia="es-ES"/>
        </w:rPr>
        <w:t>La prevalencia estimada de pacientes asintomáticos en la COVID-19, es variable. La mayoría de las investigaciones la ubican en el rango desde 20 - 80 </w:t>
      </w:r>
      <w:proofErr w:type="gramStart"/>
      <w:r w:rsidRPr="0039555A">
        <w:rPr>
          <w:lang w:val="es-ES" w:eastAsia="es-ES"/>
        </w:rPr>
        <w:t>%.</w:t>
      </w:r>
      <w:r w:rsidRPr="0039555A">
        <w:rPr>
          <w:vertAlign w:val="superscript"/>
          <w:lang w:val="es-ES" w:eastAsia="es-ES"/>
        </w:rPr>
        <w:t>(</w:t>
      </w:r>
      <w:proofErr w:type="gramEnd"/>
      <w:r w:rsidRPr="0039555A">
        <w:rPr>
          <w:vertAlign w:val="superscript"/>
          <w:lang w:val="es-ES" w:eastAsia="es-ES"/>
        </w:rPr>
        <w:t xml:space="preserve">11,13,14,) </w:t>
      </w:r>
      <w:r w:rsidRPr="0039555A">
        <w:rPr>
          <w:lang w:val="es-ES" w:eastAsia="es-ES"/>
        </w:rPr>
        <w:t>En esta investigación se estimó una proporción de asintomáticos de un 41,8 %, la cual es elevada en comparación con estudios en China (2,8</w:t>
      </w:r>
      <w:r w:rsidR="001C1031">
        <w:rPr>
          <w:lang w:val="es-ES" w:eastAsia="es-ES"/>
        </w:rPr>
        <w:t> </w:t>
      </w:r>
      <w:r w:rsidRPr="0039555A">
        <w:rPr>
          <w:lang w:val="es-ES" w:eastAsia="es-ES"/>
        </w:rPr>
        <w:t>%).</w:t>
      </w:r>
      <w:r w:rsidRPr="0039555A">
        <w:rPr>
          <w:vertAlign w:val="superscript"/>
          <w:lang w:val="es-ES" w:eastAsia="es-ES"/>
        </w:rPr>
        <w:t xml:space="preserve">(14)  </w:t>
      </w:r>
      <w:r w:rsidRPr="0039555A">
        <w:rPr>
          <w:lang w:val="es-ES" w:eastAsia="es-ES"/>
        </w:rPr>
        <w:t>Otros estudios comunican resultados muy similares a la presente serie, como en Japón (33 - 50 %),</w:t>
      </w:r>
      <w:r w:rsidRPr="0039555A">
        <w:rPr>
          <w:vertAlign w:val="superscript"/>
          <w:lang w:val="es-ES" w:eastAsia="es-ES"/>
        </w:rPr>
        <w:t>(15,16)</w:t>
      </w:r>
      <w:r w:rsidRPr="0039555A">
        <w:rPr>
          <w:lang w:val="es-ES" w:eastAsia="es-ES"/>
        </w:rPr>
        <w:t xml:space="preserve"> en España, en pacientes en hemodiálisis se encontró un 40 % de asintomáticos</w:t>
      </w:r>
      <w:r w:rsidRPr="0039555A">
        <w:rPr>
          <w:vertAlign w:val="superscript"/>
          <w:lang w:val="es-ES" w:eastAsia="es-ES"/>
        </w:rPr>
        <w:t>(17)</w:t>
      </w:r>
      <w:r w:rsidRPr="0039555A">
        <w:rPr>
          <w:lang w:val="es-ES" w:eastAsia="es-ES"/>
        </w:rPr>
        <w:t xml:space="preserve"> y otro estudio poblacional de seroprevalencia, 35,8 %.</w:t>
      </w:r>
      <w:r w:rsidRPr="0039555A">
        <w:rPr>
          <w:vertAlign w:val="superscript"/>
          <w:lang w:val="es-ES" w:eastAsia="es-ES"/>
        </w:rPr>
        <w:t>(18)</w:t>
      </w:r>
    </w:p>
    <w:p w14:paraId="746573D8" w14:textId="77777777" w:rsidR="0039555A" w:rsidRPr="0039555A" w:rsidRDefault="0039555A" w:rsidP="0039555A">
      <w:pPr>
        <w:spacing w:line="360" w:lineRule="auto"/>
        <w:jc w:val="both"/>
        <w:rPr>
          <w:lang w:val="es-ES" w:eastAsia="es-ES"/>
        </w:rPr>
      </w:pPr>
      <w:r w:rsidRPr="0039555A">
        <w:rPr>
          <w:lang w:val="es-ES" w:eastAsia="es-ES"/>
        </w:rPr>
        <w:t xml:space="preserve">No se encontraron estudios cubanos que tuvieran en cuenta la proporción de asintomáticos. Según los investigadores, la elevada proporción obtenida en este estudio debe guardar relación con el nivel de salud </w:t>
      </w:r>
      <w:r w:rsidRPr="0039555A">
        <w:rPr>
          <w:lang w:val="es-ES" w:eastAsia="es-ES"/>
        </w:rPr>
        <w:lastRenderedPageBreak/>
        <w:t xml:space="preserve">de la población cubana y las acciones de salud acometidas por el Sistema Nacional de Salud en el enfrentamiento de la </w:t>
      </w:r>
      <w:proofErr w:type="gramStart"/>
      <w:r w:rsidRPr="0039555A">
        <w:rPr>
          <w:lang w:val="es-ES" w:eastAsia="es-ES"/>
        </w:rPr>
        <w:t>pandemia.</w:t>
      </w:r>
      <w:r w:rsidRPr="0039555A">
        <w:rPr>
          <w:vertAlign w:val="superscript"/>
          <w:lang w:val="es-ES" w:eastAsia="es-ES"/>
        </w:rPr>
        <w:t>(</w:t>
      </w:r>
      <w:proofErr w:type="gramEnd"/>
      <w:r w:rsidRPr="0039555A">
        <w:rPr>
          <w:vertAlign w:val="superscript"/>
          <w:lang w:val="es-ES" w:eastAsia="es-ES"/>
        </w:rPr>
        <w:t>19)</w:t>
      </w:r>
    </w:p>
    <w:p w14:paraId="731A27EB" w14:textId="77777777" w:rsidR="0039555A" w:rsidRPr="0039555A" w:rsidRDefault="0039555A" w:rsidP="0039555A">
      <w:pPr>
        <w:spacing w:line="360" w:lineRule="auto"/>
        <w:jc w:val="both"/>
        <w:rPr>
          <w:lang w:val="es-ES" w:eastAsia="es-ES"/>
        </w:rPr>
      </w:pPr>
      <w:r w:rsidRPr="0039555A">
        <w:rPr>
          <w:lang w:val="es-ES" w:eastAsia="es-ES"/>
        </w:rPr>
        <w:t xml:space="preserve">En cuanto a la edad de los pacientes asintomáticos, predominaron los menores de 60 años y con mayor representación el grupo etario entre 20 y 39 años. Existió coincidencia con investigaciones nacionales de pacientes positivos a la COVID-19, que encontraron mayoría en edades menores de 60 </w:t>
      </w:r>
      <w:proofErr w:type="gramStart"/>
      <w:r w:rsidRPr="0039555A">
        <w:rPr>
          <w:lang w:val="es-ES" w:eastAsia="es-ES"/>
        </w:rPr>
        <w:t>años</w:t>
      </w:r>
      <w:r w:rsidRPr="0039555A">
        <w:rPr>
          <w:vertAlign w:val="superscript"/>
          <w:lang w:val="es-ES" w:eastAsia="es-ES"/>
        </w:rPr>
        <w:t>(</w:t>
      </w:r>
      <w:proofErr w:type="gramEnd"/>
      <w:r w:rsidRPr="0039555A">
        <w:rPr>
          <w:vertAlign w:val="superscript"/>
          <w:lang w:val="es-ES" w:eastAsia="es-ES"/>
        </w:rPr>
        <w:t>20,21,22,23)</w:t>
      </w:r>
      <w:r w:rsidRPr="0039555A">
        <w:rPr>
          <w:lang w:val="es-ES" w:eastAsia="es-ES"/>
        </w:rPr>
        <w:t xml:space="preserve"> e internacionales con similares resultados.</w:t>
      </w:r>
      <w:r w:rsidRPr="0039555A">
        <w:rPr>
          <w:vertAlign w:val="superscript"/>
          <w:lang w:val="es-ES" w:eastAsia="es-ES"/>
        </w:rPr>
        <w:t>(24)</w:t>
      </w:r>
      <w:r w:rsidRPr="0039555A">
        <w:rPr>
          <w:lang w:val="es-ES" w:eastAsia="es-ES"/>
        </w:rPr>
        <w:t xml:space="preserve"> En opinión de los investigadores, las edades tempranas son elementos favorecedores de la forma clínica de asintomático, debido a un mejor estado inmunológico.</w:t>
      </w:r>
    </w:p>
    <w:p w14:paraId="4D7A455A" w14:textId="77777777" w:rsidR="0039555A" w:rsidRPr="0039555A" w:rsidRDefault="0039555A" w:rsidP="0039555A">
      <w:pPr>
        <w:spacing w:line="360" w:lineRule="auto"/>
        <w:jc w:val="both"/>
        <w:rPr>
          <w:lang w:val="es-ES" w:eastAsia="es-ES"/>
        </w:rPr>
      </w:pPr>
      <w:r w:rsidRPr="0039555A">
        <w:rPr>
          <w:lang w:val="es-ES" w:eastAsia="es-ES"/>
        </w:rPr>
        <w:t xml:space="preserve">Es importante resaltar algunos aspectos epidemiológicos de la enfermedad en pacientes asintomáticos, en relación al sexo. En esta serie se encontró un discreto predominio del sexo femenino (55,6 %) y en la mayoría los estudios revisados, predominó el sexo masculino. Se hace la salvedad, que tuvieron en cuenta tanto pacientes asintomáticos como </w:t>
      </w:r>
      <w:proofErr w:type="gramStart"/>
      <w:r w:rsidRPr="0039555A">
        <w:rPr>
          <w:lang w:val="es-ES" w:eastAsia="es-ES"/>
        </w:rPr>
        <w:t>sintomáticos.</w:t>
      </w:r>
      <w:r w:rsidRPr="0039555A">
        <w:rPr>
          <w:vertAlign w:val="superscript"/>
          <w:lang w:val="es-ES" w:eastAsia="es-ES"/>
        </w:rPr>
        <w:t>(</w:t>
      </w:r>
      <w:proofErr w:type="gramEnd"/>
      <w:r w:rsidRPr="0039555A">
        <w:rPr>
          <w:vertAlign w:val="superscript"/>
          <w:lang w:val="es-ES" w:eastAsia="es-ES"/>
        </w:rPr>
        <w:t>25,26,27,28)</w:t>
      </w:r>
      <w:r w:rsidRPr="0039555A">
        <w:rPr>
          <w:lang w:val="es-ES" w:eastAsia="es-ES"/>
        </w:rPr>
        <w:t xml:space="preserve"> </w:t>
      </w:r>
    </w:p>
    <w:p w14:paraId="66C36596" w14:textId="77777777" w:rsidR="0039555A" w:rsidRPr="0039555A" w:rsidRDefault="0039555A" w:rsidP="0039555A">
      <w:pPr>
        <w:spacing w:line="360" w:lineRule="auto"/>
        <w:jc w:val="both"/>
        <w:rPr>
          <w:lang w:val="es-ES" w:eastAsia="es-ES"/>
        </w:rPr>
      </w:pPr>
      <w:r w:rsidRPr="0039555A">
        <w:rPr>
          <w:lang w:val="es-ES" w:eastAsia="es-ES"/>
        </w:rPr>
        <w:t xml:space="preserve">En el análisis del sexo en los diferentes brotes, existe por lo general, igual número de hombres y mujeres. No obstante, existen diferencias en la mortalidad y vulnerabilidad que parecen depender de factores inmunológicos relacionados con el cromosoma X, o generado por los diferentes patrones de vida y la prevalencia del tabaquismo. Se reconoce que se deben realizar estudios que aborden esta temática, porque los datos hasta ahora no son </w:t>
      </w:r>
      <w:proofErr w:type="gramStart"/>
      <w:r w:rsidRPr="0039555A">
        <w:rPr>
          <w:lang w:val="es-ES" w:eastAsia="es-ES"/>
        </w:rPr>
        <w:t>concluyentes.</w:t>
      </w:r>
      <w:r w:rsidRPr="0039555A">
        <w:rPr>
          <w:vertAlign w:val="superscript"/>
          <w:lang w:val="es-ES" w:eastAsia="es-ES"/>
        </w:rPr>
        <w:t>(</w:t>
      </w:r>
      <w:proofErr w:type="gramEnd"/>
      <w:r w:rsidRPr="0039555A">
        <w:rPr>
          <w:vertAlign w:val="superscript"/>
          <w:lang w:val="es-ES" w:eastAsia="es-ES"/>
        </w:rPr>
        <w:t>29)</w:t>
      </w:r>
    </w:p>
    <w:p w14:paraId="711D07CD" w14:textId="77777777" w:rsidR="0039555A" w:rsidRPr="0039555A" w:rsidRDefault="0039555A" w:rsidP="0039555A">
      <w:pPr>
        <w:spacing w:line="360" w:lineRule="auto"/>
        <w:jc w:val="both"/>
        <w:rPr>
          <w:lang w:val="es-ES" w:eastAsia="es-ES"/>
        </w:rPr>
      </w:pPr>
      <w:r w:rsidRPr="0039555A">
        <w:rPr>
          <w:lang w:val="es-ES" w:eastAsia="es-ES"/>
        </w:rPr>
        <w:t xml:space="preserve">En el estudio de los antecedentes epidemiológicos que caracterizaron a la población estudiada, resultó predominante la fuente de contagio, contacto con caso confirmado (89,9 %), coincidente con otras investigaciones </w:t>
      </w:r>
      <w:proofErr w:type="gramStart"/>
      <w:r w:rsidRPr="0039555A">
        <w:rPr>
          <w:lang w:val="es-ES" w:eastAsia="es-ES"/>
        </w:rPr>
        <w:t>nacionales</w:t>
      </w:r>
      <w:r w:rsidRPr="0039555A">
        <w:rPr>
          <w:vertAlign w:val="superscript"/>
          <w:lang w:val="es-ES" w:eastAsia="es-ES"/>
        </w:rPr>
        <w:t>(</w:t>
      </w:r>
      <w:proofErr w:type="gramEnd"/>
      <w:r w:rsidRPr="0039555A">
        <w:rPr>
          <w:vertAlign w:val="superscript"/>
          <w:lang w:val="es-ES" w:eastAsia="es-ES"/>
        </w:rPr>
        <w:t>20,22,24)</w:t>
      </w:r>
      <w:r w:rsidRPr="0039555A">
        <w:rPr>
          <w:lang w:val="es-ES" w:eastAsia="es-ES"/>
        </w:rPr>
        <w:t xml:space="preserve"> a diferencia de </w:t>
      </w:r>
      <w:r w:rsidRPr="0039555A">
        <w:rPr>
          <w:i/>
          <w:lang w:val="es-ES" w:eastAsia="es-ES"/>
        </w:rPr>
        <w:t xml:space="preserve">Guzmán </w:t>
      </w:r>
      <w:r w:rsidRPr="0039555A">
        <w:rPr>
          <w:lang w:val="es-ES" w:eastAsia="es-ES"/>
        </w:rPr>
        <w:t>y otros</w:t>
      </w:r>
      <w:r w:rsidRPr="0039555A">
        <w:rPr>
          <w:vertAlign w:val="superscript"/>
          <w:lang w:val="es-ES" w:eastAsia="es-ES"/>
        </w:rPr>
        <w:t>(30)</w:t>
      </w:r>
      <w:r w:rsidRPr="0039555A">
        <w:rPr>
          <w:lang w:val="es-ES" w:eastAsia="es-ES"/>
        </w:rPr>
        <w:t xml:space="preserve"> quienes encontraron en Perú, predominio de los casos importados. </w:t>
      </w:r>
    </w:p>
    <w:p w14:paraId="01C13B4A" w14:textId="77777777" w:rsidR="0039555A" w:rsidRPr="0039555A" w:rsidRDefault="0039555A" w:rsidP="0039555A">
      <w:pPr>
        <w:spacing w:line="360" w:lineRule="auto"/>
        <w:jc w:val="both"/>
        <w:rPr>
          <w:lang w:val="es-ES" w:eastAsia="es-ES"/>
        </w:rPr>
      </w:pPr>
      <w:r w:rsidRPr="0039555A">
        <w:rPr>
          <w:lang w:val="es-ES" w:eastAsia="es-ES"/>
        </w:rPr>
        <w:t xml:space="preserve">Debido a la política de salud cubana para el enfrentamiento a la COVID-19, se decidió el control estricto a nivel de fronteras, y aislamiento durante 14 días de todos los viajeros internacionales, lo cual propició la contención de la enfermedad al evitar esta fuente de contagio. </w:t>
      </w:r>
    </w:p>
    <w:p w14:paraId="6D0C2414" w14:textId="77777777" w:rsidR="0039555A" w:rsidRPr="0039555A" w:rsidRDefault="0039555A" w:rsidP="0039555A">
      <w:pPr>
        <w:spacing w:line="360" w:lineRule="auto"/>
        <w:jc w:val="both"/>
        <w:rPr>
          <w:lang w:val="es-ES" w:eastAsia="es-ES"/>
        </w:rPr>
      </w:pPr>
      <w:r w:rsidRPr="0039555A">
        <w:rPr>
          <w:lang w:val="es-ES" w:eastAsia="es-ES"/>
        </w:rPr>
        <w:t xml:space="preserve">El mayor número de casos reside en los municipios Holguín, Gibara y Banes, que acumulan el 68,9 %. Los investigadores relacionan este resultado con la mayor densidad poblacional y actividad turística de estos municipios, en relación con los restantes. Es de señalar que 10 pacientes (22,2 %) procedían de la provincia las Tunas. </w:t>
      </w:r>
    </w:p>
    <w:p w14:paraId="05D0F4D4" w14:textId="77777777" w:rsidR="0039555A" w:rsidRPr="0039555A" w:rsidRDefault="0039555A" w:rsidP="0039555A">
      <w:pPr>
        <w:spacing w:line="360" w:lineRule="auto"/>
        <w:jc w:val="both"/>
        <w:rPr>
          <w:lang w:val="es-ES" w:eastAsia="es-ES"/>
        </w:rPr>
      </w:pPr>
      <w:r w:rsidRPr="0039555A">
        <w:rPr>
          <w:lang w:val="es-ES" w:eastAsia="es-ES"/>
        </w:rPr>
        <w:t xml:space="preserve">En cuanto a los antecedentes clínicos, el 42,2 % de los pacientes tenían al menos un factor de riesgo, los más comunes fueron: la condición de adulto mayor y la hipertensión arterial. Estos resultados están </w:t>
      </w:r>
      <w:r w:rsidRPr="0039555A">
        <w:rPr>
          <w:lang w:val="es-ES" w:eastAsia="es-ES"/>
        </w:rPr>
        <w:lastRenderedPageBreak/>
        <w:t xml:space="preserve">acordes con otras investigaciones </w:t>
      </w:r>
      <w:proofErr w:type="gramStart"/>
      <w:r w:rsidRPr="0039555A">
        <w:rPr>
          <w:lang w:val="es-ES" w:eastAsia="es-ES"/>
        </w:rPr>
        <w:t>revisadas.</w:t>
      </w:r>
      <w:r w:rsidRPr="0039555A">
        <w:rPr>
          <w:vertAlign w:val="superscript"/>
          <w:lang w:val="es-ES" w:eastAsia="es-ES"/>
        </w:rPr>
        <w:t>(</w:t>
      </w:r>
      <w:proofErr w:type="gramEnd"/>
      <w:r w:rsidRPr="0039555A">
        <w:rPr>
          <w:vertAlign w:val="superscript"/>
          <w:lang w:val="es-ES" w:eastAsia="es-ES"/>
        </w:rPr>
        <w:t>3,6,9,20,24)</w:t>
      </w:r>
      <w:r w:rsidRPr="0039555A">
        <w:rPr>
          <w:lang w:val="es-ES" w:eastAsia="es-ES"/>
        </w:rPr>
        <w:t xml:space="preserve"> Los autores opinan que está relacionado con una población cubana envejecida, y la hipertensión arterial tiene una alta prevalencia en el país.</w:t>
      </w:r>
    </w:p>
    <w:p w14:paraId="3C4D203D" w14:textId="77777777" w:rsidR="0039555A" w:rsidRPr="0039555A" w:rsidRDefault="0039555A" w:rsidP="0039555A">
      <w:pPr>
        <w:spacing w:line="360" w:lineRule="auto"/>
        <w:jc w:val="both"/>
        <w:rPr>
          <w:lang w:val="es-ES" w:eastAsia="es-ES"/>
        </w:rPr>
      </w:pPr>
      <w:r w:rsidRPr="0039555A">
        <w:rPr>
          <w:lang w:val="es-ES" w:eastAsia="es-ES"/>
        </w:rPr>
        <w:t>La presencia de comorbilidades, como la cardiovasculares (hipertensión arterial y cardiopatías), diabetes mellitus, enfermedad pulmonar obstructiva crónica y asma bronquial entre otras, así como la condición de adulto mayor aumentan la vulnerabilidad, el desarrollo las formas graves y con ello la mortalidad de la COVID-19. En tal sentido, la identificación y control de estas, es uno de los pilares que favorecen el buen pronóstico de la enfermedad.</w:t>
      </w:r>
    </w:p>
    <w:p w14:paraId="75DA98FA" w14:textId="77777777" w:rsidR="0039555A" w:rsidRPr="0039555A" w:rsidRDefault="0039555A" w:rsidP="0039555A">
      <w:pPr>
        <w:spacing w:line="360" w:lineRule="auto"/>
        <w:jc w:val="both"/>
        <w:rPr>
          <w:rFonts w:eastAsia="Calibri"/>
          <w:lang w:val="es-ES" w:eastAsia="en-US"/>
        </w:rPr>
      </w:pPr>
      <w:r w:rsidRPr="0039555A">
        <w:rPr>
          <w:rFonts w:eastAsia="Calibri"/>
          <w:lang w:val="es-ES" w:eastAsia="en-US"/>
        </w:rPr>
        <w:t>En el análisis de la presencia de comorbilidades, el 57,8 % de los pacientes, no presentaba ninguna. Este elemento favoreció las formas clínicas asintomáticas. La presencia de comorbilidades es un aspecto negativo en la evolución de la enfermedad; la presencia de varias en un mismo paciente, ensombrece su pronóstico, al tener un efecto sinérgico que aumenta significativamente la posibilidad de las formas graves, las complicaciones y la muerte.</w:t>
      </w:r>
    </w:p>
    <w:p w14:paraId="5E2BA056" w14:textId="77777777" w:rsidR="0039555A" w:rsidRPr="0039555A" w:rsidRDefault="0039555A" w:rsidP="0039555A">
      <w:pPr>
        <w:spacing w:line="360" w:lineRule="auto"/>
        <w:jc w:val="both"/>
        <w:rPr>
          <w:color w:val="000000"/>
          <w:lang w:val="es-ES" w:eastAsia="es-ES"/>
        </w:rPr>
      </w:pPr>
      <w:r w:rsidRPr="0039555A">
        <w:rPr>
          <w:color w:val="000000"/>
          <w:lang w:val="es-ES" w:eastAsia="es-ES"/>
        </w:rPr>
        <w:t xml:space="preserve">En la serie estudiada, predominaron los adultos jóvenes, menores de 60 años de edad, del sexo femenino, pertenecientes a los municipios Holguín, Gibara y Banes, con antecedentes epidemiológicos de ser contacto de casos confirmados. La condición adulto mayor y la hipertensión arterial fueron los factores de riesgo más frecuentes y la mayoría de los casos no presentaron comorbilidades.  </w:t>
      </w:r>
    </w:p>
    <w:p w14:paraId="4AB2E446" w14:textId="77777777" w:rsidR="0039555A" w:rsidRPr="0039555A" w:rsidRDefault="0039555A" w:rsidP="0039555A">
      <w:pPr>
        <w:spacing w:line="360" w:lineRule="auto"/>
        <w:jc w:val="both"/>
        <w:rPr>
          <w:color w:val="000000"/>
          <w:lang w:val="es-ES" w:eastAsia="es-ES"/>
        </w:rPr>
      </w:pPr>
    </w:p>
    <w:p w14:paraId="4BEC33E3" w14:textId="77777777" w:rsidR="0039555A" w:rsidRPr="0039555A" w:rsidRDefault="0039555A" w:rsidP="0039555A">
      <w:pPr>
        <w:spacing w:line="360" w:lineRule="auto"/>
        <w:jc w:val="both"/>
        <w:rPr>
          <w:b/>
          <w:lang w:val="es-ES" w:eastAsia="es-ES"/>
        </w:rPr>
      </w:pPr>
    </w:p>
    <w:p w14:paraId="3F8F58DE" w14:textId="77777777" w:rsidR="0039555A" w:rsidRPr="0039555A" w:rsidRDefault="0039555A" w:rsidP="0039555A">
      <w:pPr>
        <w:spacing w:line="360" w:lineRule="auto"/>
        <w:jc w:val="center"/>
        <w:rPr>
          <w:b/>
          <w:sz w:val="32"/>
          <w:szCs w:val="32"/>
          <w:lang w:val="en-US" w:eastAsia="es-ES"/>
        </w:rPr>
      </w:pPr>
      <w:r w:rsidRPr="0039555A">
        <w:rPr>
          <w:b/>
          <w:sz w:val="32"/>
          <w:szCs w:val="32"/>
          <w:lang w:val="en-US" w:eastAsia="es-ES"/>
        </w:rPr>
        <w:t>REFERENCIAS BIBLIOGRÁFICAS</w:t>
      </w:r>
    </w:p>
    <w:p w14:paraId="79510879" w14:textId="77777777" w:rsidR="0039555A" w:rsidRPr="0039555A" w:rsidRDefault="0039555A" w:rsidP="0039555A">
      <w:pPr>
        <w:spacing w:line="360" w:lineRule="auto"/>
        <w:rPr>
          <w:rFonts w:eastAsia="Calibri"/>
          <w:lang w:val="es-ES" w:eastAsia="en-US"/>
        </w:rPr>
      </w:pPr>
      <w:r w:rsidRPr="0039555A">
        <w:rPr>
          <w:rFonts w:eastAsia="Calibri"/>
          <w:lang w:val="en-US" w:eastAsia="en-US"/>
        </w:rPr>
        <w:t xml:space="preserve">1. Wang Y, Wang Y, Chen Y, Qin Q. Unique epidemiological and clinical features of the emerging 2019 novel coronavirus pneumonia (COVID-19) implicate special control measures. </w:t>
      </w:r>
      <w:r w:rsidRPr="0039555A">
        <w:rPr>
          <w:rFonts w:eastAsia="Calibri"/>
          <w:lang w:val="es-ES" w:eastAsia="en-US"/>
        </w:rPr>
        <w:t xml:space="preserve">J </w:t>
      </w:r>
      <w:proofErr w:type="spellStart"/>
      <w:r w:rsidRPr="0039555A">
        <w:rPr>
          <w:rFonts w:eastAsia="Calibri"/>
          <w:lang w:val="es-ES" w:eastAsia="en-US"/>
        </w:rPr>
        <w:t>Med</w:t>
      </w:r>
      <w:proofErr w:type="spellEnd"/>
      <w:r w:rsidRPr="0039555A">
        <w:rPr>
          <w:rFonts w:eastAsia="Calibri"/>
          <w:lang w:val="es-ES" w:eastAsia="en-US"/>
        </w:rPr>
        <w:t xml:space="preserve"> Virol. 2020 [acceso: 05/07/2020];92(6):568-576. Disponible en: </w:t>
      </w:r>
      <w:hyperlink r:id="rId12" w:history="1">
        <w:r w:rsidRPr="0039555A">
          <w:rPr>
            <w:rFonts w:eastAsia="Calibri"/>
            <w:color w:val="0000FF"/>
            <w:u w:val="single"/>
            <w:lang w:val="es-ES" w:eastAsia="en-US"/>
          </w:rPr>
          <w:t>http://www.doi.org/10.1002/jmv.25748</w:t>
        </w:r>
      </w:hyperlink>
      <w:r w:rsidRPr="0039555A">
        <w:rPr>
          <w:rFonts w:eastAsia="Calibri"/>
          <w:lang w:val="es-ES" w:eastAsia="en-US"/>
        </w:rPr>
        <w:t xml:space="preserve"> </w:t>
      </w:r>
    </w:p>
    <w:p w14:paraId="34BF0344" w14:textId="77777777" w:rsidR="0039555A" w:rsidRPr="0039555A" w:rsidRDefault="0039555A" w:rsidP="0039555A">
      <w:pPr>
        <w:spacing w:line="360" w:lineRule="auto"/>
        <w:rPr>
          <w:rFonts w:eastAsia="Calibri"/>
          <w:lang w:val="es-ES" w:eastAsia="en-US"/>
        </w:rPr>
      </w:pPr>
      <w:r w:rsidRPr="0039555A">
        <w:rPr>
          <w:rFonts w:eastAsia="Calibri"/>
          <w:lang w:val="en-US" w:eastAsia="en-US"/>
        </w:rPr>
        <w:t xml:space="preserve">2. </w:t>
      </w:r>
      <w:proofErr w:type="spellStart"/>
      <w:r w:rsidRPr="0039555A">
        <w:rPr>
          <w:rFonts w:eastAsia="Calibri"/>
          <w:lang w:val="en-US" w:eastAsia="en-US"/>
        </w:rPr>
        <w:t>Yinghao</w:t>
      </w:r>
      <w:proofErr w:type="spellEnd"/>
      <w:r w:rsidRPr="0039555A">
        <w:rPr>
          <w:rFonts w:eastAsia="Calibri"/>
          <w:lang w:val="en-US" w:eastAsia="en-US"/>
        </w:rPr>
        <w:t xml:space="preserve"> C, </w:t>
      </w:r>
      <w:proofErr w:type="spellStart"/>
      <w:r w:rsidRPr="0039555A">
        <w:rPr>
          <w:rFonts w:eastAsia="Calibri"/>
          <w:lang w:val="en-US" w:eastAsia="en-US"/>
        </w:rPr>
        <w:t>Xiaoling</w:t>
      </w:r>
      <w:proofErr w:type="spellEnd"/>
      <w:r w:rsidRPr="0039555A">
        <w:rPr>
          <w:rFonts w:eastAsia="Calibri"/>
          <w:lang w:val="en-US" w:eastAsia="en-US"/>
        </w:rPr>
        <w:t xml:space="preserve"> L, </w:t>
      </w:r>
      <w:proofErr w:type="spellStart"/>
      <w:r w:rsidRPr="0039555A">
        <w:rPr>
          <w:rFonts w:eastAsia="Calibri"/>
          <w:lang w:val="en-US" w:eastAsia="en-US"/>
        </w:rPr>
        <w:t>Lijuan</w:t>
      </w:r>
      <w:proofErr w:type="spellEnd"/>
      <w:r w:rsidRPr="0039555A">
        <w:rPr>
          <w:rFonts w:eastAsia="Calibri"/>
          <w:lang w:val="en-US" w:eastAsia="en-US"/>
        </w:rPr>
        <w:t xml:space="preserve"> X, Kailin C. Imaging and clinical features of patients with 2019 novel coronavirus SARS ‐</w:t>
      </w:r>
      <w:proofErr w:type="spellStart"/>
      <w:r w:rsidRPr="0039555A">
        <w:rPr>
          <w:rFonts w:eastAsia="Calibri"/>
          <w:lang w:val="en-US" w:eastAsia="en-US"/>
        </w:rPr>
        <w:t>CoV</w:t>
      </w:r>
      <w:proofErr w:type="spellEnd"/>
      <w:r w:rsidRPr="0039555A">
        <w:rPr>
          <w:rFonts w:eastAsia="Calibri"/>
          <w:lang w:val="en-US" w:eastAsia="en-US"/>
        </w:rPr>
        <w:t xml:space="preserve"> ‐2: A systematic review and meta-analysis. </w:t>
      </w:r>
      <w:r w:rsidRPr="0039555A">
        <w:rPr>
          <w:rFonts w:eastAsia="Calibri"/>
          <w:lang w:val="es-ES" w:eastAsia="en-US"/>
        </w:rPr>
        <w:t xml:space="preserve">J </w:t>
      </w:r>
      <w:proofErr w:type="spellStart"/>
      <w:r w:rsidRPr="0039555A">
        <w:rPr>
          <w:rFonts w:eastAsia="Calibri"/>
          <w:lang w:val="es-ES" w:eastAsia="en-US"/>
        </w:rPr>
        <w:t>Med</w:t>
      </w:r>
      <w:proofErr w:type="spellEnd"/>
      <w:r w:rsidRPr="0039555A">
        <w:rPr>
          <w:rFonts w:eastAsia="Calibri"/>
          <w:lang w:val="es-ES" w:eastAsia="en-US"/>
        </w:rPr>
        <w:t xml:space="preserve"> Virol. 2020 [acceso: 15/07/2020];92(10):1449-1459. Disponible en: </w:t>
      </w:r>
      <w:hyperlink r:id="rId13" w:history="1">
        <w:r w:rsidRPr="0039555A">
          <w:rPr>
            <w:rFonts w:eastAsia="Calibri"/>
            <w:color w:val="0000FF"/>
            <w:u w:val="single"/>
            <w:lang w:val="es-ES" w:eastAsia="en-US"/>
          </w:rPr>
          <w:t>http://www.doi.org/10.1002/jmv.25822</w:t>
        </w:r>
      </w:hyperlink>
      <w:r w:rsidRPr="0039555A">
        <w:rPr>
          <w:rFonts w:eastAsia="Calibri"/>
          <w:lang w:val="es-ES" w:eastAsia="en-US"/>
        </w:rPr>
        <w:t xml:space="preserve"> </w:t>
      </w:r>
    </w:p>
    <w:p w14:paraId="1EED248B" w14:textId="77777777" w:rsidR="0039555A" w:rsidRPr="0039555A" w:rsidRDefault="0039555A" w:rsidP="0039555A">
      <w:pPr>
        <w:spacing w:line="360" w:lineRule="auto"/>
        <w:rPr>
          <w:rFonts w:eastAsia="Calibri"/>
          <w:szCs w:val="22"/>
          <w:lang w:val="es-CU" w:eastAsia="en-US"/>
        </w:rPr>
      </w:pPr>
      <w:r w:rsidRPr="0039555A">
        <w:rPr>
          <w:rFonts w:eastAsia="Calibri"/>
          <w:lang w:val="en-US" w:eastAsia="en-US"/>
        </w:rPr>
        <w:t xml:space="preserve">3. WHO Coronavirus Disease (COVID-19) Dashboard. </w:t>
      </w:r>
      <w:r w:rsidRPr="0039555A">
        <w:rPr>
          <w:rFonts w:eastAsia="Calibri"/>
          <w:lang w:val="es-CU" w:eastAsia="en-US"/>
        </w:rPr>
        <w:t xml:space="preserve">WHO. 2020 [acceso: 15/072020]. Disponible en: </w:t>
      </w:r>
      <w:hyperlink r:id="rId14" w:history="1">
        <w:r w:rsidRPr="0039555A">
          <w:rPr>
            <w:rFonts w:eastAsia="Calibri"/>
            <w:color w:val="0000FF"/>
            <w:u w:val="single"/>
            <w:lang w:val="es-CU" w:eastAsia="en-US"/>
          </w:rPr>
          <w:t>https://covid19.who.int/?gclid=EAIaIQobChMIrLW_poyo7QIVxNrICh2Z6Q5OEAAYASAAEgICfvD_BwE</w:t>
        </w:r>
      </w:hyperlink>
      <w:r w:rsidRPr="0039555A">
        <w:rPr>
          <w:rFonts w:eastAsia="Calibri"/>
          <w:lang w:val="es-CU" w:eastAsia="en-US"/>
        </w:rPr>
        <w:t xml:space="preserve">   </w:t>
      </w:r>
      <w:r w:rsidRPr="0039555A">
        <w:rPr>
          <w:rFonts w:eastAsia="Calibri"/>
          <w:szCs w:val="22"/>
          <w:lang w:val="es-CU" w:eastAsia="en-US"/>
        </w:rPr>
        <w:t xml:space="preserve"> </w:t>
      </w:r>
    </w:p>
    <w:p w14:paraId="0A9F9E00" w14:textId="77777777" w:rsidR="0039555A" w:rsidRPr="0039555A" w:rsidRDefault="0039555A" w:rsidP="0039555A">
      <w:pPr>
        <w:spacing w:line="360" w:lineRule="auto"/>
        <w:rPr>
          <w:rFonts w:eastAsia="Calibri"/>
          <w:lang w:val="es-ES" w:eastAsia="en-US"/>
        </w:rPr>
      </w:pPr>
      <w:r w:rsidRPr="0039555A">
        <w:rPr>
          <w:rFonts w:eastAsia="Calibri"/>
          <w:lang w:val="en-US" w:eastAsia="en-US"/>
        </w:rPr>
        <w:lastRenderedPageBreak/>
        <w:t xml:space="preserve">4. </w:t>
      </w:r>
      <w:proofErr w:type="spellStart"/>
      <w:r w:rsidRPr="0039555A">
        <w:rPr>
          <w:rFonts w:eastAsia="Calibri"/>
          <w:lang w:val="en-US" w:eastAsia="en-US"/>
        </w:rPr>
        <w:t>Chaolin</w:t>
      </w:r>
      <w:proofErr w:type="spellEnd"/>
      <w:r w:rsidRPr="0039555A">
        <w:rPr>
          <w:rFonts w:eastAsia="Calibri"/>
          <w:lang w:val="en-US" w:eastAsia="en-US"/>
        </w:rPr>
        <w:t xml:space="preserve"> H, </w:t>
      </w:r>
      <w:proofErr w:type="spellStart"/>
      <w:r w:rsidRPr="0039555A">
        <w:rPr>
          <w:rFonts w:eastAsia="Calibri"/>
          <w:lang w:val="en-US" w:eastAsia="en-US"/>
        </w:rPr>
        <w:t>Yeming</w:t>
      </w:r>
      <w:proofErr w:type="spellEnd"/>
      <w:r w:rsidRPr="0039555A">
        <w:rPr>
          <w:rFonts w:eastAsia="Calibri"/>
          <w:lang w:val="en-US" w:eastAsia="en-US"/>
        </w:rPr>
        <w:t xml:space="preserve"> W, </w:t>
      </w:r>
      <w:proofErr w:type="spellStart"/>
      <w:r w:rsidRPr="0039555A">
        <w:rPr>
          <w:rFonts w:eastAsia="Calibri"/>
          <w:lang w:val="en-US" w:eastAsia="en-US"/>
        </w:rPr>
        <w:t>Xingwang</w:t>
      </w:r>
      <w:proofErr w:type="spellEnd"/>
      <w:r w:rsidRPr="0039555A">
        <w:rPr>
          <w:rFonts w:eastAsia="Calibri"/>
          <w:lang w:val="en-US" w:eastAsia="en-US"/>
        </w:rPr>
        <w:t xml:space="preserve"> L, Lili R, </w:t>
      </w:r>
      <w:proofErr w:type="spellStart"/>
      <w:r w:rsidRPr="0039555A">
        <w:rPr>
          <w:rFonts w:eastAsia="Calibri"/>
          <w:lang w:val="en-US" w:eastAsia="en-US"/>
        </w:rPr>
        <w:t>Jianping</w:t>
      </w:r>
      <w:proofErr w:type="spellEnd"/>
      <w:r w:rsidRPr="0039555A">
        <w:rPr>
          <w:rFonts w:eastAsia="Calibri"/>
          <w:lang w:val="en-US" w:eastAsia="en-US"/>
        </w:rPr>
        <w:t xml:space="preserve"> Z, Hu Y, et al. Clinical features of patients infected with 2019 novel coronavirus in Wuhan, China. </w:t>
      </w:r>
      <w:r w:rsidRPr="0039555A">
        <w:rPr>
          <w:rFonts w:eastAsia="Calibri"/>
          <w:lang w:val="es-ES" w:eastAsia="en-US"/>
        </w:rPr>
        <w:t xml:space="preserve">Lancet. 2020 [acceso: 5/07/2020]; 395(10223):497–506. Disponible en: </w:t>
      </w:r>
      <w:hyperlink r:id="rId15" w:history="1">
        <w:r w:rsidRPr="0039555A">
          <w:rPr>
            <w:rFonts w:eastAsia="Calibri"/>
            <w:color w:val="0000FF"/>
            <w:u w:val="single"/>
            <w:lang w:val="es-ES" w:eastAsia="en-US"/>
          </w:rPr>
          <w:t>https://doi.org/10.1016/S0140-6736(20)30183-5</w:t>
        </w:r>
      </w:hyperlink>
      <w:r w:rsidRPr="0039555A">
        <w:rPr>
          <w:rFonts w:eastAsia="Calibri"/>
          <w:lang w:val="es-ES" w:eastAsia="en-US"/>
        </w:rPr>
        <w:t xml:space="preserve"> </w:t>
      </w:r>
    </w:p>
    <w:p w14:paraId="287D0DA4" w14:textId="77777777" w:rsidR="0039555A" w:rsidRPr="0039555A" w:rsidRDefault="0039555A" w:rsidP="0039555A">
      <w:pPr>
        <w:spacing w:line="360" w:lineRule="auto"/>
        <w:rPr>
          <w:rFonts w:eastAsia="Calibri"/>
          <w:lang w:val="es-ES" w:eastAsia="en-US"/>
        </w:rPr>
      </w:pPr>
      <w:r w:rsidRPr="0039555A">
        <w:rPr>
          <w:rFonts w:eastAsia="Calibri"/>
          <w:lang w:val="es-ES" w:eastAsia="en-US"/>
        </w:rPr>
        <w:t xml:space="preserve">5. Hernández Rodríguez J. Aspectos clínicos relacionados con el Síndrome Respiratorio Agudo Severo (SARS-CoV-2). </w:t>
      </w:r>
      <w:proofErr w:type="spellStart"/>
      <w:r w:rsidRPr="0039555A">
        <w:rPr>
          <w:rFonts w:eastAsia="Calibri"/>
          <w:lang w:val="es-ES" w:eastAsia="en-US"/>
        </w:rPr>
        <w:t>Rev</w:t>
      </w:r>
      <w:proofErr w:type="spellEnd"/>
      <w:r w:rsidRPr="0039555A">
        <w:rPr>
          <w:rFonts w:eastAsia="Calibri"/>
          <w:lang w:val="es-ES" w:eastAsia="en-US"/>
        </w:rPr>
        <w:t xml:space="preserve"> </w:t>
      </w:r>
      <w:proofErr w:type="spellStart"/>
      <w:r w:rsidRPr="0039555A">
        <w:rPr>
          <w:rFonts w:eastAsia="Calibri"/>
          <w:lang w:val="es-ES" w:eastAsia="en-US"/>
        </w:rPr>
        <w:t>haban</w:t>
      </w:r>
      <w:proofErr w:type="spellEnd"/>
      <w:r w:rsidRPr="0039555A">
        <w:rPr>
          <w:rFonts w:eastAsia="Calibri"/>
          <w:lang w:val="es-ES" w:eastAsia="en-US"/>
        </w:rPr>
        <w:t xml:space="preserve"> </w:t>
      </w:r>
      <w:proofErr w:type="spellStart"/>
      <w:r w:rsidRPr="0039555A">
        <w:rPr>
          <w:rFonts w:eastAsia="Calibri"/>
          <w:lang w:val="es-ES" w:eastAsia="en-US"/>
        </w:rPr>
        <w:t>cienc</w:t>
      </w:r>
      <w:proofErr w:type="spellEnd"/>
      <w:r w:rsidRPr="0039555A">
        <w:rPr>
          <w:rFonts w:eastAsia="Calibri"/>
          <w:lang w:val="es-ES" w:eastAsia="en-US"/>
        </w:rPr>
        <w:t xml:space="preserve"> </w:t>
      </w:r>
      <w:proofErr w:type="spellStart"/>
      <w:r w:rsidRPr="0039555A">
        <w:rPr>
          <w:rFonts w:eastAsia="Calibri"/>
          <w:lang w:val="es-ES" w:eastAsia="en-US"/>
        </w:rPr>
        <w:t>méd</w:t>
      </w:r>
      <w:proofErr w:type="spellEnd"/>
      <w:r w:rsidRPr="0039555A">
        <w:rPr>
          <w:rFonts w:eastAsia="Calibri"/>
          <w:lang w:val="es-ES" w:eastAsia="en-US"/>
        </w:rPr>
        <w:t>. 2020 [acceso: 15/07/2020]; 19(</w:t>
      </w:r>
      <w:proofErr w:type="spellStart"/>
      <w:r w:rsidRPr="0039555A">
        <w:rPr>
          <w:rFonts w:eastAsia="Calibri"/>
          <w:lang w:val="es-ES" w:eastAsia="en-US"/>
        </w:rPr>
        <w:t>Supl</w:t>
      </w:r>
      <w:proofErr w:type="spellEnd"/>
      <w:r w:rsidRPr="0039555A">
        <w:rPr>
          <w:rFonts w:eastAsia="Calibri"/>
          <w:lang w:val="es-ES" w:eastAsia="en-US"/>
        </w:rPr>
        <w:t xml:space="preserve">.): e3279. Disponible en: </w:t>
      </w:r>
      <w:hyperlink r:id="rId16" w:history="1">
        <w:r w:rsidRPr="0039555A">
          <w:rPr>
            <w:rFonts w:eastAsia="Calibri"/>
            <w:color w:val="0000FF"/>
            <w:u w:val="single"/>
            <w:lang w:val="es-ES" w:eastAsia="en-US"/>
          </w:rPr>
          <w:t>https://www.revhabanera.sld.cu/index.php/rhab/article/view/3279</w:t>
        </w:r>
      </w:hyperlink>
      <w:r w:rsidRPr="0039555A">
        <w:rPr>
          <w:rFonts w:eastAsia="Calibri"/>
          <w:lang w:val="es-ES" w:eastAsia="en-US"/>
        </w:rPr>
        <w:t xml:space="preserve"> </w:t>
      </w:r>
    </w:p>
    <w:p w14:paraId="6081036D" w14:textId="77777777" w:rsidR="0039555A" w:rsidRPr="0039555A" w:rsidRDefault="0039555A" w:rsidP="0039555A">
      <w:pPr>
        <w:spacing w:line="360" w:lineRule="auto"/>
        <w:rPr>
          <w:rFonts w:eastAsia="Calibri"/>
          <w:lang w:val="es-ES" w:eastAsia="en-US"/>
        </w:rPr>
      </w:pPr>
      <w:r w:rsidRPr="0039555A">
        <w:rPr>
          <w:rFonts w:eastAsia="Calibri"/>
          <w:lang w:val="es-ES" w:eastAsia="en-US"/>
        </w:rPr>
        <w:t xml:space="preserve">6. Pérez Abreu M, Gómez Tejeda J, </w:t>
      </w:r>
      <w:proofErr w:type="spellStart"/>
      <w:r w:rsidRPr="0039555A">
        <w:rPr>
          <w:rFonts w:eastAsia="Calibri"/>
          <w:lang w:val="es-ES" w:eastAsia="en-US"/>
        </w:rPr>
        <w:t>Dieguez</w:t>
      </w:r>
      <w:proofErr w:type="spellEnd"/>
      <w:r w:rsidRPr="0039555A">
        <w:rPr>
          <w:rFonts w:eastAsia="Calibri"/>
          <w:lang w:val="es-ES" w:eastAsia="en-US"/>
        </w:rPr>
        <w:t xml:space="preserve"> </w:t>
      </w:r>
      <w:proofErr w:type="spellStart"/>
      <w:r w:rsidRPr="0039555A">
        <w:rPr>
          <w:rFonts w:eastAsia="Calibri"/>
          <w:lang w:val="es-ES" w:eastAsia="en-US"/>
        </w:rPr>
        <w:t>Guach</w:t>
      </w:r>
      <w:proofErr w:type="spellEnd"/>
      <w:r w:rsidRPr="0039555A">
        <w:rPr>
          <w:rFonts w:eastAsia="Calibri"/>
          <w:lang w:val="es-ES" w:eastAsia="en-US"/>
        </w:rPr>
        <w:t xml:space="preserve"> R. Características clínico-epidemiológicas de la COVID-19. </w:t>
      </w:r>
      <w:proofErr w:type="spellStart"/>
      <w:r w:rsidRPr="0039555A">
        <w:rPr>
          <w:rFonts w:eastAsia="Calibri"/>
          <w:lang w:val="es-ES" w:eastAsia="en-US"/>
        </w:rPr>
        <w:t>Rev</w:t>
      </w:r>
      <w:proofErr w:type="spellEnd"/>
      <w:r w:rsidRPr="0039555A">
        <w:rPr>
          <w:rFonts w:eastAsia="Calibri"/>
          <w:lang w:val="es-ES" w:eastAsia="en-US"/>
        </w:rPr>
        <w:t xml:space="preserve"> </w:t>
      </w:r>
      <w:proofErr w:type="spellStart"/>
      <w:r w:rsidRPr="0039555A">
        <w:rPr>
          <w:rFonts w:eastAsia="Calibri"/>
          <w:lang w:val="es-ES" w:eastAsia="en-US"/>
        </w:rPr>
        <w:t>haban</w:t>
      </w:r>
      <w:proofErr w:type="spellEnd"/>
      <w:r w:rsidRPr="0039555A">
        <w:rPr>
          <w:rFonts w:eastAsia="Calibri"/>
          <w:lang w:val="es-ES" w:eastAsia="en-US"/>
        </w:rPr>
        <w:t xml:space="preserve"> </w:t>
      </w:r>
      <w:proofErr w:type="spellStart"/>
      <w:r w:rsidRPr="0039555A">
        <w:rPr>
          <w:rFonts w:eastAsia="Calibri"/>
          <w:lang w:val="es-ES" w:eastAsia="en-US"/>
        </w:rPr>
        <w:t>cienc</w:t>
      </w:r>
      <w:proofErr w:type="spellEnd"/>
      <w:r w:rsidRPr="0039555A">
        <w:rPr>
          <w:rFonts w:eastAsia="Calibri"/>
          <w:lang w:val="es-ES" w:eastAsia="en-US"/>
        </w:rPr>
        <w:t xml:space="preserve"> </w:t>
      </w:r>
      <w:proofErr w:type="spellStart"/>
      <w:r w:rsidRPr="0039555A">
        <w:rPr>
          <w:rFonts w:eastAsia="Calibri"/>
          <w:lang w:val="es-ES" w:eastAsia="en-US"/>
        </w:rPr>
        <w:t>méd</w:t>
      </w:r>
      <w:proofErr w:type="spellEnd"/>
      <w:r w:rsidRPr="0039555A">
        <w:rPr>
          <w:rFonts w:eastAsia="Calibri"/>
          <w:lang w:val="es-ES" w:eastAsia="en-US"/>
        </w:rPr>
        <w:t>. 2020 [acceso: 15/07/2020]; 19(2</w:t>
      </w:r>
      <w:proofErr w:type="gramStart"/>
      <w:r w:rsidRPr="0039555A">
        <w:rPr>
          <w:rFonts w:eastAsia="Calibri"/>
          <w:lang w:val="es-ES" w:eastAsia="en-US"/>
        </w:rPr>
        <w:t>):e</w:t>
      </w:r>
      <w:proofErr w:type="gramEnd"/>
      <w:r w:rsidRPr="0039555A">
        <w:rPr>
          <w:rFonts w:eastAsia="Calibri"/>
          <w:lang w:val="es-ES" w:eastAsia="en-US"/>
        </w:rPr>
        <w:t xml:space="preserve">_3254. Disponible en: </w:t>
      </w:r>
      <w:hyperlink r:id="rId17" w:history="1">
        <w:r w:rsidRPr="0039555A">
          <w:rPr>
            <w:rFonts w:eastAsia="Calibri"/>
            <w:color w:val="0000FF"/>
            <w:u w:val="single"/>
            <w:lang w:val="es-ES" w:eastAsia="en-US"/>
          </w:rPr>
          <w:t>https://www.revhabanera.sld.cu/index.php/rhab/article/view/3254/2505</w:t>
        </w:r>
      </w:hyperlink>
      <w:r w:rsidRPr="0039555A">
        <w:rPr>
          <w:rFonts w:eastAsia="Calibri"/>
          <w:lang w:val="es-ES" w:eastAsia="en-US"/>
        </w:rPr>
        <w:t xml:space="preserve"> </w:t>
      </w:r>
    </w:p>
    <w:p w14:paraId="506D44F0" w14:textId="77777777" w:rsidR="0039555A" w:rsidRPr="0039555A" w:rsidRDefault="0039555A" w:rsidP="0039555A">
      <w:pPr>
        <w:spacing w:line="360" w:lineRule="auto"/>
        <w:rPr>
          <w:rFonts w:eastAsia="Calibri"/>
          <w:lang w:val="es-ES" w:eastAsia="en-US"/>
        </w:rPr>
      </w:pPr>
      <w:r w:rsidRPr="0039555A">
        <w:rPr>
          <w:rFonts w:eastAsia="Calibri"/>
          <w:lang w:val="en-US" w:eastAsia="en-US"/>
        </w:rPr>
        <w:t xml:space="preserve">7. Chen Y, Liu Q, Guo D. Emerging coronaviruses: genome structure, replication, and pathogenesis. </w:t>
      </w:r>
      <w:r w:rsidRPr="0039555A">
        <w:rPr>
          <w:rFonts w:eastAsia="Calibri"/>
          <w:lang w:val="es-ES" w:eastAsia="en-US"/>
        </w:rPr>
        <w:t xml:space="preserve">J </w:t>
      </w:r>
      <w:proofErr w:type="spellStart"/>
      <w:r w:rsidRPr="0039555A">
        <w:rPr>
          <w:rFonts w:eastAsia="Calibri"/>
          <w:lang w:val="es-ES" w:eastAsia="en-US"/>
        </w:rPr>
        <w:t>Med</w:t>
      </w:r>
      <w:proofErr w:type="spellEnd"/>
      <w:r w:rsidRPr="0039555A">
        <w:rPr>
          <w:rFonts w:eastAsia="Calibri"/>
          <w:lang w:val="es-ES" w:eastAsia="en-US"/>
        </w:rPr>
        <w:t xml:space="preserve"> Virol. 2020[acceso: 10/07/2020]; 92(4):418‐423. Disponible en: </w:t>
      </w:r>
      <w:hyperlink r:id="rId18" w:history="1">
        <w:r w:rsidRPr="0039555A">
          <w:rPr>
            <w:rFonts w:eastAsia="Calibri"/>
            <w:color w:val="0000FF"/>
            <w:u w:val="single"/>
            <w:lang w:val="es-ES" w:eastAsia="en-US"/>
          </w:rPr>
          <w:t>https://pubmed.ncbi.nlm.nih.gov/31967327/</w:t>
        </w:r>
      </w:hyperlink>
      <w:r w:rsidRPr="0039555A">
        <w:rPr>
          <w:rFonts w:eastAsia="Calibri"/>
          <w:lang w:val="es-ES" w:eastAsia="en-US"/>
        </w:rPr>
        <w:t xml:space="preserve">  </w:t>
      </w:r>
    </w:p>
    <w:p w14:paraId="0AFA8AF3" w14:textId="77777777" w:rsidR="0039555A" w:rsidRPr="0039555A" w:rsidRDefault="0039555A" w:rsidP="0039555A">
      <w:pPr>
        <w:spacing w:line="360" w:lineRule="auto"/>
        <w:rPr>
          <w:rFonts w:eastAsia="Calibri"/>
          <w:lang w:val="es-ES" w:eastAsia="en-US"/>
        </w:rPr>
      </w:pPr>
      <w:r w:rsidRPr="0039555A">
        <w:rPr>
          <w:rFonts w:eastAsia="Calibri"/>
          <w:lang w:val="es-ES" w:eastAsia="en-US"/>
        </w:rPr>
        <w:t xml:space="preserve">8. Pérez Fernández A, Suárez Hernández R, Rodríguez González E, Sarda Rojas J. Predictores de la aparición de síntomas en pacientes cardiópatas con la COVID- 19 asintomáticos al ingreso. </w:t>
      </w:r>
      <w:proofErr w:type="spellStart"/>
      <w:r w:rsidRPr="0039555A">
        <w:rPr>
          <w:rFonts w:eastAsia="Calibri"/>
          <w:lang w:val="es-ES" w:eastAsia="en-US"/>
        </w:rPr>
        <w:t>Rev</w:t>
      </w:r>
      <w:proofErr w:type="spellEnd"/>
      <w:r w:rsidRPr="0039555A">
        <w:rPr>
          <w:rFonts w:eastAsia="Calibri"/>
          <w:lang w:val="es-ES" w:eastAsia="en-US"/>
        </w:rPr>
        <w:t xml:space="preserve"> Cuban </w:t>
      </w:r>
      <w:proofErr w:type="spellStart"/>
      <w:r w:rsidRPr="0039555A">
        <w:rPr>
          <w:rFonts w:eastAsia="Calibri"/>
          <w:lang w:val="es-ES" w:eastAsia="en-US"/>
        </w:rPr>
        <w:t>Cardiol</w:t>
      </w:r>
      <w:proofErr w:type="spellEnd"/>
      <w:r w:rsidRPr="0039555A">
        <w:rPr>
          <w:rFonts w:eastAsia="Calibri"/>
          <w:lang w:val="es-ES" w:eastAsia="en-US"/>
        </w:rPr>
        <w:t xml:space="preserve">. 2020 [acceso: 10/07/2020];26(2): e999. Disponible en: </w:t>
      </w:r>
      <w:hyperlink r:id="rId19" w:history="1">
        <w:r w:rsidRPr="0039555A">
          <w:rPr>
            <w:rFonts w:eastAsia="Calibri"/>
            <w:color w:val="0000FF"/>
            <w:u w:val="single"/>
            <w:lang w:val="es-ES" w:eastAsia="en-US"/>
          </w:rPr>
          <w:t>https://www.revcardiologia.sld.cu/index.php/revcardiologia/article/view/999</w:t>
        </w:r>
      </w:hyperlink>
      <w:r w:rsidRPr="0039555A">
        <w:rPr>
          <w:rFonts w:eastAsia="Calibri"/>
          <w:lang w:val="es-ES" w:eastAsia="en-US"/>
        </w:rPr>
        <w:t xml:space="preserve">  </w:t>
      </w:r>
    </w:p>
    <w:p w14:paraId="48B144FF" w14:textId="77777777" w:rsidR="0039555A" w:rsidRPr="0039555A" w:rsidRDefault="0039555A" w:rsidP="0039555A">
      <w:pPr>
        <w:spacing w:line="360" w:lineRule="auto"/>
        <w:rPr>
          <w:rFonts w:eastAsia="Calibri"/>
          <w:lang w:val="es-ES" w:eastAsia="en-US"/>
        </w:rPr>
      </w:pPr>
      <w:r w:rsidRPr="0039555A">
        <w:rPr>
          <w:rFonts w:eastAsia="Calibri"/>
          <w:lang w:val="es-ES" w:eastAsia="en-US"/>
        </w:rPr>
        <w:t xml:space="preserve">9. Cobas </w:t>
      </w:r>
      <w:proofErr w:type="spellStart"/>
      <w:r w:rsidRPr="0039555A">
        <w:rPr>
          <w:rFonts w:eastAsia="Calibri"/>
          <w:lang w:val="es-ES" w:eastAsia="en-US"/>
        </w:rPr>
        <w:t>Planchez</w:t>
      </w:r>
      <w:proofErr w:type="spellEnd"/>
      <w:r w:rsidRPr="0039555A">
        <w:rPr>
          <w:rFonts w:eastAsia="Calibri"/>
          <w:lang w:val="es-ES" w:eastAsia="en-US"/>
        </w:rPr>
        <w:t xml:space="preserve"> L, </w:t>
      </w:r>
      <w:proofErr w:type="spellStart"/>
      <w:r w:rsidRPr="0039555A">
        <w:rPr>
          <w:rFonts w:eastAsia="Calibri"/>
          <w:lang w:val="es-ES" w:eastAsia="en-US"/>
        </w:rPr>
        <w:t>Mezquia</w:t>
      </w:r>
      <w:proofErr w:type="spellEnd"/>
      <w:r w:rsidRPr="0039555A">
        <w:rPr>
          <w:rFonts w:eastAsia="Calibri"/>
          <w:lang w:val="es-ES" w:eastAsia="en-US"/>
        </w:rPr>
        <w:t xml:space="preserve"> de-Pedro N, Armenteros Terán S. Características clínicas de pacientes con sospecha de COVID-19 ingresados en el hospital “Frank País García”, La Habana. Revista Electrónica Dr. Zoilo E. </w:t>
      </w:r>
      <w:proofErr w:type="spellStart"/>
      <w:r w:rsidRPr="0039555A">
        <w:rPr>
          <w:rFonts w:eastAsia="Calibri"/>
          <w:lang w:val="es-ES" w:eastAsia="en-US"/>
        </w:rPr>
        <w:t>Marinello</w:t>
      </w:r>
      <w:proofErr w:type="spellEnd"/>
      <w:r w:rsidRPr="0039555A">
        <w:rPr>
          <w:rFonts w:eastAsia="Calibri"/>
          <w:lang w:val="es-ES" w:eastAsia="en-US"/>
        </w:rPr>
        <w:t xml:space="preserve"> Vidaurreta. 2020 [acceso: 13/07/2020];45(4). [aprox. 6 p.]  Disponible en: </w:t>
      </w:r>
      <w:hyperlink r:id="rId20" w:history="1">
        <w:r w:rsidRPr="0039555A">
          <w:rPr>
            <w:rFonts w:eastAsia="Calibri"/>
            <w:color w:val="0000FF"/>
            <w:u w:val="single"/>
            <w:lang w:val="es-ES" w:eastAsia="en-US"/>
          </w:rPr>
          <w:t>https://www.revzoilomarinello.sld.cu/index.php/zmv/article/view/2339</w:t>
        </w:r>
      </w:hyperlink>
      <w:r w:rsidRPr="0039555A">
        <w:rPr>
          <w:rFonts w:eastAsia="Calibri"/>
          <w:lang w:val="es-ES" w:eastAsia="en-US"/>
        </w:rPr>
        <w:t xml:space="preserve">   </w:t>
      </w:r>
    </w:p>
    <w:p w14:paraId="53B0D7BB" w14:textId="77777777" w:rsidR="0039555A" w:rsidRPr="0039555A" w:rsidRDefault="0039555A" w:rsidP="0039555A">
      <w:pPr>
        <w:spacing w:line="360" w:lineRule="auto"/>
        <w:rPr>
          <w:rFonts w:eastAsia="Calibri"/>
          <w:lang w:val="en-US" w:eastAsia="en-US"/>
        </w:rPr>
      </w:pPr>
      <w:r w:rsidRPr="0039555A">
        <w:rPr>
          <w:rFonts w:eastAsia="Calibri"/>
          <w:lang w:val="en-US" w:eastAsia="en-US"/>
        </w:rPr>
        <w:t>10. World Medical Association. World Medical declaration of Helsinki: ethical principles for medical research involving human subjects. J Am Med Assoc. 2013. [</w:t>
      </w:r>
      <w:proofErr w:type="spellStart"/>
      <w:r w:rsidRPr="0039555A">
        <w:rPr>
          <w:rFonts w:eastAsia="Calibri"/>
          <w:lang w:val="en-US" w:eastAsia="en-US"/>
        </w:rPr>
        <w:t>acceso</w:t>
      </w:r>
      <w:proofErr w:type="spellEnd"/>
      <w:r w:rsidRPr="0039555A">
        <w:rPr>
          <w:rFonts w:eastAsia="Calibri"/>
          <w:lang w:val="en-US" w:eastAsia="en-US"/>
        </w:rPr>
        <w:t xml:space="preserve">: 20/07/2020]; 310(29): 2191-2194. Disponible </w:t>
      </w:r>
      <w:proofErr w:type="spellStart"/>
      <w:r w:rsidRPr="0039555A">
        <w:rPr>
          <w:rFonts w:eastAsia="Calibri"/>
          <w:lang w:val="en-US" w:eastAsia="en-US"/>
        </w:rPr>
        <w:t>en</w:t>
      </w:r>
      <w:proofErr w:type="spellEnd"/>
      <w:r w:rsidRPr="0039555A">
        <w:rPr>
          <w:rFonts w:eastAsia="Calibri"/>
          <w:lang w:val="en-US" w:eastAsia="en-US"/>
        </w:rPr>
        <w:t xml:space="preserve">: </w:t>
      </w:r>
      <w:hyperlink r:id="rId21" w:history="1">
        <w:r w:rsidRPr="0039555A">
          <w:rPr>
            <w:rFonts w:eastAsia="Calibri"/>
            <w:color w:val="0000FF"/>
            <w:u w:val="single"/>
            <w:lang w:val="en-US" w:eastAsia="en-US"/>
          </w:rPr>
          <w:t>http://pubmed.ncbi.nlm.nih.gov/24141714/</w:t>
        </w:r>
      </w:hyperlink>
      <w:r w:rsidRPr="0039555A">
        <w:rPr>
          <w:rFonts w:eastAsia="Calibri"/>
          <w:lang w:val="en-US" w:eastAsia="en-US"/>
        </w:rPr>
        <w:t xml:space="preserve">   </w:t>
      </w:r>
    </w:p>
    <w:p w14:paraId="42510CC1" w14:textId="77777777" w:rsidR="0039555A" w:rsidRPr="0039555A" w:rsidRDefault="0039555A" w:rsidP="0039555A">
      <w:pPr>
        <w:spacing w:line="360" w:lineRule="auto"/>
        <w:rPr>
          <w:rFonts w:eastAsia="Calibri"/>
          <w:lang w:val="es-CU" w:eastAsia="en-US"/>
        </w:rPr>
      </w:pPr>
      <w:r w:rsidRPr="0039555A">
        <w:rPr>
          <w:rFonts w:eastAsia="Calibri"/>
          <w:lang w:val="en-US" w:eastAsia="en-US"/>
        </w:rPr>
        <w:t xml:space="preserve">11. Nishiura H, Kobayashi T, Miyama T, Suzuki A, Jung SM, Hayashi K, et al. Estimation of the asymptomatic ratio of novel coronavirus infections (COVID-19). </w:t>
      </w:r>
      <w:proofErr w:type="spellStart"/>
      <w:r w:rsidRPr="0039555A">
        <w:rPr>
          <w:rFonts w:eastAsia="Calibri"/>
          <w:lang w:val="es-CU" w:eastAsia="en-US"/>
        </w:rPr>
        <w:t>Int</w:t>
      </w:r>
      <w:proofErr w:type="spellEnd"/>
      <w:r w:rsidRPr="0039555A">
        <w:rPr>
          <w:rFonts w:eastAsia="Calibri"/>
          <w:lang w:val="es-CU" w:eastAsia="en-US"/>
        </w:rPr>
        <w:t xml:space="preserve"> J </w:t>
      </w:r>
      <w:proofErr w:type="spellStart"/>
      <w:r w:rsidRPr="0039555A">
        <w:rPr>
          <w:rFonts w:eastAsia="Calibri"/>
          <w:lang w:val="es-CU" w:eastAsia="en-US"/>
        </w:rPr>
        <w:t>Infect</w:t>
      </w:r>
      <w:proofErr w:type="spellEnd"/>
      <w:r w:rsidRPr="0039555A">
        <w:rPr>
          <w:rFonts w:eastAsia="Calibri"/>
          <w:lang w:val="es-CU" w:eastAsia="en-US"/>
        </w:rPr>
        <w:t xml:space="preserve"> </w:t>
      </w:r>
      <w:proofErr w:type="spellStart"/>
      <w:r w:rsidRPr="0039555A">
        <w:rPr>
          <w:rFonts w:eastAsia="Calibri"/>
          <w:lang w:val="es-CU" w:eastAsia="en-US"/>
        </w:rPr>
        <w:t>Dis</w:t>
      </w:r>
      <w:proofErr w:type="spellEnd"/>
      <w:r w:rsidRPr="0039555A">
        <w:rPr>
          <w:rFonts w:eastAsia="Calibri"/>
          <w:lang w:val="es-CU" w:eastAsia="en-US"/>
        </w:rPr>
        <w:t>. 2020 [acceso: 1/07/2020</w:t>
      </w:r>
      <w:proofErr w:type="gramStart"/>
      <w:r w:rsidRPr="0039555A">
        <w:rPr>
          <w:rFonts w:eastAsia="Calibri"/>
          <w:lang w:val="es-CU" w:eastAsia="en-US"/>
        </w:rPr>
        <w:t>];94:154</w:t>
      </w:r>
      <w:proofErr w:type="gramEnd"/>
      <w:r w:rsidRPr="0039555A">
        <w:rPr>
          <w:rFonts w:eastAsia="Calibri"/>
          <w:lang w:val="es-CU" w:eastAsia="en-US"/>
        </w:rPr>
        <w:t xml:space="preserve">-155. Disponible en: </w:t>
      </w:r>
      <w:hyperlink r:id="rId22" w:history="1">
        <w:r w:rsidRPr="0039555A">
          <w:rPr>
            <w:rFonts w:eastAsia="Calibri"/>
            <w:color w:val="0000FF"/>
            <w:u w:val="single"/>
            <w:lang w:val="es-CU" w:eastAsia="en-US"/>
          </w:rPr>
          <w:t>https://www.ncbi.nlm.gov/pmc/articles/PMC7270890</w:t>
        </w:r>
      </w:hyperlink>
      <w:r w:rsidRPr="0039555A">
        <w:rPr>
          <w:rFonts w:eastAsia="Calibri"/>
          <w:lang w:val="es-CU" w:eastAsia="en-US"/>
        </w:rPr>
        <w:t xml:space="preserve"> </w:t>
      </w:r>
    </w:p>
    <w:p w14:paraId="3A633090" w14:textId="77777777" w:rsidR="0039555A" w:rsidRPr="0039555A" w:rsidRDefault="0039555A" w:rsidP="0039555A">
      <w:pPr>
        <w:spacing w:line="360" w:lineRule="auto"/>
        <w:rPr>
          <w:rFonts w:eastAsia="Calibri"/>
          <w:lang w:val="es-ES" w:eastAsia="en-US"/>
        </w:rPr>
      </w:pPr>
      <w:r w:rsidRPr="0039555A">
        <w:rPr>
          <w:rFonts w:eastAsia="Calibri"/>
          <w:lang w:val="en-US" w:eastAsia="en-US"/>
        </w:rPr>
        <w:t xml:space="preserve">12. Tan J, Liu </w:t>
      </w:r>
      <w:proofErr w:type="spellStart"/>
      <w:r w:rsidRPr="0039555A">
        <w:rPr>
          <w:rFonts w:eastAsia="Calibri"/>
          <w:lang w:val="en-US" w:eastAsia="en-US"/>
        </w:rPr>
        <w:t>Sh</w:t>
      </w:r>
      <w:proofErr w:type="spellEnd"/>
      <w:r w:rsidRPr="0039555A">
        <w:rPr>
          <w:rFonts w:eastAsia="Calibri"/>
          <w:lang w:val="en-US" w:eastAsia="en-US"/>
        </w:rPr>
        <w:t xml:space="preserve">, Zhuang L, Chen L Dong, </w:t>
      </w:r>
      <w:proofErr w:type="spellStart"/>
      <w:r w:rsidRPr="0039555A">
        <w:rPr>
          <w:rFonts w:eastAsia="Calibri"/>
          <w:lang w:val="en-US" w:eastAsia="en-US"/>
        </w:rPr>
        <w:t>Mengzhen</w:t>
      </w:r>
      <w:proofErr w:type="spellEnd"/>
      <w:r w:rsidRPr="0039555A">
        <w:rPr>
          <w:rFonts w:eastAsia="Calibri"/>
          <w:lang w:val="en-US" w:eastAsia="en-US"/>
        </w:rPr>
        <w:t xml:space="preserve">, Zhang </w:t>
      </w:r>
      <w:proofErr w:type="spellStart"/>
      <w:r w:rsidRPr="0039555A">
        <w:rPr>
          <w:rFonts w:eastAsia="Calibri"/>
          <w:lang w:val="en-US" w:eastAsia="en-US"/>
        </w:rPr>
        <w:t>Jie</w:t>
      </w:r>
      <w:proofErr w:type="spellEnd"/>
      <w:r w:rsidRPr="0039555A">
        <w:rPr>
          <w:rFonts w:eastAsia="Calibri"/>
          <w:lang w:val="en-US" w:eastAsia="en-US"/>
        </w:rPr>
        <w:t xml:space="preserve">, et al. Transmission and clinical characteristics of asymptomatic patients with SARS-CoV-2 infection. </w:t>
      </w:r>
      <w:r w:rsidRPr="0039555A">
        <w:rPr>
          <w:rFonts w:eastAsia="Calibri"/>
          <w:lang w:val="es-ES" w:eastAsia="en-US"/>
        </w:rPr>
        <w:t xml:space="preserve">Future virol. 2020 [acceso: 5/07/2020]; 15(6):373-380. Disponible en: </w:t>
      </w:r>
      <w:hyperlink r:id="rId23" w:history="1">
        <w:r w:rsidRPr="0039555A">
          <w:rPr>
            <w:rFonts w:eastAsia="Calibri"/>
            <w:color w:val="0000FF"/>
            <w:u w:val="single"/>
            <w:lang w:val="es-ES" w:eastAsia="en-US"/>
          </w:rPr>
          <w:t>https://www.ncbi.nlm.nih.gov/pmc/articles/PMC7291769</w:t>
        </w:r>
      </w:hyperlink>
      <w:r w:rsidRPr="0039555A">
        <w:rPr>
          <w:rFonts w:eastAsia="Calibri"/>
          <w:lang w:val="es-ES" w:eastAsia="en-US"/>
        </w:rPr>
        <w:t xml:space="preserve"> </w:t>
      </w:r>
    </w:p>
    <w:p w14:paraId="0A4AE619" w14:textId="77777777" w:rsidR="0039555A" w:rsidRPr="0039555A" w:rsidRDefault="0039555A" w:rsidP="0039555A">
      <w:pPr>
        <w:spacing w:line="360" w:lineRule="auto"/>
        <w:rPr>
          <w:rFonts w:eastAsia="Calibri"/>
          <w:lang w:val="en-US" w:eastAsia="en-US"/>
        </w:rPr>
      </w:pPr>
      <w:r w:rsidRPr="0039555A">
        <w:rPr>
          <w:rFonts w:eastAsia="Calibri"/>
          <w:lang w:val="en-US" w:eastAsia="en-US"/>
        </w:rPr>
        <w:lastRenderedPageBreak/>
        <w:t xml:space="preserve">13. Gao Z, </w:t>
      </w:r>
      <w:proofErr w:type="spellStart"/>
      <w:r w:rsidRPr="0039555A">
        <w:rPr>
          <w:rFonts w:eastAsia="Calibri"/>
          <w:lang w:val="en-US" w:eastAsia="en-US"/>
        </w:rPr>
        <w:t>Yinghui</w:t>
      </w:r>
      <w:proofErr w:type="spellEnd"/>
      <w:r w:rsidRPr="0039555A">
        <w:rPr>
          <w:rFonts w:eastAsia="Calibri"/>
          <w:lang w:val="en-US" w:eastAsia="en-US"/>
        </w:rPr>
        <w:t xml:space="preserve"> X, Chao S, Xu W, Ye G, Shi Q, et al. A systematic review of asymptomatic infections with COVID-19. Journal of Microbiology, Immunology and Infection. 2020 [</w:t>
      </w:r>
      <w:proofErr w:type="spellStart"/>
      <w:r w:rsidRPr="0039555A">
        <w:rPr>
          <w:rFonts w:eastAsia="Calibri"/>
          <w:lang w:val="en-US" w:eastAsia="en-US"/>
        </w:rPr>
        <w:t>acceso</w:t>
      </w:r>
      <w:proofErr w:type="spellEnd"/>
      <w:r w:rsidRPr="0039555A">
        <w:rPr>
          <w:rFonts w:eastAsia="Calibri"/>
          <w:lang w:val="en-US" w:eastAsia="en-US"/>
        </w:rPr>
        <w:t xml:space="preserve">: 5/07/2020]; </w:t>
      </w:r>
      <w:proofErr w:type="spellStart"/>
      <w:r w:rsidRPr="0039555A">
        <w:rPr>
          <w:rFonts w:eastAsia="Calibri"/>
          <w:lang w:val="en-US" w:eastAsia="en-US"/>
        </w:rPr>
        <w:t>En</w:t>
      </w:r>
      <w:proofErr w:type="spellEnd"/>
      <w:r w:rsidRPr="0039555A">
        <w:rPr>
          <w:rFonts w:eastAsia="Calibri"/>
          <w:lang w:val="en-US" w:eastAsia="en-US"/>
        </w:rPr>
        <w:t xml:space="preserve"> </w:t>
      </w:r>
      <w:proofErr w:type="spellStart"/>
      <w:r w:rsidRPr="0039555A">
        <w:rPr>
          <w:rFonts w:eastAsia="Calibri"/>
          <w:lang w:val="en-US" w:eastAsia="en-US"/>
        </w:rPr>
        <w:t>prensa</w:t>
      </w:r>
      <w:proofErr w:type="spellEnd"/>
      <w:r w:rsidRPr="0039555A">
        <w:rPr>
          <w:rFonts w:eastAsia="Calibri"/>
          <w:lang w:val="en-US" w:eastAsia="en-US"/>
        </w:rPr>
        <w:t xml:space="preserve">. Disponible </w:t>
      </w:r>
      <w:proofErr w:type="spellStart"/>
      <w:r w:rsidRPr="0039555A">
        <w:rPr>
          <w:rFonts w:eastAsia="Calibri"/>
          <w:lang w:val="en-US" w:eastAsia="en-US"/>
        </w:rPr>
        <w:t>en</w:t>
      </w:r>
      <w:proofErr w:type="spellEnd"/>
      <w:r w:rsidRPr="0039555A">
        <w:rPr>
          <w:rFonts w:eastAsia="Calibri"/>
          <w:lang w:val="en-US" w:eastAsia="en-US"/>
        </w:rPr>
        <w:t xml:space="preserve">: </w:t>
      </w:r>
      <w:hyperlink r:id="rId24" w:history="1">
        <w:r w:rsidRPr="0039555A">
          <w:rPr>
            <w:rFonts w:eastAsia="Calibri"/>
            <w:color w:val="0000FF"/>
            <w:u w:val="single"/>
            <w:lang w:val="en-US" w:eastAsia="en-US"/>
          </w:rPr>
          <w:t>https://doi.org/10.1016/j.jmii.2020.05.001</w:t>
        </w:r>
      </w:hyperlink>
      <w:r w:rsidRPr="0039555A">
        <w:rPr>
          <w:rFonts w:eastAsia="Calibri"/>
          <w:lang w:val="en-US" w:eastAsia="en-US"/>
        </w:rPr>
        <w:t xml:space="preserve"> </w:t>
      </w:r>
    </w:p>
    <w:p w14:paraId="766A0221" w14:textId="77777777" w:rsidR="0039555A" w:rsidRPr="0039555A" w:rsidRDefault="0039555A" w:rsidP="0039555A">
      <w:pPr>
        <w:spacing w:line="360" w:lineRule="auto"/>
        <w:rPr>
          <w:rFonts w:eastAsia="Calibri"/>
          <w:lang w:val="es-ES" w:eastAsia="en-US"/>
        </w:rPr>
      </w:pPr>
      <w:r w:rsidRPr="0039555A">
        <w:rPr>
          <w:rFonts w:eastAsia="Calibri"/>
          <w:lang w:val="en-US" w:eastAsia="en-US"/>
        </w:rPr>
        <w:t xml:space="preserve">14. Wu Z, McGoogan J. Asymptomatic a pre-Symptomatic COVID-19 in China. </w:t>
      </w:r>
      <w:proofErr w:type="spellStart"/>
      <w:r w:rsidRPr="0039555A">
        <w:rPr>
          <w:rFonts w:eastAsia="Calibri"/>
          <w:lang w:val="es-ES" w:eastAsia="en-US"/>
        </w:rPr>
        <w:t>Infect</w:t>
      </w:r>
      <w:proofErr w:type="spellEnd"/>
      <w:r w:rsidRPr="0039555A">
        <w:rPr>
          <w:rFonts w:eastAsia="Calibri"/>
          <w:lang w:val="es-ES" w:eastAsia="en-US"/>
        </w:rPr>
        <w:t xml:space="preserve"> </w:t>
      </w:r>
      <w:proofErr w:type="spellStart"/>
      <w:r w:rsidRPr="0039555A">
        <w:rPr>
          <w:rFonts w:eastAsia="Calibri"/>
          <w:lang w:val="es-ES" w:eastAsia="en-US"/>
        </w:rPr>
        <w:t>Dis</w:t>
      </w:r>
      <w:proofErr w:type="spellEnd"/>
      <w:r w:rsidRPr="0039555A">
        <w:rPr>
          <w:rFonts w:eastAsia="Calibri"/>
          <w:lang w:val="es-ES" w:eastAsia="en-US"/>
        </w:rPr>
        <w:t xml:space="preserve"> </w:t>
      </w:r>
      <w:proofErr w:type="spellStart"/>
      <w:r w:rsidRPr="0039555A">
        <w:rPr>
          <w:rFonts w:eastAsia="Calibri"/>
          <w:lang w:val="es-ES" w:eastAsia="en-US"/>
        </w:rPr>
        <w:t>Poverty</w:t>
      </w:r>
      <w:proofErr w:type="spellEnd"/>
      <w:r w:rsidRPr="0039555A">
        <w:rPr>
          <w:rFonts w:eastAsia="Calibri"/>
          <w:lang w:val="es-ES" w:eastAsia="en-US"/>
        </w:rPr>
        <w:t xml:space="preserve">. 2020 [acceso: 10/07/2020]; 9 (72): [aprox. 2 p.]  Disponible en: </w:t>
      </w:r>
      <w:hyperlink r:id="rId25" w:history="1">
        <w:r w:rsidRPr="0039555A">
          <w:rPr>
            <w:rFonts w:eastAsia="Calibri"/>
            <w:color w:val="0000FF"/>
            <w:u w:val="single"/>
            <w:lang w:val="es-ES" w:eastAsia="en-US"/>
          </w:rPr>
          <w:t>http://idpjournal.biomedcentral.com/articles/10.1186/s40249-020-00679-2</w:t>
        </w:r>
      </w:hyperlink>
      <w:r w:rsidRPr="0039555A">
        <w:rPr>
          <w:rFonts w:eastAsia="Calibri"/>
          <w:lang w:val="es-ES" w:eastAsia="en-US"/>
        </w:rPr>
        <w:t xml:space="preserve">  </w:t>
      </w:r>
    </w:p>
    <w:p w14:paraId="5BE09CE7" w14:textId="77777777" w:rsidR="0039555A" w:rsidRPr="0039555A" w:rsidRDefault="0039555A" w:rsidP="0039555A">
      <w:pPr>
        <w:spacing w:line="360" w:lineRule="auto"/>
        <w:rPr>
          <w:rFonts w:eastAsia="Calibri"/>
          <w:lang w:val="es-ES" w:eastAsia="en-US"/>
        </w:rPr>
      </w:pPr>
      <w:r w:rsidRPr="0039555A">
        <w:rPr>
          <w:rFonts w:eastAsia="Calibri"/>
          <w:lang w:val="es-ES" w:eastAsia="en-US"/>
        </w:rPr>
        <w:t xml:space="preserve">15. </w:t>
      </w:r>
      <w:proofErr w:type="spellStart"/>
      <w:r w:rsidRPr="0039555A">
        <w:rPr>
          <w:rFonts w:eastAsia="Calibri"/>
          <w:lang w:val="es-ES" w:eastAsia="en-US"/>
        </w:rPr>
        <w:t>Cai</w:t>
      </w:r>
      <w:proofErr w:type="spellEnd"/>
      <w:r w:rsidRPr="0039555A">
        <w:rPr>
          <w:rFonts w:eastAsia="Calibri"/>
          <w:lang w:val="es-ES" w:eastAsia="en-US"/>
        </w:rPr>
        <w:t xml:space="preserve"> J, Lin D, Yang Z, </w:t>
      </w:r>
      <w:proofErr w:type="spellStart"/>
      <w:r w:rsidRPr="0039555A">
        <w:rPr>
          <w:rFonts w:eastAsia="Calibri"/>
          <w:lang w:val="es-ES" w:eastAsia="en-US"/>
        </w:rPr>
        <w:t>Xu</w:t>
      </w:r>
      <w:proofErr w:type="spellEnd"/>
      <w:r w:rsidRPr="0039555A">
        <w:rPr>
          <w:rFonts w:eastAsia="Calibri"/>
          <w:lang w:val="es-ES" w:eastAsia="en-US"/>
        </w:rPr>
        <w:t xml:space="preserve"> L Qu Z, et al. </w:t>
      </w:r>
      <w:r w:rsidRPr="0039555A">
        <w:rPr>
          <w:rFonts w:eastAsia="Calibri"/>
          <w:lang w:val="en-US" w:eastAsia="en-US"/>
        </w:rPr>
        <w:t xml:space="preserve">A Cases Series of children with 2019 novel coronavirus infection: clinical and epidemiological features. </w:t>
      </w:r>
      <w:proofErr w:type="spellStart"/>
      <w:r w:rsidRPr="0039555A">
        <w:rPr>
          <w:rFonts w:eastAsia="Calibri"/>
          <w:lang w:val="es-ES" w:eastAsia="en-US"/>
        </w:rPr>
        <w:t>Rev</w:t>
      </w:r>
      <w:proofErr w:type="spellEnd"/>
      <w:r w:rsidRPr="0039555A">
        <w:rPr>
          <w:rFonts w:eastAsia="Calibri"/>
          <w:lang w:val="es-ES" w:eastAsia="en-US"/>
        </w:rPr>
        <w:t xml:space="preserve"> Clin </w:t>
      </w:r>
      <w:proofErr w:type="spellStart"/>
      <w:r w:rsidRPr="0039555A">
        <w:rPr>
          <w:rFonts w:eastAsia="Calibri"/>
          <w:lang w:val="es-ES" w:eastAsia="en-US"/>
        </w:rPr>
        <w:t>Infect</w:t>
      </w:r>
      <w:proofErr w:type="spellEnd"/>
      <w:r w:rsidRPr="0039555A">
        <w:rPr>
          <w:rFonts w:eastAsia="Calibri"/>
          <w:lang w:val="es-ES" w:eastAsia="en-US"/>
        </w:rPr>
        <w:t xml:space="preserve"> </w:t>
      </w:r>
      <w:proofErr w:type="spellStart"/>
      <w:r w:rsidRPr="0039555A">
        <w:rPr>
          <w:rFonts w:eastAsia="Calibri"/>
          <w:lang w:val="es-ES" w:eastAsia="en-US"/>
        </w:rPr>
        <w:t>Dis</w:t>
      </w:r>
      <w:proofErr w:type="spellEnd"/>
      <w:r w:rsidRPr="0039555A">
        <w:rPr>
          <w:rFonts w:eastAsia="Calibri"/>
          <w:lang w:val="es-ES" w:eastAsia="en-US"/>
        </w:rPr>
        <w:t xml:space="preserve">. 2020 [acceso: 19/07/2020]; 71(16):1547-1551. Disponible en: </w:t>
      </w:r>
      <w:hyperlink r:id="rId26" w:history="1">
        <w:r w:rsidRPr="0039555A">
          <w:rPr>
            <w:rFonts w:eastAsia="Calibri"/>
            <w:color w:val="0000FF"/>
            <w:u w:val="single"/>
            <w:lang w:val="es-ES" w:eastAsia="en-US"/>
          </w:rPr>
          <w:t>https://academic.oup.com/cid/advence-article/10.1093/cid/ciaa198/</w:t>
        </w:r>
      </w:hyperlink>
      <w:r w:rsidRPr="0039555A">
        <w:rPr>
          <w:rFonts w:eastAsia="Calibri"/>
          <w:lang w:val="es-ES" w:eastAsia="en-US"/>
        </w:rPr>
        <w:t xml:space="preserve">  </w:t>
      </w:r>
    </w:p>
    <w:p w14:paraId="52F03FEE" w14:textId="77777777" w:rsidR="0039555A" w:rsidRPr="0039555A" w:rsidRDefault="0039555A" w:rsidP="0039555A">
      <w:pPr>
        <w:spacing w:line="360" w:lineRule="auto"/>
        <w:rPr>
          <w:rFonts w:eastAsia="Calibri"/>
          <w:lang w:val="es-ES" w:eastAsia="en-US"/>
        </w:rPr>
      </w:pPr>
      <w:r w:rsidRPr="0039555A">
        <w:rPr>
          <w:rFonts w:eastAsia="Calibri"/>
          <w:lang w:val="en-US" w:eastAsia="en-US"/>
        </w:rPr>
        <w:t xml:space="preserve">16. </w:t>
      </w:r>
      <w:proofErr w:type="spellStart"/>
      <w:r w:rsidRPr="0039555A">
        <w:rPr>
          <w:rFonts w:eastAsia="Calibri"/>
          <w:lang w:val="en-US" w:eastAsia="en-US"/>
        </w:rPr>
        <w:t>Mizumoto</w:t>
      </w:r>
      <w:proofErr w:type="spellEnd"/>
      <w:r w:rsidRPr="0039555A">
        <w:rPr>
          <w:rFonts w:eastAsia="Calibri"/>
          <w:lang w:val="en-US" w:eastAsia="en-US"/>
        </w:rPr>
        <w:t xml:space="preserve"> K, </w:t>
      </w:r>
      <w:proofErr w:type="spellStart"/>
      <w:r w:rsidRPr="0039555A">
        <w:rPr>
          <w:rFonts w:eastAsia="Calibri"/>
          <w:lang w:val="en-US" w:eastAsia="en-US"/>
        </w:rPr>
        <w:t>Kogaya</w:t>
      </w:r>
      <w:proofErr w:type="spellEnd"/>
      <w:r w:rsidRPr="0039555A">
        <w:rPr>
          <w:rFonts w:eastAsia="Calibri"/>
          <w:lang w:val="en-US" w:eastAsia="en-US"/>
        </w:rPr>
        <w:t xml:space="preserve"> K, </w:t>
      </w:r>
      <w:proofErr w:type="spellStart"/>
      <w:r w:rsidRPr="0039555A">
        <w:rPr>
          <w:rFonts w:eastAsia="Calibri"/>
          <w:lang w:val="en-US" w:eastAsia="en-US"/>
        </w:rPr>
        <w:t>Zarebski</w:t>
      </w:r>
      <w:proofErr w:type="spellEnd"/>
      <w:r w:rsidRPr="0039555A">
        <w:rPr>
          <w:rFonts w:eastAsia="Calibri"/>
          <w:lang w:val="en-US" w:eastAsia="en-US"/>
        </w:rPr>
        <w:t xml:space="preserve"> A, </w:t>
      </w:r>
      <w:proofErr w:type="spellStart"/>
      <w:r w:rsidRPr="0039555A">
        <w:rPr>
          <w:rFonts w:eastAsia="Calibri"/>
          <w:lang w:val="en-US" w:eastAsia="en-US"/>
        </w:rPr>
        <w:t>Chowell</w:t>
      </w:r>
      <w:proofErr w:type="spellEnd"/>
      <w:r w:rsidRPr="0039555A">
        <w:rPr>
          <w:rFonts w:eastAsia="Calibri"/>
          <w:lang w:val="en-US" w:eastAsia="en-US"/>
        </w:rPr>
        <w:t xml:space="preserve"> G. Estimating the asymptomatic proportion of coronavirus diseases 2019 (COVID-19) cases on board the Diamond Princess cruise ship, Yokohama, Japan, 2020. </w:t>
      </w:r>
      <w:r w:rsidRPr="0039555A">
        <w:rPr>
          <w:rFonts w:eastAsia="Calibri"/>
          <w:lang w:val="es-ES" w:eastAsia="en-US"/>
        </w:rPr>
        <w:t xml:space="preserve">Euro </w:t>
      </w:r>
      <w:proofErr w:type="spellStart"/>
      <w:r w:rsidRPr="0039555A">
        <w:rPr>
          <w:rFonts w:eastAsia="Calibri"/>
          <w:lang w:val="es-ES" w:eastAsia="en-US"/>
        </w:rPr>
        <w:t>surveill</w:t>
      </w:r>
      <w:proofErr w:type="spellEnd"/>
      <w:r w:rsidRPr="0039555A">
        <w:rPr>
          <w:rFonts w:eastAsia="Calibri"/>
          <w:lang w:val="es-ES" w:eastAsia="en-US"/>
        </w:rPr>
        <w:t xml:space="preserve">. 2020 [acceso: 10/07/2020]; 25 (10): [aprox. 5 p.]. Disponible en: </w:t>
      </w:r>
      <w:hyperlink r:id="rId27" w:history="1">
        <w:r w:rsidRPr="0039555A">
          <w:rPr>
            <w:rFonts w:eastAsia="Calibri"/>
            <w:color w:val="0000FF"/>
            <w:u w:val="single"/>
            <w:lang w:val="es-ES" w:eastAsia="en-US"/>
          </w:rPr>
          <w:t>https://www.doi.org/10.2807/1560-7917</w:t>
        </w:r>
      </w:hyperlink>
      <w:r w:rsidRPr="0039555A">
        <w:rPr>
          <w:rFonts w:eastAsia="Calibri"/>
          <w:lang w:val="es-ES" w:eastAsia="en-US"/>
        </w:rPr>
        <w:t xml:space="preserve">  </w:t>
      </w:r>
    </w:p>
    <w:p w14:paraId="65D16A85" w14:textId="77777777" w:rsidR="0039555A" w:rsidRPr="0039555A" w:rsidRDefault="0039555A" w:rsidP="0039555A">
      <w:pPr>
        <w:spacing w:line="360" w:lineRule="auto"/>
        <w:rPr>
          <w:rFonts w:eastAsia="Calibri"/>
          <w:lang w:val="es-ES" w:eastAsia="en-US"/>
        </w:rPr>
      </w:pPr>
      <w:r w:rsidRPr="0039555A">
        <w:rPr>
          <w:rFonts w:eastAsia="Calibri"/>
          <w:lang w:val="es-ES" w:eastAsia="en-US"/>
        </w:rPr>
        <w:t xml:space="preserve">17. Albalate M, Arribas P, Torres E, Cintra M, Alcázar R, Puerta M, et al. Alta prevalencia de la COVID-19 asintomáticos en hemodiálisis. Aprendiendo día a día el primer mes de la pandemia de COVID-19. Nefrología. 2020 [acceso: 10/07/2020]; 40(3):279-86. Disponible en: </w:t>
      </w:r>
      <w:hyperlink r:id="rId28" w:history="1">
        <w:r w:rsidRPr="0039555A">
          <w:rPr>
            <w:rFonts w:eastAsia="Calibri"/>
            <w:color w:val="0000FF"/>
            <w:u w:val="single"/>
            <w:lang w:val="es-ES" w:eastAsia="en-US"/>
          </w:rPr>
          <w:t>https://www.sciencedirect.com/science/article/pii/s2013251420300754</w:t>
        </w:r>
      </w:hyperlink>
      <w:r w:rsidRPr="0039555A">
        <w:rPr>
          <w:rFonts w:eastAsia="Calibri"/>
          <w:lang w:val="es-ES" w:eastAsia="en-US"/>
        </w:rPr>
        <w:t xml:space="preserve">  </w:t>
      </w:r>
    </w:p>
    <w:p w14:paraId="2DF06116" w14:textId="77777777" w:rsidR="0039555A" w:rsidRPr="0039555A" w:rsidRDefault="0039555A" w:rsidP="0039555A">
      <w:pPr>
        <w:spacing w:line="360" w:lineRule="auto"/>
        <w:rPr>
          <w:rFonts w:eastAsia="Calibri"/>
          <w:lang w:val="es-ES" w:eastAsia="en-US"/>
        </w:rPr>
      </w:pPr>
      <w:r w:rsidRPr="0039555A">
        <w:rPr>
          <w:rFonts w:eastAsia="Calibri"/>
          <w:lang w:val="es-ES" w:eastAsia="en-US"/>
        </w:rPr>
        <w:t xml:space="preserve">18. </w:t>
      </w:r>
      <w:proofErr w:type="spellStart"/>
      <w:r w:rsidRPr="0039555A">
        <w:rPr>
          <w:rFonts w:eastAsia="Calibri"/>
          <w:lang w:val="es-ES" w:eastAsia="en-US"/>
        </w:rPr>
        <w:t>Pollan</w:t>
      </w:r>
      <w:proofErr w:type="spellEnd"/>
      <w:r w:rsidRPr="0039555A">
        <w:rPr>
          <w:rFonts w:eastAsia="Calibri"/>
          <w:lang w:val="es-ES" w:eastAsia="en-US"/>
        </w:rPr>
        <w:t xml:space="preserve"> M, Pérez Gómez B, Pastor Barriuso R, Oteo J, Hernán M, Pérez Olmeda M, et al. </w:t>
      </w:r>
      <w:r w:rsidRPr="0039555A">
        <w:rPr>
          <w:rFonts w:eastAsia="Calibri"/>
          <w:lang w:val="en-US" w:eastAsia="en-US"/>
        </w:rPr>
        <w:t xml:space="preserve">Prevalence of SARS-CoV-2 in Spain (ENE-COVID): a nationwide, population-based </w:t>
      </w:r>
      <w:proofErr w:type="spellStart"/>
      <w:r w:rsidRPr="0039555A">
        <w:rPr>
          <w:rFonts w:eastAsia="Calibri"/>
          <w:lang w:val="en-US" w:eastAsia="en-US"/>
        </w:rPr>
        <w:t>seroepidemilogical</w:t>
      </w:r>
      <w:proofErr w:type="spellEnd"/>
      <w:r w:rsidRPr="0039555A">
        <w:rPr>
          <w:rFonts w:eastAsia="Calibri"/>
          <w:lang w:val="en-US" w:eastAsia="en-US"/>
        </w:rPr>
        <w:t xml:space="preserve"> study. </w:t>
      </w:r>
      <w:proofErr w:type="spellStart"/>
      <w:r w:rsidRPr="0039555A">
        <w:rPr>
          <w:rFonts w:eastAsia="Calibri"/>
          <w:lang w:val="es-ES" w:eastAsia="en-US"/>
        </w:rPr>
        <w:t>The</w:t>
      </w:r>
      <w:proofErr w:type="spellEnd"/>
      <w:r w:rsidRPr="0039555A">
        <w:rPr>
          <w:rFonts w:eastAsia="Calibri"/>
          <w:lang w:val="es-ES" w:eastAsia="en-US"/>
        </w:rPr>
        <w:t xml:space="preserve"> Lancet. 2020 [acceso: 10/07/2020];396(10250): 535-44. Disponible en: </w:t>
      </w:r>
      <w:hyperlink r:id="rId29" w:history="1">
        <w:r w:rsidRPr="0039555A">
          <w:rPr>
            <w:rFonts w:eastAsia="Calibri"/>
            <w:color w:val="0000FF"/>
            <w:u w:val="single"/>
            <w:lang w:val="es-ES" w:eastAsia="en-US"/>
          </w:rPr>
          <w:t>https://www.thelancet.com/journal/lancet/onlinefirst</w:t>
        </w:r>
      </w:hyperlink>
      <w:r w:rsidRPr="0039555A">
        <w:rPr>
          <w:rFonts w:eastAsia="Calibri"/>
          <w:lang w:val="es-ES" w:eastAsia="en-US"/>
        </w:rPr>
        <w:t xml:space="preserve">   </w:t>
      </w:r>
    </w:p>
    <w:p w14:paraId="79C94AA0" w14:textId="77777777" w:rsidR="0039555A" w:rsidRPr="0039555A" w:rsidRDefault="0039555A" w:rsidP="0039555A">
      <w:pPr>
        <w:spacing w:line="360" w:lineRule="auto"/>
        <w:rPr>
          <w:rFonts w:eastAsia="Calibri"/>
          <w:lang w:val="es-ES" w:eastAsia="en-US"/>
        </w:rPr>
      </w:pPr>
      <w:r w:rsidRPr="0039555A">
        <w:rPr>
          <w:rFonts w:eastAsia="Calibri"/>
          <w:lang w:val="es-ES" w:eastAsia="en-US"/>
        </w:rPr>
        <w:t xml:space="preserve">19. Montano Luna J, Tamarit Díaz T, Rodríguez Hernández O, Zelada Pérez M, Rodríguez Zelada C. La pesquisa activa. Primer eslabón del enfrentamiento a la COVID-19 en el Policlínico Docente “Antonio Maceo”. </w:t>
      </w:r>
      <w:proofErr w:type="spellStart"/>
      <w:r w:rsidRPr="0039555A">
        <w:rPr>
          <w:rFonts w:eastAsia="Calibri"/>
          <w:lang w:val="es-ES" w:eastAsia="en-US"/>
        </w:rPr>
        <w:t>Rev</w:t>
      </w:r>
      <w:proofErr w:type="spellEnd"/>
      <w:r w:rsidRPr="0039555A">
        <w:rPr>
          <w:rFonts w:eastAsia="Calibri"/>
          <w:lang w:val="es-ES" w:eastAsia="en-US"/>
        </w:rPr>
        <w:t xml:space="preserve"> </w:t>
      </w:r>
      <w:proofErr w:type="spellStart"/>
      <w:r w:rsidRPr="0039555A">
        <w:rPr>
          <w:rFonts w:eastAsia="Calibri"/>
          <w:lang w:val="es-ES" w:eastAsia="en-US"/>
        </w:rPr>
        <w:t>haban</w:t>
      </w:r>
      <w:proofErr w:type="spellEnd"/>
      <w:r w:rsidRPr="0039555A">
        <w:rPr>
          <w:rFonts w:eastAsia="Calibri"/>
          <w:lang w:val="es-ES" w:eastAsia="en-US"/>
        </w:rPr>
        <w:t xml:space="preserve"> </w:t>
      </w:r>
      <w:proofErr w:type="spellStart"/>
      <w:r w:rsidRPr="0039555A">
        <w:rPr>
          <w:rFonts w:eastAsia="Calibri"/>
          <w:lang w:val="es-ES" w:eastAsia="en-US"/>
        </w:rPr>
        <w:t>cienc</w:t>
      </w:r>
      <w:proofErr w:type="spellEnd"/>
      <w:r w:rsidRPr="0039555A">
        <w:rPr>
          <w:rFonts w:eastAsia="Calibri"/>
          <w:lang w:val="es-ES" w:eastAsia="en-US"/>
        </w:rPr>
        <w:t xml:space="preserve"> </w:t>
      </w:r>
      <w:proofErr w:type="spellStart"/>
      <w:r w:rsidRPr="0039555A">
        <w:rPr>
          <w:rFonts w:eastAsia="Calibri"/>
          <w:lang w:val="es-ES" w:eastAsia="en-US"/>
        </w:rPr>
        <w:t>méd</w:t>
      </w:r>
      <w:proofErr w:type="spellEnd"/>
      <w:r w:rsidRPr="0039555A">
        <w:rPr>
          <w:rFonts w:eastAsia="Calibri"/>
          <w:lang w:val="es-ES" w:eastAsia="en-US"/>
        </w:rPr>
        <w:t>. 2020 [acceso: 15/07/2020]; 19(</w:t>
      </w:r>
      <w:proofErr w:type="spellStart"/>
      <w:r w:rsidRPr="0039555A">
        <w:rPr>
          <w:rFonts w:eastAsia="Calibri"/>
          <w:lang w:val="es-ES" w:eastAsia="en-US"/>
        </w:rPr>
        <w:t>Supl</w:t>
      </w:r>
      <w:proofErr w:type="spellEnd"/>
      <w:r w:rsidRPr="0039555A">
        <w:rPr>
          <w:rFonts w:eastAsia="Calibri"/>
          <w:lang w:val="es-ES" w:eastAsia="en-US"/>
        </w:rPr>
        <w:t>.</w:t>
      </w:r>
      <w:proofErr w:type="gramStart"/>
      <w:r w:rsidRPr="0039555A">
        <w:rPr>
          <w:rFonts w:eastAsia="Calibri"/>
          <w:lang w:val="es-ES" w:eastAsia="en-US"/>
        </w:rPr>
        <w:t>):e</w:t>
      </w:r>
      <w:proofErr w:type="gramEnd"/>
      <w:r w:rsidRPr="0039555A">
        <w:rPr>
          <w:rFonts w:eastAsia="Calibri"/>
          <w:lang w:val="es-ES" w:eastAsia="en-US"/>
        </w:rPr>
        <w:t xml:space="preserve">_3413. Disponible en: </w:t>
      </w:r>
      <w:hyperlink r:id="rId30" w:history="1">
        <w:r w:rsidRPr="0039555A">
          <w:rPr>
            <w:rFonts w:eastAsia="Calibri"/>
            <w:color w:val="0000FF"/>
            <w:u w:val="single"/>
            <w:lang w:val="es-ES" w:eastAsia="en-US"/>
          </w:rPr>
          <w:t>https://www.revhabanera.sld.cu/index.php/rhab/article/view/3413</w:t>
        </w:r>
      </w:hyperlink>
      <w:r w:rsidRPr="0039555A">
        <w:rPr>
          <w:rFonts w:eastAsia="Calibri"/>
          <w:lang w:val="es-ES" w:eastAsia="en-US"/>
        </w:rPr>
        <w:t xml:space="preserve">   </w:t>
      </w:r>
    </w:p>
    <w:p w14:paraId="3A40E0D3" w14:textId="77777777" w:rsidR="0039555A" w:rsidRPr="0039555A" w:rsidRDefault="0039555A" w:rsidP="0039555A">
      <w:pPr>
        <w:spacing w:line="360" w:lineRule="auto"/>
        <w:rPr>
          <w:rFonts w:eastAsia="Calibri"/>
          <w:lang w:val="es-ES" w:eastAsia="en-US"/>
        </w:rPr>
      </w:pPr>
      <w:r w:rsidRPr="0039555A">
        <w:rPr>
          <w:rFonts w:eastAsia="Calibri"/>
          <w:lang w:val="es-ES" w:eastAsia="en-US"/>
        </w:rPr>
        <w:t xml:space="preserve">20. Ferrer Castro J, Sánchez Hernández E, </w:t>
      </w:r>
      <w:proofErr w:type="spellStart"/>
      <w:r w:rsidRPr="0039555A">
        <w:rPr>
          <w:rFonts w:eastAsia="Calibri"/>
          <w:lang w:val="es-ES" w:eastAsia="en-US"/>
        </w:rPr>
        <w:t>Poulout</w:t>
      </w:r>
      <w:proofErr w:type="spellEnd"/>
      <w:r w:rsidRPr="0039555A">
        <w:rPr>
          <w:rFonts w:eastAsia="Calibri"/>
          <w:lang w:val="es-ES" w:eastAsia="en-US"/>
        </w:rPr>
        <w:t xml:space="preserve"> Mendoza A, del Río Caballero G, Figueredo Sánchez D. Caracterización clínica y epidemiológica de pacientes confirmados con la COVID-19 en la provincia de Santiago de Cuba. MEDISAN. 2020 [acceso: 16/07/2020];24(3</w:t>
      </w:r>
      <w:proofErr w:type="gramStart"/>
      <w:r w:rsidRPr="0039555A">
        <w:rPr>
          <w:rFonts w:eastAsia="Calibri"/>
          <w:lang w:val="es-ES" w:eastAsia="en-US"/>
        </w:rPr>
        <w:t>):[</w:t>
      </w:r>
      <w:proofErr w:type="gramEnd"/>
      <w:r w:rsidRPr="0039555A">
        <w:rPr>
          <w:rFonts w:eastAsia="Calibri"/>
          <w:lang w:val="es-ES" w:eastAsia="en-US"/>
        </w:rPr>
        <w:t xml:space="preserve">aprox. 12 p]: Disponible en: </w:t>
      </w:r>
      <w:hyperlink r:id="rId31" w:history="1">
        <w:r w:rsidRPr="0039555A">
          <w:rPr>
            <w:rFonts w:eastAsia="Calibri"/>
            <w:color w:val="0000FF"/>
            <w:u w:val="single"/>
            <w:lang w:val="es-ES" w:eastAsia="en-US"/>
          </w:rPr>
          <w:t>https://medisan.sld.cu/index.php/san/article/view/3145</w:t>
        </w:r>
      </w:hyperlink>
      <w:r w:rsidRPr="0039555A">
        <w:rPr>
          <w:rFonts w:eastAsia="Calibri"/>
          <w:lang w:val="es-ES" w:eastAsia="en-US"/>
        </w:rPr>
        <w:t xml:space="preserve">  </w:t>
      </w:r>
    </w:p>
    <w:p w14:paraId="65FDCC80" w14:textId="77777777" w:rsidR="0039555A" w:rsidRPr="0039555A" w:rsidRDefault="0039555A" w:rsidP="0039555A">
      <w:pPr>
        <w:spacing w:line="360" w:lineRule="auto"/>
        <w:rPr>
          <w:rFonts w:eastAsia="Calibri"/>
          <w:lang w:val="es-ES" w:eastAsia="en-US"/>
        </w:rPr>
      </w:pPr>
      <w:r w:rsidRPr="0039555A">
        <w:rPr>
          <w:rFonts w:eastAsia="Calibri"/>
          <w:lang w:val="es-ES" w:eastAsia="en-US"/>
        </w:rPr>
        <w:lastRenderedPageBreak/>
        <w:t xml:space="preserve">21. Aguilar Hernández I, Wong Corrales L, Perera Milian L, Hernández Pérez R. Caracterización de los casos confirmados de la COVID-19 en Mayabeque. </w:t>
      </w:r>
      <w:proofErr w:type="spellStart"/>
      <w:r w:rsidRPr="0039555A">
        <w:rPr>
          <w:rFonts w:eastAsia="Calibri"/>
          <w:lang w:val="es-ES" w:eastAsia="en-US"/>
        </w:rPr>
        <w:t>Medimay</w:t>
      </w:r>
      <w:proofErr w:type="spellEnd"/>
      <w:r w:rsidRPr="0039555A">
        <w:rPr>
          <w:rFonts w:eastAsia="Calibri"/>
          <w:lang w:val="es-ES" w:eastAsia="en-US"/>
        </w:rPr>
        <w:t xml:space="preserve">. 2020 [acceso: 5/07/2020];27(2):230-236. Disponible en: </w:t>
      </w:r>
      <w:hyperlink r:id="rId32" w:history="1">
        <w:r w:rsidRPr="0039555A">
          <w:rPr>
            <w:rFonts w:eastAsia="Calibri"/>
            <w:color w:val="0000FF"/>
            <w:u w:val="single"/>
            <w:lang w:val="es-ES" w:eastAsia="en-US"/>
          </w:rPr>
          <w:t>https://medimay.sld.cu/index.php/rcmh/article/view/1660</w:t>
        </w:r>
      </w:hyperlink>
      <w:r w:rsidRPr="0039555A">
        <w:rPr>
          <w:rFonts w:eastAsia="Calibri"/>
          <w:lang w:val="es-ES" w:eastAsia="en-US"/>
        </w:rPr>
        <w:t xml:space="preserve">  </w:t>
      </w:r>
    </w:p>
    <w:p w14:paraId="549B4023" w14:textId="77777777" w:rsidR="0039555A" w:rsidRPr="0039555A" w:rsidRDefault="0039555A" w:rsidP="0039555A">
      <w:pPr>
        <w:spacing w:line="360" w:lineRule="auto"/>
        <w:rPr>
          <w:rFonts w:eastAsia="Calibri"/>
          <w:lang w:val="es-ES" w:eastAsia="en-US"/>
        </w:rPr>
      </w:pPr>
      <w:r w:rsidRPr="0039555A">
        <w:rPr>
          <w:rFonts w:eastAsia="Calibri"/>
          <w:lang w:val="es-ES" w:eastAsia="en-US"/>
        </w:rPr>
        <w:t xml:space="preserve">22. Urquiza Yero Y, Pérez Ojeda M, Cortés González A, Escalona Pérez I, Cabrales León M. Características clínico epidemiológicas de los pacientes de Las Tunas positivos al RT-PCR para la COVID-19. Revista Electrónica Dr. Zoilo E. </w:t>
      </w:r>
      <w:proofErr w:type="spellStart"/>
      <w:r w:rsidRPr="0039555A">
        <w:rPr>
          <w:rFonts w:eastAsia="Calibri"/>
          <w:lang w:val="es-ES" w:eastAsia="en-US"/>
        </w:rPr>
        <w:t>Marinello</w:t>
      </w:r>
      <w:proofErr w:type="spellEnd"/>
      <w:r w:rsidRPr="0039555A">
        <w:rPr>
          <w:rFonts w:eastAsia="Calibri"/>
          <w:lang w:val="es-ES" w:eastAsia="en-US"/>
        </w:rPr>
        <w:t xml:space="preserve"> Vidaurreta. 2020 [acceso: 10/07/2020]; 45(4): [aprox. 9 p.]. Disponible en: </w:t>
      </w:r>
      <w:hyperlink r:id="rId33" w:history="1">
        <w:r w:rsidRPr="0039555A">
          <w:rPr>
            <w:rFonts w:eastAsia="Calibri"/>
            <w:color w:val="0000FF"/>
            <w:u w:val="single"/>
            <w:lang w:val="es-ES" w:eastAsia="en-US"/>
          </w:rPr>
          <w:t>https://revzoilomarinello.sld.cu/index.php/zmv/article/view/2361</w:t>
        </w:r>
      </w:hyperlink>
      <w:r w:rsidRPr="0039555A">
        <w:rPr>
          <w:rFonts w:eastAsia="Calibri"/>
          <w:lang w:val="es-ES" w:eastAsia="en-US"/>
        </w:rPr>
        <w:t xml:space="preserve"> </w:t>
      </w:r>
    </w:p>
    <w:p w14:paraId="62F85F4C" w14:textId="77777777" w:rsidR="0039555A" w:rsidRPr="0039555A" w:rsidRDefault="0039555A" w:rsidP="0039555A">
      <w:pPr>
        <w:spacing w:line="360" w:lineRule="auto"/>
        <w:rPr>
          <w:rFonts w:eastAsia="Calibri"/>
          <w:lang w:val="es-ES" w:eastAsia="en-US"/>
        </w:rPr>
      </w:pPr>
      <w:r w:rsidRPr="0039555A">
        <w:rPr>
          <w:rFonts w:eastAsia="Calibri"/>
          <w:lang w:val="es-ES" w:eastAsia="en-US"/>
        </w:rPr>
        <w:t xml:space="preserve">23. Medina Fuentes G, Carbajales León E, Figueredo González Y, Carbajales León A, Silva Corona I. Características clínico epidemiológicas de pacientes positivos a la COVID-19 pertenecientes al policlínico “Joaquín de Agüero y Agüero”, Camagüey. Revista Electrónica Dr. Zoilo E. </w:t>
      </w:r>
      <w:proofErr w:type="spellStart"/>
      <w:r w:rsidRPr="0039555A">
        <w:rPr>
          <w:rFonts w:eastAsia="Calibri"/>
          <w:lang w:val="es-ES" w:eastAsia="en-US"/>
        </w:rPr>
        <w:t>Marinello</w:t>
      </w:r>
      <w:proofErr w:type="spellEnd"/>
      <w:r w:rsidRPr="0039555A">
        <w:rPr>
          <w:rFonts w:eastAsia="Calibri"/>
          <w:lang w:val="es-ES" w:eastAsia="en-US"/>
        </w:rPr>
        <w:t xml:space="preserve"> Vidaurreta. 2020 [acceso: 1/07/2020]; 45(4): [aprox. 5 p.]. Disponible en: </w:t>
      </w:r>
      <w:hyperlink r:id="rId34" w:history="1">
        <w:r w:rsidRPr="0039555A">
          <w:rPr>
            <w:rFonts w:eastAsia="Calibri"/>
            <w:color w:val="0000FF"/>
            <w:u w:val="single"/>
            <w:lang w:val="es-ES" w:eastAsia="en-US"/>
          </w:rPr>
          <w:t>http://revzoilomarinello.sld.cu/index.php/zmv/article/view/2352</w:t>
        </w:r>
      </w:hyperlink>
      <w:r w:rsidRPr="0039555A">
        <w:rPr>
          <w:rFonts w:eastAsia="Calibri"/>
          <w:lang w:val="es-ES" w:eastAsia="en-US"/>
        </w:rPr>
        <w:t xml:space="preserve">  </w:t>
      </w:r>
    </w:p>
    <w:p w14:paraId="6D6CC59E" w14:textId="77777777" w:rsidR="0039555A" w:rsidRPr="0039555A" w:rsidRDefault="0039555A" w:rsidP="0039555A">
      <w:pPr>
        <w:spacing w:line="360" w:lineRule="auto"/>
        <w:rPr>
          <w:rFonts w:eastAsia="Calibri"/>
          <w:lang w:val="es-ES" w:eastAsia="en-US"/>
        </w:rPr>
      </w:pPr>
      <w:r w:rsidRPr="0039555A">
        <w:rPr>
          <w:rFonts w:eastAsia="Calibri"/>
          <w:lang w:val="en-US" w:eastAsia="en-US"/>
        </w:rPr>
        <w:t xml:space="preserve">24. Hu Z, Song C, Xu C, </w:t>
      </w:r>
      <w:proofErr w:type="spellStart"/>
      <w:r w:rsidRPr="0039555A">
        <w:rPr>
          <w:rFonts w:eastAsia="Calibri"/>
          <w:lang w:val="en-US" w:eastAsia="en-US"/>
        </w:rPr>
        <w:t>Jin</w:t>
      </w:r>
      <w:proofErr w:type="spellEnd"/>
      <w:r w:rsidRPr="0039555A">
        <w:rPr>
          <w:rFonts w:eastAsia="Calibri"/>
          <w:lang w:val="en-US" w:eastAsia="en-US"/>
        </w:rPr>
        <w:t xml:space="preserve"> G, Chen Y, Xu X, et al. Clinical characteristics of 24 asymptomatic infections with COVID-19 screened among close contacts in Nanjing, China. </w:t>
      </w:r>
      <w:proofErr w:type="spellStart"/>
      <w:r w:rsidRPr="0039555A">
        <w:rPr>
          <w:rFonts w:eastAsia="Calibri"/>
          <w:lang w:val="es-ES" w:eastAsia="en-US"/>
        </w:rPr>
        <w:t>Sci</w:t>
      </w:r>
      <w:proofErr w:type="spellEnd"/>
      <w:r w:rsidRPr="0039555A">
        <w:rPr>
          <w:rFonts w:eastAsia="Calibri"/>
          <w:lang w:val="es-ES" w:eastAsia="en-US"/>
        </w:rPr>
        <w:t xml:space="preserve"> China </w:t>
      </w:r>
      <w:proofErr w:type="spellStart"/>
      <w:r w:rsidRPr="0039555A">
        <w:rPr>
          <w:rFonts w:eastAsia="Calibri"/>
          <w:lang w:val="es-ES" w:eastAsia="en-US"/>
        </w:rPr>
        <w:t>Life</w:t>
      </w:r>
      <w:proofErr w:type="spellEnd"/>
      <w:r w:rsidRPr="0039555A">
        <w:rPr>
          <w:rFonts w:eastAsia="Calibri"/>
          <w:lang w:val="es-ES" w:eastAsia="en-US"/>
        </w:rPr>
        <w:t xml:space="preserve"> </w:t>
      </w:r>
      <w:proofErr w:type="spellStart"/>
      <w:r w:rsidRPr="0039555A">
        <w:rPr>
          <w:rFonts w:eastAsia="Calibri"/>
          <w:lang w:val="es-ES" w:eastAsia="en-US"/>
        </w:rPr>
        <w:t>Sci</w:t>
      </w:r>
      <w:proofErr w:type="spellEnd"/>
      <w:r w:rsidRPr="0039555A">
        <w:rPr>
          <w:rFonts w:eastAsia="Calibri"/>
          <w:lang w:val="es-ES" w:eastAsia="en-US"/>
        </w:rPr>
        <w:t xml:space="preserve">. 2020 [acceso: 20/07/2020]; 63(5):706-711. Disponible en: </w:t>
      </w:r>
      <w:hyperlink r:id="rId35" w:history="1">
        <w:r w:rsidRPr="0039555A">
          <w:rPr>
            <w:rFonts w:eastAsia="Calibri"/>
            <w:color w:val="0000FF"/>
            <w:u w:val="single"/>
            <w:lang w:val="es-ES" w:eastAsia="en-US"/>
          </w:rPr>
          <w:t>https://doi.org/10.1007/s11427-020-1661-4</w:t>
        </w:r>
      </w:hyperlink>
      <w:r w:rsidRPr="0039555A">
        <w:rPr>
          <w:rFonts w:eastAsia="Calibri"/>
          <w:lang w:val="es-ES" w:eastAsia="en-US"/>
        </w:rPr>
        <w:t xml:space="preserve">    </w:t>
      </w:r>
    </w:p>
    <w:p w14:paraId="00E62488" w14:textId="77777777" w:rsidR="0039555A" w:rsidRPr="0039555A" w:rsidRDefault="0039555A" w:rsidP="0039555A">
      <w:pPr>
        <w:spacing w:line="360" w:lineRule="auto"/>
        <w:rPr>
          <w:rFonts w:eastAsia="Calibri"/>
          <w:lang w:val="es-ES" w:eastAsia="en-US"/>
        </w:rPr>
      </w:pPr>
      <w:r w:rsidRPr="0039555A">
        <w:rPr>
          <w:rFonts w:eastAsia="Calibri"/>
          <w:lang w:val="en-US" w:eastAsia="en-US"/>
        </w:rPr>
        <w:t xml:space="preserve">25. Fox S, Pasco R, Tec M, Du Z, </w:t>
      </w:r>
      <w:proofErr w:type="spellStart"/>
      <w:r w:rsidRPr="0039555A">
        <w:rPr>
          <w:rFonts w:eastAsia="Calibri"/>
          <w:lang w:val="en-US" w:eastAsia="en-US"/>
        </w:rPr>
        <w:t>Lachmann</w:t>
      </w:r>
      <w:proofErr w:type="spellEnd"/>
      <w:r w:rsidRPr="0039555A">
        <w:rPr>
          <w:rFonts w:eastAsia="Calibri"/>
          <w:lang w:val="en-US" w:eastAsia="en-US"/>
        </w:rPr>
        <w:t xml:space="preserve"> M, Meyers L. The impact of asymptomatic COVID-19 infections on future pandemic waves. </w:t>
      </w:r>
      <w:proofErr w:type="spellStart"/>
      <w:r w:rsidRPr="0039555A">
        <w:rPr>
          <w:rFonts w:eastAsia="Calibri"/>
          <w:lang w:val="es-ES" w:eastAsia="en-US"/>
        </w:rPr>
        <w:t>MedRxiv</w:t>
      </w:r>
      <w:proofErr w:type="spellEnd"/>
      <w:r w:rsidRPr="0039555A">
        <w:rPr>
          <w:rFonts w:eastAsia="Calibri"/>
          <w:lang w:val="es-ES" w:eastAsia="en-US"/>
        </w:rPr>
        <w:t xml:space="preserve">. 2020 [acceso: 15/07/2020]. [aprox. 6 p.]. Disponible en: </w:t>
      </w:r>
      <w:hyperlink r:id="rId36" w:history="1">
        <w:r w:rsidRPr="0039555A">
          <w:rPr>
            <w:rFonts w:eastAsia="Calibri"/>
            <w:color w:val="0000FF"/>
            <w:u w:val="single"/>
            <w:lang w:val="es-ES" w:eastAsia="en-US"/>
          </w:rPr>
          <w:t>https://www.medrxiv.org/content/10.1101/2020.06.22.20137489v1</w:t>
        </w:r>
      </w:hyperlink>
      <w:r w:rsidRPr="0039555A">
        <w:rPr>
          <w:rFonts w:eastAsia="Calibri"/>
          <w:lang w:val="es-ES" w:eastAsia="en-US"/>
        </w:rPr>
        <w:t xml:space="preserve">       </w:t>
      </w:r>
    </w:p>
    <w:p w14:paraId="181418B3" w14:textId="77777777" w:rsidR="0039555A" w:rsidRPr="0039555A" w:rsidRDefault="0039555A" w:rsidP="0039555A">
      <w:pPr>
        <w:spacing w:line="360" w:lineRule="auto"/>
        <w:rPr>
          <w:rFonts w:eastAsia="Calibri"/>
          <w:lang w:val="es-ES" w:eastAsia="en-US"/>
        </w:rPr>
      </w:pPr>
      <w:r w:rsidRPr="0039555A">
        <w:rPr>
          <w:rFonts w:eastAsia="Calibri"/>
          <w:lang w:val="en-US" w:eastAsia="en-US"/>
        </w:rPr>
        <w:t xml:space="preserve">26. Cummings M, Baldwin M, Abrams D, Jacobson S, Meyer B, </w:t>
      </w:r>
      <w:proofErr w:type="spellStart"/>
      <w:r w:rsidRPr="0039555A">
        <w:rPr>
          <w:rFonts w:eastAsia="Calibri"/>
          <w:lang w:val="en-US" w:eastAsia="en-US"/>
        </w:rPr>
        <w:t>Balough</w:t>
      </w:r>
      <w:proofErr w:type="spellEnd"/>
      <w:r w:rsidRPr="0039555A">
        <w:rPr>
          <w:rFonts w:eastAsia="Calibri"/>
          <w:lang w:val="en-US" w:eastAsia="en-US"/>
        </w:rPr>
        <w:t xml:space="preserve"> E, et al. Epidemiology, clinical course, and outcomes of critically ill adults with COVID-19 in New York City: a prospective cohort study. </w:t>
      </w:r>
      <w:r w:rsidRPr="0039555A">
        <w:rPr>
          <w:rFonts w:eastAsia="Calibri"/>
          <w:lang w:val="es-ES" w:eastAsia="en-US"/>
        </w:rPr>
        <w:t xml:space="preserve">Lancet. 2020 [acceso: 10/07/2020]; 395(10239):1763–70: Disponible en: </w:t>
      </w:r>
      <w:hyperlink r:id="rId37" w:history="1">
        <w:r w:rsidRPr="0039555A">
          <w:rPr>
            <w:rFonts w:eastAsia="Calibri"/>
            <w:color w:val="0000FF"/>
            <w:u w:val="single"/>
            <w:lang w:val="es-ES" w:eastAsia="en-US"/>
          </w:rPr>
          <w:t>https://www.doi.org/10.1016/S0140-6736(20)31189-2</w:t>
        </w:r>
      </w:hyperlink>
      <w:r w:rsidRPr="0039555A">
        <w:rPr>
          <w:rFonts w:eastAsia="Calibri"/>
          <w:lang w:val="es-ES" w:eastAsia="en-US"/>
        </w:rPr>
        <w:t xml:space="preserve">  </w:t>
      </w:r>
    </w:p>
    <w:p w14:paraId="560453B5" w14:textId="77777777" w:rsidR="0039555A" w:rsidRPr="0039555A" w:rsidRDefault="0039555A" w:rsidP="0039555A">
      <w:pPr>
        <w:spacing w:line="360" w:lineRule="auto"/>
        <w:rPr>
          <w:rFonts w:eastAsia="Calibri"/>
          <w:lang w:val="es-ES" w:eastAsia="en-US"/>
        </w:rPr>
      </w:pPr>
      <w:r w:rsidRPr="0039555A">
        <w:rPr>
          <w:rFonts w:eastAsia="Calibri"/>
          <w:lang w:val="es-ES" w:eastAsia="en-US"/>
        </w:rPr>
        <w:t xml:space="preserve">27. Escobar G, Matta J, Taype-Huamaní W, Ayala R, Amado J. Características Clínico epidemiológicas de pacientes fallecidos por COVID-19 en un Hospital Nacional de Lima, Perú. Rev. </w:t>
      </w:r>
      <w:proofErr w:type="spellStart"/>
      <w:r w:rsidRPr="0039555A">
        <w:rPr>
          <w:rFonts w:eastAsia="Calibri"/>
          <w:lang w:val="es-ES" w:eastAsia="en-US"/>
        </w:rPr>
        <w:t>Fac</w:t>
      </w:r>
      <w:proofErr w:type="spellEnd"/>
      <w:r w:rsidRPr="0039555A">
        <w:rPr>
          <w:rFonts w:eastAsia="Calibri"/>
          <w:lang w:val="es-ES" w:eastAsia="en-US"/>
        </w:rPr>
        <w:t xml:space="preserve">. </w:t>
      </w:r>
      <w:proofErr w:type="spellStart"/>
      <w:r w:rsidRPr="0039555A">
        <w:rPr>
          <w:rFonts w:eastAsia="Calibri"/>
          <w:lang w:val="es-ES" w:eastAsia="en-US"/>
        </w:rPr>
        <w:t>Med</w:t>
      </w:r>
      <w:proofErr w:type="spellEnd"/>
      <w:r w:rsidRPr="0039555A">
        <w:rPr>
          <w:rFonts w:eastAsia="Calibri"/>
          <w:lang w:val="es-ES" w:eastAsia="en-US"/>
        </w:rPr>
        <w:t xml:space="preserve">. Hum. 2020 [acceso: 4/07/2020]; 20(2):180–185. Disponible en: </w:t>
      </w:r>
      <w:hyperlink r:id="rId38" w:history="1">
        <w:r w:rsidRPr="0039555A">
          <w:rPr>
            <w:rFonts w:eastAsia="Calibri"/>
            <w:color w:val="0000FF"/>
            <w:u w:val="single"/>
            <w:lang w:val="es-ES" w:eastAsia="en-US"/>
          </w:rPr>
          <w:t>https://www.doi.org/10.25176/RFMH.v20i2.2940</w:t>
        </w:r>
      </w:hyperlink>
      <w:r w:rsidRPr="0039555A">
        <w:rPr>
          <w:rFonts w:eastAsia="Calibri"/>
          <w:lang w:val="es-ES" w:eastAsia="en-US"/>
        </w:rPr>
        <w:t xml:space="preserve"> </w:t>
      </w:r>
    </w:p>
    <w:p w14:paraId="7F0C336F" w14:textId="77777777" w:rsidR="0039555A" w:rsidRPr="0039555A" w:rsidRDefault="0039555A" w:rsidP="0039555A">
      <w:pPr>
        <w:spacing w:line="360" w:lineRule="auto"/>
        <w:rPr>
          <w:rFonts w:eastAsia="Calibri"/>
          <w:lang w:val="es-ES" w:eastAsia="en-US"/>
        </w:rPr>
      </w:pPr>
      <w:r w:rsidRPr="0039555A">
        <w:rPr>
          <w:rFonts w:eastAsia="Calibri"/>
          <w:lang w:val="es-ES" w:eastAsia="en-US"/>
        </w:rPr>
        <w:t xml:space="preserve">28. Acosta G, Escobar G, Bernaola G, Alfaro J, Taype W, Marcos C, et al. Caracterización de pacientes con COVID-19 grave atendidos en un hospital de referencia nacional del Perú. </w:t>
      </w:r>
      <w:proofErr w:type="spellStart"/>
      <w:r w:rsidRPr="0039555A">
        <w:rPr>
          <w:rFonts w:eastAsia="Calibri"/>
          <w:lang w:val="es-ES" w:eastAsia="en-US"/>
        </w:rPr>
        <w:t>Rev</w:t>
      </w:r>
      <w:proofErr w:type="spellEnd"/>
      <w:r w:rsidRPr="0039555A">
        <w:rPr>
          <w:rFonts w:eastAsia="Calibri"/>
          <w:lang w:val="es-ES" w:eastAsia="en-US"/>
        </w:rPr>
        <w:t xml:space="preserve"> </w:t>
      </w:r>
      <w:proofErr w:type="spellStart"/>
      <w:r w:rsidRPr="0039555A">
        <w:rPr>
          <w:rFonts w:eastAsia="Calibri"/>
          <w:lang w:val="es-ES" w:eastAsia="en-US"/>
        </w:rPr>
        <w:t>Peru</w:t>
      </w:r>
      <w:proofErr w:type="spellEnd"/>
      <w:r w:rsidRPr="0039555A">
        <w:rPr>
          <w:rFonts w:eastAsia="Calibri"/>
          <w:lang w:val="es-ES" w:eastAsia="en-US"/>
        </w:rPr>
        <w:t xml:space="preserve"> </w:t>
      </w:r>
      <w:proofErr w:type="spellStart"/>
      <w:r w:rsidRPr="0039555A">
        <w:rPr>
          <w:rFonts w:eastAsia="Calibri"/>
          <w:lang w:val="es-ES" w:eastAsia="en-US"/>
        </w:rPr>
        <w:t>Med</w:t>
      </w:r>
      <w:proofErr w:type="spellEnd"/>
      <w:r w:rsidRPr="0039555A">
        <w:rPr>
          <w:rFonts w:eastAsia="Calibri"/>
          <w:lang w:val="es-ES" w:eastAsia="en-US"/>
        </w:rPr>
        <w:t xml:space="preserve"> Exp </w:t>
      </w:r>
      <w:r w:rsidRPr="0039555A">
        <w:rPr>
          <w:rFonts w:eastAsia="Calibri"/>
          <w:lang w:val="es-ES" w:eastAsia="en-US"/>
        </w:rPr>
        <w:lastRenderedPageBreak/>
        <w:t xml:space="preserve">Salud Publica. 2020 [acceso: 25/07/2020]; 37(2):253-258.  Disponible en: </w:t>
      </w:r>
      <w:hyperlink r:id="rId39" w:history="1">
        <w:r w:rsidRPr="0039555A">
          <w:rPr>
            <w:rFonts w:eastAsia="Calibri"/>
            <w:color w:val="0000FF"/>
            <w:u w:val="single"/>
            <w:lang w:val="es-ES" w:eastAsia="en-US"/>
          </w:rPr>
          <w:t>http://www.scielo.org.pe/scielo.php?pid=S1726-46342020000200253&amp;script=sci_arttext</w:t>
        </w:r>
      </w:hyperlink>
      <w:r w:rsidRPr="0039555A">
        <w:rPr>
          <w:rFonts w:eastAsia="Calibri"/>
          <w:lang w:val="es-ES" w:eastAsia="en-US"/>
        </w:rPr>
        <w:t xml:space="preserve">      </w:t>
      </w:r>
    </w:p>
    <w:p w14:paraId="121E2868" w14:textId="77777777" w:rsidR="0039555A" w:rsidRPr="0039555A" w:rsidRDefault="0039555A" w:rsidP="0039555A">
      <w:pPr>
        <w:spacing w:line="360" w:lineRule="auto"/>
        <w:rPr>
          <w:rFonts w:eastAsia="Calibri"/>
          <w:lang w:val="es-ES" w:eastAsia="en-US"/>
        </w:rPr>
      </w:pPr>
      <w:r w:rsidRPr="0039555A">
        <w:rPr>
          <w:rFonts w:eastAsia="Calibri"/>
          <w:lang w:val="en-US" w:eastAsia="en-US"/>
        </w:rPr>
        <w:t xml:space="preserve">29. Wenham C, Smith J, Morgan R. COVID-19: the gendered impacts of the outbreak. </w:t>
      </w:r>
      <w:proofErr w:type="spellStart"/>
      <w:r w:rsidRPr="0039555A">
        <w:rPr>
          <w:rFonts w:eastAsia="Calibri"/>
          <w:lang w:val="es-ES" w:eastAsia="en-US"/>
        </w:rPr>
        <w:t>The</w:t>
      </w:r>
      <w:proofErr w:type="spellEnd"/>
      <w:r w:rsidRPr="0039555A">
        <w:rPr>
          <w:rFonts w:eastAsia="Calibri"/>
          <w:lang w:val="es-ES" w:eastAsia="en-US"/>
        </w:rPr>
        <w:t xml:space="preserve"> </w:t>
      </w:r>
      <w:proofErr w:type="spellStart"/>
      <w:r w:rsidRPr="0039555A">
        <w:rPr>
          <w:rFonts w:eastAsia="Calibri"/>
          <w:lang w:val="es-ES" w:eastAsia="en-US"/>
        </w:rPr>
        <w:t>lancet</w:t>
      </w:r>
      <w:proofErr w:type="spellEnd"/>
      <w:r w:rsidRPr="0039555A">
        <w:rPr>
          <w:rFonts w:eastAsia="Calibri"/>
          <w:lang w:val="es-ES" w:eastAsia="en-US"/>
        </w:rPr>
        <w:t xml:space="preserve">. 2020 [acceso: 7/07/2020]; 395(10227):846-848. Disponible en: </w:t>
      </w:r>
      <w:hyperlink r:id="rId40" w:history="1">
        <w:r w:rsidRPr="0039555A">
          <w:rPr>
            <w:rFonts w:eastAsia="Calibri"/>
            <w:color w:val="0000FF"/>
            <w:u w:val="single"/>
            <w:lang w:val="es-ES" w:eastAsia="en-US"/>
          </w:rPr>
          <w:t>https://www.doi.org/10.1016/s0140-6736(20)30526-2</w:t>
        </w:r>
      </w:hyperlink>
      <w:r w:rsidRPr="0039555A">
        <w:rPr>
          <w:rFonts w:eastAsia="Calibri"/>
          <w:lang w:val="es-ES" w:eastAsia="en-US"/>
        </w:rPr>
        <w:t xml:space="preserve"> </w:t>
      </w:r>
    </w:p>
    <w:p w14:paraId="2A00D3A8" w14:textId="77777777" w:rsidR="0039555A" w:rsidRPr="0039555A" w:rsidRDefault="0039555A" w:rsidP="0039555A">
      <w:pPr>
        <w:spacing w:line="360" w:lineRule="auto"/>
        <w:rPr>
          <w:rFonts w:eastAsia="Calibri"/>
          <w:lang w:val="es-ES" w:eastAsia="en-US"/>
        </w:rPr>
      </w:pPr>
      <w:r w:rsidRPr="0039555A">
        <w:rPr>
          <w:rFonts w:eastAsia="Calibri"/>
          <w:lang w:val="es-ES" w:eastAsia="en-US"/>
        </w:rPr>
        <w:t xml:space="preserve">30. Guzmán O, </w:t>
      </w:r>
      <w:proofErr w:type="spellStart"/>
      <w:r w:rsidRPr="0039555A">
        <w:rPr>
          <w:rFonts w:eastAsia="Calibri"/>
          <w:lang w:val="es-ES" w:eastAsia="en-US"/>
        </w:rPr>
        <w:t>Lucchesi</w:t>
      </w:r>
      <w:proofErr w:type="spellEnd"/>
      <w:r w:rsidRPr="0039555A">
        <w:rPr>
          <w:rFonts w:eastAsia="Calibri"/>
          <w:lang w:val="es-ES" w:eastAsia="en-US"/>
        </w:rPr>
        <w:t xml:space="preserve"> E, Trelles M, Pinedo R, </w:t>
      </w:r>
      <w:proofErr w:type="spellStart"/>
      <w:r w:rsidRPr="0039555A">
        <w:rPr>
          <w:rFonts w:eastAsia="Calibri"/>
          <w:lang w:val="es-ES" w:eastAsia="en-US"/>
        </w:rPr>
        <w:t>Camere</w:t>
      </w:r>
      <w:proofErr w:type="spellEnd"/>
      <w:r w:rsidRPr="0039555A">
        <w:rPr>
          <w:rFonts w:eastAsia="Calibri"/>
          <w:lang w:val="es-ES" w:eastAsia="en-US"/>
        </w:rPr>
        <w:t xml:space="preserve"> M, Daly A, et al. Características clínicas y epidemiológicas de 25 casos de COVID-19 atendidos en la Clínica Delgado de Lima. </w:t>
      </w:r>
      <w:proofErr w:type="spellStart"/>
      <w:r w:rsidRPr="0039555A">
        <w:rPr>
          <w:rFonts w:eastAsia="Calibri"/>
          <w:lang w:val="es-ES" w:eastAsia="en-US"/>
        </w:rPr>
        <w:t>Rev</w:t>
      </w:r>
      <w:proofErr w:type="spellEnd"/>
      <w:r w:rsidRPr="0039555A">
        <w:rPr>
          <w:rFonts w:eastAsia="Calibri"/>
          <w:lang w:val="es-ES" w:eastAsia="en-US"/>
        </w:rPr>
        <w:t xml:space="preserve"> </w:t>
      </w:r>
      <w:proofErr w:type="spellStart"/>
      <w:r w:rsidRPr="0039555A">
        <w:rPr>
          <w:rFonts w:eastAsia="Calibri"/>
          <w:lang w:val="es-ES" w:eastAsia="en-US"/>
        </w:rPr>
        <w:t>Soc</w:t>
      </w:r>
      <w:proofErr w:type="spellEnd"/>
      <w:r w:rsidRPr="0039555A">
        <w:rPr>
          <w:rFonts w:eastAsia="Calibri"/>
          <w:lang w:val="es-ES" w:eastAsia="en-US"/>
        </w:rPr>
        <w:t xml:space="preserve"> </w:t>
      </w:r>
      <w:proofErr w:type="spellStart"/>
      <w:r w:rsidRPr="0039555A">
        <w:rPr>
          <w:rFonts w:eastAsia="Calibri"/>
          <w:lang w:val="es-ES" w:eastAsia="en-US"/>
        </w:rPr>
        <w:t>Peru</w:t>
      </w:r>
      <w:proofErr w:type="spellEnd"/>
      <w:r w:rsidRPr="0039555A">
        <w:rPr>
          <w:rFonts w:eastAsia="Calibri"/>
          <w:lang w:val="es-ES" w:eastAsia="en-US"/>
        </w:rPr>
        <w:t xml:space="preserve"> </w:t>
      </w:r>
      <w:proofErr w:type="spellStart"/>
      <w:r w:rsidRPr="0039555A">
        <w:rPr>
          <w:rFonts w:eastAsia="Calibri"/>
          <w:lang w:val="es-ES" w:eastAsia="en-US"/>
        </w:rPr>
        <w:t>Med</w:t>
      </w:r>
      <w:proofErr w:type="spellEnd"/>
      <w:r w:rsidRPr="0039555A">
        <w:rPr>
          <w:rFonts w:eastAsia="Calibri"/>
          <w:lang w:val="es-ES" w:eastAsia="en-US"/>
        </w:rPr>
        <w:t xml:space="preserve"> Interna. 2020 [acceso: 29/06/2020]; 33(1): 15-24. Disponible en: </w:t>
      </w:r>
      <w:hyperlink r:id="rId41" w:history="1">
        <w:r w:rsidRPr="0039555A">
          <w:rPr>
            <w:rFonts w:eastAsia="Calibri"/>
            <w:color w:val="0000FF"/>
            <w:u w:val="single"/>
            <w:lang w:val="es-ES" w:eastAsia="en-US"/>
          </w:rPr>
          <w:t>https://www.revistamedicinainterna.net/index.php/spmi/article/view/506</w:t>
        </w:r>
      </w:hyperlink>
      <w:r w:rsidRPr="0039555A">
        <w:rPr>
          <w:rFonts w:eastAsia="Calibri"/>
          <w:lang w:val="es-ES" w:eastAsia="en-US"/>
        </w:rPr>
        <w:t xml:space="preserve">   </w:t>
      </w:r>
    </w:p>
    <w:p w14:paraId="7CC49E82" w14:textId="77777777" w:rsidR="0039555A" w:rsidRPr="0039555A" w:rsidRDefault="0039555A" w:rsidP="0039555A">
      <w:pPr>
        <w:spacing w:line="360" w:lineRule="auto"/>
        <w:jc w:val="both"/>
        <w:rPr>
          <w:rFonts w:eastAsia="Calibri"/>
          <w:lang w:val="es-ES" w:eastAsia="en-US"/>
        </w:rPr>
      </w:pPr>
    </w:p>
    <w:p w14:paraId="1E01D033" w14:textId="77777777" w:rsidR="0039555A" w:rsidRPr="0039555A" w:rsidRDefault="0039555A" w:rsidP="0039555A">
      <w:pPr>
        <w:spacing w:line="360" w:lineRule="auto"/>
        <w:jc w:val="center"/>
        <w:rPr>
          <w:b/>
          <w:bCs/>
          <w:lang w:val="es-ES" w:eastAsia="es-ES"/>
        </w:rPr>
      </w:pPr>
    </w:p>
    <w:p w14:paraId="469CE874" w14:textId="77777777" w:rsidR="0039555A" w:rsidRPr="0039555A" w:rsidRDefault="0039555A" w:rsidP="0039555A">
      <w:pPr>
        <w:spacing w:line="360" w:lineRule="auto"/>
        <w:jc w:val="center"/>
        <w:rPr>
          <w:b/>
          <w:bCs/>
          <w:lang w:val="es-ES" w:eastAsia="es-ES"/>
        </w:rPr>
      </w:pPr>
      <w:r w:rsidRPr="0039555A">
        <w:rPr>
          <w:b/>
          <w:bCs/>
          <w:lang w:val="es-ES" w:eastAsia="es-ES"/>
        </w:rPr>
        <w:t>Conflictos de interés</w:t>
      </w:r>
    </w:p>
    <w:p w14:paraId="0C8E7F43" w14:textId="77777777" w:rsidR="0039555A" w:rsidRPr="0039555A" w:rsidRDefault="0039555A" w:rsidP="0039555A">
      <w:pPr>
        <w:spacing w:line="360" w:lineRule="auto"/>
        <w:jc w:val="both"/>
        <w:rPr>
          <w:lang w:val="es-ES" w:eastAsia="es-ES"/>
        </w:rPr>
      </w:pPr>
      <w:r w:rsidRPr="0039555A">
        <w:rPr>
          <w:lang w:val="es-ES" w:eastAsia="es-ES"/>
        </w:rPr>
        <w:t>Los autores declaran que no existen conflictos de interés.</w:t>
      </w:r>
    </w:p>
    <w:p w14:paraId="51B4EE01" w14:textId="77777777" w:rsidR="0039555A" w:rsidRPr="0039555A" w:rsidRDefault="0039555A" w:rsidP="0039555A">
      <w:pPr>
        <w:spacing w:line="360" w:lineRule="auto"/>
        <w:jc w:val="both"/>
        <w:rPr>
          <w:lang w:val="es-ES" w:eastAsia="es-ES"/>
        </w:rPr>
      </w:pPr>
    </w:p>
    <w:p w14:paraId="251B6CD7" w14:textId="77777777" w:rsidR="0039555A" w:rsidRPr="0039555A" w:rsidRDefault="0039555A" w:rsidP="0039555A">
      <w:pPr>
        <w:spacing w:line="360" w:lineRule="auto"/>
        <w:jc w:val="center"/>
        <w:rPr>
          <w:color w:val="FF0000"/>
          <w:lang w:val="es-ES" w:eastAsia="es-ES"/>
        </w:rPr>
      </w:pPr>
      <w:r w:rsidRPr="0039555A">
        <w:rPr>
          <w:b/>
          <w:bCs/>
          <w:lang w:val="es-ES" w:eastAsia="es-ES"/>
        </w:rPr>
        <w:t>Contribuciones de los autores</w:t>
      </w:r>
    </w:p>
    <w:p w14:paraId="282B2ABB" w14:textId="77777777" w:rsidR="0039555A" w:rsidRPr="0039555A" w:rsidRDefault="0039555A" w:rsidP="0039555A">
      <w:pPr>
        <w:spacing w:line="360" w:lineRule="auto"/>
        <w:rPr>
          <w:lang w:val="es-ES" w:eastAsia="es-ES"/>
        </w:rPr>
      </w:pPr>
      <w:r w:rsidRPr="0039555A">
        <w:rPr>
          <w:i/>
          <w:iCs/>
          <w:lang w:val="es-ES" w:eastAsia="es-ES"/>
        </w:rPr>
        <w:t>Juan Bruno Ruiz Nápoles:</w:t>
      </w:r>
      <w:r w:rsidRPr="0039555A">
        <w:rPr>
          <w:lang w:val="es-ES" w:eastAsia="es-ES"/>
        </w:rPr>
        <w:t xml:space="preserve"> diseño y realización de la investigación.</w:t>
      </w:r>
    </w:p>
    <w:p w14:paraId="1B130B5F" w14:textId="77777777" w:rsidR="0039555A" w:rsidRPr="0039555A" w:rsidRDefault="0039555A" w:rsidP="0039555A">
      <w:pPr>
        <w:spacing w:line="360" w:lineRule="auto"/>
        <w:rPr>
          <w:lang w:val="es-ES" w:eastAsia="es-ES"/>
        </w:rPr>
      </w:pPr>
      <w:proofErr w:type="spellStart"/>
      <w:r w:rsidRPr="0039555A">
        <w:rPr>
          <w:i/>
          <w:iCs/>
          <w:lang w:val="es-ES" w:eastAsia="es-ES"/>
        </w:rPr>
        <w:t>Katerine</w:t>
      </w:r>
      <w:proofErr w:type="spellEnd"/>
      <w:r w:rsidRPr="0039555A">
        <w:rPr>
          <w:i/>
          <w:iCs/>
          <w:lang w:val="es-ES" w:eastAsia="es-ES"/>
        </w:rPr>
        <w:t xml:space="preserve"> Ruiz Nápoles:</w:t>
      </w:r>
      <w:r w:rsidRPr="0039555A">
        <w:rPr>
          <w:lang w:val="es-ES" w:eastAsia="es-ES"/>
        </w:rPr>
        <w:t xml:space="preserve"> búsqueda, revisión de la información y discusión.</w:t>
      </w:r>
    </w:p>
    <w:p w14:paraId="44A80145" w14:textId="77777777" w:rsidR="0039555A" w:rsidRPr="0039555A" w:rsidRDefault="0039555A" w:rsidP="0039555A">
      <w:pPr>
        <w:spacing w:line="360" w:lineRule="auto"/>
        <w:jc w:val="center"/>
        <w:rPr>
          <w:rFonts w:eastAsia="Calibri"/>
          <w:b/>
          <w:bCs/>
          <w:color w:val="FF0000"/>
          <w:lang w:val="es-ES" w:eastAsia="en-US"/>
        </w:rPr>
      </w:pPr>
    </w:p>
    <w:p w14:paraId="5B1EA17B" w14:textId="77777777" w:rsidR="00675476" w:rsidRPr="0039555A" w:rsidRDefault="00675476" w:rsidP="00391509">
      <w:pPr>
        <w:rPr>
          <w:lang w:val="es-ES"/>
        </w:rPr>
      </w:pPr>
    </w:p>
    <w:sectPr w:rsidR="00675476" w:rsidRPr="0039555A" w:rsidSect="00486BFA">
      <w:headerReference w:type="default" r:id="rId42"/>
      <w:footerReference w:type="even" r:id="rId43"/>
      <w:footerReference w:type="default" r:id="rId44"/>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7738C" w14:textId="77777777" w:rsidR="007F5A87" w:rsidRDefault="007F5A87">
      <w:r>
        <w:separator/>
      </w:r>
    </w:p>
  </w:endnote>
  <w:endnote w:type="continuationSeparator" w:id="0">
    <w:p w14:paraId="7D71095E" w14:textId="77777777" w:rsidR="007F5A87" w:rsidRDefault="007F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628C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281A4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9FEE7" w14:textId="01309F90" w:rsidR="000F3690" w:rsidRPr="00AE044C" w:rsidRDefault="0039555A"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6AED29F0" wp14:editId="63B711BE">
              <wp:simplePos x="0" y="0"/>
              <wp:positionH relativeFrom="column">
                <wp:posOffset>3810</wp:posOffset>
              </wp:positionH>
              <wp:positionV relativeFrom="paragraph">
                <wp:posOffset>50165</wp:posOffset>
              </wp:positionV>
              <wp:extent cx="6286500" cy="19050"/>
              <wp:effectExtent l="19050" t="1905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3569C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EiyAEAAG4DAAAOAAAAZHJzL2Uyb0RvYy54bWysU02P2yAQvVfqf0DcGztRk0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PeogSLIAQAAbgMAAA4AAAAAAAAAAAAA&#10;AAAALgIAAGRycy9lMm9Eb2MueG1sUEsBAi0AFAAGAAgAAAAhAIaAvpPaAAAABQEAAA8AAAAAAAAA&#10;AAAAAAAAIgQAAGRycy9kb3ducmV2LnhtbFBLBQYAAAAABAAEAPMAAAApBQAAAAA=&#10;" strokecolor="blue" strokeweight="2.25pt"/>
          </w:pict>
        </mc:Fallback>
      </mc:AlternateContent>
    </w:r>
  </w:p>
  <w:p w14:paraId="4434CDCB" w14:textId="77777777" w:rsidR="00675476" w:rsidRPr="00AE044C" w:rsidRDefault="007F5A87" w:rsidP="00391509">
    <w:pPr>
      <w:pStyle w:val="Piedepgina"/>
      <w:ind w:right="360"/>
      <w:rPr>
        <w:sz w:val="22"/>
        <w:szCs w:val="22"/>
      </w:rPr>
    </w:pPr>
    <w:hyperlink r:id="rId1" w:history="1">
      <w:r w:rsidR="00391509" w:rsidRPr="00AE044C">
        <w:rPr>
          <w:rStyle w:val="Hipervnculo"/>
          <w:sz w:val="22"/>
          <w:szCs w:val="22"/>
        </w:rPr>
        <w:t>http://scielo.sld.cu</w:t>
      </w:r>
    </w:hyperlink>
  </w:p>
  <w:p w14:paraId="38C7B179" w14:textId="77777777" w:rsidR="00391509" w:rsidRPr="00AE044C" w:rsidRDefault="007F5A87"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FF048CB" w14:textId="2AF2C085"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39555A" w:rsidRPr="0039555A">
      <w:rPr>
        <w:rFonts w:ascii="Verdana" w:hAnsi="Verdana"/>
        <w:noProof/>
        <w:sz w:val="18"/>
        <w:szCs w:val="18"/>
        <w:lang w:val="en-US" w:eastAsia="en-US"/>
      </w:rPr>
      <w:drawing>
        <wp:inline distT="0" distB="0" distL="0" distR="0" wp14:anchorId="276EC40A" wp14:editId="07D25425">
          <wp:extent cx="638175" cy="148590"/>
          <wp:effectExtent l="0" t="0" r="0" b="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85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93910" w14:textId="77777777" w:rsidR="007F5A87" w:rsidRDefault="007F5A87">
      <w:r>
        <w:separator/>
      </w:r>
    </w:p>
  </w:footnote>
  <w:footnote w:type="continuationSeparator" w:id="0">
    <w:p w14:paraId="0381EB37" w14:textId="77777777" w:rsidR="007F5A87" w:rsidRDefault="007F5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4241A" w14:textId="4145308E" w:rsidR="00CC376A" w:rsidRPr="00AE044C" w:rsidRDefault="0039555A"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7EE20795" wp14:editId="7AEF16A8">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proofErr w:type="gramStart"/>
    <w:r w:rsidR="00493701" w:rsidRPr="00AE044C">
      <w:rPr>
        <w:sz w:val="22"/>
        <w:szCs w:val="22"/>
      </w:rPr>
      <w:t>)</w:t>
    </w:r>
    <w:r w:rsidR="00391509" w:rsidRPr="00AE044C">
      <w:rPr>
        <w:sz w:val="22"/>
        <w:szCs w:val="22"/>
      </w:rPr>
      <w:t>:</w:t>
    </w:r>
    <w:r>
      <w:rPr>
        <w:sz w:val="22"/>
        <w:szCs w:val="22"/>
      </w:rPr>
      <w:t>e</w:t>
    </w:r>
    <w:proofErr w:type="gramEnd"/>
    <w:r>
      <w:rPr>
        <w:sz w:val="22"/>
        <w:szCs w:val="22"/>
      </w:rPr>
      <w:t>0210893</w:t>
    </w:r>
  </w:p>
  <w:p w14:paraId="4B19D59B" w14:textId="236C82EA" w:rsidR="00A477DE" w:rsidRDefault="0039555A">
    <w:r>
      <w:rPr>
        <w:noProof/>
      </w:rPr>
      <mc:AlternateContent>
        <mc:Choice Requires="wps">
          <w:drawing>
            <wp:anchor distT="0" distB="0" distL="114300" distR="114300" simplePos="0" relativeHeight="251657216" behindDoc="0" locked="0" layoutInCell="1" allowOverlap="1" wp14:anchorId="4049D13F" wp14:editId="33FA466D">
              <wp:simplePos x="0" y="0"/>
              <wp:positionH relativeFrom="column">
                <wp:posOffset>3810</wp:posOffset>
              </wp:positionH>
              <wp:positionV relativeFrom="paragraph">
                <wp:posOffset>44450</wp:posOffset>
              </wp:positionV>
              <wp:extent cx="6276975" cy="28575"/>
              <wp:effectExtent l="19050" t="19050" r="9525"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654778"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DawQ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C767E"/>
    <w:multiLevelType w:val="hybridMultilevel"/>
    <w:tmpl w:val="0D6AF6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301BC1"/>
    <w:multiLevelType w:val="multilevel"/>
    <w:tmpl w:val="02DCF3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6C1222B"/>
    <w:multiLevelType w:val="hybridMultilevel"/>
    <w:tmpl w:val="891EBAD8"/>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A2F22"/>
    <w:multiLevelType w:val="hybridMultilevel"/>
    <w:tmpl w:val="B77CC9C2"/>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E4E5E"/>
    <w:multiLevelType w:val="hybridMultilevel"/>
    <w:tmpl w:val="402AE2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1AE0C5A"/>
    <w:multiLevelType w:val="hybridMultilevel"/>
    <w:tmpl w:val="F9B2D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27768"/>
    <w:multiLevelType w:val="hybridMultilevel"/>
    <w:tmpl w:val="D13A5DD0"/>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24903"/>
    <w:multiLevelType w:val="hybridMultilevel"/>
    <w:tmpl w:val="A5AE9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B408BF"/>
    <w:multiLevelType w:val="multilevel"/>
    <w:tmpl w:val="668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E358E3"/>
    <w:multiLevelType w:val="multilevel"/>
    <w:tmpl w:val="73E82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E15FC5"/>
    <w:multiLevelType w:val="multilevel"/>
    <w:tmpl w:val="BE043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9"/>
    <w:lvlOverride w:ilvl="0">
      <w:startOverride w:val="3"/>
    </w:lvlOverride>
  </w:num>
  <w:num w:numId="4">
    <w:abstractNumId w:val="1"/>
  </w:num>
  <w:num w:numId="5">
    <w:abstractNumId w:val="4"/>
  </w:num>
  <w:num w:numId="6">
    <w:abstractNumId w:val="0"/>
  </w:num>
  <w:num w:numId="7">
    <w:abstractNumId w:val="7"/>
  </w:num>
  <w:num w:numId="8">
    <w:abstractNumId w:val="5"/>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5A"/>
    <w:rsid w:val="000F3690"/>
    <w:rsid w:val="001221D1"/>
    <w:rsid w:val="00180CE9"/>
    <w:rsid w:val="001C1031"/>
    <w:rsid w:val="00230DD5"/>
    <w:rsid w:val="00380D64"/>
    <w:rsid w:val="00391509"/>
    <w:rsid w:val="0039555A"/>
    <w:rsid w:val="003E03D5"/>
    <w:rsid w:val="00486BFA"/>
    <w:rsid w:val="00493701"/>
    <w:rsid w:val="004E2065"/>
    <w:rsid w:val="005508A2"/>
    <w:rsid w:val="0055754F"/>
    <w:rsid w:val="00566F71"/>
    <w:rsid w:val="005918BD"/>
    <w:rsid w:val="00675476"/>
    <w:rsid w:val="007C430F"/>
    <w:rsid w:val="007D614D"/>
    <w:rsid w:val="007F5A87"/>
    <w:rsid w:val="00873700"/>
    <w:rsid w:val="00960D6A"/>
    <w:rsid w:val="009A0560"/>
    <w:rsid w:val="009B0917"/>
    <w:rsid w:val="00A23C0C"/>
    <w:rsid w:val="00A477DE"/>
    <w:rsid w:val="00A71E65"/>
    <w:rsid w:val="00AE044C"/>
    <w:rsid w:val="00B31971"/>
    <w:rsid w:val="00B4380A"/>
    <w:rsid w:val="00B66ECB"/>
    <w:rsid w:val="00C7523A"/>
    <w:rsid w:val="00CC1B6E"/>
    <w:rsid w:val="00CC376A"/>
    <w:rsid w:val="00CC48A1"/>
    <w:rsid w:val="00CF50E0"/>
    <w:rsid w:val="00D85951"/>
    <w:rsid w:val="00E068F2"/>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2BCAB"/>
  <w15:docId w15:val="{7B9CE9D6-B98B-438C-B325-C1D1D6DC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numbering" w:customStyle="1" w:styleId="Sinlista1">
    <w:name w:val="Sin lista1"/>
    <w:next w:val="Sinlista"/>
    <w:uiPriority w:val="99"/>
    <w:semiHidden/>
    <w:unhideWhenUsed/>
    <w:rsid w:val="0039555A"/>
  </w:style>
  <w:style w:type="paragraph" w:customStyle="1" w:styleId="style10">
    <w:name w:val="style10"/>
    <w:basedOn w:val="Normal"/>
    <w:rsid w:val="0039555A"/>
    <w:pPr>
      <w:spacing w:before="100" w:beforeAutospacing="1" w:after="100" w:afterAutospacing="1"/>
    </w:pPr>
    <w:rPr>
      <w:lang w:val="es-ES" w:eastAsia="es-ES"/>
    </w:rPr>
  </w:style>
  <w:style w:type="character" w:styleId="Textoennegrita">
    <w:name w:val="Strong"/>
    <w:uiPriority w:val="22"/>
    <w:qFormat/>
    <w:rsid w:val="0039555A"/>
    <w:rPr>
      <w:b/>
      <w:bCs/>
    </w:rPr>
  </w:style>
  <w:style w:type="paragraph" w:customStyle="1" w:styleId="style3">
    <w:name w:val="style3"/>
    <w:basedOn w:val="Normal"/>
    <w:rsid w:val="0039555A"/>
    <w:pPr>
      <w:spacing w:before="100" w:beforeAutospacing="1" w:after="100" w:afterAutospacing="1"/>
    </w:pPr>
    <w:rPr>
      <w:lang w:val="es-ES" w:eastAsia="es-ES"/>
    </w:rPr>
  </w:style>
  <w:style w:type="character" w:styleId="nfasis">
    <w:name w:val="Emphasis"/>
    <w:uiPriority w:val="20"/>
    <w:qFormat/>
    <w:rsid w:val="0039555A"/>
    <w:rPr>
      <w:i/>
      <w:iCs/>
    </w:rPr>
  </w:style>
  <w:style w:type="paragraph" w:customStyle="1" w:styleId="DecimalAligned">
    <w:name w:val="Decimal Aligned"/>
    <w:basedOn w:val="Normal"/>
    <w:uiPriority w:val="40"/>
    <w:qFormat/>
    <w:rsid w:val="0039555A"/>
    <w:pPr>
      <w:tabs>
        <w:tab w:val="decimal" w:pos="360"/>
      </w:tabs>
      <w:spacing w:after="200" w:line="276" w:lineRule="auto"/>
    </w:pPr>
    <w:rPr>
      <w:rFonts w:ascii="Calibri" w:hAnsi="Calibri"/>
      <w:sz w:val="22"/>
      <w:szCs w:val="22"/>
      <w:lang w:val="es-ES" w:eastAsia="es-ES"/>
    </w:rPr>
  </w:style>
  <w:style w:type="paragraph" w:styleId="Textonotapie">
    <w:name w:val="footnote text"/>
    <w:basedOn w:val="Normal"/>
    <w:link w:val="TextonotapieCar"/>
    <w:uiPriority w:val="99"/>
    <w:unhideWhenUsed/>
    <w:rsid w:val="0039555A"/>
    <w:rPr>
      <w:rFonts w:ascii="Calibri" w:hAnsi="Calibri"/>
      <w:sz w:val="20"/>
      <w:szCs w:val="20"/>
      <w:lang w:val="es-ES" w:eastAsia="es-ES"/>
    </w:rPr>
  </w:style>
  <w:style w:type="character" w:customStyle="1" w:styleId="TextonotapieCar">
    <w:name w:val="Texto nota pie Car"/>
    <w:basedOn w:val="Fuentedeprrafopredeter"/>
    <w:link w:val="Textonotapie"/>
    <w:uiPriority w:val="99"/>
    <w:rsid w:val="0039555A"/>
    <w:rPr>
      <w:rFonts w:ascii="Calibri" w:hAnsi="Calibri"/>
      <w:lang w:val="es-ES" w:eastAsia="es-ES"/>
    </w:rPr>
  </w:style>
  <w:style w:type="character" w:styleId="nfasissutil">
    <w:name w:val="Subtle Emphasis"/>
    <w:uiPriority w:val="19"/>
    <w:qFormat/>
    <w:rsid w:val="0039555A"/>
    <w:rPr>
      <w:i/>
      <w:iCs/>
    </w:rPr>
  </w:style>
  <w:style w:type="table" w:styleId="Sombreadoclaro-nfasis1">
    <w:name w:val="Light Shading Accent 1"/>
    <w:basedOn w:val="Tablanormal"/>
    <w:uiPriority w:val="60"/>
    <w:rsid w:val="0039555A"/>
    <w:rPr>
      <w:rFonts w:ascii="Calibri" w:hAnsi="Calibri"/>
      <w:color w:val="365F91"/>
      <w:sz w:val="22"/>
      <w:szCs w:val="22"/>
      <w:lang w:val="es-ES"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medio2-nfasis5">
    <w:name w:val="Medium Shading 2 Accent 5"/>
    <w:basedOn w:val="Tablanormal"/>
    <w:uiPriority w:val="64"/>
    <w:rsid w:val="0039555A"/>
    <w:rPr>
      <w:rFonts w:ascii="Calibri" w:hAnsi="Calibri"/>
      <w:sz w:val="22"/>
      <w:szCs w:val="22"/>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clara">
    <w:name w:val="Light List"/>
    <w:basedOn w:val="Tablanormal"/>
    <w:uiPriority w:val="61"/>
    <w:rsid w:val="0039555A"/>
    <w:rPr>
      <w:rFonts w:ascii="Calibri" w:hAnsi="Calibri"/>
      <w:sz w:val="22"/>
      <w:szCs w:val="22"/>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Descripcin">
    <w:name w:val="caption"/>
    <w:basedOn w:val="Normal"/>
    <w:next w:val="Normal"/>
    <w:uiPriority w:val="35"/>
    <w:unhideWhenUsed/>
    <w:qFormat/>
    <w:rsid w:val="0039555A"/>
    <w:pPr>
      <w:spacing w:after="200"/>
    </w:pPr>
    <w:rPr>
      <w:rFonts w:ascii="Calibri" w:eastAsia="Calibri" w:hAnsi="Calibri"/>
      <w:i/>
      <w:iCs/>
      <w:color w:val="1F497D"/>
      <w:sz w:val="18"/>
      <w:szCs w:val="18"/>
      <w:lang w:val="es-ES" w:eastAsia="en-US"/>
    </w:rPr>
  </w:style>
  <w:style w:type="paragraph" w:styleId="Prrafodelista">
    <w:name w:val="List Paragraph"/>
    <w:basedOn w:val="Normal"/>
    <w:uiPriority w:val="34"/>
    <w:qFormat/>
    <w:rsid w:val="0039555A"/>
    <w:pPr>
      <w:spacing w:after="200" w:line="276" w:lineRule="auto"/>
      <w:ind w:left="720"/>
      <w:contextualSpacing/>
    </w:pPr>
    <w:rPr>
      <w:rFonts w:ascii="Calibri" w:eastAsia="Calibri" w:hAnsi="Calibri"/>
      <w:sz w:val="22"/>
      <w:szCs w:val="22"/>
      <w:lang w:val="es-ES" w:eastAsia="en-US"/>
    </w:rPr>
  </w:style>
  <w:style w:type="character" w:styleId="Refdecomentario">
    <w:name w:val="annotation reference"/>
    <w:uiPriority w:val="99"/>
    <w:semiHidden/>
    <w:unhideWhenUsed/>
    <w:rsid w:val="0039555A"/>
    <w:rPr>
      <w:sz w:val="16"/>
      <w:szCs w:val="16"/>
    </w:rPr>
  </w:style>
  <w:style w:type="paragraph" w:styleId="Textocomentario">
    <w:name w:val="annotation text"/>
    <w:basedOn w:val="Normal"/>
    <w:link w:val="TextocomentarioCar"/>
    <w:uiPriority w:val="99"/>
    <w:semiHidden/>
    <w:unhideWhenUsed/>
    <w:rsid w:val="0039555A"/>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39555A"/>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39555A"/>
    <w:rPr>
      <w:b/>
      <w:bCs/>
    </w:rPr>
  </w:style>
  <w:style w:type="character" w:customStyle="1" w:styleId="AsuntodelcomentarioCar">
    <w:name w:val="Asunto del comentario Car"/>
    <w:basedOn w:val="TextocomentarioCar"/>
    <w:link w:val="Asuntodelcomentario"/>
    <w:uiPriority w:val="99"/>
    <w:semiHidden/>
    <w:rsid w:val="0039555A"/>
    <w:rPr>
      <w:rFonts w:ascii="Calibri" w:eastAsia="Calibri" w:hAnsi="Calibri"/>
      <w:b/>
      <w:bCs/>
      <w:lang w:val="es-ES" w:eastAsia="en-US"/>
    </w:rPr>
  </w:style>
  <w:style w:type="paragraph" w:styleId="Textoindependiente">
    <w:name w:val="Body Text"/>
    <w:basedOn w:val="Normal"/>
    <w:link w:val="TextoindependienteCar"/>
    <w:uiPriority w:val="99"/>
    <w:unhideWhenUsed/>
    <w:rsid w:val="0039555A"/>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39555A"/>
    <w:rPr>
      <w:rFonts w:ascii="Arial" w:hAnsi="Arial" w:cs="Arial"/>
      <w:sz w:val="12"/>
      <w:szCs w:val="12"/>
      <w:lang w:val="es-ES" w:eastAsia="es-ES"/>
    </w:rPr>
  </w:style>
  <w:style w:type="character" w:customStyle="1" w:styleId="Mencinsinresolver1">
    <w:name w:val="Mención sin resolver1"/>
    <w:uiPriority w:val="99"/>
    <w:semiHidden/>
    <w:unhideWhenUsed/>
    <w:rsid w:val="0039555A"/>
    <w:rPr>
      <w:color w:val="605E5C"/>
      <w:shd w:val="clear" w:color="auto" w:fill="E1DFDD"/>
    </w:rPr>
  </w:style>
  <w:style w:type="character" w:customStyle="1" w:styleId="Mencinsinresolver2">
    <w:name w:val="Mención sin resolver2"/>
    <w:uiPriority w:val="99"/>
    <w:semiHidden/>
    <w:unhideWhenUsed/>
    <w:rsid w:val="0039555A"/>
    <w:rPr>
      <w:color w:val="605E5C"/>
      <w:shd w:val="clear" w:color="auto" w:fill="E1DFDD"/>
    </w:rPr>
  </w:style>
  <w:style w:type="character" w:customStyle="1" w:styleId="Mencinsinresolver3">
    <w:name w:val="Mención sin resolver3"/>
    <w:uiPriority w:val="99"/>
    <w:semiHidden/>
    <w:unhideWhenUsed/>
    <w:rsid w:val="0039555A"/>
    <w:rPr>
      <w:color w:val="605E5C"/>
      <w:shd w:val="clear" w:color="auto" w:fill="E1DFDD"/>
    </w:rPr>
  </w:style>
  <w:style w:type="table" w:customStyle="1" w:styleId="Sombreadomedio2-nfasis51">
    <w:name w:val="Sombreado medio 2 - Énfasis 51"/>
    <w:basedOn w:val="Tablanormal"/>
    <w:next w:val="Sombreadomedio2-nfasis5"/>
    <w:uiPriority w:val="64"/>
    <w:rsid w:val="0039555A"/>
    <w:rPr>
      <w:rFonts w:ascii="Calibri" w:hAnsi="Calibri"/>
      <w:sz w:val="22"/>
      <w:szCs w:val="22"/>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304-3675" TargetMode="External"/><Relationship Id="rId13" Type="http://schemas.openxmlformats.org/officeDocument/2006/relationships/hyperlink" Target="http://www.doi.org/10.1002/jmv.25822" TargetMode="External"/><Relationship Id="rId18" Type="http://schemas.openxmlformats.org/officeDocument/2006/relationships/hyperlink" Target="https://pubmed.ncbi.nlm.nih.gov/31967327/" TargetMode="External"/><Relationship Id="rId26" Type="http://schemas.openxmlformats.org/officeDocument/2006/relationships/hyperlink" Target="https://academic.oup.com/cid/advence-article/10.1093/cid/ciaa198/" TargetMode="External"/><Relationship Id="rId39" Type="http://schemas.openxmlformats.org/officeDocument/2006/relationships/hyperlink" Target="http://www.scielo.org.pe/scielo.php?pid=S1726-46342020000200253&amp;script=sci_arttext" TargetMode="External"/><Relationship Id="rId3" Type="http://schemas.openxmlformats.org/officeDocument/2006/relationships/settings" Target="settings.xml"/><Relationship Id="rId21" Type="http://schemas.openxmlformats.org/officeDocument/2006/relationships/hyperlink" Target="http://pubmed.ncbi.nlm.nih.gov/24141714/" TargetMode="External"/><Relationship Id="rId34" Type="http://schemas.openxmlformats.org/officeDocument/2006/relationships/hyperlink" Target="http://revzoilomarinello.sld.cu/index.php/zmv/article/view/2352" TargetMode="External"/><Relationship Id="rId42" Type="http://schemas.openxmlformats.org/officeDocument/2006/relationships/header" Target="header1.xml"/><Relationship Id="rId7" Type="http://schemas.openxmlformats.org/officeDocument/2006/relationships/hyperlink" Target="https://orcid.org/0000-0001-6942-3333" TargetMode="External"/><Relationship Id="rId12" Type="http://schemas.openxmlformats.org/officeDocument/2006/relationships/hyperlink" Target="http://www.doi.org/10.1002/jmv.25748" TargetMode="External"/><Relationship Id="rId17" Type="http://schemas.openxmlformats.org/officeDocument/2006/relationships/hyperlink" Target="https://www.revhabanera.sld.cu/index.php/rhab/article/view/3254/2505" TargetMode="External"/><Relationship Id="rId25" Type="http://schemas.openxmlformats.org/officeDocument/2006/relationships/hyperlink" Target="http://idpjournal.biomedcentral.com/articles/10.1186/s40249-020-00679-2" TargetMode="External"/><Relationship Id="rId33" Type="http://schemas.openxmlformats.org/officeDocument/2006/relationships/hyperlink" Target="https://revzoilomarinello.sld.cu/index.php/zmv/article/view/2361" TargetMode="External"/><Relationship Id="rId38" Type="http://schemas.openxmlformats.org/officeDocument/2006/relationships/hyperlink" Target="https://www.doi.org/10.25176/RFMH.v20i2.2940"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vhabanera.sld.cu/index.php/rhab/article/view/3279" TargetMode="External"/><Relationship Id="rId20" Type="http://schemas.openxmlformats.org/officeDocument/2006/relationships/hyperlink" Target="https://www.revzoilomarinello.sld.cu/index.php/zmv/article/view/2339" TargetMode="External"/><Relationship Id="rId29" Type="http://schemas.openxmlformats.org/officeDocument/2006/relationships/hyperlink" Target="https://www.thelancet.com/journal/lancet/onlinefirst" TargetMode="External"/><Relationship Id="rId41" Type="http://schemas.openxmlformats.org/officeDocument/2006/relationships/hyperlink" Target="https://www.revistamedicinainterna.net/index.php/spmi/article/view/5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24" Type="http://schemas.openxmlformats.org/officeDocument/2006/relationships/hyperlink" Target="https://doi.org/10.1016/j.jmii.2020.05.001" TargetMode="External"/><Relationship Id="rId32" Type="http://schemas.openxmlformats.org/officeDocument/2006/relationships/hyperlink" Target="https://medimay.sld.cu/index.php/rcmh/article/view/1660" TargetMode="External"/><Relationship Id="rId37" Type="http://schemas.openxmlformats.org/officeDocument/2006/relationships/hyperlink" Target="https://www.doi.org/10.1016/S0140-6736(20)31189-2" TargetMode="External"/><Relationship Id="rId40" Type="http://schemas.openxmlformats.org/officeDocument/2006/relationships/hyperlink" Target="https://www.doi.org/10.1016/s0140-6736(20)30526-2"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S0140-6736(20)30183-5" TargetMode="External"/><Relationship Id="rId23" Type="http://schemas.openxmlformats.org/officeDocument/2006/relationships/hyperlink" Target="https://www.ncbi.nlm.nih.gov/pmc/articles/PMC7291769" TargetMode="External"/><Relationship Id="rId28" Type="http://schemas.openxmlformats.org/officeDocument/2006/relationships/hyperlink" Target="https://www.sciencedirect.com/science/article/pii/s2013251420300754" TargetMode="External"/><Relationship Id="rId36" Type="http://schemas.openxmlformats.org/officeDocument/2006/relationships/hyperlink" Target="https://www.medrxiv.org/content/10.1101/2020.06.22.20137489v1" TargetMode="External"/><Relationship Id="rId10" Type="http://schemas.openxmlformats.org/officeDocument/2006/relationships/image" Target="media/image1.gif"/><Relationship Id="rId19" Type="http://schemas.openxmlformats.org/officeDocument/2006/relationships/hyperlink" Target="https://www.revcardiologia.sld.cu/index.php/revcardiologia/article/view/999" TargetMode="External"/><Relationship Id="rId31" Type="http://schemas.openxmlformats.org/officeDocument/2006/relationships/hyperlink" Target="https://medisan.sld.cu/index.php/san/article/view/3145"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juanbhlg@infomed.sld.cu" TargetMode="External"/><Relationship Id="rId14" Type="http://schemas.openxmlformats.org/officeDocument/2006/relationships/hyperlink" Target="https://covid19.who.int/?gclid=EAIaIQobChMIrLW_poyo7QIVxNrICh2Z6Q5OEAAYASAAEgICfvD_BwE" TargetMode="External"/><Relationship Id="rId22" Type="http://schemas.openxmlformats.org/officeDocument/2006/relationships/hyperlink" Target="https://www.ncbi.nlm.gov/pmc/articles/PMC7270890" TargetMode="External"/><Relationship Id="rId27" Type="http://schemas.openxmlformats.org/officeDocument/2006/relationships/hyperlink" Target="https://www.doi.org/10.2807/1560-7917" TargetMode="External"/><Relationship Id="rId30" Type="http://schemas.openxmlformats.org/officeDocument/2006/relationships/hyperlink" Target="https://www.revhabanera.sld.cu/index.php/rhab/article/view/3413" TargetMode="External"/><Relationship Id="rId35" Type="http://schemas.openxmlformats.org/officeDocument/2006/relationships/hyperlink" Target="https://doi.org/10.1007/s11427-020-1661-4" TargetMode="External"/><Relationship Id="rId43"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12</TotalTime>
  <Pages>12</Pages>
  <Words>3825</Words>
  <Characters>21042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24818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6</cp:revision>
  <cp:lastPrinted>2021-02-13T17:24:00Z</cp:lastPrinted>
  <dcterms:created xsi:type="dcterms:W3CDTF">2021-02-13T17:14:00Z</dcterms:created>
  <dcterms:modified xsi:type="dcterms:W3CDTF">2021-02-13T17:27:00Z</dcterms:modified>
</cp:coreProperties>
</file>