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1EEC1" w14:textId="77777777" w:rsidR="005973A2" w:rsidRP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right"/>
        <w:rPr>
          <w:rStyle w:val="Textoennegrita"/>
          <w:b w:val="0"/>
          <w:sz w:val="20"/>
          <w:szCs w:val="20"/>
        </w:rPr>
      </w:pPr>
      <w:r w:rsidRPr="005973A2">
        <w:rPr>
          <w:rStyle w:val="Textoennegrita"/>
          <w:b w:val="0"/>
          <w:sz w:val="20"/>
          <w:szCs w:val="20"/>
        </w:rPr>
        <w:t>Artículo de investigación</w:t>
      </w:r>
    </w:p>
    <w:p w14:paraId="1BB1368F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rStyle w:val="Textoennegrita"/>
        </w:rPr>
      </w:pPr>
    </w:p>
    <w:p w14:paraId="7886DA9F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rStyle w:val="Textoennegrita"/>
          <w:sz w:val="28"/>
          <w:szCs w:val="28"/>
        </w:rPr>
      </w:pPr>
      <w:r w:rsidRPr="00A277F0">
        <w:rPr>
          <w:rStyle w:val="Textoennegrita"/>
          <w:sz w:val="28"/>
          <w:szCs w:val="28"/>
        </w:rPr>
        <w:t>Comparación de las características clínicas</w:t>
      </w:r>
      <w:r>
        <w:rPr>
          <w:rStyle w:val="Textoennegrita"/>
          <w:sz w:val="28"/>
          <w:szCs w:val="28"/>
        </w:rPr>
        <w:t xml:space="preserve"> y </w:t>
      </w:r>
      <w:r w:rsidRPr="00A277F0">
        <w:rPr>
          <w:rStyle w:val="Textoennegrita"/>
          <w:sz w:val="28"/>
          <w:szCs w:val="28"/>
        </w:rPr>
        <w:t>epidemiológicas entre pacientes asintomáticos y sintomáticos con la COVID-19</w:t>
      </w:r>
    </w:p>
    <w:p w14:paraId="687DFB52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color w:val="231F20"/>
          <w:sz w:val="28"/>
          <w:szCs w:val="28"/>
          <w:lang w:val="en-US"/>
        </w:rPr>
      </w:pPr>
      <w:r w:rsidRPr="00DC5126">
        <w:rPr>
          <w:color w:val="231F20"/>
          <w:sz w:val="28"/>
          <w:szCs w:val="28"/>
          <w:lang w:val="en-US"/>
        </w:rPr>
        <w:t>Comparison of the clinical and epidemiological characteristics between asymptomatic and symptomatic patients with COVID-19</w:t>
      </w:r>
    </w:p>
    <w:p w14:paraId="441F78D7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rPr>
          <w:rStyle w:val="Textoennegrita"/>
          <w:lang w:val="en-US"/>
        </w:rPr>
      </w:pPr>
    </w:p>
    <w:p w14:paraId="066BBA35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rPr>
          <w:rStyle w:val="Textoennegrita"/>
          <w:b w:val="0"/>
          <w:bCs w:val="0"/>
        </w:rPr>
      </w:pPr>
      <w:r w:rsidRPr="005973A2">
        <w:rPr>
          <w:rStyle w:val="Textoennegrita"/>
          <w:b w:val="0"/>
        </w:rPr>
        <w:t>Juan Bruno Ruiz Nápoles</w:t>
      </w:r>
      <w:r w:rsidRPr="005973A2">
        <w:rPr>
          <w:rStyle w:val="Textoennegrita"/>
          <w:b w:val="0"/>
          <w:vertAlign w:val="superscript"/>
        </w:rPr>
        <w:t>1</w:t>
      </w:r>
      <w:r w:rsidRPr="005973A2">
        <w:rPr>
          <w:rStyle w:val="Textoennegrita"/>
          <w:b w:val="0"/>
        </w:rPr>
        <w:t>*</w:t>
      </w:r>
      <w:hyperlink r:id="rId7" w:history="1">
        <w:r w:rsidRPr="008A7C04">
          <w:rPr>
            <w:rStyle w:val="Hipervnculo"/>
          </w:rPr>
          <w:t>https://orcid.org/0000-0001-6942-3333</w:t>
        </w:r>
      </w:hyperlink>
    </w:p>
    <w:p w14:paraId="6DD33E85" w14:textId="77777777" w:rsidR="005973A2" w:rsidRPr="00197BCB" w:rsidRDefault="005973A2" w:rsidP="005973A2">
      <w:pPr>
        <w:pStyle w:val="style3"/>
        <w:spacing w:before="0" w:beforeAutospacing="0" w:after="0" w:afterAutospacing="0" w:line="360" w:lineRule="auto"/>
        <w:rPr>
          <w:rStyle w:val="Hipervnculo"/>
          <w:lang w:val="en-US"/>
        </w:rPr>
      </w:pPr>
      <w:proofErr w:type="spellStart"/>
      <w:r w:rsidRPr="00197BCB">
        <w:rPr>
          <w:lang w:val="en-US"/>
        </w:rPr>
        <w:t>Katerine</w:t>
      </w:r>
      <w:proofErr w:type="spellEnd"/>
      <w:r w:rsidRPr="00197BCB">
        <w:rPr>
          <w:lang w:val="en-US"/>
        </w:rPr>
        <w:t xml:space="preserve"> Ruiz Nápoles</w:t>
      </w:r>
      <w:r w:rsidRPr="00197BCB">
        <w:rPr>
          <w:vertAlign w:val="superscript"/>
          <w:lang w:val="en-US"/>
        </w:rPr>
        <w:t>2</w:t>
      </w:r>
      <w:hyperlink r:id="rId8" w:history="1">
        <w:r w:rsidRPr="00197BCB">
          <w:rPr>
            <w:rStyle w:val="Hipervnculo"/>
            <w:lang w:val="en-US"/>
          </w:rPr>
          <w:t>https://orcid.org/0000-0002-5304-3675</w:t>
        </w:r>
      </w:hyperlink>
    </w:p>
    <w:p w14:paraId="5C126827" w14:textId="77777777" w:rsidR="005973A2" w:rsidRPr="00197BCB" w:rsidRDefault="005973A2" w:rsidP="005973A2">
      <w:pPr>
        <w:pStyle w:val="style3"/>
        <w:spacing w:before="0" w:beforeAutospacing="0" w:after="0" w:afterAutospacing="0" w:line="360" w:lineRule="auto"/>
        <w:rPr>
          <w:lang w:val="en-US"/>
        </w:rPr>
      </w:pPr>
    </w:p>
    <w:p w14:paraId="4932997A" w14:textId="77777777" w:rsidR="005973A2" w:rsidRPr="005973A2" w:rsidRDefault="005973A2" w:rsidP="005973A2">
      <w:pPr>
        <w:pStyle w:val="style3"/>
        <w:spacing w:before="0" w:beforeAutospacing="0" w:after="0" w:afterAutospacing="0" w:line="360" w:lineRule="auto"/>
        <w:rPr>
          <w:b/>
          <w:vertAlign w:val="superscript"/>
        </w:rPr>
      </w:pPr>
      <w:r w:rsidRPr="005973A2">
        <w:rPr>
          <w:rStyle w:val="Textoennegrita"/>
          <w:b w:val="0"/>
          <w:vertAlign w:val="superscript"/>
        </w:rPr>
        <w:t>1</w:t>
      </w:r>
      <w:r w:rsidRPr="005973A2">
        <w:rPr>
          <w:rStyle w:val="Textoennegrita"/>
          <w:b w:val="0"/>
        </w:rPr>
        <w:t>Hospital Militar “Dr. Fermín Valdez Domínguez”. Holguín, Cuba.</w:t>
      </w:r>
    </w:p>
    <w:p w14:paraId="3536BA15" w14:textId="77777777" w:rsidR="005973A2" w:rsidRPr="005973A2" w:rsidRDefault="005973A2" w:rsidP="005973A2">
      <w:pPr>
        <w:pStyle w:val="style3"/>
        <w:spacing w:before="0" w:beforeAutospacing="0" w:after="0" w:afterAutospacing="0" w:line="360" w:lineRule="auto"/>
        <w:rPr>
          <w:rStyle w:val="Textoennegrita"/>
          <w:b w:val="0"/>
        </w:rPr>
      </w:pPr>
      <w:r w:rsidRPr="005973A2">
        <w:rPr>
          <w:rStyle w:val="Textoennegrita"/>
          <w:b w:val="0"/>
          <w:vertAlign w:val="superscript"/>
        </w:rPr>
        <w:t>2</w:t>
      </w:r>
      <w:r w:rsidRPr="005973A2">
        <w:rPr>
          <w:rStyle w:val="Textoennegrita"/>
          <w:b w:val="0"/>
        </w:rPr>
        <w:t xml:space="preserve">Policlínico Docente Universitario “Pedro Díaz Coello”. Holguín, Cuba. </w:t>
      </w:r>
    </w:p>
    <w:p w14:paraId="0F8D8C87" w14:textId="77777777" w:rsidR="005973A2" w:rsidRP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rPr>
          <w:rStyle w:val="Textoennegrita"/>
          <w:b w:val="0"/>
          <w:bCs w:val="0"/>
        </w:rPr>
      </w:pPr>
    </w:p>
    <w:p w14:paraId="4454C2CD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rPr>
          <w:rStyle w:val="Textoennegrita"/>
          <w:b w:val="0"/>
          <w:bCs w:val="0"/>
        </w:rPr>
      </w:pPr>
      <w:r w:rsidRPr="005973A2">
        <w:rPr>
          <w:rStyle w:val="Textoennegrita"/>
          <w:b w:val="0"/>
        </w:rPr>
        <w:t>*Correspondencia. Correo electrónico:</w:t>
      </w:r>
      <w:r>
        <w:rPr>
          <w:rStyle w:val="Textoennegrita"/>
        </w:rPr>
        <w:t xml:space="preserve"> </w:t>
      </w:r>
      <w:hyperlink r:id="rId9" w:history="1">
        <w:r w:rsidRPr="008A7C04">
          <w:rPr>
            <w:rStyle w:val="Hipervnculo"/>
          </w:rPr>
          <w:t>juanbhlg@infomed.sld.cu</w:t>
        </w:r>
      </w:hyperlink>
    </w:p>
    <w:p w14:paraId="02C20F50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rPr>
          <w:rStyle w:val="Textoennegrita"/>
          <w:b w:val="0"/>
          <w:bCs w:val="0"/>
        </w:rPr>
      </w:pPr>
    </w:p>
    <w:p w14:paraId="69D2258F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rPr>
          <w:rStyle w:val="Textoennegrita"/>
        </w:rPr>
      </w:pPr>
      <w:r w:rsidRPr="00A277F0">
        <w:rPr>
          <w:rStyle w:val="Textoennegrita"/>
        </w:rPr>
        <w:t xml:space="preserve">RESUMEN </w:t>
      </w:r>
    </w:p>
    <w:p w14:paraId="3DF7D351" w14:textId="77777777" w:rsidR="005973A2" w:rsidRPr="00A277F0" w:rsidRDefault="005973A2" w:rsidP="005973A2">
      <w:pPr>
        <w:pStyle w:val="style3"/>
        <w:spacing w:before="0" w:beforeAutospacing="0" w:after="0" w:afterAutospacing="0" w:line="360" w:lineRule="auto"/>
        <w:jc w:val="both"/>
        <w:rPr>
          <w:color w:val="000000"/>
        </w:rPr>
      </w:pPr>
      <w:r w:rsidRPr="00A277F0">
        <w:rPr>
          <w:b/>
          <w:color w:val="000000"/>
        </w:rPr>
        <w:t xml:space="preserve">Introducción: </w:t>
      </w:r>
      <w:r w:rsidRPr="00A277F0">
        <w:rPr>
          <w:color w:val="000000"/>
        </w:rPr>
        <w:t>La COVID-19 presenta formas clínica</w:t>
      </w:r>
      <w:r>
        <w:rPr>
          <w:color w:val="000000"/>
        </w:rPr>
        <w:t xml:space="preserve">s asintomáticas y sintomáticas, </w:t>
      </w:r>
      <w:r w:rsidRPr="00A277F0">
        <w:rPr>
          <w:color w:val="000000"/>
        </w:rPr>
        <w:t>ambas con similar frecuencia, pero con diferencias clínicas y epidemiológica</w:t>
      </w:r>
      <w:r>
        <w:rPr>
          <w:color w:val="000000"/>
        </w:rPr>
        <w:t>s</w:t>
      </w:r>
      <w:r w:rsidRPr="00A277F0">
        <w:rPr>
          <w:color w:val="000000"/>
        </w:rPr>
        <w:t xml:space="preserve">. </w:t>
      </w:r>
    </w:p>
    <w:p w14:paraId="67729846" w14:textId="77777777" w:rsidR="005973A2" w:rsidRPr="00A277F0" w:rsidRDefault="005973A2" w:rsidP="005973A2">
      <w:pPr>
        <w:pStyle w:val="style3"/>
        <w:spacing w:before="0" w:beforeAutospacing="0" w:after="0" w:afterAutospacing="0" w:line="360" w:lineRule="auto"/>
        <w:jc w:val="both"/>
      </w:pPr>
      <w:r w:rsidRPr="00A277F0">
        <w:rPr>
          <w:b/>
          <w:color w:val="000000"/>
        </w:rPr>
        <w:t>Objetivo:</w:t>
      </w:r>
      <w:r>
        <w:rPr>
          <w:b/>
          <w:color w:val="000000"/>
        </w:rPr>
        <w:t xml:space="preserve"> </w:t>
      </w:r>
      <w:r>
        <w:t>C</w:t>
      </w:r>
      <w:r w:rsidRPr="00A277F0">
        <w:t>omparar la características clínicas y epidemiológicas entre paciente</w:t>
      </w:r>
      <w:r>
        <w:t>s</w:t>
      </w:r>
      <w:r w:rsidRPr="00A277F0">
        <w:t xml:space="preserve"> asintomáticos y sintomáticos de la COVID-19. </w:t>
      </w:r>
    </w:p>
    <w:p w14:paraId="3248AB11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rPr>
          <w:b/>
          <w:color w:val="000000"/>
        </w:rPr>
        <w:t>Métodos</w:t>
      </w:r>
      <w:r w:rsidRPr="00A277F0">
        <w:rPr>
          <w:color w:val="000000"/>
        </w:rPr>
        <w:t xml:space="preserve">: </w:t>
      </w:r>
      <w:r w:rsidRPr="00034545">
        <w:t>Estudio comparativo de 91 pacientes positivos a la COVID-19, desde marzo hasta julio de 2020. Según</w:t>
      </w:r>
      <w:r>
        <w:t xml:space="preserve"> </w:t>
      </w:r>
      <w:r w:rsidRPr="00034545">
        <w:t>las formas</w:t>
      </w:r>
      <w:r>
        <w:t xml:space="preserve"> </w:t>
      </w:r>
      <w:r w:rsidRPr="00034545">
        <w:t xml:space="preserve">clínicas, se </w:t>
      </w:r>
      <w:r w:rsidRPr="000571FD">
        <w:t>conformaron</w:t>
      </w:r>
      <w:r>
        <w:t xml:space="preserve"> </w:t>
      </w:r>
      <w:r w:rsidRPr="00034545">
        <w:t>dos grupos (asintomáticos y sintomáticos).</w:t>
      </w:r>
      <w:r>
        <w:t xml:space="preserve"> Fueron comparados en cuanto a </w:t>
      </w:r>
      <w:r w:rsidRPr="00034545">
        <w:t>edad, sexo, antecedentes epidemiológicos</w:t>
      </w:r>
      <w:r>
        <w:t>,</w:t>
      </w:r>
      <w:r w:rsidRPr="00034545">
        <w:t xml:space="preserve"> clínicos, manifestaciones clínicas y comorbilidades.</w:t>
      </w:r>
    </w:p>
    <w:p w14:paraId="28D78BC3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A277F0">
        <w:rPr>
          <w:b/>
          <w:color w:val="000000"/>
        </w:rPr>
        <w:t xml:space="preserve">Resultados: </w:t>
      </w:r>
      <w:r>
        <w:rPr>
          <w:color w:val="000000"/>
        </w:rPr>
        <w:t>L</w:t>
      </w:r>
      <w:r w:rsidRPr="00A277F0">
        <w:rPr>
          <w:color w:val="000000"/>
        </w:rPr>
        <w:t>os pacientes</w:t>
      </w:r>
      <w:r>
        <w:rPr>
          <w:color w:val="000000"/>
        </w:rPr>
        <w:t xml:space="preserve"> </w:t>
      </w:r>
      <w:r w:rsidRPr="00A277F0">
        <w:rPr>
          <w:color w:val="000000"/>
        </w:rPr>
        <w:t>asintomáticos</w:t>
      </w:r>
      <w:r>
        <w:rPr>
          <w:color w:val="000000"/>
        </w:rPr>
        <w:t xml:space="preserve"> </w:t>
      </w:r>
      <w:r w:rsidRPr="00A277F0">
        <w:rPr>
          <w:color w:val="000000"/>
        </w:rPr>
        <w:t xml:space="preserve">fueron más jóvenes (media 37,2), pero </w:t>
      </w:r>
      <w:r>
        <w:rPr>
          <w:color w:val="000000"/>
        </w:rPr>
        <w:t>similares en el sexo</w:t>
      </w:r>
      <w:r w:rsidRPr="00A277F0">
        <w:rPr>
          <w:color w:val="000000"/>
        </w:rPr>
        <w:t>. Prevaleció la fuente de infección contacto con caso confirmado (8</w:t>
      </w:r>
      <w:r>
        <w:rPr>
          <w:color w:val="000000"/>
        </w:rPr>
        <w:t>3,3</w:t>
      </w:r>
      <w:r w:rsidRPr="00A277F0">
        <w:rPr>
          <w:color w:val="000000"/>
        </w:rPr>
        <w:t xml:space="preserve"> %) y los municipios Holguín y Gibara. El número reproductivo básico fue similar. </w:t>
      </w:r>
      <w:r>
        <w:rPr>
          <w:color w:val="000000"/>
        </w:rPr>
        <w:t>Ser</w:t>
      </w:r>
      <w:r w:rsidRPr="00A277F0">
        <w:rPr>
          <w:color w:val="000000"/>
        </w:rPr>
        <w:t xml:space="preserve"> adulto mayor </w:t>
      </w:r>
      <w:r w:rsidRPr="00A277F0">
        <w:t>(63,0</w:t>
      </w:r>
      <w:r>
        <w:t xml:space="preserve"> </w:t>
      </w:r>
      <w:r w:rsidRPr="00A277F0">
        <w:t xml:space="preserve">%) </w:t>
      </w:r>
      <w:r w:rsidRPr="00A277F0">
        <w:rPr>
          <w:color w:val="000000"/>
        </w:rPr>
        <w:t>y</w:t>
      </w:r>
      <w:r>
        <w:rPr>
          <w:color w:val="000000"/>
        </w:rPr>
        <w:t xml:space="preserve"> portador de</w:t>
      </w:r>
      <w:r w:rsidRPr="00A277F0">
        <w:rPr>
          <w:color w:val="000000"/>
        </w:rPr>
        <w:t xml:space="preserve"> </w:t>
      </w:r>
      <w:r w:rsidRPr="00A277F0">
        <w:rPr>
          <w:color w:val="000000"/>
        </w:rPr>
        <w:lastRenderedPageBreak/>
        <w:t xml:space="preserve">hipertensión arterial (44,4 %) </w:t>
      </w:r>
      <w:r>
        <w:rPr>
          <w:color w:val="000000"/>
        </w:rPr>
        <w:t>predominó</w:t>
      </w:r>
      <w:r w:rsidRPr="00A277F0">
        <w:rPr>
          <w:color w:val="000000"/>
        </w:rPr>
        <w:t xml:space="preserve"> en casos sintomáticos, la mayoría de los </w:t>
      </w:r>
      <w:r w:rsidRPr="00A277F0">
        <w:t>asintomáticos no tenían comorbilidad</w:t>
      </w:r>
      <w:r>
        <w:t>es</w:t>
      </w:r>
      <w:r w:rsidRPr="00A277F0">
        <w:t xml:space="preserve"> (56,8</w:t>
      </w:r>
      <w:r>
        <w:t xml:space="preserve"> </w:t>
      </w:r>
      <w:r w:rsidRPr="00A277F0">
        <w:t xml:space="preserve">%). </w:t>
      </w:r>
      <w:r w:rsidRPr="00A277F0">
        <w:rPr>
          <w:color w:val="000000"/>
        </w:rPr>
        <w:t xml:space="preserve">Prevalecieron </w:t>
      </w:r>
      <w:r>
        <w:rPr>
          <w:color w:val="000000"/>
        </w:rPr>
        <w:t>como</w:t>
      </w:r>
      <w:r w:rsidRPr="00A277F0">
        <w:rPr>
          <w:color w:val="000000"/>
        </w:rPr>
        <w:t xml:space="preserve"> síntomas</w:t>
      </w:r>
      <w:r>
        <w:rPr>
          <w:color w:val="000000"/>
        </w:rPr>
        <w:t xml:space="preserve"> la </w:t>
      </w:r>
      <w:r w:rsidRPr="00A277F0">
        <w:rPr>
          <w:color w:val="000000"/>
        </w:rPr>
        <w:t>fiebre, tos seca y manifestaciones extrapulmonares digestivas y neurológicas.</w:t>
      </w:r>
      <w:r w:rsidRPr="00A277F0">
        <w:t xml:space="preserve"> Se encontr</w:t>
      </w:r>
      <w:r>
        <w:t xml:space="preserve">aron </w:t>
      </w:r>
      <w:r w:rsidRPr="00A277F0">
        <w:t>diferencias significativas en la edad (p</w:t>
      </w:r>
      <w:r>
        <w:t> </w:t>
      </w:r>
      <w:r w:rsidRPr="00A277F0">
        <w:t>=</w:t>
      </w:r>
      <w:r>
        <w:t> </w:t>
      </w:r>
      <w:r w:rsidRPr="00A277F0">
        <w:t>0,02) y factores de riesgo: adulto mayor (p</w:t>
      </w:r>
      <w:r>
        <w:t> </w:t>
      </w:r>
      <w:r w:rsidRPr="00A277F0">
        <w:t>=</w:t>
      </w:r>
      <w:r>
        <w:t> </w:t>
      </w:r>
      <w:r w:rsidRPr="00A277F0">
        <w:t>0,00) e hipertensión arterial (</w:t>
      </w:r>
      <w:r>
        <w:t>p </w:t>
      </w:r>
      <w:r w:rsidRPr="00A277F0">
        <w:t>=</w:t>
      </w:r>
      <w:r>
        <w:t> </w:t>
      </w:r>
      <w:r w:rsidRPr="00A277F0">
        <w:t>0,00).</w:t>
      </w:r>
    </w:p>
    <w:p w14:paraId="7019707C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</w:rPr>
      </w:pPr>
      <w:r w:rsidRPr="00A277F0">
        <w:rPr>
          <w:b/>
          <w:color w:val="000000"/>
        </w:rPr>
        <w:t xml:space="preserve">Conclusiones: </w:t>
      </w:r>
      <w:r>
        <w:rPr>
          <w:color w:val="000000"/>
        </w:rPr>
        <w:t>E</w:t>
      </w:r>
      <w:r w:rsidRPr="00A277F0">
        <w:rPr>
          <w:color w:val="000000"/>
        </w:rPr>
        <w:t xml:space="preserve">xistió </w:t>
      </w:r>
      <w:r>
        <w:rPr>
          <w:color w:val="000000"/>
        </w:rPr>
        <w:t>similitud</w:t>
      </w:r>
      <w:r w:rsidRPr="00A277F0">
        <w:rPr>
          <w:color w:val="000000"/>
        </w:rPr>
        <w:t xml:space="preserve"> entre</w:t>
      </w:r>
      <w:r>
        <w:rPr>
          <w:color w:val="000000"/>
        </w:rPr>
        <w:t xml:space="preserve"> </w:t>
      </w:r>
      <w:r w:rsidRPr="00A277F0">
        <w:rPr>
          <w:color w:val="000000"/>
        </w:rPr>
        <w:t>los grupos</w:t>
      </w:r>
      <w:r>
        <w:rPr>
          <w:color w:val="000000"/>
        </w:rPr>
        <w:t xml:space="preserve"> comparados</w:t>
      </w:r>
      <w:r w:rsidRPr="00A277F0">
        <w:rPr>
          <w:color w:val="000000"/>
        </w:rPr>
        <w:t>, excepto en la edad y los factores de riesgo: adulto mayor e hipertensión arterial.</w:t>
      </w:r>
    </w:p>
    <w:p w14:paraId="1AFD2B2D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rStyle w:val="Textoennegrita"/>
          <w:b w:val="0"/>
        </w:rPr>
      </w:pPr>
      <w:r w:rsidRPr="00A277F0">
        <w:rPr>
          <w:b/>
          <w:color w:val="000000"/>
        </w:rPr>
        <w:t>Palabras clave</w:t>
      </w:r>
      <w:r w:rsidRPr="00A277F0">
        <w:rPr>
          <w:color w:val="000000"/>
        </w:rPr>
        <w:t>: asintomáticos</w:t>
      </w:r>
      <w:r>
        <w:rPr>
          <w:color w:val="000000"/>
        </w:rPr>
        <w:t xml:space="preserve"> COVID-19;</w:t>
      </w:r>
      <w:r w:rsidRPr="00A277F0">
        <w:rPr>
          <w:color w:val="000000"/>
        </w:rPr>
        <w:t xml:space="preserve"> sintomáticos</w:t>
      </w:r>
      <w:r>
        <w:rPr>
          <w:color w:val="000000"/>
        </w:rPr>
        <w:t xml:space="preserve"> COVID-19</w:t>
      </w:r>
      <w:r w:rsidRPr="00A277F0">
        <w:rPr>
          <w:color w:val="000000"/>
        </w:rPr>
        <w:t>; coronavirus; COVID-19.</w:t>
      </w:r>
    </w:p>
    <w:p w14:paraId="7D6E2700" w14:textId="77777777" w:rsidR="005973A2" w:rsidRPr="003E0C45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rPr>
          <w:b/>
          <w:color w:val="000000"/>
        </w:rPr>
      </w:pPr>
    </w:p>
    <w:p w14:paraId="05DB1A0C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rPr>
          <w:b/>
          <w:color w:val="000000"/>
          <w:lang w:val="en-US"/>
        </w:rPr>
      </w:pPr>
      <w:r w:rsidRPr="00A277F0">
        <w:rPr>
          <w:b/>
          <w:color w:val="000000"/>
          <w:lang w:val="en-US"/>
        </w:rPr>
        <w:t>ABSTRACT</w:t>
      </w:r>
    </w:p>
    <w:p w14:paraId="4182F954" w14:textId="77777777" w:rsidR="005973A2" w:rsidRPr="008B013D" w:rsidRDefault="005973A2" w:rsidP="005973A2">
      <w:pPr>
        <w:pStyle w:val="style3"/>
        <w:spacing w:before="0" w:beforeAutospacing="0" w:after="0" w:afterAutospacing="0" w:line="360" w:lineRule="auto"/>
        <w:jc w:val="both"/>
        <w:rPr>
          <w:bCs/>
          <w:color w:val="000000"/>
          <w:lang w:val="en-US"/>
        </w:rPr>
      </w:pPr>
      <w:r w:rsidRPr="008B013D">
        <w:rPr>
          <w:b/>
          <w:color w:val="000000"/>
          <w:lang w:val="en-US"/>
        </w:rPr>
        <w:t>Introduction:</w:t>
      </w:r>
      <w:r w:rsidRPr="008B013D">
        <w:rPr>
          <w:bCs/>
          <w:color w:val="000000"/>
          <w:lang w:val="en-US"/>
        </w:rPr>
        <w:t xml:space="preserve"> COVID-19 presents asymptomatic and symptomatic clinical forms, both with similar frequency, but with clinical and epidemiological differences.</w:t>
      </w:r>
    </w:p>
    <w:p w14:paraId="58A3E37B" w14:textId="77777777" w:rsidR="005973A2" w:rsidRPr="008B013D" w:rsidRDefault="005973A2" w:rsidP="005973A2">
      <w:pPr>
        <w:pStyle w:val="style3"/>
        <w:spacing w:before="0" w:beforeAutospacing="0" w:after="0" w:afterAutospacing="0" w:line="360" w:lineRule="auto"/>
        <w:jc w:val="both"/>
        <w:rPr>
          <w:bCs/>
          <w:color w:val="000000"/>
          <w:lang w:val="en-US"/>
        </w:rPr>
      </w:pPr>
      <w:r w:rsidRPr="008B013D">
        <w:rPr>
          <w:b/>
          <w:color w:val="000000"/>
          <w:lang w:val="en-US"/>
        </w:rPr>
        <w:t xml:space="preserve">Objective: </w:t>
      </w:r>
      <w:r w:rsidRPr="008B013D">
        <w:rPr>
          <w:bCs/>
          <w:color w:val="000000"/>
          <w:lang w:val="en-US"/>
        </w:rPr>
        <w:t>To compare the clinical and epidemiological characteristics between asymptomatic and symptomatic patients of COVID-19.</w:t>
      </w:r>
    </w:p>
    <w:p w14:paraId="225AC8F7" w14:textId="77777777" w:rsidR="005973A2" w:rsidRPr="008B013D" w:rsidRDefault="005973A2" w:rsidP="005973A2">
      <w:pPr>
        <w:pStyle w:val="style3"/>
        <w:spacing w:before="0" w:beforeAutospacing="0" w:after="0" w:afterAutospacing="0" w:line="360" w:lineRule="auto"/>
        <w:jc w:val="both"/>
        <w:rPr>
          <w:bCs/>
          <w:color w:val="000000"/>
          <w:lang w:val="en-US"/>
        </w:rPr>
      </w:pPr>
      <w:r w:rsidRPr="008B013D">
        <w:rPr>
          <w:b/>
          <w:color w:val="000000"/>
          <w:lang w:val="en-US"/>
        </w:rPr>
        <w:t>Methods:</w:t>
      </w:r>
      <w:r w:rsidRPr="008B013D">
        <w:rPr>
          <w:bCs/>
          <w:color w:val="000000"/>
          <w:lang w:val="en-US"/>
        </w:rPr>
        <w:t xml:space="preserve"> Comparative study of 91 COVID-19 positive patients, from March to July 2020. According to the clinical forms, two groups were </w:t>
      </w:r>
      <w:r>
        <w:rPr>
          <w:bCs/>
          <w:color w:val="000000"/>
          <w:lang w:val="en-US"/>
        </w:rPr>
        <w:t>created</w:t>
      </w:r>
      <w:r w:rsidRPr="008B013D">
        <w:rPr>
          <w:bCs/>
          <w:color w:val="000000"/>
          <w:lang w:val="en-US"/>
        </w:rPr>
        <w:t xml:space="preserve"> (asymptomatic and symptomatic). They were compared regarding age, sex, epidemiological and clinical antecedents, clinical manifestations and comorbidities.</w:t>
      </w:r>
    </w:p>
    <w:p w14:paraId="0FDC790F" w14:textId="77777777" w:rsidR="005973A2" w:rsidRPr="008B013D" w:rsidRDefault="005973A2" w:rsidP="005973A2">
      <w:pPr>
        <w:pStyle w:val="style3"/>
        <w:spacing w:before="0" w:beforeAutospacing="0" w:after="0" w:afterAutospacing="0" w:line="360" w:lineRule="auto"/>
        <w:jc w:val="both"/>
        <w:rPr>
          <w:bCs/>
          <w:color w:val="000000"/>
          <w:lang w:val="en-US"/>
        </w:rPr>
      </w:pPr>
      <w:r w:rsidRPr="008B013D">
        <w:rPr>
          <w:b/>
          <w:color w:val="000000"/>
          <w:lang w:val="en-US"/>
        </w:rPr>
        <w:t>Results:</w:t>
      </w:r>
      <w:r w:rsidRPr="008B013D">
        <w:rPr>
          <w:bCs/>
          <w:color w:val="000000"/>
          <w:lang w:val="en-US"/>
        </w:rPr>
        <w:t xml:space="preserve"> Asymptomatic</w:t>
      </w:r>
      <w:r>
        <w:rPr>
          <w:bCs/>
          <w:color w:val="000000"/>
          <w:lang w:val="en-US"/>
        </w:rPr>
        <w:t xml:space="preserve"> patients were younger (mean 37,</w:t>
      </w:r>
      <w:r w:rsidRPr="008B013D">
        <w:rPr>
          <w:bCs/>
          <w:color w:val="000000"/>
          <w:lang w:val="en-US"/>
        </w:rPr>
        <w:t>2), but similar in gender. The source of infection, co</w:t>
      </w:r>
      <w:r>
        <w:rPr>
          <w:bCs/>
          <w:color w:val="000000"/>
          <w:lang w:val="en-US"/>
        </w:rPr>
        <w:t>ntact with a confirmed case (83,</w:t>
      </w:r>
      <w:r w:rsidRPr="008B013D">
        <w:rPr>
          <w:bCs/>
          <w:color w:val="000000"/>
          <w:lang w:val="en-US"/>
        </w:rPr>
        <w:t>3</w:t>
      </w:r>
      <w:r>
        <w:rPr>
          <w:bCs/>
          <w:color w:val="000000"/>
          <w:lang w:val="en-US"/>
        </w:rPr>
        <w:t xml:space="preserve"> </w:t>
      </w:r>
      <w:r w:rsidRPr="008B013D">
        <w:rPr>
          <w:bCs/>
          <w:color w:val="000000"/>
          <w:lang w:val="en-US"/>
        </w:rPr>
        <w:t xml:space="preserve">%) and the municipalities Holguín and </w:t>
      </w:r>
      <w:proofErr w:type="spellStart"/>
      <w:r w:rsidRPr="008B013D">
        <w:rPr>
          <w:bCs/>
          <w:color w:val="000000"/>
          <w:lang w:val="en-US"/>
        </w:rPr>
        <w:t>Gibara</w:t>
      </w:r>
      <w:proofErr w:type="spellEnd"/>
      <w:r w:rsidRPr="008B013D">
        <w:rPr>
          <w:bCs/>
          <w:color w:val="000000"/>
          <w:lang w:val="en-US"/>
        </w:rPr>
        <w:t xml:space="preserve"> prevailed. The basic reproductive number</w:t>
      </w:r>
      <w:r>
        <w:rPr>
          <w:bCs/>
          <w:color w:val="000000"/>
          <w:lang w:val="en-US"/>
        </w:rPr>
        <w:t xml:space="preserve"> was similar. Being elderly (63,</w:t>
      </w:r>
      <w:r w:rsidRPr="008B013D">
        <w:rPr>
          <w:bCs/>
          <w:color w:val="000000"/>
          <w:lang w:val="en-US"/>
        </w:rPr>
        <w:t>0</w:t>
      </w:r>
      <w:r>
        <w:rPr>
          <w:bCs/>
          <w:color w:val="000000"/>
          <w:lang w:val="en-US"/>
        </w:rPr>
        <w:t xml:space="preserve"> </w:t>
      </w:r>
      <w:r w:rsidRPr="008B013D">
        <w:rPr>
          <w:bCs/>
          <w:color w:val="000000"/>
          <w:lang w:val="en-US"/>
        </w:rPr>
        <w:t>%) and a carri</w:t>
      </w:r>
      <w:r>
        <w:rPr>
          <w:bCs/>
          <w:color w:val="000000"/>
          <w:lang w:val="en-US"/>
        </w:rPr>
        <w:t>er of arterial hypertension (44,</w:t>
      </w:r>
      <w:r w:rsidRPr="008B013D">
        <w:rPr>
          <w:bCs/>
          <w:color w:val="000000"/>
          <w:lang w:val="en-US"/>
        </w:rPr>
        <w:t>4</w:t>
      </w:r>
      <w:r>
        <w:rPr>
          <w:bCs/>
          <w:color w:val="000000"/>
          <w:lang w:val="en-US"/>
        </w:rPr>
        <w:t xml:space="preserve"> </w:t>
      </w:r>
      <w:r w:rsidRPr="008B013D">
        <w:rPr>
          <w:bCs/>
          <w:color w:val="000000"/>
          <w:lang w:val="en-US"/>
        </w:rPr>
        <w:t>%) predominated in symptomatic cases, most of the asymptomatic</w:t>
      </w:r>
      <w:r>
        <w:rPr>
          <w:bCs/>
          <w:color w:val="000000"/>
          <w:lang w:val="en-US"/>
        </w:rPr>
        <w:t xml:space="preserve"> did not have comorbidities (56,</w:t>
      </w:r>
      <w:r w:rsidRPr="008B013D">
        <w:rPr>
          <w:bCs/>
          <w:color w:val="000000"/>
          <w:lang w:val="en-US"/>
        </w:rPr>
        <w:t>8</w:t>
      </w:r>
      <w:r>
        <w:rPr>
          <w:bCs/>
          <w:color w:val="000000"/>
          <w:lang w:val="en-US"/>
        </w:rPr>
        <w:t xml:space="preserve"> </w:t>
      </w:r>
      <w:r w:rsidRPr="008B013D">
        <w:rPr>
          <w:bCs/>
          <w:color w:val="000000"/>
          <w:lang w:val="en-US"/>
        </w:rPr>
        <w:t>%). Fever, dry cough and extrapulmonary digestive and neurological manifestations prevailed as symptoms. Significant diffe</w:t>
      </w:r>
      <w:r>
        <w:rPr>
          <w:bCs/>
          <w:color w:val="000000"/>
          <w:lang w:val="en-US"/>
        </w:rPr>
        <w:t>rences were found in age (p = 0,</w:t>
      </w:r>
      <w:r w:rsidRPr="008B013D">
        <w:rPr>
          <w:bCs/>
          <w:color w:val="000000"/>
          <w:lang w:val="en-US"/>
        </w:rPr>
        <w:t>02) and r</w:t>
      </w:r>
      <w:r>
        <w:rPr>
          <w:bCs/>
          <w:color w:val="000000"/>
          <w:lang w:val="en-US"/>
        </w:rPr>
        <w:t>isk factors: older adult (p = 0,</w:t>
      </w:r>
      <w:r w:rsidRPr="008B013D">
        <w:rPr>
          <w:bCs/>
          <w:color w:val="000000"/>
          <w:lang w:val="en-US"/>
        </w:rPr>
        <w:t>00) a</w:t>
      </w:r>
      <w:r>
        <w:rPr>
          <w:bCs/>
          <w:color w:val="000000"/>
          <w:lang w:val="en-US"/>
        </w:rPr>
        <w:t>nd arterial hypertension (p = 0,</w:t>
      </w:r>
      <w:r w:rsidRPr="008B013D">
        <w:rPr>
          <w:bCs/>
          <w:color w:val="000000"/>
          <w:lang w:val="en-US"/>
        </w:rPr>
        <w:t>00).</w:t>
      </w:r>
    </w:p>
    <w:p w14:paraId="181CF950" w14:textId="77777777" w:rsidR="005973A2" w:rsidRPr="00A277F0" w:rsidRDefault="005973A2" w:rsidP="005973A2">
      <w:pPr>
        <w:pStyle w:val="style3"/>
        <w:spacing w:before="0" w:beforeAutospacing="0" w:after="0" w:afterAutospacing="0" w:line="360" w:lineRule="auto"/>
        <w:jc w:val="both"/>
        <w:rPr>
          <w:bCs/>
          <w:color w:val="000000"/>
          <w:lang w:val="en-US"/>
        </w:rPr>
      </w:pPr>
      <w:r w:rsidRPr="008B013D">
        <w:rPr>
          <w:b/>
          <w:color w:val="000000"/>
          <w:lang w:val="en-US"/>
        </w:rPr>
        <w:t xml:space="preserve">Conclusions: </w:t>
      </w:r>
      <w:r w:rsidRPr="008B013D">
        <w:rPr>
          <w:bCs/>
          <w:color w:val="000000"/>
          <w:lang w:val="en-US"/>
        </w:rPr>
        <w:t>There was similarity between the groups compared, except for age and risk factors: elderly and arterial hypertension.</w:t>
      </w:r>
    </w:p>
    <w:p w14:paraId="2A9522C4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bCs/>
          <w:color w:val="000000"/>
          <w:lang w:val="en-US"/>
        </w:rPr>
      </w:pPr>
      <w:r w:rsidRPr="00A277F0">
        <w:rPr>
          <w:b/>
          <w:bCs/>
          <w:color w:val="000000"/>
          <w:lang w:val="en-US"/>
        </w:rPr>
        <w:t>Keywords</w:t>
      </w:r>
      <w:r w:rsidRPr="00A277F0">
        <w:rPr>
          <w:color w:val="000000"/>
          <w:lang w:val="en-US"/>
        </w:rPr>
        <w:t xml:space="preserve">: </w:t>
      </w:r>
      <w:r>
        <w:rPr>
          <w:color w:val="000000"/>
          <w:lang w:val="en-US"/>
        </w:rPr>
        <w:t xml:space="preserve">COVID-19, </w:t>
      </w:r>
      <w:r w:rsidRPr="00A277F0">
        <w:rPr>
          <w:color w:val="000000"/>
          <w:lang w:val="en-US"/>
        </w:rPr>
        <w:t>asymptomatic</w:t>
      </w:r>
      <w:r>
        <w:rPr>
          <w:color w:val="000000"/>
          <w:lang w:val="en-US"/>
        </w:rPr>
        <w:t xml:space="preserve">; COVID-19, </w:t>
      </w:r>
      <w:r w:rsidRPr="00A277F0">
        <w:rPr>
          <w:color w:val="000000"/>
          <w:lang w:val="en-US"/>
        </w:rPr>
        <w:t>symptomatic; coronavirus; COVID-19.</w:t>
      </w:r>
    </w:p>
    <w:p w14:paraId="36639597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bCs/>
          <w:color w:val="000000"/>
          <w:lang w:val="en-US"/>
        </w:rPr>
      </w:pPr>
    </w:p>
    <w:p w14:paraId="1F212FCC" w14:textId="77777777" w:rsidR="005973A2" w:rsidRPr="00A52C5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Recibido: 27/08/2020</w:t>
      </w:r>
    </w:p>
    <w:p w14:paraId="573359B5" w14:textId="77777777" w:rsidR="005973A2" w:rsidRPr="00A52C5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A52C52">
        <w:rPr>
          <w:bCs/>
          <w:color w:val="000000"/>
        </w:rPr>
        <w:t>Aprobado:</w:t>
      </w:r>
      <w:r>
        <w:rPr>
          <w:bCs/>
          <w:color w:val="000000"/>
        </w:rPr>
        <w:t xml:space="preserve"> 19/03/2021</w:t>
      </w:r>
    </w:p>
    <w:p w14:paraId="68056239" w14:textId="77777777" w:rsidR="005973A2" w:rsidRPr="00A52C5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rPr>
          <w:rStyle w:val="Textoennegrita"/>
        </w:rPr>
      </w:pPr>
    </w:p>
    <w:p w14:paraId="31960D02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rPr>
          <w:rStyle w:val="Textoennegrita"/>
        </w:rPr>
      </w:pPr>
    </w:p>
    <w:p w14:paraId="647DD992" w14:textId="77777777" w:rsidR="005973A2" w:rsidRP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rStyle w:val="Textoennegrita"/>
          <w:sz w:val="32"/>
          <w:szCs w:val="32"/>
        </w:rPr>
      </w:pPr>
      <w:r w:rsidRPr="005973A2">
        <w:rPr>
          <w:rStyle w:val="Textoennegrita"/>
          <w:sz w:val="32"/>
          <w:szCs w:val="32"/>
        </w:rPr>
        <w:t>INTRODUCCIÓN</w:t>
      </w:r>
    </w:p>
    <w:p w14:paraId="4B1099B1" w14:textId="77777777" w:rsidR="005973A2" w:rsidRP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rStyle w:val="Textoennegrita"/>
          <w:b w:val="0"/>
        </w:rPr>
      </w:pPr>
      <w:r w:rsidRPr="005973A2">
        <w:rPr>
          <w:rStyle w:val="Textoennegrita"/>
          <w:b w:val="0"/>
        </w:rPr>
        <w:t xml:space="preserve">La COVID-19 es una enfermedad infecto–contagiosa provocada por un nuevo coronavirus denominado SARS-CoV-2. Después de un primer brote en Wuhan, </w:t>
      </w:r>
      <w:proofErr w:type="gramStart"/>
      <w:r w:rsidRPr="005973A2">
        <w:rPr>
          <w:rStyle w:val="Textoennegrita"/>
          <w:b w:val="0"/>
        </w:rPr>
        <w:t>China,</w:t>
      </w:r>
      <w:r w:rsidRPr="005973A2">
        <w:rPr>
          <w:rStyle w:val="Textoennegrita"/>
          <w:b w:val="0"/>
          <w:vertAlign w:val="superscript"/>
        </w:rPr>
        <w:t>(</w:t>
      </w:r>
      <w:proofErr w:type="gramEnd"/>
      <w:r w:rsidRPr="005973A2">
        <w:rPr>
          <w:rStyle w:val="Textoennegrita"/>
          <w:b w:val="0"/>
          <w:vertAlign w:val="superscript"/>
        </w:rPr>
        <w:t xml:space="preserve">1,2) </w:t>
      </w:r>
      <w:r w:rsidRPr="005973A2">
        <w:rPr>
          <w:rStyle w:val="Textoennegrita"/>
          <w:b w:val="0"/>
        </w:rPr>
        <w:t xml:space="preserve">se extendió rápidamente a otros países de Asia y de ahí los restantes continentes. La Organización Mundial de la Salud la declara pandemia en marzo del </w:t>
      </w:r>
      <w:proofErr w:type="gramStart"/>
      <w:r w:rsidRPr="005973A2">
        <w:rPr>
          <w:rStyle w:val="Textoennegrita"/>
          <w:b w:val="0"/>
        </w:rPr>
        <w:t>2020.</w:t>
      </w:r>
      <w:r w:rsidRPr="005973A2">
        <w:rPr>
          <w:rStyle w:val="Textoennegrita"/>
          <w:b w:val="0"/>
          <w:vertAlign w:val="superscript"/>
        </w:rPr>
        <w:t>(</w:t>
      </w:r>
      <w:proofErr w:type="gramEnd"/>
      <w:r w:rsidRPr="005973A2">
        <w:rPr>
          <w:rStyle w:val="Textoennegrita"/>
          <w:b w:val="0"/>
          <w:vertAlign w:val="superscript"/>
        </w:rPr>
        <w:t>1,2)</w:t>
      </w:r>
    </w:p>
    <w:p w14:paraId="56E50B78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vertAlign w:val="superscript"/>
        </w:rPr>
      </w:pPr>
      <w:r w:rsidRPr="00A277F0">
        <w:t>Hasta el 16 agosto de 2020, la COVID-19 afecta a 185 países con de 21</w:t>
      </w:r>
      <w:r>
        <w:t> </w:t>
      </w:r>
      <w:r w:rsidRPr="00A277F0">
        <w:t>294</w:t>
      </w:r>
      <w:r>
        <w:t> </w:t>
      </w:r>
      <w:r w:rsidRPr="00A277F0">
        <w:t>845 casos confirmados acumulados, 267</w:t>
      </w:r>
      <w:r>
        <w:t> </w:t>
      </w:r>
      <w:r w:rsidRPr="00A277F0">
        <w:t>291 casos en las últimas 24 horas y más de 71</w:t>
      </w:r>
      <w:r>
        <w:t> </w:t>
      </w:r>
      <w:r w:rsidRPr="00A277F0">
        <w:t>600080 fallecidos</w:t>
      </w:r>
      <w:r>
        <w:t>,</w:t>
      </w:r>
      <w:r w:rsidRPr="00A277F0">
        <w:t xml:space="preserve"> para una letalidad de 3,56 %. En la región de las Américas se reportan 11</w:t>
      </w:r>
      <w:r>
        <w:t> </w:t>
      </w:r>
      <w:r w:rsidRPr="00A277F0">
        <w:t>589</w:t>
      </w:r>
      <w:r>
        <w:t> </w:t>
      </w:r>
      <w:r w:rsidRPr="00A277F0">
        <w:t>851 casos confirmados, 418</w:t>
      </w:r>
      <w:r>
        <w:t> </w:t>
      </w:r>
      <w:r w:rsidRPr="00A277F0">
        <w:t xml:space="preserve">547 fallecidos y una letalidad de 3,61 %. </w:t>
      </w:r>
      <w:r w:rsidRPr="00213ED9">
        <w:t xml:space="preserve">En </w:t>
      </w:r>
      <w:r>
        <w:t>C</w:t>
      </w:r>
      <w:r w:rsidRPr="00213ED9">
        <w:t>uba se alcanza la cifra de 3 364</w:t>
      </w:r>
      <w:r w:rsidRPr="00A277F0">
        <w:t xml:space="preserve"> pacientes diagnosticados</w:t>
      </w:r>
      <w:r>
        <w:t xml:space="preserve"> y</w:t>
      </w:r>
      <w:r w:rsidRPr="00A277F0">
        <w:t xml:space="preserve"> 88 fallecidos </w:t>
      </w:r>
      <w:r>
        <w:t xml:space="preserve">con una </w:t>
      </w:r>
      <w:r w:rsidRPr="00A277F0">
        <w:t xml:space="preserve">letalidad </w:t>
      </w:r>
      <w:r>
        <w:t xml:space="preserve">acumulada </w:t>
      </w:r>
      <w:r w:rsidRPr="00A277F0">
        <w:t>de 2,65 %.</w:t>
      </w:r>
      <w:r w:rsidRPr="003D5CD7">
        <w:rPr>
          <w:vertAlign w:val="superscript"/>
        </w:rPr>
        <w:t>(3)</w:t>
      </w:r>
    </w:p>
    <w:p w14:paraId="2BF5D136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>
        <w:t xml:space="preserve">La COVID-19 tiene formas clínicas, sintomáticas </w:t>
      </w:r>
      <w:r w:rsidRPr="00B1017E">
        <w:t>y</w:t>
      </w:r>
      <w:r>
        <w:t xml:space="preserve"> asintomáticas, con una proporción elevada de esta última. Se reportan como asintomáticos entre el 50 y 60 % de los pacientes </w:t>
      </w:r>
      <w:proofErr w:type="gramStart"/>
      <w:r>
        <w:t>infectados.</w:t>
      </w:r>
      <w:r w:rsidRPr="004B7C16">
        <w:rPr>
          <w:vertAlign w:val="superscript"/>
        </w:rPr>
        <w:t>(</w:t>
      </w:r>
      <w:proofErr w:type="gramEnd"/>
      <w:r w:rsidRPr="00B1017E">
        <w:rPr>
          <w:vertAlign w:val="superscript"/>
        </w:rPr>
        <w:t>4,5,6,7</w:t>
      </w:r>
      <w:r>
        <w:rPr>
          <w:vertAlign w:val="superscript"/>
        </w:rPr>
        <w:t>,8</w:t>
      </w:r>
      <w:r w:rsidRPr="00B1017E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B1017E">
        <w:t>En las revisiones bibliográficas realizadas se encontraron pocas investigaciones relacionadas con los casos asintomáticos, y aún menos las que busquen diferencias entre ambas formas clínicas.</w:t>
      </w:r>
    </w:p>
    <w:p w14:paraId="1067DD8F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>
        <w:t>S</w:t>
      </w:r>
      <w:r w:rsidRPr="00A277F0">
        <w:t xml:space="preserve">e diseñó el presente estudio con el propósito de comparar </w:t>
      </w:r>
      <w:r w:rsidRPr="00213ED9">
        <w:t>las</w:t>
      </w:r>
      <w:r w:rsidRPr="00A277F0">
        <w:t xml:space="preserve"> características clínicas y epidemiológicas entre los </w:t>
      </w:r>
      <w:r w:rsidRPr="00213ED9">
        <w:t>pacientes</w:t>
      </w:r>
      <w:r w:rsidRPr="00A277F0">
        <w:t xml:space="preserve"> asintomáticos y sintomáticos de la COVID-19. </w:t>
      </w:r>
    </w:p>
    <w:p w14:paraId="7BAB81B9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b/>
        </w:rPr>
      </w:pPr>
    </w:p>
    <w:p w14:paraId="7D9CA10C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b/>
        </w:rPr>
      </w:pPr>
    </w:p>
    <w:p w14:paraId="7CDB3986" w14:textId="77777777" w:rsidR="005973A2" w:rsidRPr="000B568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0B5682">
        <w:rPr>
          <w:b/>
          <w:sz w:val="32"/>
          <w:szCs w:val="32"/>
        </w:rPr>
        <w:t>MÉTODOS</w:t>
      </w:r>
    </w:p>
    <w:p w14:paraId="013AC6BD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 xml:space="preserve">Se realizó un estudio </w:t>
      </w:r>
      <w:r>
        <w:t>comparativo</w:t>
      </w:r>
      <w:r w:rsidRPr="00A277F0">
        <w:t xml:space="preserve">, </w:t>
      </w:r>
      <w:r>
        <w:t xml:space="preserve">que </w:t>
      </w:r>
      <w:r w:rsidRPr="00213ED9">
        <w:t>incluy</w:t>
      </w:r>
      <w:r>
        <w:t>ó</w:t>
      </w:r>
      <w:r w:rsidRPr="00213ED9">
        <w:t xml:space="preserve"> a 91 pacientes de la provincia Holguín</w:t>
      </w:r>
      <w:r>
        <w:t xml:space="preserve">, </w:t>
      </w:r>
      <w:r w:rsidRPr="00A277F0">
        <w:t xml:space="preserve">con resultados positivos a la infección por SARS-CoV-2 (mediante </w:t>
      </w:r>
      <w:r>
        <w:t xml:space="preserve">la prueba de reacción en cadena de </w:t>
      </w:r>
      <w:r w:rsidRPr="000571FD">
        <w:t>la polimerasa</w:t>
      </w:r>
      <w:r>
        <w:t>-</w:t>
      </w:r>
      <w:r w:rsidRPr="000571FD">
        <w:t>transcriptasa inversa en tiempo</w:t>
      </w:r>
      <w:r>
        <w:t xml:space="preserve"> real</w:t>
      </w:r>
      <w:r w:rsidRPr="00A277F0">
        <w:t xml:space="preserve">), </w:t>
      </w:r>
      <w:r>
        <w:t>ingresa</w:t>
      </w:r>
      <w:r w:rsidRPr="00A277F0">
        <w:t>dos en el Hospital Militar “Dr. Fermín Valdés Domínguez” durante el periodo comprendido desde marzo hasta julio del</w:t>
      </w:r>
      <w:r>
        <w:t xml:space="preserve"> año</w:t>
      </w:r>
      <w:r w:rsidRPr="00A277F0">
        <w:t xml:space="preserve"> 2020.</w:t>
      </w:r>
      <w:r>
        <w:t xml:space="preserve">  Se trabajó con los </w:t>
      </w:r>
      <w:r w:rsidRPr="00EE7DB2">
        <w:lastRenderedPageBreak/>
        <w:t>pacientes de</w:t>
      </w:r>
      <w:r>
        <w:t xml:space="preserve"> la provincia</w:t>
      </w:r>
      <w:r w:rsidRPr="00EE7DB2">
        <w:t xml:space="preserve"> Holguín, </w:t>
      </w:r>
      <w:r>
        <w:t>al estar disponible</w:t>
      </w:r>
      <w:r w:rsidRPr="00EE7DB2">
        <w:t xml:space="preserve"> la base de datos</w:t>
      </w:r>
      <w:r>
        <w:t xml:space="preserve"> y</w:t>
      </w:r>
      <w:r w:rsidRPr="00EE7DB2">
        <w:t xml:space="preserve"> las arañas epidemiológicas</w:t>
      </w:r>
      <w:r>
        <w:t xml:space="preserve"> necesarias</w:t>
      </w:r>
      <w:r w:rsidRPr="00EE7DB2">
        <w:t xml:space="preserve"> para obtener el índice reproductivo</w:t>
      </w:r>
      <w:r>
        <w:t xml:space="preserve"> (</w:t>
      </w:r>
      <w:r w:rsidRPr="00AF1DDF">
        <w:t>número promedio de casos nuevos que genera un caso dado a lo largo de un período infeccioso</w:t>
      </w:r>
      <w:r>
        <w:t xml:space="preserve">; se representa con </w:t>
      </w:r>
      <w:r w:rsidRPr="00A277F0">
        <w:t>R</w:t>
      </w:r>
      <w:r w:rsidRPr="00A277F0">
        <w:rPr>
          <w:vertAlign w:val="subscript"/>
        </w:rPr>
        <w:t>0</w:t>
      </w:r>
      <w:r>
        <w:t>).</w:t>
      </w:r>
    </w:p>
    <w:p w14:paraId="46E6FA48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>Se seleccionó para la conformación de grupos</w:t>
      </w:r>
      <w:r>
        <w:t xml:space="preserve">, la variable </w:t>
      </w:r>
      <w:r w:rsidRPr="00A277F0">
        <w:t>forma</w:t>
      </w:r>
      <w:r>
        <w:t>s</w:t>
      </w:r>
      <w:r w:rsidRPr="00A277F0">
        <w:t xml:space="preserve"> clínica</w:t>
      </w:r>
      <w:r>
        <w:t>s</w:t>
      </w:r>
      <w:r w:rsidRPr="00A277F0">
        <w:t xml:space="preserve"> (sintomáticas y asintomáticas) y para la contrastación </w:t>
      </w:r>
      <w:r>
        <w:t xml:space="preserve">entre grupos, </w:t>
      </w:r>
      <w:r w:rsidRPr="00A277F0">
        <w:t>la edad, sexo, antecedentes epidemiológicos</w:t>
      </w:r>
      <w:r>
        <w:t xml:space="preserve"> (provincia y municipio de residencia, fuente de infección)</w:t>
      </w:r>
      <w:r w:rsidRPr="00A277F0">
        <w:t xml:space="preserve"> y clínicos, R</w:t>
      </w:r>
      <w:r w:rsidRPr="00A277F0">
        <w:rPr>
          <w:vertAlign w:val="subscript"/>
        </w:rPr>
        <w:t>0</w:t>
      </w:r>
      <w:r w:rsidRPr="00A277F0">
        <w:t xml:space="preserve">, manifestaciones clínicas y </w:t>
      </w:r>
      <w:r>
        <w:t>las</w:t>
      </w:r>
      <w:r w:rsidRPr="00A277F0">
        <w:t xml:space="preserve"> comorbilidades asociadas. </w:t>
      </w:r>
    </w:p>
    <w:p w14:paraId="261C69C9" w14:textId="0E55723E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 xml:space="preserve">Las categóricas fueron descritas como frecuencias y porcentajes, y las numéricas mediante sus medias. </w:t>
      </w:r>
      <w:r>
        <w:t xml:space="preserve">Para comparar la distribución de frecuencias </w:t>
      </w:r>
      <w:r w:rsidRPr="00A277F0">
        <w:t xml:space="preserve">entre </w:t>
      </w:r>
      <w:r>
        <w:t xml:space="preserve">grupos se utilizó la prueba </w:t>
      </w:r>
      <w:r w:rsidRPr="009D0ED3">
        <w:t xml:space="preserve">de </w:t>
      </w:r>
      <w:r w:rsidRPr="00AF1DDF">
        <w:rPr>
          <w:i/>
          <w:iCs/>
        </w:rPr>
        <w:t>ji</w:t>
      </w:r>
      <w:r>
        <w:t xml:space="preserve"> cuadrado de homogeneidad (</w:t>
      </w:r>
      <w:r w:rsidRPr="009D0ED3">
        <w:rPr>
          <w:color w:val="000000"/>
        </w:rPr>
        <w:t>o la prueba de Fisher cuando fue necesario</w:t>
      </w:r>
      <w:r>
        <w:rPr>
          <w:color w:val="000000"/>
        </w:rPr>
        <w:t xml:space="preserve">) </w:t>
      </w:r>
      <w:r w:rsidRPr="009D0ED3">
        <w:t>y para las medias</w:t>
      </w:r>
      <w:r>
        <w:t>,</w:t>
      </w:r>
      <w:r w:rsidRPr="009D0ED3">
        <w:t xml:space="preserve"> se utilizó </w:t>
      </w:r>
      <w:r>
        <w:t xml:space="preserve">la prueba </w:t>
      </w:r>
      <w:r w:rsidRPr="009D0ED3">
        <w:t>t</w:t>
      </w:r>
      <w:r>
        <w:t xml:space="preserve"> de </w:t>
      </w:r>
      <w:proofErr w:type="spellStart"/>
      <w:r>
        <w:t>S</w:t>
      </w:r>
      <w:r w:rsidRPr="009D0ED3">
        <w:t>tudent</w:t>
      </w:r>
      <w:proofErr w:type="spellEnd"/>
      <w:r>
        <w:t xml:space="preserve"> para muestras independientes</w:t>
      </w:r>
      <w:r w:rsidRPr="00A277F0">
        <w:t>, previa comprobación de normalidad (</w:t>
      </w:r>
      <w:r>
        <w:t xml:space="preserve">mediante la </w:t>
      </w:r>
      <w:r w:rsidRPr="00A277F0">
        <w:rPr>
          <w:color w:val="000000"/>
        </w:rPr>
        <w:t xml:space="preserve">prueba de </w:t>
      </w:r>
      <w:proofErr w:type="spellStart"/>
      <w:r w:rsidRPr="00A277F0">
        <w:rPr>
          <w:color w:val="000000"/>
        </w:rPr>
        <w:t>Kolmogorov</w:t>
      </w:r>
      <w:proofErr w:type="spellEnd"/>
      <w:r w:rsidR="005C465D">
        <w:rPr>
          <w:color w:val="000000"/>
        </w:rPr>
        <w:t xml:space="preserve"> </w:t>
      </w:r>
      <w:r w:rsidRPr="00A277F0">
        <w:rPr>
          <w:color w:val="000000"/>
        </w:rPr>
        <w:t>-</w:t>
      </w:r>
      <w:r w:rsidR="005C465D">
        <w:rPr>
          <w:color w:val="000000"/>
        </w:rPr>
        <w:t xml:space="preserve"> </w:t>
      </w:r>
      <w:proofErr w:type="spellStart"/>
      <w:r w:rsidRPr="00A277F0">
        <w:rPr>
          <w:color w:val="000000"/>
        </w:rPr>
        <w:t>Smirnov</w:t>
      </w:r>
      <w:proofErr w:type="spellEnd"/>
      <w:r w:rsidRPr="00A277F0">
        <w:rPr>
          <w:color w:val="000000"/>
        </w:rPr>
        <w:t>)</w:t>
      </w:r>
      <w:r>
        <w:rPr>
          <w:color w:val="000000"/>
        </w:rPr>
        <w:t>. Cuando no distribuyó de forma normal, se utilizó la prueba U de Mann-Whitney. S</w:t>
      </w:r>
      <w:r w:rsidRPr="00A277F0">
        <w:rPr>
          <w:color w:val="000000"/>
        </w:rPr>
        <w:t>e asumió como nivel de confianza un 95 %.</w:t>
      </w:r>
    </w:p>
    <w:p w14:paraId="2B1309DB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ED7573">
        <w:t xml:space="preserve">Los datos se obtuvieron de la base de datos de la Dirección Provincial de Salud </w:t>
      </w:r>
      <w:r>
        <w:t>de la provincia Holguín y de las</w:t>
      </w:r>
      <w:r w:rsidRPr="00ED7573">
        <w:t xml:space="preserve"> historias clínicas</w:t>
      </w:r>
      <w:r>
        <w:t xml:space="preserve"> del ingreso hospitalario. El procesamiento se realizó mediante</w:t>
      </w:r>
      <w:r w:rsidRPr="00A277F0">
        <w:t xml:space="preserve"> el software estadístico SPSS versión 26.</w:t>
      </w:r>
    </w:p>
    <w:p w14:paraId="146DD520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 xml:space="preserve">Esta investigación se realizó </w:t>
      </w:r>
      <w:r w:rsidRPr="005A2EC5">
        <w:t>de acuerdo con l</w:t>
      </w:r>
      <w:r>
        <w:t>o</w:t>
      </w:r>
      <w:r w:rsidRPr="005A2EC5">
        <w:t xml:space="preserve">s </w:t>
      </w:r>
      <w:r>
        <w:t xml:space="preserve">principios establecidos </w:t>
      </w:r>
      <w:r w:rsidRPr="005A2EC5">
        <w:t xml:space="preserve">en la Declaración de Helsinki de la Asamblea Médica </w:t>
      </w:r>
      <w:proofErr w:type="gramStart"/>
      <w:r w:rsidRPr="005A2EC5">
        <w:t>Mundial</w:t>
      </w:r>
      <w:r>
        <w:t>.</w:t>
      </w:r>
      <w:r w:rsidRPr="00387117">
        <w:rPr>
          <w:vertAlign w:val="superscript"/>
        </w:rPr>
        <w:t>(</w:t>
      </w:r>
      <w:proofErr w:type="gramEnd"/>
      <w:r w:rsidRPr="00387117">
        <w:rPr>
          <w:vertAlign w:val="superscript"/>
        </w:rPr>
        <w:t>9)</w:t>
      </w:r>
    </w:p>
    <w:p w14:paraId="5495F9CD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</w:p>
    <w:p w14:paraId="189D0AC3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b/>
        </w:rPr>
      </w:pPr>
    </w:p>
    <w:p w14:paraId="5BB293C9" w14:textId="77777777" w:rsidR="005973A2" w:rsidRPr="0022792F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22792F">
        <w:rPr>
          <w:b/>
          <w:sz w:val="32"/>
          <w:szCs w:val="32"/>
        </w:rPr>
        <w:t>RESULTADOS</w:t>
      </w:r>
    </w:p>
    <w:p w14:paraId="6CDC61A8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>
        <w:t>D</w:t>
      </w:r>
      <w:r w:rsidRPr="00A277F0">
        <w:t>e</w:t>
      </w:r>
      <w:r>
        <w:t xml:space="preserve"> los</w:t>
      </w:r>
      <w:r w:rsidRPr="00A277F0">
        <w:t xml:space="preserve"> 91 pacientes</w:t>
      </w:r>
      <w:r>
        <w:t xml:space="preserve"> estudiados,</w:t>
      </w:r>
      <w:r w:rsidRPr="00A277F0">
        <w:t xml:space="preserve"> positivos a</w:t>
      </w:r>
      <w:r>
        <w:t>l</w:t>
      </w:r>
      <w:r w:rsidRPr="00A277F0">
        <w:t xml:space="preserve"> SARS-CoV-2, 37 (40,7 %) </w:t>
      </w:r>
      <w:r>
        <w:t>fueron</w:t>
      </w:r>
      <w:r w:rsidRPr="00A277F0">
        <w:t xml:space="preserve"> asintomáticos y 54 (59,3</w:t>
      </w:r>
      <w:r>
        <w:t xml:space="preserve"> </w:t>
      </w:r>
      <w:r w:rsidRPr="00A277F0">
        <w:t>%) s</w:t>
      </w:r>
      <w:r>
        <w:t>i</w:t>
      </w:r>
      <w:r w:rsidRPr="00A277F0">
        <w:t>ntom</w:t>
      </w:r>
      <w:r>
        <w:t>áticos</w:t>
      </w:r>
      <w:r w:rsidRPr="00A277F0">
        <w:t xml:space="preserve"> al ingreso</w:t>
      </w:r>
      <w:r>
        <w:t>,</w:t>
      </w:r>
      <w:r w:rsidRPr="00A277F0">
        <w:t xml:space="preserve"> o en las primeras 72 horas</w:t>
      </w:r>
      <w:r>
        <w:t xml:space="preserve"> luego</w:t>
      </w:r>
      <w:r w:rsidRPr="00A277F0">
        <w:t xml:space="preserve"> de</w:t>
      </w:r>
      <w:r>
        <w:t>l ingreso</w:t>
      </w:r>
      <w:r w:rsidRPr="00A277F0">
        <w:t xml:space="preserve">. </w:t>
      </w:r>
    </w:p>
    <w:p w14:paraId="5D9B497D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 xml:space="preserve">Al comparar la edad y el sexo </w:t>
      </w:r>
      <w:r>
        <w:t xml:space="preserve">entre ambos grupos </w:t>
      </w:r>
      <w:r w:rsidRPr="00A277F0">
        <w:t xml:space="preserve">(tabla 1) se </w:t>
      </w:r>
      <w:r>
        <w:t>o</w:t>
      </w:r>
      <w:r w:rsidRPr="00A277F0">
        <w:t>bserva que la media de la edad en los pacientes sintomáticos fue superior (46,6 años vs</w:t>
      </w:r>
      <w:r>
        <w:t>.</w:t>
      </w:r>
      <w:r w:rsidRPr="00A277F0">
        <w:t xml:space="preserve"> 37,2)</w:t>
      </w:r>
      <w:r>
        <w:t>. E</w:t>
      </w:r>
      <w:r w:rsidRPr="00A277F0">
        <w:t>xistieron diferencias significativas</w:t>
      </w:r>
      <w:r>
        <w:t>,</w:t>
      </w:r>
      <w:r w:rsidRPr="00A277F0">
        <w:t xml:space="preserve"> con una probabilidad de e</w:t>
      </w:r>
      <w:r w:rsidR="00694EBC">
        <w:t xml:space="preserve">rror de 0,027 entre los grupos. </w:t>
      </w:r>
      <w:r w:rsidRPr="00A277F0">
        <w:t xml:space="preserve">En cuanto al </w:t>
      </w:r>
      <w:r>
        <w:t xml:space="preserve">sexo, </w:t>
      </w:r>
      <w:r w:rsidRPr="00AA7605">
        <w:t>predominó ligeramente el femenino</w:t>
      </w:r>
      <w:r w:rsidRPr="00A277F0">
        <w:t xml:space="preserve"> </w:t>
      </w:r>
      <w:r w:rsidRPr="00A277F0">
        <w:lastRenderedPageBreak/>
        <w:t xml:space="preserve">(51,4 %) en los asintomáticos y </w:t>
      </w:r>
      <w:r>
        <w:t>el</w:t>
      </w:r>
      <w:r w:rsidRPr="00A277F0">
        <w:t xml:space="preserve"> masculino (53,7</w:t>
      </w:r>
      <w:r>
        <w:t xml:space="preserve"> </w:t>
      </w:r>
      <w:r w:rsidRPr="00A277F0">
        <w:t xml:space="preserve">%) en los sintomáticos. </w:t>
      </w:r>
      <w:r>
        <w:t>No hubo</w:t>
      </w:r>
      <w:r w:rsidRPr="00A277F0">
        <w:t xml:space="preserve"> diferencias</w:t>
      </w:r>
      <w:r>
        <w:t xml:space="preserve"> estadísticamente significativas</w:t>
      </w:r>
      <w:r w:rsidRPr="00A277F0">
        <w:t xml:space="preserve"> en </w:t>
      </w:r>
      <w:r>
        <w:t>cuanto a</w:t>
      </w:r>
      <w:r w:rsidRPr="00A277F0">
        <w:t>l sexo (χ</w:t>
      </w:r>
      <w:r w:rsidRPr="00A277F0">
        <w:rPr>
          <w:vertAlign w:val="superscript"/>
        </w:rPr>
        <w:t>2</w:t>
      </w:r>
      <w:r w:rsidRPr="00A277F0">
        <w:t xml:space="preserve"> =</w:t>
      </w:r>
      <w:r>
        <w:t> </w:t>
      </w:r>
      <w:r w:rsidRPr="00A277F0">
        <w:t>0,224</w:t>
      </w:r>
      <w:r>
        <w:t>;</w:t>
      </w:r>
      <w:r w:rsidRPr="00A277F0">
        <w:t xml:space="preserve"> p</w:t>
      </w:r>
      <w:r>
        <w:t> </w:t>
      </w:r>
      <w:r w:rsidRPr="00A277F0">
        <w:t>=</w:t>
      </w:r>
      <w:r>
        <w:t> </w:t>
      </w:r>
      <w:r w:rsidRPr="00A277F0">
        <w:t xml:space="preserve">0,635). </w:t>
      </w:r>
    </w:p>
    <w:p w14:paraId="295F2A23" w14:textId="77777777" w:rsidR="005973A2" w:rsidRDefault="005973A2" w:rsidP="005973A2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E03F81" w14:textId="77777777" w:rsidR="005973A2" w:rsidRPr="00A80AB6" w:rsidRDefault="005973A2" w:rsidP="005973A2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2C49DE">
        <w:rPr>
          <w:rFonts w:ascii="Times New Roman" w:hAnsi="Times New Roman" w:cs="Times New Roman"/>
          <w:b/>
          <w:bCs/>
          <w:szCs w:val="24"/>
        </w:rPr>
        <w:t>Tabla 1</w:t>
      </w:r>
      <w:r>
        <w:rPr>
          <w:rFonts w:ascii="Times New Roman" w:hAnsi="Times New Roman" w:cs="Times New Roman"/>
          <w:b/>
          <w:bCs/>
          <w:szCs w:val="24"/>
        </w:rPr>
        <w:t xml:space="preserve"> -</w:t>
      </w:r>
      <w:r w:rsidRPr="00A80AB6">
        <w:rPr>
          <w:rFonts w:ascii="Times New Roman" w:hAnsi="Times New Roman" w:cs="Times New Roman"/>
          <w:szCs w:val="24"/>
        </w:rPr>
        <w:t xml:space="preserve"> Datos generales y formas clínica de la COVID-19</w:t>
      </w:r>
    </w:p>
    <w:tbl>
      <w:tblPr>
        <w:tblStyle w:val="Sombreadoclaro-nfasis1"/>
        <w:tblW w:w="35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703"/>
        <w:gridCol w:w="1693"/>
        <w:gridCol w:w="1696"/>
        <w:gridCol w:w="1190"/>
        <w:gridCol w:w="1016"/>
      </w:tblGrid>
      <w:tr w:rsidR="005973A2" w:rsidRPr="00A277F0" w14:paraId="1BE97AB7" w14:textId="77777777" w:rsidTr="005C4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  <w:jc w:val="center"/>
        </w:trPr>
        <w:tc>
          <w:tcPr>
            <w:tcW w:w="11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2FF119F2" w14:textId="77777777" w:rsidR="005973A2" w:rsidRPr="00EF69E7" w:rsidRDefault="005973A2" w:rsidP="005C465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EF69E7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Datos generales</w:t>
            </w: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7D29D6" w14:textId="77777777" w:rsidR="005973A2" w:rsidRPr="00EF69E7" w:rsidRDefault="005973A2" w:rsidP="005C465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EF69E7">
              <w:rPr>
                <w:rFonts w:ascii="Times New Roman" w:hAnsi="Times New Roman" w:cs="Times New Roman"/>
                <w:bCs w:val="0"/>
                <w:color w:val="auto"/>
                <w:sz w:val="18"/>
                <w:szCs w:val="24"/>
              </w:rPr>
              <w:t>Asintomáticos</w:t>
            </w:r>
          </w:p>
          <w:p w14:paraId="0FBAD72E" w14:textId="77777777" w:rsidR="005973A2" w:rsidRPr="00EF69E7" w:rsidRDefault="005973A2" w:rsidP="005C465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EF69E7">
              <w:rPr>
                <w:rFonts w:ascii="Times New Roman" w:hAnsi="Times New Roman" w:cs="Times New Roman"/>
                <w:bCs w:val="0"/>
                <w:color w:val="auto"/>
                <w:sz w:val="18"/>
                <w:szCs w:val="24"/>
              </w:rPr>
              <w:t>n =</w:t>
            </w:r>
            <w:r>
              <w:rPr>
                <w:rFonts w:ascii="Times New Roman" w:hAnsi="Times New Roman" w:cs="Times New Roman"/>
                <w:bCs w:val="0"/>
                <w:color w:val="auto"/>
                <w:sz w:val="18"/>
                <w:szCs w:val="24"/>
              </w:rPr>
              <w:t> </w:t>
            </w:r>
            <w:r w:rsidRPr="00EF69E7">
              <w:rPr>
                <w:rFonts w:ascii="Times New Roman" w:hAnsi="Times New Roman" w:cs="Times New Roman"/>
                <w:bCs w:val="0"/>
                <w:color w:val="auto"/>
                <w:sz w:val="18"/>
                <w:szCs w:val="24"/>
              </w:rPr>
              <w:t>37</w:t>
            </w:r>
          </w:p>
        </w:tc>
        <w:tc>
          <w:tcPr>
            <w:tcW w:w="11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DDAA6C" w14:textId="77777777" w:rsidR="005973A2" w:rsidRPr="00EF69E7" w:rsidRDefault="005973A2" w:rsidP="005C465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EF69E7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Sintomáticos</w:t>
            </w:r>
          </w:p>
          <w:p w14:paraId="0BDFB93E" w14:textId="77777777" w:rsidR="005973A2" w:rsidRPr="00EF69E7" w:rsidRDefault="005973A2" w:rsidP="005C465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EF69E7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n =</w:t>
            </w:r>
            <w:r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 </w:t>
            </w:r>
            <w:r w:rsidRPr="00EF69E7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54</w:t>
            </w:r>
          </w:p>
        </w:tc>
        <w:tc>
          <w:tcPr>
            <w:tcW w:w="8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D2485B" w14:textId="77777777" w:rsidR="005973A2" w:rsidRPr="00EF69E7" w:rsidRDefault="005973A2" w:rsidP="005C465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EF69E7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Prueba</w:t>
            </w:r>
          </w:p>
        </w:tc>
        <w:tc>
          <w:tcPr>
            <w:tcW w:w="6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2E93D0" w14:textId="77777777" w:rsidR="005973A2" w:rsidRPr="00EF69E7" w:rsidRDefault="005973A2" w:rsidP="005C465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EF69E7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P</w:t>
            </w:r>
          </w:p>
        </w:tc>
      </w:tr>
      <w:tr w:rsidR="005973A2" w:rsidRPr="00A277F0" w14:paraId="47B0ABCE" w14:textId="77777777" w:rsidTr="00694EBC">
        <w:trPr>
          <w:trHeight w:val="234"/>
          <w:jc w:val="center"/>
        </w:trPr>
        <w:tc>
          <w:tcPr>
            <w:tcW w:w="1167" w:type="pct"/>
            <w:noWrap/>
            <w:vAlign w:val="center"/>
          </w:tcPr>
          <w:p w14:paraId="67158463" w14:textId="77777777" w:rsidR="005973A2" w:rsidRPr="00A80AB6" w:rsidRDefault="005973A2" w:rsidP="005C465D">
            <w:pPr>
              <w:tabs>
                <w:tab w:val="left" w:pos="1134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A80AB6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Edad (media)</w:t>
            </w:r>
          </w:p>
        </w:tc>
        <w:tc>
          <w:tcPr>
            <w:tcW w:w="1160" w:type="pct"/>
            <w:vAlign w:val="center"/>
          </w:tcPr>
          <w:p w14:paraId="3F84B5DD" w14:textId="77777777" w:rsidR="005973A2" w:rsidRPr="00A80AB6" w:rsidRDefault="005973A2" w:rsidP="005C465D">
            <w:pPr>
              <w:pStyle w:val="DecimalAligned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18"/>
                <w:szCs w:val="24"/>
              </w:rPr>
            </w:pPr>
            <w:r w:rsidRPr="00A80AB6">
              <w:rPr>
                <w:rFonts w:ascii="Times New Roman" w:hAnsi="Times New Roman"/>
                <w:color w:val="auto"/>
                <w:sz w:val="18"/>
                <w:szCs w:val="24"/>
              </w:rPr>
              <w:t>37,2</w:t>
            </w:r>
          </w:p>
        </w:tc>
        <w:tc>
          <w:tcPr>
            <w:tcW w:w="1162" w:type="pct"/>
            <w:vAlign w:val="center"/>
          </w:tcPr>
          <w:p w14:paraId="6141A857" w14:textId="77777777" w:rsidR="005973A2" w:rsidRPr="00A80AB6" w:rsidRDefault="005973A2" w:rsidP="005C465D">
            <w:pPr>
              <w:pStyle w:val="DecimalAligned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18"/>
                <w:szCs w:val="24"/>
              </w:rPr>
            </w:pPr>
            <w:r w:rsidRPr="00A80AB6">
              <w:rPr>
                <w:rFonts w:ascii="Times New Roman" w:hAnsi="Times New Roman"/>
                <w:color w:val="auto"/>
                <w:sz w:val="18"/>
                <w:szCs w:val="24"/>
              </w:rPr>
              <w:t>46,6</w:t>
            </w:r>
          </w:p>
        </w:tc>
        <w:tc>
          <w:tcPr>
            <w:tcW w:w="815" w:type="pct"/>
            <w:vAlign w:val="center"/>
          </w:tcPr>
          <w:p w14:paraId="2EE3EF44" w14:textId="77777777" w:rsidR="005973A2" w:rsidRPr="00A80AB6" w:rsidRDefault="005973A2" w:rsidP="005C465D">
            <w:pPr>
              <w:pStyle w:val="DecimalAligned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18"/>
                <w:szCs w:val="24"/>
              </w:rPr>
            </w:pPr>
            <w:r w:rsidRPr="00A80AB6">
              <w:rPr>
                <w:rFonts w:ascii="Times New Roman" w:hAnsi="Times New Roman"/>
                <w:color w:val="auto"/>
                <w:sz w:val="18"/>
                <w:szCs w:val="24"/>
              </w:rPr>
              <w:t xml:space="preserve">-2,25 </w:t>
            </w:r>
            <w:r w:rsidRPr="00A80AB6">
              <w:rPr>
                <w:rFonts w:ascii="Times New Roman" w:hAnsi="Times New Roman"/>
                <w:color w:val="auto"/>
                <w:sz w:val="18"/>
                <w:szCs w:val="24"/>
                <w:vertAlign w:val="superscript"/>
              </w:rPr>
              <w:t>a</w:t>
            </w:r>
          </w:p>
        </w:tc>
        <w:tc>
          <w:tcPr>
            <w:tcW w:w="697" w:type="pct"/>
            <w:vAlign w:val="center"/>
          </w:tcPr>
          <w:p w14:paraId="795EDF7D" w14:textId="77777777" w:rsidR="005973A2" w:rsidRPr="00A80AB6" w:rsidRDefault="005973A2" w:rsidP="005C465D">
            <w:pPr>
              <w:pStyle w:val="DecimalAligned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18"/>
                <w:szCs w:val="24"/>
              </w:rPr>
            </w:pPr>
            <w:r w:rsidRPr="00A80AB6">
              <w:rPr>
                <w:rFonts w:ascii="Times New Roman" w:hAnsi="Times New Roman"/>
                <w:color w:val="auto"/>
                <w:sz w:val="18"/>
                <w:szCs w:val="24"/>
              </w:rPr>
              <w:t xml:space="preserve">0,02 </w:t>
            </w:r>
          </w:p>
        </w:tc>
      </w:tr>
      <w:tr w:rsidR="005973A2" w:rsidRPr="00A277F0" w14:paraId="3D2DCECF" w14:textId="77777777" w:rsidTr="00694E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1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5FBBDF2B" w14:textId="77777777" w:rsidR="005973A2" w:rsidRPr="00A80AB6" w:rsidRDefault="005973A2" w:rsidP="005C465D">
            <w:pPr>
              <w:tabs>
                <w:tab w:val="left" w:pos="1134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A80AB6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Sexo M/F (%)</w:t>
            </w: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6D4C96" w14:textId="77777777" w:rsidR="005973A2" w:rsidRPr="00A80AB6" w:rsidRDefault="005973A2" w:rsidP="005C465D">
            <w:pPr>
              <w:pStyle w:val="DecimalAligned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18"/>
                <w:szCs w:val="24"/>
              </w:rPr>
            </w:pPr>
            <w:r w:rsidRPr="00A80AB6">
              <w:rPr>
                <w:rFonts w:ascii="Times New Roman" w:hAnsi="Times New Roman"/>
                <w:b w:val="0"/>
                <w:color w:val="auto"/>
                <w:sz w:val="18"/>
                <w:szCs w:val="24"/>
              </w:rPr>
              <w:t>48,6/51,4</w:t>
            </w:r>
          </w:p>
        </w:tc>
        <w:tc>
          <w:tcPr>
            <w:tcW w:w="11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1FF9C7" w14:textId="77777777" w:rsidR="005973A2" w:rsidRPr="00A80AB6" w:rsidRDefault="005973A2" w:rsidP="005C465D">
            <w:pPr>
              <w:pStyle w:val="DecimalAligned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18"/>
                <w:szCs w:val="24"/>
              </w:rPr>
            </w:pPr>
            <w:r w:rsidRPr="00A80AB6">
              <w:rPr>
                <w:rFonts w:ascii="Times New Roman" w:hAnsi="Times New Roman"/>
                <w:b w:val="0"/>
                <w:color w:val="auto"/>
                <w:sz w:val="18"/>
                <w:szCs w:val="24"/>
              </w:rPr>
              <w:t>53,7/46,3</w:t>
            </w:r>
          </w:p>
        </w:tc>
        <w:tc>
          <w:tcPr>
            <w:tcW w:w="8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BDEE42" w14:textId="77777777" w:rsidR="005973A2" w:rsidRPr="00A80AB6" w:rsidRDefault="005973A2" w:rsidP="005C465D">
            <w:pPr>
              <w:pStyle w:val="DecimalAligned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18"/>
                <w:szCs w:val="24"/>
              </w:rPr>
            </w:pPr>
            <w:r w:rsidRPr="00A80AB6">
              <w:rPr>
                <w:rFonts w:ascii="Times New Roman" w:hAnsi="Times New Roman"/>
                <w:b w:val="0"/>
                <w:color w:val="010205"/>
                <w:sz w:val="18"/>
                <w:szCs w:val="24"/>
                <w:lang w:val="en-US"/>
              </w:rPr>
              <w:t xml:space="preserve">0,22 </w:t>
            </w:r>
            <w:r w:rsidRPr="00A80AB6">
              <w:rPr>
                <w:rFonts w:ascii="Times New Roman" w:hAnsi="Times New Roman"/>
                <w:b w:val="0"/>
                <w:color w:val="010205"/>
                <w:sz w:val="18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6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6A1ED5" w14:textId="77777777" w:rsidR="005973A2" w:rsidRPr="00A80AB6" w:rsidRDefault="005973A2" w:rsidP="005C465D">
            <w:pPr>
              <w:pStyle w:val="DecimalAligned"/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18"/>
                <w:szCs w:val="24"/>
              </w:rPr>
            </w:pPr>
            <w:r w:rsidRPr="00A80AB6">
              <w:rPr>
                <w:rFonts w:ascii="Times New Roman" w:hAnsi="Times New Roman"/>
                <w:b w:val="0"/>
                <w:color w:val="010205"/>
                <w:sz w:val="18"/>
                <w:szCs w:val="24"/>
                <w:lang w:val="en-US"/>
              </w:rPr>
              <w:t>0,63</w:t>
            </w:r>
          </w:p>
        </w:tc>
      </w:tr>
    </w:tbl>
    <w:p w14:paraId="2163B7BD" w14:textId="434A3839" w:rsidR="005973A2" w:rsidRPr="00826C6E" w:rsidRDefault="005973A2" w:rsidP="005973A2">
      <w:pPr>
        <w:pStyle w:val="Textonotapie"/>
        <w:tabs>
          <w:tab w:val="left" w:pos="1134"/>
        </w:tabs>
        <w:spacing w:line="360" w:lineRule="auto"/>
        <w:jc w:val="center"/>
        <w:rPr>
          <w:rFonts w:ascii="Times New Roman" w:hAnsi="Times New Roman"/>
          <w:sz w:val="16"/>
          <w:szCs w:val="16"/>
        </w:rPr>
      </w:pPr>
      <w:r w:rsidRPr="00826C6E">
        <w:rPr>
          <w:rFonts w:ascii="Times New Roman" w:hAnsi="Times New Roman"/>
          <w:sz w:val="16"/>
          <w:szCs w:val="16"/>
          <w:vertAlign w:val="superscript"/>
        </w:rPr>
        <w:t xml:space="preserve">a </w:t>
      </w:r>
      <w:r w:rsidRPr="00826C6E">
        <w:rPr>
          <w:rFonts w:ascii="Times New Roman" w:hAnsi="Times New Roman"/>
          <w:sz w:val="16"/>
          <w:szCs w:val="16"/>
        </w:rPr>
        <w:t>prueba</w:t>
      </w:r>
      <w:r w:rsidR="005C465D">
        <w:rPr>
          <w:rFonts w:ascii="Times New Roman" w:hAnsi="Times New Roman"/>
          <w:sz w:val="16"/>
          <w:szCs w:val="16"/>
        </w:rPr>
        <w:t xml:space="preserve"> </w:t>
      </w:r>
      <w:r w:rsidRPr="00826C6E">
        <w:rPr>
          <w:rFonts w:ascii="Times New Roman" w:hAnsi="Times New Roman"/>
          <w:sz w:val="16"/>
          <w:szCs w:val="16"/>
        </w:rPr>
        <w:t xml:space="preserve">t de </w:t>
      </w:r>
      <w:proofErr w:type="spellStart"/>
      <w:r w:rsidRPr="00826C6E">
        <w:rPr>
          <w:rFonts w:ascii="Times New Roman" w:hAnsi="Times New Roman"/>
          <w:sz w:val="16"/>
          <w:szCs w:val="16"/>
        </w:rPr>
        <w:t>Student</w:t>
      </w:r>
      <w:proofErr w:type="spellEnd"/>
    </w:p>
    <w:p w14:paraId="098C8DA7" w14:textId="77777777" w:rsidR="005973A2" w:rsidRPr="00826C6E" w:rsidRDefault="005973A2" w:rsidP="005973A2">
      <w:pPr>
        <w:pStyle w:val="Textonotapie"/>
        <w:tabs>
          <w:tab w:val="left" w:pos="1134"/>
        </w:tabs>
        <w:spacing w:line="360" w:lineRule="auto"/>
        <w:jc w:val="center"/>
        <w:rPr>
          <w:rFonts w:ascii="Times New Roman" w:hAnsi="Times New Roman"/>
          <w:sz w:val="16"/>
          <w:szCs w:val="16"/>
        </w:rPr>
      </w:pPr>
      <w:r w:rsidRPr="00826C6E">
        <w:rPr>
          <w:rFonts w:ascii="Times New Roman" w:hAnsi="Times New Roman"/>
          <w:sz w:val="16"/>
          <w:szCs w:val="16"/>
          <w:vertAlign w:val="superscript"/>
        </w:rPr>
        <w:t xml:space="preserve">b </w:t>
      </w:r>
      <w:r w:rsidRPr="00826C6E">
        <w:rPr>
          <w:rFonts w:ascii="Times New Roman" w:hAnsi="Times New Roman"/>
          <w:sz w:val="16"/>
          <w:szCs w:val="16"/>
        </w:rPr>
        <w:t xml:space="preserve">prueba χ </w:t>
      </w:r>
      <w:r w:rsidRPr="00826C6E">
        <w:rPr>
          <w:rFonts w:ascii="Times New Roman" w:hAnsi="Times New Roman"/>
          <w:sz w:val="16"/>
          <w:szCs w:val="16"/>
          <w:vertAlign w:val="superscript"/>
        </w:rPr>
        <w:t>2</w:t>
      </w:r>
    </w:p>
    <w:p w14:paraId="7022F7C9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</w:p>
    <w:p w14:paraId="0888DC19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>En el antecedente epidemiológico (tabla 2) lugar de residencia, predominaron los casos en los municipios Holguín y Gibara</w:t>
      </w:r>
      <w:r>
        <w:t>,</w:t>
      </w:r>
      <w:r w:rsidRPr="00A277F0">
        <w:t xml:space="preserve"> con un 33 y 29 % respectivamente. </w:t>
      </w:r>
      <w:r>
        <w:t>S</w:t>
      </w:r>
      <w:r w:rsidRPr="00A277F0">
        <w:t xml:space="preserve">e encontró mayor porcentaje de casos sintomáticos en dichos municipios. </w:t>
      </w:r>
      <w:r>
        <w:t>Las</w:t>
      </w:r>
      <w:r w:rsidRPr="00A277F0">
        <w:t xml:space="preserve"> proporciones no difieren de forma significativa (χ </w:t>
      </w:r>
      <w:r w:rsidRPr="00A277F0">
        <w:rPr>
          <w:vertAlign w:val="superscript"/>
        </w:rPr>
        <w:t>2</w:t>
      </w:r>
      <w:r>
        <w:rPr>
          <w:vertAlign w:val="superscript"/>
        </w:rPr>
        <w:t> </w:t>
      </w:r>
      <w:r w:rsidRPr="00A277F0">
        <w:t>= 4,58</w:t>
      </w:r>
      <w:r>
        <w:t>;</w:t>
      </w:r>
      <w:r w:rsidRPr="00A277F0">
        <w:t xml:space="preserve"> p</w:t>
      </w:r>
      <w:r>
        <w:t> </w:t>
      </w:r>
      <w:r w:rsidRPr="00A277F0">
        <w:t xml:space="preserve">= 0,80). </w:t>
      </w:r>
      <w:r>
        <w:t>Sobre</w:t>
      </w:r>
      <w:r w:rsidRPr="00A277F0">
        <w:t xml:space="preserve"> la fuente de infección</w:t>
      </w:r>
      <w:r>
        <w:t>,</w:t>
      </w:r>
      <w:r w:rsidRPr="00A277F0">
        <w:t xml:space="preserve"> predomin</w:t>
      </w:r>
      <w:r>
        <w:t>aron</w:t>
      </w:r>
      <w:r w:rsidRPr="00A277F0">
        <w:t xml:space="preserve"> en ambos grupos el contacto con casos confirmados por encima del 80 %</w:t>
      </w:r>
      <w:r>
        <w:t xml:space="preserve"> y no hubo diferencias entre ambos </w:t>
      </w:r>
      <w:r w:rsidRPr="00A277F0">
        <w:t xml:space="preserve">(χ </w:t>
      </w:r>
      <w:r w:rsidRPr="00A277F0">
        <w:rPr>
          <w:vertAlign w:val="superscript"/>
        </w:rPr>
        <w:t>2</w:t>
      </w:r>
      <w:r w:rsidRPr="00A277F0">
        <w:t xml:space="preserve">=5,20 p= 0,15). </w:t>
      </w:r>
      <w:r>
        <w:t>E</w:t>
      </w:r>
      <w:r w:rsidRPr="00A277F0">
        <w:t xml:space="preserve">l número reproductivo básico </w:t>
      </w:r>
      <w:r w:rsidRPr="00AA7605">
        <w:t>presentó</w:t>
      </w:r>
      <w:r w:rsidRPr="00A277F0">
        <w:t xml:space="preserve"> una media mayor en los sintomáticos (0,74 vs</w:t>
      </w:r>
      <w:r>
        <w:t>.</w:t>
      </w:r>
      <w:r w:rsidRPr="00A277F0">
        <w:t xml:space="preserve"> 0,59 en asintomáticos)</w:t>
      </w:r>
      <w:r>
        <w:t xml:space="preserve">; tampoco estadísticamente significativa </w:t>
      </w:r>
      <w:r w:rsidRPr="00A277F0">
        <w:t>(</w:t>
      </w:r>
      <w:r w:rsidRPr="00096FE6">
        <w:t>U</w:t>
      </w:r>
      <w:r>
        <w:t> </w:t>
      </w:r>
      <w:r w:rsidRPr="00A277F0">
        <w:t>=</w:t>
      </w:r>
      <w:r>
        <w:t> </w:t>
      </w:r>
      <w:r w:rsidRPr="00A277F0">
        <w:t>950,0 p</w:t>
      </w:r>
      <w:r>
        <w:t> </w:t>
      </w:r>
      <w:r w:rsidRPr="00A277F0">
        <w:t>=</w:t>
      </w:r>
      <w:r>
        <w:t> </w:t>
      </w:r>
      <w:r w:rsidRPr="00A277F0">
        <w:t>0,64).</w:t>
      </w:r>
    </w:p>
    <w:p w14:paraId="05706B26" w14:textId="77777777" w:rsidR="005973A2" w:rsidRPr="00A277F0" w:rsidRDefault="005973A2" w:rsidP="005973A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7F0">
        <w:rPr>
          <w:rFonts w:ascii="Times New Roman" w:hAnsi="Times New Roman" w:cs="Times New Roman"/>
          <w:sz w:val="24"/>
          <w:szCs w:val="24"/>
        </w:rPr>
        <w:t>Los factores de riesgo clínico (tabla 3) de mayor frecuencia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77F0">
        <w:rPr>
          <w:rFonts w:ascii="Times New Roman" w:hAnsi="Times New Roman" w:cs="Times New Roman"/>
          <w:sz w:val="24"/>
          <w:szCs w:val="24"/>
        </w:rPr>
        <w:t xml:space="preserve"> fueron la condición de adulto mayor y la hipertensión arterial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77F0">
        <w:rPr>
          <w:rFonts w:ascii="Times New Roman" w:hAnsi="Times New Roman" w:cs="Times New Roman"/>
          <w:sz w:val="24"/>
          <w:szCs w:val="24"/>
        </w:rPr>
        <w:t xml:space="preserve"> con porcientos superiores en sintomáticos. </w:t>
      </w:r>
      <w:r>
        <w:rPr>
          <w:rFonts w:ascii="Times New Roman" w:hAnsi="Times New Roman" w:cs="Times New Roman"/>
          <w:sz w:val="24"/>
          <w:szCs w:val="24"/>
        </w:rPr>
        <w:t>Hubo</w:t>
      </w:r>
      <w:r w:rsidRPr="00A277F0">
        <w:rPr>
          <w:rFonts w:ascii="Times New Roman" w:hAnsi="Times New Roman" w:cs="Times New Roman"/>
          <w:sz w:val="24"/>
          <w:szCs w:val="24"/>
        </w:rPr>
        <w:t xml:space="preserve"> diferencias estadísticamente significativas en cuanto a la condición adulto mayor (χ</w:t>
      </w:r>
      <w:r w:rsidRPr="00A277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A277F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77F0">
        <w:rPr>
          <w:rFonts w:ascii="Times New Roman" w:hAnsi="Times New Roman" w:cs="Times New Roman"/>
          <w:sz w:val="24"/>
          <w:szCs w:val="24"/>
        </w:rPr>
        <w:t>24,55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277F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77F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77F0">
        <w:rPr>
          <w:rFonts w:ascii="Times New Roman" w:hAnsi="Times New Roman" w:cs="Times New Roman"/>
          <w:sz w:val="24"/>
          <w:szCs w:val="24"/>
        </w:rPr>
        <w:t>0,00) y la hipertensión arterial (χ</w:t>
      </w:r>
      <w:r w:rsidRPr="00A277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A277F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77F0">
        <w:rPr>
          <w:rFonts w:ascii="Times New Roman" w:hAnsi="Times New Roman" w:cs="Times New Roman"/>
          <w:sz w:val="24"/>
          <w:szCs w:val="24"/>
        </w:rPr>
        <w:t>9,67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277F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77F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77F0">
        <w:rPr>
          <w:rFonts w:ascii="Times New Roman" w:hAnsi="Times New Roman" w:cs="Times New Roman"/>
          <w:sz w:val="24"/>
          <w:szCs w:val="24"/>
        </w:rPr>
        <w:t xml:space="preserve">0,001) entre ambos grupos.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277F0">
        <w:rPr>
          <w:rFonts w:ascii="Times New Roman" w:hAnsi="Times New Roman" w:cs="Times New Roman"/>
          <w:sz w:val="24"/>
          <w:szCs w:val="24"/>
        </w:rPr>
        <w:t>os restantes factores de riesgo clínico</w:t>
      </w:r>
      <w:r>
        <w:rPr>
          <w:rFonts w:ascii="Times New Roman" w:hAnsi="Times New Roman" w:cs="Times New Roman"/>
          <w:sz w:val="24"/>
          <w:szCs w:val="24"/>
        </w:rPr>
        <w:t xml:space="preserve"> fueron similares</w:t>
      </w:r>
      <w:r w:rsidRPr="00A277F0">
        <w:rPr>
          <w:rFonts w:ascii="Times New Roman" w:hAnsi="Times New Roman" w:cs="Times New Roman"/>
          <w:sz w:val="24"/>
          <w:szCs w:val="24"/>
        </w:rPr>
        <w:t>.</w:t>
      </w:r>
    </w:p>
    <w:p w14:paraId="44CB4FE5" w14:textId="457CB22C" w:rsidR="00694EBC" w:rsidRDefault="005973A2" w:rsidP="00694EBC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>
        <w:t>S</w:t>
      </w:r>
      <w:r w:rsidRPr="00A277F0">
        <w:t>e compar</w:t>
      </w:r>
      <w:r>
        <w:t>aron</w:t>
      </w:r>
      <w:r w:rsidRPr="00A277F0">
        <w:t xml:space="preserve"> las comorbilidades (tabla 3)</w:t>
      </w:r>
      <w:r>
        <w:t>,</w:t>
      </w:r>
      <w:r w:rsidRPr="00A277F0">
        <w:t xml:space="preserve"> las cuales prevalecieron en pacientes sintomáticos. </w:t>
      </w:r>
      <w:r>
        <w:t>No</w:t>
      </w:r>
      <w:r w:rsidRPr="00A277F0">
        <w:t xml:space="preserve"> diferencias significativas</w:t>
      </w:r>
      <w:r>
        <w:t xml:space="preserve"> entre ambos grupos</w:t>
      </w:r>
      <w:r w:rsidRPr="00A277F0">
        <w:t xml:space="preserve"> (χ</w:t>
      </w:r>
      <w:r w:rsidRPr="00A277F0">
        <w:rPr>
          <w:vertAlign w:val="superscript"/>
        </w:rPr>
        <w:t>2</w:t>
      </w:r>
      <w:r>
        <w:rPr>
          <w:vertAlign w:val="superscript"/>
        </w:rPr>
        <w:t> </w:t>
      </w:r>
      <w:r w:rsidRPr="00A277F0">
        <w:t>= 3,61</w:t>
      </w:r>
      <w:r>
        <w:t>;</w:t>
      </w:r>
      <w:r w:rsidRPr="00A277F0">
        <w:t xml:space="preserve"> p</w:t>
      </w:r>
      <w:r>
        <w:t> </w:t>
      </w:r>
      <w:r w:rsidRPr="00A277F0">
        <w:t>=</w:t>
      </w:r>
      <w:r>
        <w:t> </w:t>
      </w:r>
      <w:r w:rsidRPr="00A277F0">
        <w:t xml:space="preserve">0,16). </w:t>
      </w:r>
      <w:r w:rsidR="00694EBC">
        <w:t>En cuanto a</w:t>
      </w:r>
      <w:r w:rsidR="00694EBC" w:rsidRPr="00A277F0">
        <w:t xml:space="preserve"> las manifestaciones clínicas (tabla 4)</w:t>
      </w:r>
      <w:r w:rsidR="00694EBC">
        <w:t>,</w:t>
      </w:r>
      <w:r w:rsidR="00694EBC" w:rsidRPr="00A277F0">
        <w:t xml:space="preserve"> entre las de mayor frecuencia estuvieron: fiebre y tos seca (61,1 </w:t>
      </w:r>
      <w:r w:rsidR="00694EBC">
        <w:t xml:space="preserve">% </w:t>
      </w:r>
      <w:r w:rsidR="00694EBC" w:rsidRPr="00A277F0">
        <w:t>y 51,8 % respectivamente)</w:t>
      </w:r>
      <w:r w:rsidR="00694EBC">
        <w:t xml:space="preserve">; de </w:t>
      </w:r>
      <w:r w:rsidR="00694EBC" w:rsidRPr="00A277F0">
        <w:t>las extrapulmonares predominaron las digestivas (40,7</w:t>
      </w:r>
      <w:r w:rsidR="00694EBC">
        <w:t xml:space="preserve"> </w:t>
      </w:r>
      <w:r w:rsidR="00694EBC" w:rsidRPr="00A277F0">
        <w:t>%) y las neurológicas (33,3 %).</w:t>
      </w:r>
    </w:p>
    <w:p w14:paraId="5BCC08F1" w14:textId="3D7FDFEA" w:rsidR="00DA3812" w:rsidRDefault="00DA3812" w:rsidP="00694EBC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</w:p>
    <w:p w14:paraId="39C06822" w14:textId="77777777" w:rsidR="00CB0CEC" w:rsidRDefault="00CB0C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>
        <w:rPr>
          <w:b/>
          <w:bCs/>
        </w:rPr>
        <w:br w:type="page"/>
      </w:r>
    </w:p>
    <w:p w14:paraId="6DBDF018" w14:textId="4D470CBC" w:rsidR="00DA3812" w:rsidRPr="00DA3812" w:rsidRDefault="00DA3812" w:rsidP="00DA381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DA3812">
        <w:rPr>
          <w:b/>
          <w:bCs/>
          <w:sz w:val="22"/>
          <w:szCs w:val="22"/>
        </w:rPr>
        <w:lastRenderedPageBreak/>
        <w:t xml:space="preserve">Tabla 2 – </w:t>
      </w:r>
      <w:r w:rsidRPr="00DA3812">
        <w:rPr>
          <w:sz w:val="22"/>
          <w:szCs w:val="22"/>
        </w:rPr>
        <w:t>Antecedentes epidemiológicos y formas clínicas de la COVID-19</w:t>
      </w:r>
    </w:p>
    <w:p w14:paraId="33E7DC09" w14:textId="1AD662C8" w:rsidR="00DA3812" w:rsidRDefault="00DA3812" w:rsidP="00DA381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 wp14:anchorId="2D984D7A" wp14:editId="65F33069">
            <wp:extent cx="4630947" cy="2767467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295" cy="27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4EE9C" w14:textId="1DFB4453" w:rsidR="00DA3812" w:rsidRDefault="00DA3812" w:rsidP="00DA381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sz w:val="16"/>
          <w:szCs w:val="16"/>
        </w:rPr>
      </w:pPr>
      <w:r w:rsidRPr="00DA3812">
        <w:rPr>
          <w:sz w:val="16"/>
          <w:szCs w:val="16"/>
          <w:vertAlign w:val="superscript"/>
        </w:rPr>
        <w:t xml:space="preserve">a </w:t>
      </w:r>
      <w:r w:rsidRPr="00DA3812">
        <w:rPr>
          <w:sz w:val="16"/>
          <w:szCs w:val="16"/>
        </w:rPr>
        <w:t xml:space="preserve">Prueba </w:t>
      </w:r>
      <w:r w:rsidRPr="00DA3812">
        <w:rPr>
          <w:i/>
          <w:iCs/>
          <w:sz w:val="16"/>
          <w:szCs w:val="16"/>
        </w:rPr>
        <w:t>ji</w:t>
      </w:r>
      <w:r w:rsidRPr="00DA3812">
        <w:rPr>
          <w:sz w:val="16"/>
          <w:szCs w:val="16"/>
        </w:rPr>
        <w:t xml:space="preserve"> cuadrado de Pearson</w:t>
      </w:r>
    </w:p>
    <w:p w14:paraId="4B78F393" w14:textId="1B9FE8DD" w:rsidR="00DA3812" w:rsidRPr="00DA3812" w:rsidRDefault="00DA3812" w:rsidP="00DA381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sz w:val="16"/>
          <w:szCs w:val="16"/>
        </w:rPr>
      </w:pPr>
      <w:r>
        <w:rPr>
          <w:sz w:val="16"/>
          <w:szCs w:val="16"/>
          <w:vertAlign w:val="superscript"/>
        </w:rPr>
        <w:t>b</w:t>
      </w:r>
      <w:r>
        <w:rPr>
          <w:sz w:val="16"/>
          <w:szCs w:val="16"/>
        </w:rPr>
        <w:t xml:space="preserve"> Prueba U de Mann - Whitney</w:t>
      </w:r>
    </w:p>
    <w:p w14:paraId="7DD495FF" w14:textId="60B530E9" w:rsidR="00DA3812" w:rsidRDefault="00DA3812" w:rsidP="00DA381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</w:pPr>
    </w:p>
    <w:p w14:paraId="2222578D" w14:textId="572AEE86" w:rsidR="00DA3812" w:rsidRDefault="00DA3812" w:rsidP="00DA381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Tabla 3 – </w:t>
      </w:r>
      <w:r>
        <w:rPr>
          <w:sz w:val="22"/>
          <w:szCs w:val="22"/>
        </w:rPr>
        <w:t>Antecedentes clínicos y formas clínicas de la COVID-19</w:t>
      </w:r>
    </w:p>
    <w:p w14:paraId="250D64D2" w14:textId="71ECBF89" w:rsidR="00DA3812" w:rsidRDefault="00DA3812" w:rsidP="00DA381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27CE894" wp14:editId="7B3A5738">
            <wp:extent cx="4579368" cy="2812461"/>
            <wp:effectExtent l="0" t="0" r="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517" cy="281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0E3F" w14:textId="193DA22A" w:rsidR="00DA3812" w:rsidRPr="00DA3812" w:rsidRDefault="00DA3812" w:rsidP="00DA381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a </w:t>
      </w:r>
      <w:r>
        <w:rPr>
          <w:sz w:val="16"/>
          <w:szCs w:val="16"/>
        </w:rPr>
        <w:t xml:space="preserve">Prueba </w:t>
      </w:r>
      <w:r>
        <w:rPr>
          <w:i/>
          <w:iCs/>
          <w:sz w:val="16"/>
          <w:szCs w:val="16"/>
        </w:rPr>
        <w:t>ji</w:t>
      </w:r>
      <w:r>
        <w:rPr>
          <w:sz w:val="16"/>
          <w:szCs w:val="16"/>
        </w:rPr>
        <w:t xml:space="preserve"> cuadrado de Pearson</w:t>
      </w:r>
    </w:p>
    <w:p w14:paraId="46C4DBC8" w14:textId="5D8B8134" w:rsidR="005973A2" w:rsidRDefault="005973A2" w:rsidP="00694EBC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</w:pPr>
    </w:p>
    <w:p w14:paraId="09306E76" w14:textId="4BB7E53B" w:rsidR="005973A2" w:rsidRDefault="00DA3812" w:rsidP="00DA381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Tabla 4 – </w:t>
      </w:r>
      <w:r>
        <w:rPr>
          <w:sz w:val="22"/>
          <w:szCs w:val="22"/>
        </w:rPr>
        <w:t>Manifestaciones clínicas y formas clínicas de la COVID-19</w:t>
      </w:r>
    </w:p>
    <w:p w14:paraId="5A898E28" w14:textId="7BE129EA" w:rsidR="005973A2" w:rsidRDefault="00CB0CEC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811F1B8" wp14:editId="54505309">
            <wp:extent cx="2530798" cy="6096558"/>
            <wp:effectExtent l="0" t="0" r="317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209" cy="613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F8B38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14:paraId="572CC965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14:paraId="6C3710AA" w14:textId="34276F9B" w:rsidR="005973A2" w:rsidRPr="006F7B26" w:rsidRDefault="006F7B26" w:rsidP="006F7B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</w:pPr>
      <w:r>
        <w:rPr>
          <w:b/>
          <w:sz w:val="32"/>
          <w:szCs w:val="32"/>
        </w:rPr>
        <w:br w:type="page"/>
      </w:r>
      <w:r w:rsidR="005973A2" w:rsidRPr="006F7B26">
        <w:rPr>
          <w:rFonts w:ascii="Times New Roman" w:hAnsi="Times New Roman" w:cs="Times New Roman"/>
          <w:b/>
          <w:sz w:val="32"/>
          <w:szCs w:val="32"/>
        </w:rPr>
        <w:lastRenderedPageBreak/>
        <w:t>DISCUSIÓN</w:t>
      </w:r>
    </w:p>
    <w:p w14:paraId="178735F5" w14:textId="77777777" w:rsidR="005973A2" w:rsidRPr="00A277F0" w:rsidRDefault="005973A2" w:rsidP="006F7B26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6F7B26">
        <w:t xml:space="preserve">La COVID-19 </w:t>
      </w:r>
      <w:bookmarkStart w:id="0" w:name="_Hlk57218222"/>
      <w:r w:rsidRPr="006F7B26">
        <w:t xml:space="preserve">ha puesto a prueba </w:t>
      </w:r>
      <w:bookmarkEnd w:id="0"/>
      <w:r w:rsidRPr="006F7B26">
        <w:t xml:space="preserve">a la humanidad, en gran medida por la alta transmisibilidad del virus </w:t>
      </w:r>
      <w:r w:rsidRPr="00A277F0">
        <w:t xml:space="preserve">SARS-CoV-2, la cual ha sido documentada tanto desde pacientes sintomáticos como de asintomáticos. </w:t>
      </w:r>
      <w:r>
        <w:t>E</w:t>
      </w:r>
      <w:r w:rsidRPr="00A277F0">
        <w:t>l conocimiento de</w:t>
      </w:r>
      <w:r>
        <w:t xml:space="preserve"> </w:t>
      </w:r>
      <w:r w:rsidRPr="00A277F0">
        <w:t>l</w:t>
      </w:r>
      <w:r>
        <w:t xml:space="preserve">as características </w:t>
      </w:r>
      <w:r w:rsidRPr="00A277F0">
        <w:t xml:space="preserve">de ambas formas clínicas </w:t>
      </w:r>
      <w:r>
        <w:t xml:space="preserve">es </w:t>
      </w:r>
      <w:r w:rsidRPr="00A277F0">
        <w:t>importan</w:t>
      </w:r>
      <w:r>
        <w:t>te p</w:t>
      </w:r>
      <w:r w:rsidRPr="00A277F0">
        <w:t xml:space="preserve">ara el control de la </w:t>
      </w:r>
      <w:proofErr w:type="gramStart"/>
      <w:r w:rsidRPr="00A277F0">
        <w:t>enfermedad.</w:t>
      </w:r>
      <w:r w:rsidRPr="00A277F0">
        <w:rPr>
          <w:vertAlign w:val="superscript"/>
        </w:rPr>
        <w:t>(</w:t>
      </w:r>
      <w:proofErr w:type="gramEnd"/>
      <w:r w:rsidRPr="00A277F0">
        <w:rPr>
          <w:vertAlign w:val="superscript"/>
        </w:rPr>
        <w:t>8,10)</w:t>
      </w:r>
    </w:p>
    <w:p w14:paraId="392DB692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>
        <w:t>E</w:t>
      </w:r>
      <w:r w:rsidRPr="00E24606">
        <w:t>n los estudios revisados</w:t>
      </w:r>
      <w:r>
        <w:t>,</w:t>
      </w:r>
      <w:r w:rsidRPr="00E24606">
        <w:t xml:space="preserve"> </w:t>
      </w:r>
      <w:r>
        <w:t>l</w:t>
      </w:r>
      <w:r w:rsidRPr="00E24606">
        <w:t>a frecuencia de la COVID-19 es variable</w:t>
      </w:r>
      <w:r>
        <w:t>.</w:t>
      </w:r>
      <w:r w:rsidRPr="00A277F0">
        <w:t xml:space="preserve"> Los pocos que tienen en cuenta la división en pacientes asintomáticos y sintomáticos</w:t>
      </w:r>
      <w:r>
        <w:t>,</w:t>
      </w:r>
      <w:r w:rsidRPr="00A277F0">
        <w:t xml:space="preserve"> ubican el rango de asintomáticos desde 20 a 80 %.</w:t>
      </w:r>
      <w:r w:rsidRPr="00C2234A">
        <w:rPr>
          <w:vertAlign w:val="superscript"/>
        </w:rPr>
        <w:t>(</w:t>
      </w:r>
      <w:r>
        <w:rPr>
          <w:vertAlign w:val="superscript"/>
        </w:rPr>
        <w:t>11,</w:t>
      </w:r>
      <w:r w:rsidRPr="003D5CD7">
        <w:rPr>
          <w:vertAlign w:val="superscript"/>
        </w:rPr>
        <w:t>12,13,14,15</w:t>
      </w:r>
      <w:r w:rsidRPr="00A277F0">
        <w:rPr>
          <w:vertAlign w:val="superscript"/>
        </w:rPr>
        <w:t xml:space="preserve">) </w:t>
      </w:r>
      <w:r w:rsidRPr="00A277F0">
        <w:t xml:space="preserve">En esta investigación </w:t>
      </w:r>
      <w:r>
        <w:t>el porcentaje fue</w:t>
      </w:r>
      <w:r w:rsidRPr="00A277F0">
        <w:t xml:space="preserve"> 4</w:t>
      </w:r>
      <w:r>
        <w:t>1,8 </w:t>
      </w:r>
      <w:r w:rsidRPr="00A277F0">
        <w:t xml:space="preserve">%. </w:t>
      </w:r>
    </w:p>
    <w:p w14:paraId="29C1CC38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>
        <w:t>S</w:t>
      </w:r>
      <w:r w:rsidRPr="00A277F0">
        <w:t xml:space="preserve">e encontró una elevada proporción de pacientes asintomáticos, en comparación con estudios </w:t>
      </w:r>
      <w:r>
        <w:t xml:space="preserve">en </w:t>
      </w:r>
      <w:proofErr w:type="gramStart"/>
      <w:r>
        <w:t>China,</w:t>
      </w:r>
      <w:r w:rsidRPr="00A277F0">
        <w:rPr>
          <w:vertAlign w:val="superscript"/>
        </w:rPr>
        <w:t>(</w:t>
      </w:r>
      <w:proofErr w:type="gramEnd"/>
      <w:r w:rsidRPr="00A277F0">
        <w:rPr>
          <w:vertAlign w:val="superscript"/>
        </w:rPr>
        <w:t>11</w:t>
      </w:r>
      <w:r>
        <w:rPr>
          <w:vertAlign w:val="superscript"/>
        </w:rPr>
        <w:t>,12</w:t>
      </w:r>
      <w:r w:rsidRPr="00A277F0">
        <w:rPr>
          <w:vertAlign w:val="superscript"/>
        </w:rPr>
        <w:t xml:space="preserve">) </w:t>
      </w:r>
      <w:r>
        <w:t xml:space="preserve">pero semejante </w:t>
      </w:r>
      <w:r w:rsidRPr="00A277F0">
        <w:t>a otros realizados en Japón</w:t>
      </w:r>
      <w:r w:rsidRPr="00A277F0">
        <w:rPr>
          <w:vertAlign w:val="superscript"/>
        </w:rPr>
        <w:t>(1</w:t>
      </w:r>
      <w:r>
        <w:rPr>
          <w:vertAlign w:val="superscript"/>
        </w:rPr>
        <w:t>3</w:t>
      </w:r>
      <w:r w:rsidRPr="00A277F0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y España</w:t>
      </w:r>
      <w:r w:rsidRPr="00A277F0">
        <w:t>.</w:t>
      </w:r>
      <w:r w:rsidRPr="00A277F0">
        <w:rPr>
          <w:vertAlign w:val="superscript"/>
        </w:rPr>
        <w:t>(1</w:t>
      </w:r>
      <w:r>
        <w:rPr>
          <w:vertAlign w:val="superscript"/>
        </w:rPr>
        <w:t>4</w:t>
      </w:r>
      <w:r w:rsidRPr="00A277F0">
        <w:rPr>
          <w:vertAlign w:val="superscript"/>
        </w:rPr>
        <w:t>,</w:t>
      </w:r>
      <w:r>
        <w:rPr>
          <w:vertAlign w:val="superscript"/>
        </w:rPr>
        <w:t>15</w:t>
      </w:r>
      <w:r w:rsidRPr="00A277F0">
        <w:rPr>
          <w:vertAlign w:val="superscript"/>
        </w:rPr>
        <w:t>)</w:t>
      </w:r>
    </w:p>
    <w:p w14:paraId="0AC43745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 xml:space="preserve">Los casos asintomáticos </w:t>
      </w:r>
      <w:r>
        <w:t>fueron</w:t>
      </w:r>
      <w:r w:rsidRPr="00A277F0">
        <w:t xml:space="preserve"> relativamente más jóvenes</w:t>
      </w:r>
      <w:r>
        <w:t>,</w:t>
      </w:r>
      <w:r w:rsidRPr="00A277F0">
        <w:t xml:space="preserve"> con una media de edad </w:t>
      </w:r>
      <w:r>
        <w:t>inferior</w:t>
      </w:r>
      <w:r w:rsidRPr="00A277F0">
        <w:t xml:space="preserve"> respecto a los sintomáticos</w:t>
      </w:r>
      <w:r>
        <w:t>, de forma estadísticamente</w:t>
      </w:r>
      <w:r w:rsidRPr="00A277F0">
        <w:t xml:space="preserve"> significativa. </w:t>
      </w:r>
    </w:p>
    <w:p w14:paraId="24890B04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vertAlign w:val="superscript"/>
        </w:rPr>
      </w:pPr>
      <w:r w:rsidRPr="00A277F0">
        <w:t xml:space="preserve">Existió coincidencia </w:t>
      </w:r>
      <w:r>
        <w:t>con</w:t>
      </w:r>
      <w:r w:rsidRPr="00A277F0">
        <w:t xml:space="preserve"> investigaciones nacionales e internacionales en cuanto a que la mayoría de los casos fueron menores de 60 </w:t>
      </w:r>
      <w:proofErr w:type="gramStart"/>
      <w:r w:rsidRPr="00A277F0">
        <w:t>años.</w:t>
      </w:r>
      <w:r w:rsidRPr="00A277F0">
        <w:rPr>
          <w:vertAlign w:val="superscript"/>
        </w:rPr>
        <w:t>(</w:t>
      </w:r>
      <w:proofErr w:type="gramEnd"/>
      <w:r>
        <w:rPr>
          <w:vertAlign w:val="superscript"/>
        </w:rPr>
        <w:t>16,</w:t>
      </w:r>
      <w:r w:rsidRPr="00A277F0">
        <w:rPr>
          <w:vertAlign w:val="superscript"/>
        </w:rPr>
        <w:t xml:space="preserve">17,18,19) </w:t>
      </w:r>
      <w:r w:rsidRPr="00067C63">
        <w:t>En</w:t>
      </w:r>
      <w:r w:rsidRPr="00A277F0">
        <w:t xml:space="preserve"> un estudio comparativo en Wuhan</w:t>
      </w:r>
      <w:r>
        <w:t xml:space="preserve">, </w:t>
      </w:r>
      <w:r w:rsidRPr="00A277F0">
        <w:t>la serie de asintomáticos present</w:t>
      </w:r>
      <w:r>
        <w:t>ó</w:t>
      </w:r>
      <w:r w:rsidRPr="00A277F0">
        <w:t xml:space="preserve"> la media de edad menor respecto a los casos sintomáticos</w:t>
      </w:r>
      <w:r>
        <w:t>, concordante con la presente investigación</w:t>
      </w:r>
      <w:r w:rsidRPr="00A277F0">
        <w:t>.</w:t>
      </w:r>
      <w:r w:rsidRPr="00A277F0">
        <w:rPr>
          <w:vertAlign w:val="superscript"/>
        </w:rPr>
        <w:t>(2</w:t>
      </w:r>
      <w:r>
        <w:rPr>
          <w:vertAlign w:val="superscript"/>
        </w:rPr>
        <w:t>0</w:t>
      </w:r>
      <w:r w:rsidRPr="00A277F0">
        <w:rPr>
          <w:vertAlign w:val="superscript"/>
        </w:rPr>
        <w:t xml:space="preserve">) </w:t>
      </w:r>
    </w:p>
    <w:p w14:paraId="38784DBA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>
        <w:t>Las</w:t>
      </w:r>
      <w:r w:rsidRPr="00A277F0">
        <w:t xml:space="preserve"> edades tempranas son elementos favorecedores de la forma clínica asintomátic</w:t>
      </w:r>
      <w:r>
        <w:t>a,</w:t>
      </w:r>
      <w:r w:rsidRPr="00A277F0">
        <w:t xml:space="preserve"> debido al estado inmunológico de </w:t>
      </w:r>
      <w:r>
        <w:t>estos</w:t>
      </w:r>
      <w:r w:rsidRPr="00A277F0">
        <w:t xml:space="preserve"> pacientes.</w:t>
      </w:r>
    </w:p>
    <w:p w14:paraId="7A4AB807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 xml:space="preserve">En el análisis del sexo se encontró similitud entre </w:t>
      </w:r>
      <w:r>
        <w:t>ambos grupos</w:t>
      </w:r>
      <w:r w:rsidRPr="00A277F0">
        <w:t xml:space="preserve">. </w:t>
      </w:r>
      <w:r>
        <w:t>E</w:t>
      </w:r>
      <w:r w:rsidRPr="00A277F0">
        <w:t>n la mayoría</w:t>
      </w:r>
      <w:r>
        <w:t xml:space="preserve"> de </w:t>
      </w:r>
      <w:r w:rsidRPr="00A277F0">
        <w:t>los estudios revisados</w:t>
      </w:r>
      <w:r>
        <w:t>,</w:t>
      </w:r>
      <w:r w:rsidRPr="00A277F0">
        <w:t xml:space="preserve"> predomin</w:t>
      </w:r>
      <w:r>
        <w:t xml:space="preserve">ó el sexo </w:t>
      </w:r>
      <w:proofErr w:type="gramStart"/>
      <w:r w:rsidRPr="00412795">
        <w:t>masculino.</w:t>
      </w:r>
      <w:r w:rsidRPr="00A277F0">
        <w:rPr>
          <w:vertAlign w:val="superscript"/>
        </w:rPr>
        <w:t>(</w:t>
      </w:r>
      <w:proofErr w:type="gramEnd"/>
      <w:r>
        <w:rPr>
          <w:vertAlign w:val="superscript"/>
        </w:rPr>
        <w:t>16,18,21,22</w:t>
      </w:r>
      <w:r w:rsidRPr="00A277F0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 w:rsidRPr="00A277F0">
        <w:rPr>
          <w:i/>
        </w:rPr>
        <w:t>Rongrong</w:t>
      </w:r>
      <w:proofErr w:type="spellEnd"/>
      <w:r w:rsidRPr="00A277F0">
        <w:rPr>
          <w:i/>
        </w:rPr>
        <w:t xml:space="preserve"> </w:t>
      </w:r>
      <w:r w:rsidRPr="0018458D">
        <w:t>y otros</w:t>
      </w:r>
      <w:r>
        <w:t>,</w:t>
      </w:r>
      <w:r w:rsidRPr="00A277F0">
        <w:rPr>
          <w:vertAlign w:val="superscript"/>
        </w:rPr>
        <w:t>(2</w:t>
      </w:r>
      <w:r>
        <w:rPr>
          <w:vertAlign w:val="superscript"/>
        </w:rPr>
        <w:t>0</w:t>
      </w:r>
      <w:r w:rsidRPr="00A277F0">
        <w:rPr>
          <w:vertAlign w:val="superscript"/>
        </w:rPr>
        <w:t>)</w:t>
      </w:r>
      <w:r>
        <w:t xml:space="preserve"> encontraron </w:t>
      </w:r>
      <w:r w:rsidRPr="00A277F0">
        <w:t>predominio de</w:t>
      </w:r>
      <w:r>
        <w:t>l</w:t>
      </w:r>
      <w:r w:rsidRPr="00A277F0">
        <w:t xml:space="preserve"> masculino en los asintomáticos (66,7 %) y del</w:t>
      </w:r>
      <w:r>
        <w:t xml:space="preserve"> </w:t>
      </w:r>
      <w:r w:rsidRPr="00A277F0">
        <w:t>femenin</w:t>
      </w:r>
      <w:r>
        <w:t>o</w:t>
      </w:r>
      <w:r w:rsidRPr="00A277F0">
        <w:t xml:space="preserve"> en los sintomáticos (69,0 %) </w:t>
      </w:r>
      <w:r>
        <w:t xml:space="preserve">y </w:t>
      </w:r>
      <w:r w:rsidRPr="00A277F0">
        <w:t xml:space="preserve">diferencias </w:t>
      </w:r>
      <w:r>
        <w:t xml:space="preserve">significativas </w:t>
      </w:r>
      <w:r w:rsidRPr="00A277F0">
        <w:t>entre ambos grupos</w:t>
      </w:r>
      <w:r>
        <w:t xml:space="preserve">, en contraste al presente estudio. </w:t>
      </w:r>
    </w:p>
    <w:p w14:paraId="1F82CE1F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vertAlign w:val="superscript"/>
        </w:rPr>
      </w:pPr>
      <w:r w:rsidRPr="00A277F0">
        <w:t xml:space="preserve">En el </w:t>
      </w:r>
      <w:r w:rsidRPr="00412795">
        <w:t>análisis de</w:t>
      </w:r>
      <w:r>
        <w:t xml:space="preserve">l </w:t>
      </w:r>
      <w:r w:rsidRPr="00412795">
        <w:t>sexo</w:t>
      </w:r>
      <w:r>
        <w:t xml:space="preserve"> </w:t>
      </w:r>
      <w:r w:rsidRPr="00A277F0">
        <w:t>en</w:t>
      </w:r>
      <w:r>
        <w:t xml:space="preserve"> otros estudios</w:t>
      </w:r>
      <w:r w:rsidRPr="00A277F0">
        <w:t>, por lo general</w:t>
      </w:r>
      <w:r>
        <w:t xml:space="preserve"> hay similitud entre ambos</w:t>
      </w:r>
      <w:r w:rsidRPr="00A277F0">
        <w:t xml:space="preserve">, pero </w:t>
      </w:r>
      <w:r>
        <w:t>existen</w:t>
      </w:r>
      <w:r w:rsidRPr="00A277F0">
        <w:t xml:space="preserve"> diferencias en la mortalidad</w:t>
      </w:r>
      <w:r>
        <w:t>,</w:t>
      </w:r>
      <w:r w:rsidRPr="00A277F0">
        <w:t xml:space="preserve"> que parece depender de factores inmunológicos, diferentes patrones de vida y la prevalencia de </w:t>
      </w:r>
      <w:proofErr w:type="gramStart"/>
      <w:r w:rsidRPr="00A277F0">
        <w:t>tabaquismo.</w:t>
      </w:r>
      <w:r w:rsidRPr="00A277F0">
        <w:rPr>
          <w:vertAlign w:val="superscript"/>
        </w:rPr>
        <w:t>(</w:t>
      </w:r>
      <w:proofErr w:type="gramEnd"/>
      <w:r w:rsidRPr="00A277F0">
        <w:rPr>
          <w:vertAlign w:val="superscript"/>
        </w:rPr>
        <w:t>2</w:t>
      </w:r>
      <w:r>
        <w:rPr>
          <w:vertAlign w:val="superscript"/>
        </w:rPr>
        <w:t>3</w:t>
      </w:r>
      <w:r w:rsidRPr="00A277F0">
        <w:rPr>
          <w:vertAlign w:val="superscript"/>
        </w:rPr>
        <w:t>)</w:t>
      </w:r>
    </w:p>
    <w:p w14:paraId="782A2C30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lastRenderedPageBreak/>
        <w:t>Dentro de los antecedentes epidemiológicos, los municipios más afectados fueron Holguín, Gibara y Banes</w:t>
      </w:r>
      <w:r>
        <w:t>,</w:t>
      </w:r>
      <w:r w:rsidRPr="00A277F0">
        <w:t xml:space="preserve"> con ligero predominio de los sintomáticos</w:t>
      </w:r>
      <w:r>
        <w:t>, sin diferencias significativas entre los grupos</w:t>
      </w:r>
      <w:r w:rsidRPr="00A277F0">
        <w:t xml:space="preserve">. Los investigadores lo relacionan a la mayor densidad poblacional y actividad turística de estos municipios. </w:t>
      </w:r>
    </w:p>
    <w:p w14:paraId="04EE1EBC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vertAlign w:val="superscript"/>
        </w:rPr>
      </w:pPr>
      <w:r w:rsidRPr="00A277F0">
        <w:t xml:space="preserve">Como fuente de contagio, el contacto con </w:t>
      </w:r>
      <w:r>
        <w:t xml:space="preserve">un </w:t>
      </w:r>
      <w:r w:rsidRPr="00A277F0">
        <w:t>caso confirmado fue mayor</w:t>
      </w:r>
      <w:r>
        <w:t>,</w:t>
      </w:r>
      <w:r w:rsidRPr="00A277F0">
        <w:t xml:space="preserve"> tanto en asintomáticos como sintomáticos</w:t>
      </w:r>
      <w:r>
        <w:t>,</w:t>
      </w:r>
      <w:r w:rsidRPr="00A277F0">
        <w:t xml:space="preserve"> por encima del 80 %</w:t>
      </w:r>
      <w:r>
        <w:t xml:space="preserve">, en correspondencia </w:t>
      </w:r>
      <w:r w:rsidRPr="00A277F0">
        <w:t xml:space="preserve">con otras investigaciones </w:t>
      </w:r>
      <w:proofErr w:type="gramStart"/>
      <w:r w:rsidRPr="00A277F0">
        <w:t>nacionales</w:t>
      </w:r>
      <w:r>
        <w:t>,</w:t>
      </w:r>
      <w:r w:rsidRPr="00A277F0">
        <w:rPr>
          <w:vertAlign w:val="superscript"/>
        </w:rPr>
        <w:t>(</w:t>
      </w:r>
      <w:proofErr w:type="gramEnd"/>
      <w:r w:rsidRPr="00A277F0">
        <w:rPr>
          <w:vertAlign w:val="superscript"/>
        </w:rPr>
        <w:t>17,18)</w:t>
      </w:r>
      <w:r w:rsidRPr="00A277F0">
        <w:t xml:space="preserve"> a diferencia</w:t>
      </w:r>
      <w:r>
        <w:t xml:space="preserve"> de </w:t>
      </w:r>
      <w:r w:rsidRPr="000869F5">
        <w:rPr>
          <w:i/>
        </w:rPr>
        <w:t xml:space="preserve">Guzmán </w:t>
      </w:r>
      <w:r w:rsidRPr="000869F5">
        <w:t>y otros</w:t>
      </w:r>
      <w:r w:rsidRPr="000869F5">
        <w:rPr>
          <w:vertAlign w:val="superscript"/>
        </w:rPr>
        <w:t>(2</w:t>
      </w:r>
      <w:r>
        <w:rPr>
          <w:vertAlign w:val="superscript"/>
        </w:rPr>
        <w:t>4</w:t>
      </w:r>
      <w:r w:rsidRPr="000869F5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quienes </w:t>
      </w:r>
      <w:r w:rsidRPr="00A277F0">
        <w:t>encontraron</w:t>
      </w:r>
      <w:r>
        <w:t>, en Perú,</w:t>
      </w:r>
      <w:r w:rsidRPr="00A277F0">
        <w:t xml:space="preserve"> predominio de los casos importados.</w:t>
      </w:r>
    </w:p>
    <w:p w14:paraId="3E1DB7FC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t xml:space="preserve">En </w:t>
      </w:r>
      <w:r w:rsidRPr="00A277F0">
        <w:t>el número reproductivo básico existió discreta mayoría en los casos sintomáticos</w:t>
      </w:r>
      <w:r>
        <w:t>, s</w:t>
      </w:r>
      <w:r w:rsidRPr="00A277F0">
        <w:t xml:space="preserve">in diferencias estadísticamente significativas. </w:t>
      </w:r>
      <w:r w:rsidRPr="00A277F0">
        <w:rPr>
          <w:color w:val="000000"/>
        </w:rPr>
        <w:t xml:space="preserve">De modo similar, </w:t>
      </w:r>
      <w:r w:rsidRPr="008150D7">
        <w:rPr>
          <w:i/>
          <w:color w:val="000000"/>
        </w:rPr>
        <w:t xml:space="preserve">Chen </w:t>
      </w:r>
      <w:r w:rsidRPr="008150D7">
        <w:rPr>
          <w:color w:val="000000"/>
        </w:rPr>
        <w:t>y</w:t>
      </w:r>
      <w:r>
        <w:rPr>
          <w:color w:val="000000"/>
        </w:rPr>
        <w:t xml:space="preserve"> </w:t>
      </w:r>
      <w:proofErr w:type="gramStart"/>
      <w:r w:rsidRPr="008150D7">
        <w:rPr>
          <w:color w:val="000000"/>
        </w:rPr>
        <w:t>otros</w:t>
      </w:r>
      <w:r w:rsidRPr="008150D7">
        <w:rPr>
          <w:color w:val="000000"/>
          <w:vertAlign w:val="superscript"/>
        </w:rPr>
        <w:t>(</w:t>
      </w:r>
      <w:proofErr w:type="gramEnd"/>
      <w:r w:rsidRPr="008150D7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5</w:t>
      </w:r>
      <w:r w:rsidRPr="00A277F0">
        <w:rPr>
          <w:color w:val="000000"/>
          <w:vertAlign w:val="superscript"/>
        </w:rPr>
        <w:t xml:space="preserve">) </w:t>
      </w:r>
      <w:r w:rsidRPr="00A277F0">
        <w:rPr>
          <w:color w:val="000000"/>
        </w:rPr>
        <w:t xml:space="preserve">investigaron la transmisibilidad desde pacientes asintomáticos y no encontraron diferencias significativas con los sintomáticos. En cambio </w:t>
      </w:r>
      <w:r w:rsidRPr="008150D7">
        <w:rPr>
          <w:i/>
          <w:color w:val="000000"/>
        </w:rPr>
        <w:t>He</w:t>
      </w:r>
      <w:r>
        <w:rPr>
          <w:i/>
          <w:color w:val="000000"/>
        </w:rPr>
        <w:t xml:space="preserve"> </w:t>
      </w:r>
      <w:r w:rsidRPr="008150D7">
        <w:rPr>
          <w:color w:val="000000"/>
        </w:rPr>
        <w:t xml:space="preserve">y </w:t>
      </w:r>
      <w:proofErr w:type="gramStart"/>
      <w:r w:rsidRPr="008150D7">
        <w:rPr>
          <w:color w:val="000000"/>
        </w:rPr>
        <w:t>otros</w:t>
      </w:r>
      <w:r w:rsidRPr="008150D7">
        <w:rPr>
          <w:color w:val="000000"/>
          <w:vertAlign w:val="superscript"/>
        </w:rPr>
        <w:t>(</w:t>
      </w:r>
      <w:proofErr w:type="gramEnd"/>
      <w:r w:rsidRPr="008150D7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6</w:t>
      </w:r>
      <w:r w:rsidRPr="008150D7">
        <w:rPr>
          <w:color w:val="000000"/>
          <w:vertAlign w:val="superscript"/>
        </w:rPr>
        <w:t>)</w:t>
      </w:r>
      <w:r>
        <w:rPr>
          <w:color w:val="000000"/>
          <w:vertAlign w:val="superscript"/>
        </w:rPr>
        <w:t xml:space="preserve"> </w:t>
      </w:r>
      <w:r w:rsidRPr="00A277F0">
        <w:rPr>
          <w:color w:val="000000"/>
        </w:rPr>
        <w:t xml:space="preserve">concluyen que la transmisibilidad </w:t>
      </w:r>
      <w:r w:rsidRPr="00BE7934">
        <w:rPr>
          <w:color w:val="000000"/>
        </w:rPr>
        <w:t>en casos</w:t>
      </w:r>
      <w:r w:rsidRPr="00A277F0">
        <w:rPr>
          <w:color w:val="000000"/>
        </w:rPr>
        <w:t xml:space="preserve"> asintomáticos es relativamente menor. </w:t>
      </w:r>
    </w:p>
    <w:p w14:paraId="15282667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>
        <w:t>E</w:t>
      </w:r>
      <w:r w:rsidRPr="00A277F0">
        <w:t xml:space="preserve">l contagio sucede desde ambas formas clínicas y </w:t>
      </w:r>
      <w:r>
        <w:t>l</w:t>
      </w:r>
      <w:r w:rsidRPr="00A277F0">
        <w:t xml:space="preserve">os asintomáticos constituyen </w:t>
      </w:r>
      <w:r w:rsidRPr="000571FD">
        <w:t>perpetuadores</w:t>
      </w:r>
      <w:r w:rsidRPr="00A277F0">
        <w:t xml:space="preserve"> silenciosos de la enfermedad. </w:t>
      </w:r>
      <w:r>
        <w:t>L</w:t>
      </w:r>
      <w:r w:rsidRPr="00A277F0">
        <w:t xml:space="preserve">a búsqueda activa de asintomáticos </w:t>
      </w:r>
      <w:r>
        <w:t xml:space="preserve">es cardinal </w:t>
      </w:r>
      <w:r w:rsidRPr="00A277F0">
        <w:t xml:space="preserve">en el control de la pandemia. </w:t>
      </w:r>
    </w:p>
    <w:p w14:paraId="4055E774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>
        <w:t>L</w:t>
      </w:r>
      <w:r w:rsidRPr="00A277F0">
        <w:t>os factores de riesgo clínicos más frecuentes</w:t>
      </w:r>
      <w:r>
        <w:t>,</w:t>
      </w:r>
      <w:r w:rsidRPr="00A277F0">
        <w:t xml:space="preserve"> fueron la condición de adulto mayor y la hipertensión arterial. </w:t>
      </w:r>
      <w:r>
        <w:t>S</w:t>
      </w:r>
      <w:r w:rsidRPr="00A277F0">
        <w:t xml:space="preserve">e </w:t>
      </w:r>
      <w:r w:rsidRPr="00BE7934">
        <w:t>encontraron diferencias</w:t>
      </w:r>
      <w:r w:rsidRPr="00A277F0">
        <w:t xml:space="preserve"> estadísticamente significativas en la presencia de la condición de adulto mayor e hipertensión arterial entre los grupos.</w:t>
      </w:r>
    </w:p>
    <w:p w14:paraId="3A9D2329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 xml:space="preserve">Estos resultados están acordes con las investigaciones </w:t>
      </w:r>
      <w:proofErr w:type="gramStart"/>
      <w:r w:rsidRPr="00A277F0">
        <w:t>revisadas.</w:t>
      </w:r>
      <w:r w:rsidRPr="00A277F0">
        <w:rPr>
          <w:vertAlign w:val="superscript"/>
        </w:rPr>
        <w:t>(</w:t>
      </w:r>
      <w:proofErr w:type="gramEnd"/>
      <w:r w:rsidRPr="00A277F0">
        <w:rPr>
          <w:vertAlign w:val="superscript"/>
        </w:rPr>
        <w:t>17,18,19,20)</w:t>
      </w:r>
      <w:r>
        <w:rPr>
          <w:vertAlign w:val="superscript"/>
        </w:rPr>
        <w:t xml:space="preserve"> </w:t>
      </w:r>
      <w:r>
        <w:t xml:space="preserve">Los </w:t>
      </w:r>
      <w:r w:rsidRPr="00A277F0">
        <w:t>autores opinan que se debe al envejecimiento poblacional y una alta prevalencia de la hipertensión arterial en Cuba (23,3</w:t>
      </w:r>
      <w:r>
        <w:t xml:space="preserve"> </w:t>
      </w:r>
      <w:r w:rsidRPr="00A277F0">
        <w:t>%)</w:t>
      </w:r>
      <w:r>
        <w:t xml:space="preserve">; </w:t>
      </w:r>
      <w:r w:rsidRPr="00A277F0">
        <w:rPr>
          <w:color w:val="000000"/>
        </w:rPr>
        <w:t>en Holguín es de 19,9</w:t>
      </w:r>
      <w:r>
        <w:rPr>
          <w:color w:val="000000"/>
        </w:rPr>
        <w:t xml:space="preserve"> %</w:t>
      </w:r>
      <w:r w:rsidRPr="00A277F0">
        <w:rPr>
          <w:color w:val="000000"/>
        </w:rPr>
        <w:t>.</w:t>
      </w:r>
      <w:r w:rsidRPr="008150D7">
        <w:rPr>
          <w:color w:val="000000"/>
          <w:vertAlign w:val="superscript"/>
        </w:rPr>
        <w:t>(2</w:t>
      </w:r>
      <w:r>
        <w:rPr>
          <w:color w:val="000000"/>
          <w:vertAlign w:val="superscript"/>
        </w:rPr>
        <w:t>7</w:t>
      </w:r>
      <w:r w:rsidRPr="008150D7">
        <w:rPr>
          <w:color w:val="000000"/>
          <w:vertAlign w:val="superscript"/>
        </w:rPr>
        <w:t>)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Se ha demostrado que la combinación de hipertensión arterial con la </w:t>
      </w:r>
      <w:r w:rsidRPr="00A277F0">
        <w:rPr>
          <w:color w:val="000000"/>
        </w:rPr>
        <w:t xml:space="preserve">COVID-19 </w:t>
      </w:r>
      <w:r>
        <w:rPr>
          <w:color w:val="000000"/>
        </w:rPr>
        <w:t xml:space="preserve">implica un riesgo mayor de </w:t>
      </w:r>
      <w:r w:rsidRPr="00A277F0">
        <w:rPr>
          <w:color w:val="000000"/>
        </w:rPr>
        <w:t>co</w:t>
      </w:r>
      <w:r>
        <w:rPr>
          <w:color w:val="000000"/>
        </w:rPr>
        <w:t>mplicaciones.</w:t>
      </w:r>
      <w:r w:rsidRPr="00A277F0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>28</w:t>
      </w:r>
      <w:r w:rsidRPr="00A277F0">
        <w:rPr>
          <w:color w:val="000000"/>
          <w:vertAlign w:val="superscript"/>
        </w:rPr>
        <w:t>,</w:t>
      </w:r>
      <w:r>
        <w:rPr>
          <w:color w:val="000000"/>
          <w:vertAlign w:val="superscript"/>
        </w:rPr>
        <w:t>29</w:t>
      </w:r>
      <w:r w:rsidRPr="00A277F0">
        <w:rPr>
          <w:color w:val="000000"/>
          <w:vertAlign w:val="superscript"/>
        </w:rPr>
        <w:t>)</w:t>
      </w:r>
    </w:p>
    <w:p w14:paraId="395AA374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E</w:t>
      </w:r>
      <w:r w:rsidRPr="00A277F0">
        <w:rPr>
          <w:color w:val="000000"/>
        </w:rPr>
        <w:t>ntre los adultos el riesgo de enfermar gravemente de</w:t>
      </w:r>
      <w:r>
        <w:rPr>
          <w:color w:val="000000"/>
        </w:rPr>
        <w:t xml:space="preserve"> la</w:t>
      </w:r>
      <w:r w:rsidRPr="00A277F0">
        <w:rPr>
          <w:color w:val="000000"/>
        </w:rPr>
        <w:t xml:space="preserve"> COVID-19</w:t>
      </w:r>
      <w:r>
        <w:rPr>
          <w:color w:val="000000"/>
        </w:rPr>
        <w:t>,</w:t>
      </w:r>
      <w:r w:rsidRPr="00A277F0">
        <w:rPr>
          <w:color w:val="000000"/>
        </w:rPr>
        <w:t xml:space="preserve"> aumenta con la edad. Según el Centro para el Control y la Prevención de Enfermedades</w:t>
      </w:r>
      <w:r>
        <w:rPr>
          <w:color w:val="000000"/>
        </w:rPr>
        <w:t xml:space="preserve"> de los EE.UU.</w:t>
      </w:r>
      <w:r w:rsidRPr="00A277F0">
        <w:rPr>
          <w:color w:val="000000"/>
        </w:rPr>
        <w:t xml:space="preserve">, </w:t>
      </w:r>
      <w:r>
        <w:rPr>
          <w:color w:val="000000"/>
        </w:rPr>
        <w:t>8</w:t>
      </w:r>
      <w:r w:rsidRPr="00A277F0">
        <w:rPr>
          <w:color w:val="000000"/>
        </w:rPr>
        <w:t xml:space="preserve"> de cada 10 muertes relacionadas con </w:t>
      </w:r>
      <w:r>
        <w:rPr>
          <w:color w:val="000000"/>
        </w:rPr>
        <w:t>la</w:t>
      </w:r>
      <w:r w:rsidRPr="00A277F0">
        <w:rPr>
          <w:color w:val="000000"/>
        </w:rPr>
        <w:t xml:space="preserve"> COVID-19</w:t>
      </w:r>
      <w:r>
        <w:rPr>
          <w:color w:val="000000"/>
        </w:rPr>
        <w:t>,</w:t>
      </w:r>
      <w:r w:rsidRPr="00A277F0">
        <w:rPr>
          <w:color w:val="000000"/>
        </w:rPr>
        <w:t xml:space="preserve"> notificadas en</w:t>
      </w:r>
      <w:r>
        <w:rPr>
          <w:color w:val="000000"/>
        </w:rPr>
        <w:t xml:space="preserve"> ese país, </w:t>
      </w:r>
      <w:r w:rsidRPr="00BE7934">
        <w:rPr>
          <w:color w:val="000000"/>
        </w:rPr>
        <w:t>ocurrieron</w:t>
      </w:r>
      <w:r w:rsidRPr="00A277F0">
        <w:rPr>
          <w:color w:val="000000"/>
        </w:rPr>
        <w:t xml:space="preserve"> en </w:t>
      </w:r>
      <w:r w:rsidRPr="00BE7934">
        <w:rPr>
          <w:color w:val="000000"/>
        </w:rPr>
        <w:t>adultos mayores</w:t>
      </w:r>
      <w:r w:rsidRPr="00A277F0">
        <w:rPr>
          <w:color w:val="000000"/>
        </w:rPr>
        <w:t xml:space="preserve"> de 65 años de </w:t>
      </w:r>
      <w:proofErr w:type="gramStart"/>
      <w:r w:rsidRPr="00A277F0">
        <w:rPr>
          <w:color w:val="000000"/>
        </w:rPr>
        <w:t>edad</w:t>
      </w:r>
      <w:r w:rsidRPr="008150D7">
        <w:rPr>
          <w:color w:val="000000"/>
        </w:rPr>
        <w:t>.</w:t>
      </w:r>
      <w:r w:rsidRPr="008150D7">
        <w:rPr>
          <w:color w:val="000000"/>
          <w:vertAlign w:val="superscript"/>
        </w:rPr>
        <w:t>(</w:t>
      </w:r>
      <w:proofErr w:type="gramEnd"/>
      <w:r w:rsidRPr="008150D7"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>0</w:t>
      </w:r>
      <w:r w:rsidRPr="008150D7">
        <w:rPr>
          <w:color w:val="000000"/>
          <w:vertAlign w:val="superscript"/>
        </w:rPr>
        <w:t>)</w:t>
      </w:r>
    </w:p>
    <w:p w14:paraId="653D5E86" w14:textId="5D4EDE19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 xml:space="preserve">La presencia de comorbilidades aumenta la vulnerabilidad, las formas graves y la mortalidad </w:t>
      </w:r>
      <w:r>
        <w:t>por</w:t>
      </w:r>
      <w:r w:rsidRPr="00A277F0">
        <w:t xml:space="preserve"> la COVID-</w:t>
      </w:r>
      <w:proofErr w:type="gramStart"/>
      <w:r w:rsidRPr="00A277F0">
        <w:t>19.</w:t>
      </w:r>
      <w:r w:rsidRPr="00A277F0">
        <w:rPr>
          <w:vertAlign w:val="superscript"/>
        </w:rPr>
        <w:t>(</w:t>
      </w:r>
      <w:proofErr w:type="gramEnd"/>
      <w:r w:rsidRPr="00A277F0">
        <w:rPr>
          <w:vertAlign w:val="superscript"/>
        </w:rPr>
        <w:t>3</w:t>
      </w:r>
      <w:r>
        <w:rPr>
          <w:vertAlign w:val="superscript"/>
        </w:rPr>
        <w:t>0,31,32,33</w:t>
      </w:r>
      <w:r w:rsidRPr="00A277F0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color w:val="000000"/>
        </w:rPr>
        <w:t>E</w:t>
      </w:r>
      <w:r w:rsidRPr="00A277F0">
        <w:rPr>
          <w:color w:val="000000"/>
        </w:rPr>
        <w:t>n Wuhan, China</w:t>
      </w:r>
      <w:r>
        <w:rPr>
          <w:color w:val="000000"/>
        </w:rPr>
        <w:t>,</w:t>
      </w:r>
      <w:r w:rsidRPr="00A277F0">
        <w:rPr>
          <w:color w:val="000000"/>
        </w:rPr>
        <w:t xml:space="preserve"> la tasa de muerte en personas con enfermedad cardiovascular </w:t>
      </w:r>
      <w:r w:rsidRPr="00A277F0">
        <w:rPr>
          <w:color w:val="000000"/>
        </w:rPr>
        <w:lastRenderedPageBreak/>
        <w:t>llegó a 10,5 %, en diabéticos a 7,3 %, enfermedad respiratoria a 6,3 %</w:t>
      </w:r>
      <w:r>
        <w:rPr>
          <w:color w:val="000000"/>
        </w:rPr>
        <w:t xml:space="preserve"> e</w:t>
      </w:r>
      <w:r w:rsidRPr="00A277F0">
        <w:rPr>
          <w:color w:val="000000"/>
        </w:rPr>
        <w:t xml:space="preserve"> hipertensión arterial a 6</w:t>
      </w:r>
      <w:r w:rsidR="0046536F">
        <w:rPr>
          <w:color w:val="000000"/>
        </w:rPr>
        <w:t> </w:t>
      </w:r>
      <w:r w:rsidRPr="00A277F0">
        <w:rPr>
          <w:color w:val="000000"/>
        </w:rPr>
        <w:t>%.</w:t>
      </w:r>
      <w:r w:rsidRPr="00116DE1">
        <w:rPr>
          <w:color w:val="000000"/>
          <w:vertAlign w:val="superscript"/>
        </w:rPr>
        <w:t>(3</w:t>
      </w:r>
      <w:r>
        <w:rPr>
          <w:color w:val="000000"/>
          <w:vertAlign w:val="superscript"/>
        </w:rPr>
        <w:t>1</w:t>
      </w:r>
      <w:r w:rsidRPr="00116DE1">
        <w:rPr>
          <w:color w:val="000000"/>
          <w:vertAlign w:val="superscript"/>
        </w:rPr>
        <w:t>,3</w:t>
      </w:r>
      <w:r>
        <w:rPr>
          <w:color w:val="000000"/>
          <w:vertAlign w:val="superscript"/>
        </w:rPr>
        <w:t>2</w:t>
      </w:r>
      <w:r w:rsidRPr="00116DE1">
        <w:rPr>
          <w:color w:val="000000"/>
          <w:vertAlign w:val="superscript"/>
        </w:rPr>
        <w:t>)</w:t>
      </w:r>
    </w:p>
    <w:p w14:paraId="7E601C28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>
        <w:t>A</w:t>
      </w:r>
      <w:r w:rsidRPr="00A277F0">
        <w:t>lrededor del 40 por ciento de los pacientes en ambos grupos</w:t>
      </w:r>
      <w:r>
        <w:t>,</w:t>
      </w:r>
      <w:r w:rsidRPr="00A277F0">
        <w:t xml:space="preserve"> presentaban alguna comorbilidad, con discreto predominio de los pacientes sintomáticos</w:t>
      </w:r>
      <w:r>
        <w:t xml:space="preserve">, pero sin </w:t>
      </w:r>
      <w:r w:rsidRPr="00A277F0">
        <w:t xml:space="preserve">diferencias estadísticamente significativas. </w:t>
      </w:r>
    </w:p>
    <w:p w14:paraId="482536CC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</w:pPr>
      <w:r w:rsidRPr="00A277F0">
        <w:t>Las manifestaciones clínicas de mayor frecuencia fueron la fiebre (6,1</w:t>
      </w:r>
      <w:r>
        <w:t xml:space="preserve"> </w:t>
      </w:r>
      <w:r w:rsidRPr="00A277F0">
        <w:t>%), tos seca (51,8</w:t>
      </w:r>
      <w:r>
        <w:t> </w:t>
      </w:r>
      <w:r w:rsidRPr="00A277F0">
        <w:t xml:space="preserve">%) y decaimiento (40,7 %). Algo semejante se reportó en </w:t>
      </w:r>
      <w:r w:rsidRPr="00116DE1">
        <w:t xml:space="preserve">publicaciones tanto </w:t>
      </w:r>
      <w:proofErr w:type="gramStart"/>
      <w:r w:rsidRPr="00116DE1">
        <w:t>cubanas</w:t>
      </w:r>
      <w:r w:rsidRPr="00116DE1">
        <w:rPr>
          <w:vertAlign w:val="superscript"/>
        </w:rPr>
        <w:t>(</w:t>
      </w:r>
      <w:proofErr w:type="gramEnd"/>
      <w:r w:rsidRPr="00116DE1">
        <w:rPr>
          <w:vertAlign w:val="superscript"/>
        </w:rPr>
        <w:t>16,17,18,3</w:t>
      </w:r>
      <w:r>
        <w:rPr>
          <w:vertAlign w:val="superscript"/>
        </w:rPr>
        <w:t>3</w:t>
      </w:r>
      <w:r w:rsidRPr="00116DE1">
        <w:rPr>
          <w:vertAlign w:val="superscript"/>
        </w:rPr>
        <w:t>)</w:t>
      </w:r>
      <w:r w:rsidRPr="00116DE1">
        <w:t xml:space="preserve"> como de otros países.</w:t>
      </w:r>
      <w:r w:rsidRPr="00116DE1">
        <w:rPr>
          <w:vertAlign w:val="superscript"/>
        </w:rPr>
        <w:t>(4,25,3</w:t>
      </w:r>
      <w:r>
        <w:rPr>
          <w:vertAlign w:val="superscript"/>
        </w:rPr>
        <w:t>4</w:t>
      </w:r>
      <w:r w:rsidRPr="00116DE1">
        <w:rPr>
          <w:vertAlign w:val="superscript"/>
        </w:rPr>
        <w:t>)</w:t>
      </w:r>
    </w:p>
    <w:p w14:paraId="56B40B25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iCs/>
          <w:color w:val="000000"/>
        </w:rPr>
      </w:pPr>
      <w:r w:rsidRPr="00A277F0">
        <w:t>Por otra parte, predominaron las afectaciones extrapulmonares digestivas y neurológicas.</w:t>
      </w:r>
      <w:r>
        <w:t xml:space="preserve"> </w:t>
      </w:r>
      <w:r w:rsidRPr="00E4687A">
        <w:rPr>
          <w:i/>
          <w:color w:val="000000"/>
        </w:rPr>
        <w:t>Góngora</w:t>
      </w:r>
      <w:r>
        <w:rPr>
          <w:i/>
          <w:color w:val="000000"/>
        </w:rPr>
        <w:t xml:space="preserve"> </w:t>
      </w:r>
      <w:r w:rsidRPr="00E4687A">
        <w:rPr>
          <w:color w:val="000000"/>
        </w:rPr>
        <w:t xml:space="preserve">y </w:t>
      </w:r>
      <w:proofErr w:type="gramStart"/>
      <w:r w:rsidRPr="00E4687A">
        <w:rPr>
          <w:color w:val="000000"/>
        </w:rPr>
        <w:t>otros</w:t>
      </w:r>
      <w:r w:rsidRPr="00E4687A">
        <w:rPr>
          <w:iCs/>
          <w:color w:val="000000"/>
          <w:vertAlign w:val="superscript"/>
        </w:rPr>
        <w:t>(</w:t>
      </w:r>
      <w:proofErr w:type="gramEnd"/>
      <w:r w:rsidRPr="00E4687A">
        <w:rPr>
          <w:iCs/>
          <w:color w:val="000000"/>
          <w:vertAlign w:val="superscript"/>
        </w:rPr>
        <w:t>35</w:t>
      </w:r>
      <w:r w:rsidRPr="00BE7934">
        <w:rPr>
          <w:iCs/>
          <w:color w:val="000000"/>
          <w:vertAlign w:val="superscript"/>
        </w:rPr>
        <w:t>)</w:t>
      </w:r>
      <w:r>
        <w:rPr>
          <w:iCs/>
          <w:color w:val="000000"/>
        </w:rPr>
        <w:t xml:space="preserve">, </w:t>
      </w:r>
      <w:r w:rsidRPr="00A277F0">
        <w:t xml:space="preserve">en una amplia revisión </w:t>
      </w:r>
      <w:r w:rsidRPr="00A277F0">
        <w:rPr>
          <w:color w:val="000000"/>
        </w:rPr>
        <w:t>bibliográfica</w:t>
      </w:r>
      <w:r>
        <w:rPr>
          <w:color w:val="000000"/>
        </w:rPr>
        <w:t>,</w:t>
      </w:r>
      <w:r w:rsidRPr="00A277F0">
        <w:rPr>
          <w:color w:val="000000"/>
        </w:rPr>
        <w:t xml:space="preserve"> </w:t>
      </w:r>
      <w:r w:rsidRPr="00BE7934">
        <w:rPr>
          <w:iCs/>
          <w:color w:val="000000"/>
        </w:rPr>
        <w:t>encontraron</w:t>
      </w:r>
      <w:r w:rsidRPr="00A277F0">
        <w:rPr>
          <w:iCs/>
          <w:color w:val="000000"/>
        </w:rPr>
        <w:t xml:space="preserve"> varios reportes de manifestaciones extrapulmonares, dentro de </w:t>
      </w:r>
      <w:r w:rsidRPr="00BE7934">
        <w:rPr>
          <w:iCs/>
          <w:color w:val="000000"/>
        </w:rPr>
        <w:t>las más frecuentes</w:t>
      </w:r>
      <w:r w:rsidRPr="00A277F0">
        <w:rPr>
          <w:iCs/>
          <w:color w:val="000000"/>
        </w:rPr>
        <w:t>: digestivas, cardiovasculares y neurológicas</w:t>
      </w:r>
      <w:r w:rsidRPr="006B696F">
        <w:rPr>
          <w:iCs/>
          <w:color w:val="000000"/>
        </w:rPr>
        <w:t>.</w:t>
      </w:r>
      <w:r>
        <w:rPr>
          <w:iCs/>
          <w:color w:val="000000"/>
        </w:rPr>
        <w:t xml:space="preserve"> Estas</w:t>
      </w:r>
      <w:r w:rsidRPr="00A277F0">
        <w:rPr>
          <w:iCs/>
          <w:color w:val="000000"/>
        </w:rPr>
        <w:t xml:space="preserve"> pueden preceder a las pulmonares,</w:t>
      </w:r>
      <w:r>
        <w:rPr>
          <w:iCs/>
          <w:color w:val="000000"/>
        </w:rPr>
        <w:t xml:space="preserve"> </w:t>
      </w:r>
      <w:r w:rsidRPr="00A277F0">
        <w:rPr>
          <w:iCs/>
          <w:color w:val="000000"/>
        </w:rPr>
        <w:t>elementos a tener en cuenta para lograr un diagnóstico certero y precoz.</w:t>
      </w:r>
    </w:p>
    <w:p w14:paraId="541C7EE1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E</w:t>
      </w:r>
      <w:r w:rsidRPr="006B696F">
        <w:rPr>
          <w:color w:val="000000"/>
        </w:rPr>
        <w:t>n l</w:t>
      </w:r>
      <w:r>
        <w:rPr>
          <w:color w:val="000000"/>
        </w:rPr>
        <w:t xml:space="preserve">a serie </w:t>
      </w:r>
      <w:r w:rsidRPr="006B696F">
        <w:rPr>
          <w:color w:val="000000"/>
        </w:rPr>
        <w:t>estudiad</w:t>
      </w:r>
      <w:r>
        <w:rPr>
          <w:color w:val="000000"/>
        </w:rPr>
        <w:t xml:space="preserve">a </w:t>
      </w:r>
      <w:r w:rsidRPr="00A277F0">
        <w:rPr>
          <w:color w:val="000000"/>
        </w:rPr>
        <w:t xml:space="preserve">predominaron </w:t>
      </w:r>
      <w:r>
        <w:rPr>
          <w:color w:val="000000"/>
        </w:rPr>
        <w:t xml:space="preserve">los </w:t>
      </w:r>
      <w:r w:rsidRPr="00A277F0">
        <w:rPr>
          <w:color w:val="000000"/>
        </w:rPr>
        <w:t xml:space="preserve">menores de 60 años de edad, </w:t>
      </w:r>
      <w:r>
        <w:rPr>
          <w:color w:val="000000"/>
        </w:rPr>
        <w:t>en similar proporción en los sexos</w:t>
      </w:r>
      <w:r w:rsidRPr="00A277F0">
        <w:rPr>
          <w:color w:val="000000"/>
        </w:rPr>
        <w:t>, pertenecientes a los municipios Holguín, Gibara y Banes</w:t>
      </w:r>
      <w:r>
        <w:rPr>
          <w:color w:val="000000"/>
        </w:rPr>
        <w:t>,</w:t>
      </w:r>
      <w:r w:rsidRPr="00A277F0">
        <w:rPr>
          <w:color w:val="000000"/>
        </w:rPr>
        <w:t xml:space="preserve"> con antecedentes epidemiológicos de ser contacto de casos confirmados. La condición adulto mayor y la hipertensión arterial fueron los factores de riesgo clínicos preponderantes, la mayoría de los casos no presentaron comorbilidades. Prevalecieron los síntomas: fiebre, tos seca, decaimiento y </w:t>
      </w:r>
      <w:r>
        <w:rPr>
          <w:color w:val="000000"/>
        </w:rPr>
        <w:t xml:space="preserve">en </w:t>
      </w:r>
      <w:r w:rsidRPr="00A277F0">
        <w:rPr>
          <w:color w:val="000000"/>
        </w:rPr>
        <w:t>las manifestaciones extrapulmonares</w:t>
      </w:r>
      <w:r>
        <w:rPr>
          <w:color w:val="000000"/>
        </w:rPr>
        <w:t xml:space="preserve">, las </w:t>
      </w:r>
      <w:r w:rsidRPr="00A277F0">
        <w:rPr>
          <w:color w:val="000000"/>
        </w:rPr>
        <w:t xml:space="preserve">digestivas y </w:t>
      </w:r>
      <w:r>
        <w:rPr>
          <w:color w:val="000000"/>
        </w:rPr>
        <w:t xml:space="preserve">las </w:t>
      </w:r>
      <w:r w:rsidRPr="00A277F0">
        <w:rPr>
          <w:color w:val="000000"/>
        </w:rPr>
        <w:t xml:space="preserve">neurológicas. </w:t>
      </w:r>
    </w:p>
    <w:p w14:paraId="643C61EA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Se confirmó que</w:t>
      </w:r>
      <w:r w:rsidRPr="00A277F0">
        <w:rPr>
          <w:color w:val="000000"/>
        </w:rPr>
        <w:t xml:space="preserve"> entre los pacientes </w:t>
      </w:r>
      <w:r w:rsidRPr="006B696F">
        <w:rPr>
          <w:color w:val="000000"/>
        </w:rPr>
        <w:t>asintomáticos y sintomáticos</w:t>
      </w:r>
      <w:r w:rsidRPr="00A277F0">
        <w:rPr>
          <w:color w:val="000000"/>
        </w:rPr>
        <w:t xml:space="preserve"> existen similitudes, excepto en la edad y los factores de riesgo clínico: adulto mayor e hipertensión arterial.</w:t>
      </w:r>
    </w:p>
    <w:p w14:paraId="7B854896" w14:textId="77777777" w:rsidR="005973A2" w:rsidRPr="00A277F0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</w:rPr>
      </w:pPr>
    </w:p>
    <w:p w14:paraId="433EA8FD" w14:textId="77777777" w:rsidR="005973A2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both"/>
        <w:rPr>
          <w:b/>
        </w:rPr>
      </w:pPr>
    </w:p>
    <w:p w14:paraId="55E5CD8C" w14:textId="77777777" w:rsidR="005973A2" w:rsidRPr="00063C5A" w:rsidRDefault="005973A2" w:rsidP="005973A2">
      <w:pPr>
        <w:pStyle w:val="style3"/>
        <w:tabs>
          <w:tab w:val="left" w:pos="1134"/>
        </w:tabs>
        <w:spacing w:before="0" w:beforeAutospacing="0" w:after="0" w:afterAutospacing="0" w:line="360" w:lineRule="auto"/>
        <w:jc w:val="center"/>
        <w:rPr>
          <w:b/>
          <w:sz w:val="32"/>
          <w:szCs w:val="32"/>
          <w:lang w:val="en-US"/>
        </w:rPr>
      </w:pPr>
      <w:r w:rsidRPr="00063C5A">
        <w:rPr>
          <w:b/>
          <w:sz w:val="32"/>
          <w:szCs w:val="32"/>
          <w:lang w:val="en-US"/>
        </w:rPr>
        <w:t>REFERENCIAS BIBLIOGRÁFICAS</w:t>
      </w:r>
    </w:p>
    <w:p w14:paraId="6C0B5351" w14:textId="77777777" w:rsidR="005973A2" w:rsidRPr="000466C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 w:rsidRPr="00095D3B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Pr="00063C5A">
        <w:rPr>
          <w:color w:val="000000"/>
          <w:lang w:val="en-US"/>
        </w:rPr>
        <w:t>Ahn</w:t>
      </w:r>
      <w:proofErr w:type="spellEnd"/>
      <w:r w:rsidRPr="00063C5A">
        <w:rPr>
          <w:color w:val="000000"/>
          <w:lang w:val="en-US"/>
        </w:rPr>
        <w:t xml:space="preserve"> DG, Shin HJ, Kim MH, Lee S, Kim HS, </w:t>
      </w:r>
      <w:proofErr w:type="spellStart"/>
      <w:r w:rsidRPr="00063C5A">
        <w:rPr>
          <w:color w:val="000000"/>
          <w:lang w:val="en-US"/>
        </w:rPr>
        <w:t>Myoung</w:t>
      </w:r>
      <w:proofErr w:type="spellEnd"/>
      <w:r w:rsidRPr="00063C5A">
        <w:rPr>
          <w:color w:val="000000"/>
          <w:lang w:val="en-US"/>
        </w:rPr>
        <w:t xml:space="preserve"> J, et al. Current Status of Epidemiology, Diagnosis, Therapeutics, and Vaccines for Novel Coronavirus Disease 2019 (COVID-19). </w:t>
      </w:r>
      <w:r w:rsidRPr="005C465D">
        <w:rPr>
          <w:color w:val="000000"/>
          <w:lang w:val="en-US"/>
        </w:rPr>
        <w:t xml:space="preserve">J Microbiol </w:t>
      </w:r>
      <w:proofErr w:type="spellStart"/>
      <w:r w:rsidRPr="005C465D">
        <w:rPr>
          <w:color w:val="000000"/>
          <w:lang w:val="en-US"/>
        </w:rPr>
        <w:t>Biotechnol</w:t>
      </w:r>
      <w:proofErr w:type="spellEnd"/>
      <w:r w:rsidRPr="005C465D">
        <w:rPr>
          <w:color w:val="000000"/>
          <w:lang w:val="en-US"/>
        </w:rPr>
        <w:t>. 2020 [</w:t>
      </w:r>
      <w:proofErr w:type="spellStart"/>
      <w:r w:rsidRPr="005C465D">
        <w:rPr>
          <w:color w:val="000000"/>
          <w:lang w:val="en-US"/>
        </w:rPr>
        <w:t>acceso</w:t>
      </w:r>
      <w:proofErr w:type="spellEnd"/>
      <w:r w:rsidRPr="005C465D">
        <w:rPr>
          <w:color w:val="000000"/>
          <w:lang w:val="en-US"/>
        </w:rPr>
        <w:t xml:space="preserve">: 15/06/2020];30(3):313-24. </w:t>
      </w:r>
      <w:r w:rsidRPr="000466C4">
        <w:rPr>
          <w:color w:val="000000"/>
        </w:rPr>
        <w:t xml:space="preserve">Disponible en: </w:t>
      </w:r>
      <w:hyperlink r:id="rId13" w:history="1">
        <w:r w:rsidRPr="00ED7FF6">
          <w:rPr>
            <w:rStyle w:val="Hipervnculo"/>
          </w:rPr>
          <w:t>http://www.ncbi.nlm.nih.gov/pubmed/32238757</w:t>
        </w:r>
      </w:hyperlink>
    </w:p>
    <w:p w14:paraId="09883401" w14:textId="77777777" w:rsidR="005973A2" w:rsidRPr="00095D3B" w:rsidRDefault="005973A2" w:rsidP="005973A2">
      <w:pPr>
        <w:pStyle w:val="style3"/>
        <w:spacing w:before="0" w:beforeAutospacing="0" w:after="0" w:afterAutospacing="0" w:line="360" w:lineRule="auto"/>
      </w:pPr>
      <w:r>
        <w:rPr>
          <w:color w:val="000000"/>
          <w:lang w:val="en-US"/>
        </w:rPr>
        <w:lastRenderedPageBreak/>
        <w:t xml:space="preserve">2. </w:t>
      </w:r>
      <w:r w:rsidRPr="00DD1C43">
        <w:rPr>
          <w:lang w:val="en-US"/>
        </w:rPr>
        <w:t xml:space="preserve">Wang Y, Wang Y, Chen Y, Qin Q. Unique epidemiological and clinical features of the emerging 2019 novel coronavirus pneumonia (COVID-19) implicate special control measures. </w:t>
      </w:r>
      <w:r w:rsidRPr="000466C4">
        <w:t xml:space="preserve">J </w:t>
      </w:r>
      <w:proofErr w:type="spellStart"/>
      <w:r w:rsidRPr="000466C4">
        <w:t>Med</w:t>
      </w:r>
      <w:proofErr w:type="spellEnd"/>
      <w:r w:rsidRPr="000466C4">
        <w:t xml:space="preserve"> Virol. 2020 [acceso: 05/07/2020];92(6):568-76. </w:t>
      </w:r>
      <w:r w:rsidRPr="00095D3B">
        <w:t xml:space="preserve">Disponible en: </w:t>
      </w:r>
      <w:hyperlink r:id="rId14" w:history="1">
        <w:r w:rsidRPr="007907B5">
          <w:rPr>
            <w:rStyle w:val="Hipervnculo"/>
          </w:rPr>
          <w:t>http://www.doi.org/10.1002/jmv.25748</w:t>
        </w:r>
      </w:hyperlink>
    </w:p>
    <w:p w14:paraId="493FBB4B" w14:textId="77777777" w:rsidR="005973A2" w:rsidRPr="00197BCB" w:rsidRDefault="005973A2" w:rsidP="005973A2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531D5A">
        <w:rPr>
          <w:rFonts w:ascii="Times New Roman" w:hAnsi="Times New Roman" w:cs="Times New Roman"/>
          <w:sz w:val="24"/>
          <w:szCs w:val="24"/>
          <w:lang w:val="en-US"/>
        </w:rPr>
        <w:t xml:space="preserve">WHO: Official Web site of the World Health </w:t>
      </w:r>
      <w:proofErr w:type="spellStart"/>
      <w:r w:rsidRPr="00531D5A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62665">
        <w:rPr>
          <w:rFonts w:ascii="Times New Roman" w:hAnsi="Times New Roman" w:cs="Times New Roman"/>
          <w:sz w:val="24"/>
          <w:szCs w:val="24"/>
          <w:lang w:val="en-US"/>
        </w:rPr>
        <w:t>Australia</w:t>
      </w:r>
      <w:proofErr w:type="spellEnd"/>
      <w:r w:rsidRPr="00862665">
        <w:rPr>
          <w:rFonts w:ascii="Times New Roman" w:hAnsi="Times New Roman" w:cs="Times New Roman"/>
          <w:sz w:val="24"/>
          <w:szCs w:val="24"/>
          <w:lang w:val="en-US"/>
        </w:rPr>
        <w:t xml:space="preserve">: WHO Inc.; c2020; </w:t>
      </w:r>
      <w:r w:rsidRPr="00531D5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F95B1F">
        <w:rPr>
          <w:rFonts w:ascii="Times New Roman" w:hAnsi="Times New Roman" w:cs="Times New Roman"/>
          <w:sz w:val="24"/>
          <w:szCs w:val="24"/>
          <w:lang w:val="en-US"/>
        </w:rPr>
        <w:t xml:space="preserve"> coronavirus </w:t>
      </w:r>
      <w:r w:rsidRPr="00531D5A">
        <w:rPr>
          <w:rFonts w:ascii="Times New Roman" w:hAnsi="Times New Roman" w:cs="Times New Roman"/>
          <w:sz w:val="24"/>
          <w:szCs w:val="24"/>
          <w:lang w:val="en-US"/>
        </w:rPr>
        <w:t>Diseases</w:t>
      </w:r>
      <w:r w:rsidRPr="00F95B1F">
        <w:rPr>
          <w:rFonts w:ascii="Times New Roman" w:hAnsi="Times New Roman" w:cs="Times New Roman"/>
          <w:sz w:val="24"/>
          <w:szCs w:val="24"/>
          <w:lang w:val="en-US"/>
        </w:rPr>
        <w:t xml:space="preserve"> (COVID-19)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dashboard</w:t>
      </w:r>
      <w:r w:rsidRPr="00531D5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97BCB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proofErr w:type="gramEnd"/>
      <w:r w:rsidRPr="00197BCB">
        <w:rPr>
          <w:rFonts w:ascii="Times New Roman" w:hAnsi="Times New Roman" w:cs="Times New Roman"/>
          <w:sz w:val="24"/>
          <w:szCs w:val="24"/>
          <w:lang w:val="en-US"/>
        </w:rPr>
        <w:t>actualizado</w:t>
      </w:r>
      <w:proofErr w:type="spellEnd"/>
      <w:r w:rsidRPr="00197BCB">
        <w:rPr>
          <w:rFonts w:ascii="Times New Roman" w:hAnsi="Times New Roman" w:cs="Times New Roman"/>
          <w:sz w:val="24"/>
          <w:szCs w:val="24"/>
          <w:lang w:val="en-US"/>
        </w:rPr>
        <w:t xml:space="preserve">: 15/07/2020; </w:t>
      </w:r>
      <w:proofErr w:type="spellStart"/>
      <w:r w:rsidRPr="00197BCB">
        <w:rPr>
          <w:rFonts w:ascii="Times New Roman" w:hAnsi="Times New Roman" w:cs="Times New Roman"/>
          <w:sz w:val="24"/>
          <w:szCs w:val="24"/>
          <w:lang w:val="en-US"/>
        </w:rPr>
        <w:t>acceso</w:t>
      </w:r>
      <w:proofErr w:type="spellEnd"/>
      <w:r w:rsidRPr="00197BCB">
        <w:rPr>
          <w:rFonts w:ascii="Times New Roman" w:hAnsi="Times New Roman" w:cs="Times New Roman"/>
          <w:sz w:val="24"/>
          <w:szCs w:val="24"/>
          <w:lang w:val="en-US"/>
        </w:rPr>
        <w:t xml:space="preserve">: 15/07/2020]. Disponible </w:t>
      </w:r>
      <w:proofErr w:type="spellStart"/>
      <w:r w:rsidRPr="00197BCB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197BC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5" w:history="1">
        <w:r w:rsidRPr="00197BCB">
          <w:rPr>
            <w:rStyle w:val="Hipervnculo"/>
            <w:rFonts w:ascii="Times New Roman" w:hAnsi="Times New Roman" w:cs="Times New Roman"/>
            <w:sz w:val="24"/>
            <w:lang w:val="en-US"/>
          </w:rPr>
          <w:t>https://covid19.who.int/?gclid=EAIaIQobChMIrLW_poyo7QIVxNrICh2Z6Q5OEAAYASAAEgICfvD_BwE</w:t>
        </w:r>
      </w:hyperlink>
    </w:p>
    <w:p w14:paraId="2D00F72D" w14:textId="77777777" w:rsidR="005973A2" w:rsidRDefault="005973A2" w:rsidP="005973A2">
      <w:pPr>
        <w:pStyle w:val="style3"/>
        <w:spacing w:before="0" w:beforeAutospacing="0" w:after="0" w:afterAutospacing="0" w:line="360" w:lineRule="auto"/>
      </w:pPr>
      <w:r>
        <w:rPr>
          <w:lang w:val="en-US"/>
        </w:rPr>
        <w:t xml:space="preserve">4. </w:t>
      </w:r>
      <w:proofErr w:type="spellStart"/>
      <w:r w:rsidRPr="00A71FD1">
        <w:rPr>
          <w:lang w:val="en-US"/>
        </w:rPr>
        <w:t>Chaolin</w:t>
      </w:r>
      <w:proofErr w:type="spellEnd"/>
      <w:r w:rsidRPr="00A71FD1">
        <w:rPr>
          <w:lang w:val="en-US"/>
        </w:rPr>
        <w:t xml:space="preserve"> H, </w:t>
      </w:r>
      <w:proofErr w:type="spellStart"/>
      <w:r w:rsidRPr="00A71FD1">
        <w:rPr>
          <w:lang w:val="en-US"/>
        </w:rPr>
        <w:t>Yeming</w:t>
      </w:r>
      <w:proofErr w:type="spellEnd"/>
      <w:r w:rsidRPr="00A71FD1">
        <w:rPr>
          <w:lang w:val="en-US"/>
        </w:rPr>
        <w:t xml:space="preserve"> W, </w:t>
      </w:r>
      <w:proofErr w:type="spellStart"/>
      <w:r w:rsidRPr="00A71FD1">
        <w:rPr>
          <w:lang w:val="en-US"/>
        </w:rPr>
        <w:t>Xingwang</w:t>
      </w:r>
      <w:proofErr w:type="spellEnd"/>
      <w:r w:rsidRPr="00A71FD1">
        <w:rPr>
          <w:lang w:val="en-US"/>
        </w:rPr>
        <w:t xml:space="preserve"> L, Lili R, </w:t>
      </w:r>
      <w:proofErr w:type="spellStart"/>
      <w:r w:rsidRPr="00A71FD1">
        <w:rPr>
          <w:lang w:val="en-US"/>
        </w:rPr>
        <w:t>Jianping</w:t>
      </w:r>
      <w:proofErr w:type="spellEnd"/>
      <w:r w:rsidRPr="00A71FD1">
        <w:rPr>
          <w:lang w:val="en-US"/>
        </w:rPr>
        <w:t xml:space="preserve"> Z, Hu Y, et al. </w:t>
      </w:r>
      <w:r w:rsidRPr="00DD1C43">
        <w:rPr>
          <w:lang w:val="en-US"/>
        </w:rPr>
        <w:t xml:space="preserve">Clinical features of patients infected with 2019 novel coronavirus in Wuhan, China. </w:t>
      </w:r>
      <w:r w:rsidRPr="00DD1C43">
        <w:t>Lancet. 2020 [acceso: 5/07/2020]; 395</w:t>
      </w:r>
      <w:r w:rsidRPr="00D76C96">
        <w:t>(10223):</w:t>
      </w:r>
      <w:r>
        <w:t>497-</w:t>
      </w:r>
      <w:r w:rsidRPr="00DD1C43">
        <w:t xml:space="preserve">506. Disponible en: </w:t>
      </w:r>
      <w:hyperlink r:id="rId16" w:history="1">
        <w:r w:rsidRPr="00ED7FF6">
          <w:rPr>
            <w:rStyle w:val="Hipervnculo"/>
          </w:rPr>
          <w:t>https://doi.org/10.1016/S0140-6736(20)30183-5</w:t>
        </w:r>
      </w:hyperlink>
    </w:p>
    <w:p w14:paraId="19174567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5. </w:t>
      </w:r>
      <w:r w:rsidRPr="00B73484">
        <w:rPr>
          <w:color w:val="000000"/>
        </w:rPr>
        <w:t xml:space="preserve">Pérez Abreu M, Gómez Tejeda J, </w:t>
      </w:r>
      <w:proofErr w:type="spellStart"/>
      <w:r w:rsidRPr="00B73484">
        <w:rPr>
          <w:color w:val="000000"/>
        </w:rPr>
        <w:t>Dieguez</w:t>
      </w:r>
      <w:proofErr w:type="spellEnd"/>
      <w:r w:rsidRPr="00B73484">
        <w:rPr>
          <w:color w:val="000000"/>
        </w:rPr>
        <w:t xml:space="preserve"> </w:t>
      </w:r>
      <w:proofErr w:type="spellStart"/>
      <w:r w:rsidRPr="00B73484">
        <w:rPr>
          <w:color w:val="000000"/>
        </w:rPr>
        <w:t>Guach</w:t>
      </w:r>
      <w:proofErr w:type="spellEnd"/>
      <w:r w:rsidRPr="00B73484">
        <w:rPr>
          <w:color w:val="000000"/>
        </w:rPr>
        <w:t xml:space="preserve"> R. Características clínico-epidemiológicas de la COVID-19. </w:t>
      </w:r>
      <w:proofErr w:type="spellStart"/>
      <w:r w:rsidRPr="00B73484">
        <w:rPr>
          <w:color w:val="000000"/>
        </w:rPr>
        <w:t>Rev</w:t>
      </w:r>
      <w:proofErr w:type="spellEnd"/>
      <w:r w:rsidRPr="00B73484">
        <w:rPr>
          <w:color w:val="000000"/>
        </w:rPr>
        <w:t xml:space="preserve"> </w:t>
      </w:r>
      <w:proofErr w:type="spellStart"/>
      <w:r w:rsidRPr="00B73484">
        <w:rPr>
          <w:color w:val="000000"/>
        </w:rPr>
        <w:t>haban</w:t>
      </w:r>
      <w:proofErr w:type="spellEnd"/>
      <w:r w:rsidRPr="00B73484">
        <w:rPr>
          <w:color w:val="000000"/>
        </w:rPr>
        <w:t xml:space="preserve"> </w:t>
      </w:r>
      <w:proofErr w:type="spellStart"/>
      <w:r w:rsidRPr="00B73484">
        <w:rPr>
          <w:color w:val="000000"/>
        </w:rPr>
        <w:t>cienc</w:t>
      </w:r>
      <w:proofErr w:type="spellEnd"/>
      <w:r w:rsidRPr="00B73484">
        <w:rPr>
          <w:color w:val="000000"/>
        </w:rPr>
        <w:t xml:space="preserve"> </w:t>
      </w:r>
      <w:proofErr w:type="spellStart"/>
      <w:r w:rsidRPr="00B73484">
        <w:rPr>
          <w:color w:val="000000"/>
        </w:rPr>
        <w:t>méd</w:t>
      </w:r>
      <w:proofErr w:type="spellEnd"/>
      <w:r w:rsidRPr="00B73484">
        <w:rPr>
          <w:color w:val="000000"/>
        </w:rPr>
        <w:t xml:space="preserve">. 2020 [acceso: 15/07/2020]; 19(2):e_3254. Disponible en: </w:t>
      </w:r>
      <w:hyperlink r:id="rId17" w:history="1">
        <w:r w:rsidRPr="00ED7FF6">
          <w:rPr>
            <w:rStyle w:val="Hipervnculo"/>
          </w:rPr>
          <w:t>https://www.revhabanera.sld.cu/index.php/rhab/article/view/3254/2505</w:t>
        </w:r>
      </w:hyperlink>
    </w:p>
    <w:p w14:paraId="2CCE41E8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  <w:lang w:val="en-US"/>
        </w:rPr>
        <w:t xml:space="preserve">6. </w:t>
      </w:r>
      <w:r w:rsidRPr="00063C5A">
        <w:rPr>
          <w:color w:val="000000"/>
          <w:lang w:val="en-US"/>
        </w:rPr>
        <w:t xml:space="preserve">Chen Y, Liu Q, Guo D. Emerging coronaviruses: genome structure, replication, and pathogenesis. </w:t>
      </w:r>
      <w:r w:rsidRPr="00B73484">
        <w:rPr>
          <w:color w:val="000000"/>
        </w:rPr>
        <w:t xml:space="preserve">J </w:t>
      </w:r>
      <w:proofErr w:type="spellStart"/>
      <w:r w:rsidRPr="00B73484">
        <w:rPr>
          <w:color w:val="000000"/>
        </w:rPr>
        <w:t>Med</w:t>
      </w:r>
      <w:proofErr w:type="spellEnd"/>
      <w:r w:rsidRPr="00B73484">
        <w:rPr>
          <w:color w:val="000000"/>
        </w:rPr>
        <w:t xml:space="preserve"> Virol. 2020 [acceso: 10/07/2020]</w:t>
      </w:r>
      <w:r>
        <w:rPr>
          <w:color w:val="000000"/>
        </w:rPr>
        <w:t>;92(4):418-</w:t>
      </w:r>
      <w:r w:rsidRPr="00B73484">
        <w:rPr>
          <w:color w:val="000000"/>
        </w:rPr>
        <w:t xml:space="preserve">23. Disponible en: </w:t>
      </w:r>
      <w:hyperlink r:id="rId18" w:history="1">
        <w:r w:rsidRPr="00ED7FF6">
          <w:rPr>
            <w:rStyle w:val="Hipervnculo"/>
          </w:rPr>
          <w:t>https://pubmed.ncbi.nlm.nih.gov/31967327/</w:t>
        </w:r>
      </w:hyperlink>
    </w:p>
    <w:p w14:paraId="7FC331AD" w14:textId="77777777" w:rsidR="005973A2" w:rsidRDefault="005973A2" w:rsidP="005973A2">
      <w:pPr>
        <w:pStyle w:val="style3"/>
        <w:spacing w:before="0" w:beforeAutospacing="0" w:after="0" w:afterAutospacing="0" w:line="360" w:lineRule="auto"/>
      </w:pPr>
      <w:r>
        <w:t xml:space="preserve">7. </w:t>
      </w:r>
      <w:r w:rsidRPr="00DD1C43">
        <w:t xml:space="preserve">Pérez Fernández A, Suárez Hernández R, Rodríguez González E, Sarda Rojas J. Predictores de la aparición de síntomas en pacientes cardiópatas con la COVID- 19 asintomáticos al ingreso. </w:t>
      </w:r>
      <w:proofErr w:type="spellStart"/>
      <w:r w:rsidRPr="00DD1C43">
        <w:t>Rev</w:t>
      </w:r>
      <w:proofErr w:type="spellEnd"/>
      <w:r w:rsidRPr="00DD1C43">
        <w:t xml:space="preserve"> Cuban </w:t>
      </w:r>
      <w:proofErr w:type="spellStart"/>
      <w:r w:rsidRPr="00DD1C43">
        <w:t>Cardiol</w:t>
      </w:r>
      <w:proofErr w:type="spellEnd"/>
      <w:r w:rsidRPr="00DD1C43">
        <w:t>. 2020 [acceso: 10/07/2020];26(2</w:t>
      </w:r>
      <w:proofErr w:type="gramStart"/>
      <w:r w:rsidRPr="00DD1C43">
        <w:t>)</w:t>
      </w:r>
      <w:r>
        <w:t>:e</w:t>
      </w:r>
      <w:proofErr w:type="gramEnd"/>
      <w:r>
        <w:t>999</w:t>
      </w:r>
      <w:r w:rsidRPr="0037214A">
        <w:t>.</w:t>
      </w:r>
      <w:r w:rsidRPr="00DD1C43">
        <w:t xml:space="preserve"> Disponible en: </w:t>
      </w:r>
      <w:hyperlink r:id="rId19" w:history="1">
        <w:r w:rsidRPr="00ED7FF6">
          <w:rPr>
            <w:rStyle w:val="Hipervnculo"/>
          </w:rPr>
          <w:t>https://www.revcardiologia.sld.cu/index.php/revcardiologia/article/view/9998</w:t>
        </w:r>
      </w:hyperlink>
    </w:p>
    <w:p w14:paraId="7E55B63A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t xml:space="preserve">8. </w:t>
      </w:r>
      <w:r w:rsidRPr="00B73484">
        <w:rPr>
          <w:color w:val="000000"/>
        </w:rPr>
        <w:t xml:space="preserve">Sánchez Hernández E, </w:t>
      </w:r>
      <w:proofErr w:type="spellStart"/>
      <w:r w:rsidRPr="00B73484">
        <w:rPr>
          <w:color w:val="000000"/>
        </w:rPr>
        <w:t>Cordona</w:t>
      </w:r>
      <w:proofErr w:type="spellEnd"/>
      <w:r w:rsidRPr="00B73484">
        <w:rPr>
          <w:color w:val="000000"/>
        </w:rPr>
        <w:t xml:space="preserve"> Gordo O, Ferrer Castro J</w:t>
      </w:r>
      <w:r>
        <w:rPr>
          <w:color w:val="000000"/>
        </w:rPr>
        <w:t>,</w:t>
      </w:r>
      <w:r w:rsidRPr="00B73484">
        <w:rPr>
          <w:color w:val="000000"/>
        </w:rPr>
        <w:t xml:space="preserve"> Pérez </w:t>
      </w:r>
      <w:proofErr w:type="spellStart"/>
      <w:r w:rsidRPr="00B73484">
        <w:rPr>
          <w:color w:val="000000"/>
        </w:rPr>
        <w:t>Fouces</w:t>
      </w:r>
      <w:proofErr w:type="spellEnd"/>
      <w:r w:rsidRPr="00B73484">
        <w:rPr>
          <w:color w:val="000000"/>
        </w:rPr>
        <w:t xml:space="preserve"> </w:t>
      </w:r>
      <w:r>
        <w:rPr>
          <w:color w:val="000000"/>
        </w:rPr>
        <w:t>A</w:t>
      </w:r>
      <w:r w:rsidRPr="00B73484">
        <w:rPr>
          <w:color w:val="000000"/>
        </w:rPr>
        <w:t xml:space="preserve">, </w:t>
      </w:r>
      <w:proofErr w:type="spellStart"/>
      <w:r w:rsidRPr="00B73484">
        <w:rPr>
          <w:color w:val="000000"/>
        </w:rPr>
        <w:t>Despaigne</w:t>
      </w:r>
      <w:proofErr w:type="spellEnd"/>
      <w:r w:rsidRPr="00B73484">
        <w:rPr>
          <w:color w:val="000000"/>
        </w:rPr>
        <w:t xml:space="preserve"> </w:t>
      </w:r>
      <w:proofErr w:type="spellStart"/>
      <w:r w:rsidRPr="00B73484">
        <w:rPr>
          <w:color w:val="000000"/>
        </w:rPr>
        <w:t>Bicet</w:t>
      </w:r>
      <w:proofErr w:type="spellEnd"/>
      <w:r>
        <w:rPr>
          <w:color w:val="000000"/>
        </w:rPr>
        <w:t xml:space="preserve"> F</w:t>
      </w:r>
      <w:r w:rsidRPr="00B73484">
        <w:rPr>
          <w:color w:val="000000"/>
        </w:rPr>
        <w:t xml:space="preserve">. Variabilidad de los resultados de la PCR evolutiva en pacientes con la COVID- 19. MEDISAN. 2020 [acceso: 20/07/2020];24(4):566. Disponible en: </w:t>
      </w:r>
      <w:hyperlink r:id="rId20" w:history="1">
        <w:r w:rsidRPr="00ED7FF6">
          <w:rPr>
            <w:rStyle w:val="Hipervnculo"/>
          </w:rPr>
          <w:t>http://www.medisan.sld.cu/index.php/san/article/view/3146</w:t>
        </w:r>
      </w:hyperlink>
    </w:p>
    <w:p w14:paraId="393CBCFE" w14:textId="77777777" w:rsidR="005973A2" w:rsidRPr="005973A2" w:rsidRDefault="005973A2" w:rsidP="005973A2">
      <w:pPr>
        <w:pStyle w:val="style3"/>
        <w:spacing w:before="0" w:beforeAutospacing="0" w:after="0" w:afterAutospacing="0" w:line="360" w:lineRule="auto"/>
        <w:rPr>
          <w:lang w:val="en-US"/>
        </w:rPr>
      </w:pPr>
      <w:r>
        <w:rPr>
          <w:lang w:val="en-US"/>
        </w:rPr>
        <w:lastRenderedPageBreak/>
        <w:t xml:space="preserve">9. </w:t>
      </w:r>
      <w:r w:rsidRPr="002E2BE0">
        <w:rPr>
          <w:lang w:val="en-US"/>
        </w:rPr>
        <w:t>World Medical Association</w:t>
      </w:r>
      <w:r>
        <w:rPr>
          <w:lang w:val="en-US"/>
        </w:rPr>
        <w:t>.</w:t>
      </w:r>
      <w:r w:rsidRPr="002E2BE0">
        <w:rPr>
          <w:lang w:val="en-US"/>
        </w:rPr>
        <w:t xml:space="preserve"> World Medical declaration of Helsinki: ethical principles for medical research involving</w:t>
      </w:r>
      <w:r>
        <w:rPr>
          <w:lang w:val="en-US"/>
        </w:rPr>
        <w:t xml:space="preserve"> human subjects. J Am Med Assoc. 2013</w:t>
      </w:r>
      <w:r w:rsidRPr="00EE7DB2">
        <w:rPr>
          <w:lang w:val="en-US"/>
        </w:rPr>
        <w:t>[</w:t>
      </w:r>
      <w:proofErr w:type="spellStart"/>
      <w:r w:rsidRPr="00EE7DB2">
        <w:rPr>
          <w:lang w:val="en-US"/>
        </w:rPr>
        <w:t>acceso</w:t>
      </w:r>
      <w:proofErr w:type="spellEnd"/>
      <w:r w:rsidRPr="00EE7DB2">
        <w:rPr>
          <w:lang w:val="en-US"/>
        </w:rPr>
        <w:t xml:space="preserve">: 20/07/2020]; 310(29):2191-4. </w:t>
      </w:r>
      <w:r w:rsidRPr="005973A2">
        <w:rPr>
          <w:lang w:val="en-US"/>
        </w:rPr>
        <w:t xml:space="preserve">Disponible </w:t>
      </w:r>
      <w:proofErr w:type="spellStart"/>
      <w:r w:rsidRPr="005973A2">
        <w:rPr>
          <w:lang w:val="en-US"/>
        </w:rPr>
        <w:t>en</w:t>
      </w:r>
      <w:proofErr w:type="spellEnd"/>
      <w:r w:rsidRPr="005973A2">
        <w:rPr>
          <w:lang w:val="en-US"/>
        </w:rPr>
        <w:t xml:space="preserve">: </w:t>
      </w:r>
      <w:hyperlink r:id="rId21" w:history="1">
        <w:r w:rsidRPr="005973A2">
          <w:rPr>
            <w:rStyle w:val="Hipervnculo"/>
            <w:lang w:val="en-US"/>
          </w:rPr>
          <w:t>http://pubmed.ncbi.nlm.nih.gov/24141714/</w:t>
        </w:r>
      </w:hyperlink>
    </w:p>
    <w:p w14:paraId="6A2B21BB" w14:textId="77777777" w:rsidR="005973A2" w:rsidRPr="00DB2CC2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 w:rsidRPr="00421841">
        <w:rPr>
          <w:color w:val="000000"/>
          <w:lang w:val="en-US"/>
        </w:rPr>
        <w:t xml:space="preserve">10. Wu Z, McGoogan JM. </w:t>
      </w:r>
      <w:r w:rsidRPr="00063C5A">
        <w:rPr>
          <w:color w:val="000000"/>
          <w:lang w:val="en-US"/>
        </w:rPr>
        <w:t xml:space="preserve">Characteristics of an important lessons from the coronavirus disease 2019(COVID-19) outbreak in China: Summary of a report of 72314 cases from the Chinese Center for Disease Control and Prevention. </w:t>
      </w:r>
      <w:r w:rsidRPr="005C465D">
        <w:rPr>
          <w:color w:val="000000"/>
          <w:lang w:val="en-US"/>
        </w:rPr>
        <w:t>JAMA. 2020 [</w:t>
      </w:r>
      <w:proofErr w:type="spellStart"/>
      <w:r w:rsidRPr="005C465D">
        <w:rPr>
          <w:color w:val="000000"/>
          <w:lang w:val="en-US"/>
        </w:rPr>
        <w:t>acceso</w:t>
      </w:r>
      <w:proofErr w:type="spellEnd"/>
      <w:r w:rsidRPr="005C465D">
        <w:rPr>
          <w:color w:val="000000"/>
          <w:lang w:val="en-US"/>
        </w:rPr>
        <w:t xml:space="preserve">: 5/07/2020];323(13):1239-42. </w:t>
      </w:r>
      <w:r w:rsidRPr="00DB2CC2">
        <w:rPr>
          <w:color w:val="000000"/>
        </w:rPr>
        <w:t xml:space="preserve">Disponible en: </w:t>
      </w:r>
      <w:hyperlink r:id="rId22" w:history="1">
        <w:r w:rsidRPr="00DB2CC2">
          <w:rPr>
            <w:rStyle w:val="Hipervnculo"/>
          </w:rPr>
          <w:t>https://jamanetwork.com/journals/jama/fullarticle/2762130</w:t>
        </w:r>
      </w:hyperlink>
    </w:p>
    <w:p w14:paraId="13B9EB63" w14:textId="77777777" w:rsidR="005973A2" w:rsidRPr="00BC3F0E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  <w:lang w:val="en-US"/>
        </w:rPr>
      </w:pPr>
      <w:r>
        <w:rPr>
          <w:color w:val="000000"/>
          <w:lang w:val="en-US"/>
        </w:rPr>
        <w:t xml:space="preserve">11. </w:t>
      </w:r>
      <w:r w:rsidRPr="00063C5A">
        <w:rPr>
          <w:color w:val="000000"/>
          <w:lang w:val="en-US"/>
        </w:rPr>
        <w:t xml:space="preserve">Gao Z, </w:t>
      </w:r>
      <w:proofErr w:type="spellStart"/>
      <w:r w:rsidRPr="00063C5A">
        <w:rPr>
          <w:color w:val="000000"/>
          <w:lang w:val="en-US"/>
        </w:rPr>
        <w:t>Yinghui</w:t>
      </w:r>
      <w:proofErr w:type="spellEnd"/>
      <w:r w:rsidRPr="00063C5A">
        <w:rPr>
          <w:color w:val="000000"/>
          <w:lang w:val="en-US"/>
        </w:rPr>
        <w:t xml:space="preserve"> X, Chao S, Xu W, Ye G, </w:t>
      </w:r>
      <w:r w:rsidRPr="00BC3F0E">
        <w:rPr>
          <w:color w:val="000000"/>
          <w:lang w:val="en-US"/>
        </w:rPr>
        <w:t>Shi Q, et al</w:t>
      </w:r>
      <w:r w:rsidRPr="00063C5A">
        <w:rPr>
          <w:color w:val="000000"/>
          <w:lang w:val="en-US"/>
        </w:rPr>
        <w:t xml:space="preserve">. A systematic review of asymptomatic infections with COVID-19. Journal of Microbiology, Immunology and Infection. </w:t>
      </w:r>
      <w:r w:rsidRPr="00BC3F0E">
        <w:rPr>
          <w:color w:val="000000"/>
          <w:lang w:val="en-US"/>
        </w:rPr>
        <w:t>2020 [</w:t>
      </w:r>
      <w:proofErr w:type="spellStart"/>
      <w:r w:rsidRPr="00BC3F0E">
        <w:rPr>
          <w:color w:val="000000"/>
          <w:lang w:val="en-US"/>
        </w:rPr>
        <w:t>acceso</w:t>
      </w:r>
      <w:proofErr w:type="spellEnd"/>
      <w:r w:rsidRPr="00BC3F0E">
        <w:rPr>
          <w:color w:val="000000"/>
          <w:lang w:val="en-US"/>
        </w:rPr>
        <w:t>: 05/07/2020]</w:t>
      </w:r>
      <w:r>
        <w:rPr>
          <w:color w:val="000000"/>
          <w:lang w:val="en-US"/>
        </w:rPr>
        <w:t>;</w:t>
      </w:r>
      <w:r w:rsidRPr="00BC3F0E">
        <w:rPr>
          <w:lang w:val="en-US"/>
        </w:rPr>
        <w:t xml:space="preserve"> [</w:t>
      </w:r>
      <w:proofErr w:type="spellStart"/>
      <w:r w:rsidRPr="00BC3F0E">
        <w:rPr>
          <w:lang w:val="en-US"/>
        </w:rPr>
        <w:t>en</w:t>
      </w:r>
      <w:proofErr w:type="spellEnd"/>
      <w:r w:rsidRPr="00BC3F0E">
        <w:rPr>
          <w:lang w:val="en-US"/>
        </w:rPr>
        <w:t xml:space="preserve"> </w:t>
      </w:r>
      <w:proofErr w:type="spellStart"/>
      <w:r w:rsidRPr="00BC3F0E">
        <w:rPr>
          <w:lang w:val="en-US"/>
        </w:rPr>
        <w:t>prensa</w:t>
      </w:r>
      <w:proofErr w:type="spellEnd"/>
      <w:r w:rsidRPr="00BC3F0E">
        <w:rPr>
          <w:lang w:val="en-US"/>
        </w:rPr>
        <w:t xml:space="preserve">]. </w:t>
      </w:r>
      <w:r w:rsidRPr="00BC3F0E">
        <w:rPr>
          <w:color w:val="000000"/>
          <w:lang w:val="en-US"/>
        </w:rPr>
        <w:t xml:space="preserve"> Disponible </w:t>
      </w:r>
      <w:proofErr w:type="spellStart"/>
      <w:r w:rsidRPr="00BC3F0E">
        <w:rPr>
          <w:color w:val="000000"/>
          <w:lang w:val="en-US"/>
        </w:rPr>
        <w:t>en</w:t>
      </w:r>
      <w:proofErr w:type="spellEnd"/>
      <w:r w:rsidRPr="00BC3F0E">
        <w:rPr>
          <w:color w:val="000000"/>
          <w:lang w:val="en-US"/>
        </w:rPr>
        <w:t xml:space="preserve">: </w:t>
      </w:r>
      <w:hyperlink r:id="rId23" w:history="1">
        <w:r w:rsidRPr="007907B5">
          <w:rPr>
            <w:rStyle w:val="Hipervnculo"/>
            <w:lang w:val="en-US"/>
          </w:rPr>
          <w:t>https://doi.org/10.1016/j.jmii.2020.05.001</w:t>
        </w:r>
      </w:hyperlink>
    </w:p>
    <w:p w14:paraId="5E87F062" w14:textId="77777777" w:rsidR="005973A2" w:rsidRPr="00197BCB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  <w:lang w:val="en-US"/>
        </w:rPr>
        <w:t xml:space="preserve">12. </w:t>
      </w:r>
      <w:r w:rsidRPr="00466033">
        <w:rPr>
          <w:color w:val="000000"/>
          <w:lang w:val="en-US"/>
        </w:rPr>
        <w:t xml:space="preserve">Wu Z, McGoogan J. Asymptomatic a pre-Symptomatic COVID-19 in China. </w:t>
      </w:r>
      <w:proofErr w:type="spellStart"/>
      <w:r w:rsidRPr="000466C4">
        <w:rPr>
          <w:color w:val="000000"/>
        </w:rPr>
        <w:t>Infect</w:t>
      </w:r>
      <w:proofErr w:type="spellEnd"/>
      <w:r w:rsidRPr="000466C4">
        <w:rPr>
          <w:color w:val="000000"/>
        </w:rPr>
        <w:t xml:space="preserve"> </w:t>
      </w:r>
      <w:proofErr w:type="spellStart"/>
      <w:r w:rsidRPr="000466C4">
        <w:rPr>
          <w:color w:val="000000"/>
        </w:rPr>
        <w:t>Dis</w:t>
      </w:r>
      <w:proofErr w:type="spellEnd"/>
      <w:r w:rsidRPr="000466C4">
        <w:rPr>
          <w:color w:val="000000"/>
        </w:rPr>
        <w:t xml:space="preserve"> </w:t>
      </w:r>
      <w:proofErr w:type="spellStart"/>
      <w:r w:rsidRPr="000466C4">
        <w:rPr>
          <w:color w:val="000000"/>
        </w:rPr>
        <w:t>Poverty</w:t>
      </w:r>
      <w:proofErr w:type="spellEnd"/>
      <w:r w:rsidRPr="000466C4">
        <w:rPr>
          <w:color w:val="000000"/>
        </w:rPr>
        <w:t>. 2020 [acceso: 10/07/2020]; 9(72</w:t>
      </w:r>
      <w:proofErr w:type="gramStart"/>
      <w:r w:rsidRPr="000466C4">
        <w:rPr>
          <w:color w:val="000000"/>
        </w:rPr>
        <w:t>):[</w:t>
      </w:r>
      <w:proofErr w:type="gramEnd"/>
      <w:r w:rsidRPr="000466C4">
        <w:rPr>
          <w:color w:val="000000"/>
        </w:rPr>
        <w:t>aprox. 2 p.].</w:t>
      </w:r>
      <w:r w:rsidRPr="00197BCB">
        <w:rPr>
          <w:color w:val="000000"/>
        </w:rPr>
        <w:t xml:space="preserve">Disponible en: </w:t>
      </w:r>
      <w:hyperlink r:id="rId24" w:history="1">
        <w:r w:rsidRPr="00197BCB">
          <w:rPr>
            <w:rStyle w:val="Hipervnculo"/>
          </w:rPr>
          <w:t>http://idpjournal.biomedcentral.com/articles/10.1186/s40249-020-00679-2</w:t>
        </w:r>
      </w:hyperlink>
    </w:p>
    <w:p w14:paraId="201DBB04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  <w:lang w:val="en-US"/>
        </w:rPr>
        <w:t xml:space="preserve">13. </w:t>
      </w:r>
      <w:proofErr w:type="spellStart"/>
      <w:r w:rsidRPr="00A10552">
        <w:rPr>
          <w:lang w:val="en-US"/>
        </w:rPr>
        <w:t>Mizumoto</w:t>
      </w:r>
      <w:proofErr w:type="spellEnd"/>
      <w:r w:rsidRPr="00A10552">
        <w:rPr>
          <w:lang w:val="en-US"/>
        </w:rPr>
        <w:t xml:space="preserve"> K, </w:t>
      </w:r>
      <w:proofErr w:type="spellStart"/>
      <w:r w:rsidRPr="00A10552">
        <w:rPr>
          <w:lang w:val="en-US"/>
        </w:rPr>
        <w:t>Kogaya</w:t>
      </w:r>
      <w:proofErr w:type="spellEnd"/>
      <w:r w:rsidRPr="00A10552">
        <w:rPr>
          <w:lang w:val="en-US"/>
        </w:rPr>
        <w:t xml:space="preserve"> K, </w:t>
      </w:r>
      <w:proofErr w:type="spellStart"/>
      <w:r w:rsidRPr="00A10552">
        <w:rPr>
          <w:lang w:val="en-US"/>
        </w:rPr>
        <w:t>Zarebski</w:t>
      </w:r>
      <w:proofErr w:type="spellEnd"/>
      <w:r w:rsidRPr="00A10552">
        <w:rPr>
          <w:lang w:val="en-US"/>
        </w:rPr>
        <w:t xml:space="preserve"> A, </w:t>
      </w:r>
      <w:proofErr w:type="spellStart"/>
      <w:r w:rsidRPr="00A10552">
        <w:rPr>
          <w:lang w:val="en-US"/>
        </w:rPr>
        <w:t>Chowell</w:t>
      </w:r>
      <w:proofErr w:type="spellEnd"/>
      <w:r w:rsidRPr="00A10552">
        <w:rPr>
          <w:lang w:val="en-US"/>
        </w:rPr>
        <w:t xml:space="preserve"> G. Estimating the asymptomatic proportion of coronavirus diseases 2019 (COVID-19) cases on board the Diamond Princess cruise ship, Yokohama, Japan, 2020. </w:t>
      </w:r>
      <w:r w:rsidRPr="00DD1C43">
        <w:t xml:space="preserve">Euro </w:t>
      </w:r>
      <w:proofErr w:type="spellStart"/>
      <w:r w:rsidRPr="00DD1C43">
        <w:t>surveill</w:t>
      </w:r>
      <w:proofErr w:type="spellEnd"/>
      <w:r w:rsidRPr="00DD1C43">
        <w:t>. 2020 [acceso: 10/07/2020]</w:t>
      </w:r>
      <w:r>
        <w:t>;</w:t>
      </w:r>
      <w:r w:rsidRPr="007E6B55">
        <w:t>25 (10</w:t>
      </w:r>
      <w:proofErr w:type="gramStart"/>
      <w:r w:rsidRPr="007E6B55">
        <w:t>)</w:t>
      </w:r>
      <w:r>
        <w:t>:[</w:t>
      </w:r>
      <w:proofErr w:type="gramEnd"/>
      <w:r>
        <w:t>aprox. 5 p.]</w:t>
      </w:r>
      <w:r w:rsidRPr="007E6B55">
        <w:t xml:space="preserve">. </w:t>
      </w:r>
      <w:r w:rsidRPr="00DD1C43">
        <w:t xml:space="preserve">Disponible en: </w:t>
      </w:r>
      <w:hyperlink r:id="rId25" w:history="1">
        <w:r w:rsidRPr="00ED7FF6">
          <w:rPr>
            <w:rStyle w:val="Hipervnculo"/>
          </w:rPr>
          <w:t>https://www.doi.org/10.2807/1560-7917</w:t>
        </w:r>
      </w:hyperlink>
    </w:p>
    <w:p w14:paraId="2F9C5302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14. </w:t>
      </w:r>
      <w:r w:rsidRPr="00B73484">
        <w:rPr>
          <w:color w:val="000000"/>
        </w:rPr>
        <w:t xml:space="preserve">Albalate M, Arribas P, Torres E, Cintra M, Alcázar R, Puerta M, et al. Alta prevalencia de la COVID-19 asintomáticos en hemodiálisis. Aprendiendo día a día el primer mes de la pandemia de COVID-19. Nefrología. 2020 [acceso: 10/07/2020]; 40(3):279-86. Disponible en: </w:t>
      </w:r>
      <w:hyperlink r:id="rId26" w:history="1">
        <w:r w:rsidRPr="00ED7FF6">
          <w:rPr>
            <w:rStyle w:val="Hipervnculo"/>
          </w:rPr>
          <w:t>https://www.sciencedirect.com/science/article/pii/s2013251420300754</w:t>
        </w:r>
      </w:hyperlink>
    </w:p>
    <w:p w14:paraId="1B29434E" w14:textId="77777777" w:rsidR="005973A2" w:rsidRPr="00466033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15. </w:t>
      </w:r>
      <w:proofErr w:type="spellStart"/>
      <w:r w:rsidRPr="00DD1C43">
        <w:t>Pollan</w:t>
      </w:r>
      <w:proofErr w:type="spellEnd"/>
      <w:r w:rsidRPr="00DD1C43">
        <w:t xml:space="preserve"> M, Pérez Gómez B, Pastor Barriuso R, Oteo J, Hernán M, Pérez Olmeda M, et al. </w:t>
      </w:r>
      <w:r w:rsidRPr="00A10552">
        <w:rPr>
          <w:lang w:val="en-US"/>
        </w:rPr>
        <w:t xml:space="preserve">Prevalence of SARS-CoV-2 in Spain (ENE-COVID): a nationwide, population-based </w:t>
      </w:r>
      <w:proofErr w:type="spellStart"/>
      <w:r w:rsidRPr="00A10552">
        <w:rPr>
          <w:lang w:val="en-US"/>
        </w:rPr>
        <w:t>seroepidemilogical</w:t>
      </w:r>
      <w:proofErr w:type="spellEnd"/>
      <w:r w:rsidRPr="00A10552">
        <w:rPr>
          <w:lang w:val="en-US"/>
        </w:rPr>
        <w:t xml:space="preserve"> study. </w:t>
      </w:r>
      <w:proofErr w:type="spellStart"/>
      <w:r w:rsidRPr="00DB2CC2">
        <w:t>The</w:t>
      </w:r>
      <w:proofErr w:type="spellEnd"/>
      <w:r w:rsidRPr="00DB2CC2">
        <w:t xml:space="preserve"> Lancet. </w:t>
      </w:r>
      <w:r w:rsidRPr="00904767">
        <w:t>2020 [acceso: 10/07/2020</w:t>
      </w:r>
      <w:r>
        <w:t>]; 396(10250):</w:t>
      </w:r>
      <w:r w:rsidRPr="00C14611">
        <w:t xml:space="preserve">535-44. Disponible en: </w:t>
      </w:r>
      <w:hyperlink r:id="rId27" w:history="1">
        <w:r w:rsidRPr="00ED7FF6">
          <w:rPr>
            <w:rStyle w:val="Hipervnculo"/>
          </w:rPr>
          <w:t>https://www.thelancet.com/journal/lancet/onlinefirst</w:t>
        </w:r>
      </w:hyperlink>
    </w:p>
    <w:p w14:paraId="1907B711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16. </w:t>
      </w:r>
      <w:r w:rsidRPr="00B73484">
        <w:rPr>
          <w:color w:val="000000"/>
        </w:rPr>
        <w:t xml:space="preserve">Ferrer Castro J, Sánchez Hernández E, </w:t>
      </w:r>
      <w:proofErr w:type="spellStart"/>
      <w:r w:rsidRPr="00B73484">
        <w:rPr>
          <w:color w:val="000000"/>
        </w:rPr>
        <w:t>Poulout</w:t>
      </w:r>
      <w:proofErr w:type="spellEnd"/>
      <w:r w:rsidRPr="00B73484">
        <w:rPr>
          <w:color w:val="000000"/>
        </w:rPr>
        <w:t xml:space="preserve"> Mendoza A, del Río Caballero G, Figueredo Sánchez D. Caracterización clínica y epidemiológica de pacientes confirmados con la COVID-19 en la </w:t>
      </w:r>
      <w:r w:rsidRPr="00B73484">
        <w:rPr>
          <w:color w:val="000000"/>
        </w:rPr>
        <w:lastRenderedPageBreak/>
        <w:t>provincia de Santiago de Cuba. MEDISAN. 2020 [acceso: 16/07/2020]; 24(3): [aprox. 1</w:t>
      </w:r>
      <w:r>
        <w:rPr>
          <w:color w:val="000000"/>
        </w:rPr>
        <w:t>0</w:t>
      </w:r>
      <w:r w:rsidRPr="00B73484">
        <w:rPr>
          <w:color w:val="000000"/>
        </w:rPr>
        <w:t xml:space="preserve"> p]: Disponible en: </w:t>
      </w:r>
      <w:hyperlink r:id="rId28" w:history="1">
        <w:r w:rsidRPr="00ED7FF6">
          <w:rPr>
            <w:rStyle w:val="Hipervnculo"/>
          </w:rPr>
          <w:t>https://medisan.sld.cu/index.php/san/article/view/3145</w:t>
        </w:r>
      </w:hyperlink>
    </w:p>
    <w:p w14:paraId="5806D5B3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17. </w:t>
      </w:r>
      <w:r w:rsidRPr="00B73484">
        <w:rPr>
          <w:color w:val="000000"/>
        </w:rPr>
        <w:t xml:space="preserve">Aguilar Hernández I, Wong Corrales L, Perera Milian L, Hernández Pérez R. Caracterización de los casos confirmados de la COVID-19 en Mayabeque. </w:t>
      </w:r>
      <w:proofErr w:type="spellStart"/>
      <w:r w:rsidRPr="00B73484">
        <w:rPr>
          <w:color w:val="000000"/>
        </w:rPr>
        <w:t>Medimay</w:t>
      </w:r>
      <w:proofErr w:type="spellEnd"/>
      <w:r w:rsidRPr="00B73484">
        <w:rPr>
          <w:color w:val="000000"/>
        </w:rPr>
        <w:t xml:space="preserve">. 2020 [acceso: 5/07/2020]; 27(2):230-6. Disponible en: </w:t>
      </w:r>
      <w:hyperlink r:id="rId29" w:history="1">
        <w:r w:rsidRPr="00ED7FF6">
          <w:rPr>
            <w:rStyle w:val="Hipervnculo"/>
          </w:rPr>
          <w:t>https://medimay.sld.cu/index.php/rcmh/article/view/1660</w:t>
        </w:r>
      </w:hyperlink>
    </w:p>
    <w:p w14:paraId="19411BA8" w14:textId="77777777" w:rsidR="005973A2" w:rsidRPr="00466033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18. </w:t>
      </w:r>
      <w:r w:rsidRPr="00466033">
        <w:rPr>
          <w:color w:val="000000"/>
        </w:rPr>
        <w:t xml:space="preserve">Urquiza Yero Y, Pérez Ojeda M, Cortés González A, Escalona Pérez I, Cabrales León M. Características clínico epidemiológicas de los pacientes de Las Tunas positivos al RT-PCR para la COVID-19. Revista Electrónica Dr. Zoilo E. </w:t>
      </w:r>
      <w:proofErr w:type="spellStart"/>
      <w:r w:rsidRPr="00466033">
        <w:rPr>
          <w:color w:val="000000"/>
        </w:rPr>
        <w:t>Marinello</w:t>
      </w:r>
      <w:proofErr w:type="spellEnd"/>
      <w:r w:rsidRPr="00466033">
        <w:rPr>
          <w:color w:val="000000"/>
        </w:rPr>
        <w:t xml:space="preserve"> Vidaurreta. 2020 [acceso: 10/07/2020]; 45(4): [aprox. 9 p.]. Disponible en: </w:t>
      </w:r>
      <w:hyperlink r:id="rId30" w:history="1">
        <w:r w:rsidRPr="00ED7FF6">
          <w:rPr>
            <w:rStyle w:val="Hipervnculo"/>
          </w:rPr>
          <w:t>https://revzoilomarinello.sld.cu/index.php/zmv/article/view/2361</w:t>
        </w:r>
      </w:hyperlink>
    </w:p>
    <w:p w14:paraId="71CEB786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 w:rsidRPr="00197BCB">
        <w:rPr>
          <w:color w:val="000000"/>
        </w:rPr>
        <w:t xml:space="preserve">19. </w:t>
      </w:r>
      <w:proofErr w:type="spellStart"/>
      <w:r w:rsidRPr="00197BCB">
        <w:t>Hu</w:t>
      </w:r>
      <w:proofErr w:type="spellEnd"/>
      <w:r w:rsidRPr="00197BCB">
        <w:t xml:space="preserve"> Z, </w:t>
      </w:r>
      <w:proofErr w:type="spellStart"/>
      <w:r w:rsidRPr="00197BCB">
        <w:t>SongC</w:t>
      </w:r>
      <w:proofErr w:type="spellEnd"/>
      <w:r w:rsidRPr="00197BCB">
        <w:t xml:space="preserve">, </w:t>
      </w:r>
      <w:proofErr w:type="spellStart"/>
      <w:r w:rsidRPr="00197BCB">
        <w:t>Xu</w:t>
      </w:r>
      <w:proofErr w:type="spellEnd"/>
      <w:r w:rsidRPr="00197BCB">
        <w:t xml:space="preserve"> C, Jin G, Chen Y, </w:t>
      </w:r>
      <w:proofErr w:type="spellStart"/>
      <w:r w:rsidRPr="00197BCB">
        <w:t>Xu</w:t>
      </w:r>
      <w:proofErr w:type="spellEnd"/>
      <w:r w:rsidRPr="00197BCB">
        <w:t xml:space="preserve"> X, et al. </w:t>
      </w:r>
      <w:r w:rsidRPr="00A10552">
        <w:rPr>
          <w:lang w:val="en-US"/>
        </w:rPr>
        <w:t xml:space="preserve">Clinical characteristics of 24 asymptomatic infections with COVID-19 screened among close contacts in Nanjing, China. </w:t>
      </w:r>
      <w:proofErr w:type="spellStart"/>
      <w:r w:rsidRPr="00DD1C43">
        <w:t>Sci</w:t>
      </w:r>
      <w:proofErr w:type="spellEnd"/>
      <w:r w:rsidRPr="00DD1C43">
        <w:t xml:space="preserve"> China </w:t>
      </w:r>
      <w:proofErr w:type="spellStart"/>
      <w:r w:rsidRPr="00DD1C43">
        <w:t>Life</w:t>
      </w:r>
      <w:proofErr w:type="spellEnd"/>
      <w:r w:rsidRPr="00DD1C43">
        <w:t xml:space="preserve"> </w:t>
      </w:r>
      <w:proofErr w:type="spellStart"/>
      <w:r w:rsidRPr="00DD1C43">
        <w:t>Sci</w:t>
      </w:r>
      <w:proofErr w:type="spellEnd"/>
      <w:r w:rsidRPr="00DD1C43">
        <w:t xml:space="preserve">. 2020 [acceso: 20/07/2020]; </w:t>
      </w:r>
      <w:r>
        <w:t>63(5):706-</w:t>
      </w:r>
      <w:r w:rsidRPr="00C2310C">
        <w:t>11.</w:t>
      </w:r>
      <w:r w:rsidRPr="00EF24C5">
        <w:t xml:space="preserve">Disponible en: </w:t>
      </w:r>
      <w:hyperlink r:id="rId31" w:history="1">
        <w:r w:rsidRPr="00ED7FF6">
          <w:rPr>
            <w:rStyle w:val="Hipervnculo"/>
          </w:rPr>
          <w:t>https://doi.org/10.1007/s11427-020-1661-4</w:t>
        </w:r>
      </w:hyperlink>
    </w:p>
    <w:p w14:paraId="22637210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  <w:lang w:val="en-US"/>
        </w:rPr>
        <w:t xml:space="preserve">20. </w:t>
      </w:r>
      <w:proofErr w:type="spellStart"/>
      <w:r w:rsidRPr="00466033">
        <w:rPr>
          <w:color w:val="000000"/>
          <w:lang w:val="en-US"/>
        </w:rPr>
        <w:t>Rongrong</w:t>
      </w:r>
      <w:proofErr w:type="spellEnd"/>
      <w:r w:rsidRPr="00466033">
        <w:rPr>
          <w:color w:val="000000"/>
          <w:lang w:val="en-US"/>
        </w:rPr>
        <w:t xml:space="preserve"> Y, </w:t>
      </w:r>
      <w:proofErr w:type="spellStart"/>
      <w:r w:rsidRPr="00466033">
        <w:rPr>
          <w:color w:val="000000"/>
          <w:lang w:val="en-US"/>
        </w:rPr>
        <w:t>Xien</w:t>
      </w:r>
      <w:proofErr w:type="spellEnd"/>
      <w:r w:rsidRPr="00466033">
        <w:rPr>
          <w:color w:val="000000"/>
          <w:lang w:val="en-US"/>
        </w:rPr>
        <w:t xml:space="preserve"> G,</w:t>
      </w:r>
      <w:r w:rsidRPr="00063C5A">
        <w:rPr>
          <w:color w:val="000000"/>
          <w:lang w:val="en-US"/>
        </w:rPr>
        <w:t xml:space="preserve"> Yong X. Comparison of Clinical Characteristics of Patients with Asymptomatic Vs Symptomatic Coronavirus Disease 2019 in Wuhan, China. </w:t>
      </w:r>
      <w:r w:rsidRPr="000466C4">
        <w:rPr>
          <w:color w:val="000000"/>
        </w:rPr>
        <w:t xml:space="preserve">JAMA Network Open. 2020 [acceso: 5/07/2020]; 3(5):e2010182. </w:t>
      </w:r>
      <w:r w:rsidRPr="00B73484">
        <w:rPr>
          <w:color w:val="000000"/>
        </w:rPr>
        <w:t xml:space="preserve">Disponible en: </w:t>
      </w:r>
      <w:hyperlink r:id="rId32" w:history="1">
        <w:r w:rsidRPr="00ED7FF6">
          <w:rPr>
            <w:rStyle w:val="Hipervnculo"/>
          </w:rPr>
          <w:t>http://jamanetwork.com/journals/jamanetworkopen/fullarticle/2766237</w:t>
        </w:r>
      </w:hyperlink>
    </w:p>
    <w:p w14:paraId="5C1B9652" w14:textId="77777777" w:rsidR="005973A2" w:rsidRPr="00E91505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 w:rsidRPr="000466C4">
        <w:rPr>
          <w:color w:val="000000"/>
          <w:lang w:val="en-US"/>
        </w:rPr>
        <w:t>2</w:t>
      </w:r>
      <w:r>
        <w:rPr>
          <w:color w:val="000000"/>
          <w:lang w:val="en-US"/>
        </w:rPr>
        <w:t>1</w:t>
      </w:r>
      <w:r w:rsidRPr="000466C4">
        <w:rPr>
          <w:color w:val="000000"/>
          <w:lang w:val="en-US"/>
        </w:rPr>
        <w:t xml:space="preserve">. Cummings M, Baldwin M, Abrams D, Jacobson S, Meyer B, </w:t>
      </w:r>
      <w:proofErr w:type="spellStart"/>
      <w:r w:rsidRPr="000466C4">
        <w:rPr>
          <w:color w:val="000000"/>
          <w:lang w:val="en-US"/>
        </w:rPr>
        <w:t>Balough</w:t>
      </w:r>
      <w:proofErr w:type="spellEnd"/>
      <w:r w:rsidRPr="000466C4">
        <w:rPr>
          <w:color w:val="000000"/>
          <w:lang w:val="en-US"/>
        </w:rPr>
        <w:t xml:space="preserve"> E, et al. Epidemiology, clinical course, and outcomes of critically ill adults with COVID-19 in New York City: a prospective cohort study. </w:t>
      </w:r>
      <w:r w:rsidRPr="00E91505">
        <w:rPr>
          <w:color w:val="000000"/>
        </w:rPr>
        <w:t>Lancet. 2020 [acces</w:t>
      </w:r>
      <w:r>
        <w:rPr>
          <w:color w:val="000000"/>
        </w:rPr>
        <w:t>o: 10/07/2020]; 395(10239):1763-</w:t>
      </w:r>
      <w:r w:rsidRPr="00E91505">
        <w:rPr>
          <w:color w:val="000000"/>
        </w:rPr>
        <w:t>70</w:t>
      </w:r>
      <w:r>
        <w:rPr>
          <w:color w:val="000000"/>
        </w:rPr>
        <w:t>.</w:t>
      </w:r>
      <w:r w:rsidRPr="00E91505">
        <w:rPr>
          <w:color w:val="000000"/>
        </w:rPr>
        <w:t xml:space="preserve"> Disponible en: </w:t>
      </w:r>
      <w:hyperlink r:id="rId33" w:history="1">
        <w:r w:rsidRPr="00ED7FF6">
          <w:rPr>
            <w:rStyle w:val="Hipervnculo"/>
          </w:rPr>
          <w:t>https://www.doi.org/10.1016/S0140-6736(20)31189-2</w:t>
        </w:r>
      </w:hyperlink>
    </w:p>
    <w:p w14:paraId="29629EB5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22. </w:t>
      </w:r>
      <w:r w:rsidRPr="004434B0">
        <w:t xml:space="preserve">Acosta G, Escobar G, Bernaola G, Alfaro J, Taype W, Marcos C, et al. </w:t>
      </w:r>
      <w:r w:rsidRPr="00527CC7">
        <w:t xml:space="preserve">Caracterización de pacientes con COVID-19 </w:t>
      </w:r>
      <w:r>
        <w:t>g</w:t>
      </w:r>
      <w:r w:rsidRPr="00527CC7">
        <w:t xml:space="preserve">rave atendidos en un hospital de referencia nacional del Perú. </w:t>
      </w:r>
      <w:proofErr w:type="spellStart"/>
      <w:r w:rsidRPr="00EF24C5">
        <w:t>Rev</w:t>
      </w:r>
      <w:proofErr w:type="spellEnd"/>
      <w:r w:rsidRPr="00EF24C5">
        <w:t xml:space="preserve"> Per</w:t>
      </w:r>
      <w:r>
        <w:t>ú</w:t>
      </w:r>
      <w:r w:rsidRPr="00EF24C5">
        <w:t xml:space="preserve"> </w:t>
      </w:r>
      <w:proofErr w:type="spellStart"/>
      <w:r w:rsidRPr="00EF24C5">
        <w:t>Med</w:t>
      </w:r>
      <w:proofErr w:type="spellEnd"/>
      <w:r w:rsidRPr="00EF24C5">
        <w:t xml:space="preserve"> Exp Salud P</w:t>
      </w:r>
      <w:r>
        <w:t>ú</w:t>
      </w:r>
      <w:r w:rsidRPr="00EF24C5">
        <w:t xml:space="preserve">blica. 2020 [acceso: 25/07/2020]; 37(2):253-8.  Disponible en: </w:t>
      </w:r>
      <w:hyperlink r:id="rId34" w:history="1">
        <w:r w:rsidRPr="00ED7FF6">
          <w:rPr>
            <w:rStyle w:val="Hipervnculo"/>
          </w:rPr>
          <w:t>http://www.scielo.org.pe/scielo.php?pid=S1726-46342020000200253&amp;script=sci_arttext</w:t>
        </w:r>
      </w:hyperlink>
    </w:p>
    <w:p w14:paraId="476F5434" w14:textId="77777777" w:rsidR="005973A2" w:rsidRPr="00E91505" w:rsidRDefault="005973A2" w:rsidP="005973A2">
      <w:pPr>
        <w:pStyle w:val="style3"/>
        <w:spacing w:before="0" w:beforeAutospacing="0" w:after="0" w:afterAutospacing="0" w:line="360" w:lineRule="auto"/>
      </w:pPr>
      <w:r w:rsidRPr="000466C4">
        <w:rPr>
          <w:lang w:val="en-US"/>
        </w:rPr>
        <w:t>2</w:t>
      </w:r>
      <w:r>
        <w:rPr>
          <w:lang w:val="en-US"/>
        </w:rPr>
        <w:t>3</w:t>
      </w:r>
      <w:r w:rsidRPr="000466C4">
        <w:rPr>
          <w:lang w:val="en-US"/>
        </w:rPr>
        <w:t xml:space="preserve">. Wenham C, Smith J, Morgan R. COVID-19: the gendered impacts of the outbreak. </w:t>
      </w:r>
      <w:proofErr w:type="spellStart"/>
      <w:r w:rsidRPr="00E91505">
        <w:t>The</w:t>
      </w:r>
      <w:proofErr w:type="spellEnd"/>
      <w:r w:rsidRPr="00E91505">
        <w:t xml:space="preserve"> </w:t>
      </w:r>
      <w:proofErr w:type="spellStart"/>
      <w:r w:rsidRPr="00E91505">
        <w:t>lancet</w:t>
      </w:r>
      <w:proofErr w:type="spellEnd"/>
      <w:r w:rsidRPr="00E91505">
        <w:t xml:space="preserve">. 2020 [acceso: 7/07/2020]; 395(10227):846-8. Disponible en: </w:t>
      </w:r>
      <w:hyperlink r:id="rId35" w:history="1">
        <w:r w:rsidRPr="00ED7FF6">
          <w:rPr>
            <w:rStyle w:val="Hipervnculo"/>
          </w:rPr>
          <w:t>https://www.doi.org/10.1016/s0140-6736(20)30526-2</w:t>
        </w:r>
      </w:hyperlink>
    </w:p>
    <w:p w14:paraId="14FE2F8D" w14:textId="77777777" w:rsidR="005973A2" w:rsidRPr="00D36D94" w:rsidRDefault="005973A2" w:rsidP="005973A2">
      <w:pPr>
        <w:pStyle w:val="style3"/>
        <w:spacing w:before="0" w:beforeAutospacing="0" w:after="0" w:afterAutospacing="0" w:line="360" w:lineRule="auto"/>
      </w:pPr>
      <w:r w:rsidRPr="00E91505">
        <w:lastRenderedPageBreak/>
        <w:t>2</w:t>
      </w:r>
      <w:r>
        <w:t>4</w:t>
      </w:r>
      <w:r w:rsidRPr="00E91505">
        <w:t xml:space="preserve">. </w:t>
      </w:r>
      <w:r w:rsidRPr="00D36D94">
        <w:t xml:space="preserve">Guzmán O, </w:t>
      </w:r>
      <w:proofErr w:type="spellStart"/>
      <w:r w:rsidRPr="00D36D94">
        <w:t>Lucchesi</w:t>
      </w:r>
      <w:proofErr w:type="spellEnd"/>
      <w:r w:rsidRPr="00D36D94">
        <w:t xml:space="preserve"> E, Trelles M, Pinedo R, </w:t>
      </w:r>
      <w:proofErr w:type="spellStart"/>
      <w:r w:rsidRPr="00D36D94">
        <w:t>Camere</w:t>
      </w:r>
      <w:proofErr w:type="spellEnd"/>
      <w:r w:rsidRPr="00D36D94">
        <w:t xml:space="preserve"> M, Daly A, et al. Características clínicas y epidemiológicas de 25 casos de COVID-19 atendidos en la Clínica Delgado de Lima. </w:t>
      </w:r>
      <w:proofErr w:type="spellStart"/>
      <w:r w:rsidRPr="00D36D94">
        <w:t>Rev</w:t>
      </w:r>
      <w:proofErr w:type="spellEnd"/>
      <w:r w:rsidRPr="00D36D94">
        <w:t xml:space="preserve"> </w:t>
      </w:r>
      <w:proofErr w:type="spellStart"/>
      <w:r w:rsidRPr="00D36D94">
        <w:t>Soc</w:t>
      </w:r>
      <w:proofErr w:type="spellEnd"/>
      <w:r w:rsidRPr="00D36D94">
        <w:t xml:space="preserve"> </w:t>
      </w:r>
      <w:proofErr w:type="spellStart"/>
      <w:r w:rsidRPr="00D36D94">
        <w:t>Peru</w:t>
      </w:r>
      <w:proofErr w:type="spellEnd"/>
      <w:r w:rsidRPr="00D36D94">
        <w:t xml:space="preserve"> </w:t>
      </w:r>
      <w:proofErr w:type="spellStart"/>
      <w:r w:rsidRPr="00D36D94">
        <w:t>Med</w:t>
      </w:r>
      <w:proofErr w:type="spellEnd"/>
      <w:r w:rsidRPr="00D36D94">
        <w:t xml:space="preserve"> Interna. 2020 [acceso: 29/06/2020]; 33(1):15-24.Disponible en: </w:t>
      </w:r>
      <w:hyperlink r:id="rId36" w:history="1">
        <w:r w:rsidRPr="00ED7FF6">
          <w:rPr>
            <w:rStyle w:val="Hipervnculo"/>
          </w:rPr>
          <w:t>https://www.revistamedicinainterna.net/index.php/spmi/article/view/506</w:t>
        </w:r>
      </w:hyperlink>
    </w:p>
    <w:p w14:paraId="7672F3D5" w14:textId="77777777" w:rsidR="005973A2" w:rsidRPr="00063C5A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  <w:lang w:val="en-US"/>
        </w:rPr>
      </w:pPr>
      <w:r>
        <w:rPr>
          <w:color w:val="000000"/>
          <w:lang w:val="en-US"/>
        </w:rPr>
        <w:t xml:space="preserve">25. </w:t>
      </w:r>
      <w:r w:rsidRPr="00063C5A">
        <w:rPr>
          <w:color w:val="000000"/>
          <w:lang w:val="en-US"/>
        </w:rPr>
        <w:t>Chen Y, Wang A, Yi B, Ding K, Wang H, Wang J, et al. The epidemiological</w:t>
      </w:r>
    </w:p>
    <w:p w14:paraId="33013AC0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 w:rsidRPr="00063C5A">
        <w:rPr>
          <w:color w:val="000000"/>
          <w:lang w:val="en-US"/>
        </w:rPr>
        <w:t xml:space="preserve">characteristics of infection in close contacts of COVID-19 in Ningbo city. </w:t>
      </w:r>
      <w:r w:rsidRPr="00B73484">
        <w:rPr>
          <w:color w:val="000000"/>
        </w:rPr>
        <w:t>Chin J</w:t>
      </w:r>
    </w:p>
    <w:p w14:paraId="5137A1B4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proofErr w:type="spellStart"/>
      <w:r w:rsidRPr="00B73484">
        <w:rPr>
          <w:color w:val="000000"/>
        </w:rPr>
        <w:t>Epidemiol</w:t>
      </w:r>
      <w:proofErr w:type="spellEnd"/>
      <w:r w:rsidRPr="00B73484">
        <w:rPr>
          <w:color w:val="000000"/>
        </w:rPr>
        <w:t>. 2020 [acceso: 29/07/2020];</w:t>
      </w:r>
      <w:r w:rsidRPr="00E91505">
        <w:rPr>
          <w:color w:val="000000"/>
        </w:rPr>
        <w:t>41(</w:t>
      </w:r>
      <w:r>
        <w:rPr>
          <w:color w:val="000000"/>
        </w:rPr>
        <w:t>5</w:t>
      </w:r>
      <w:r w:rsidRPr="00E91505">
        <w:rPr>
          <w:color w:val="000000"/>
        </w:rPr>
        <w:t>)</w:t>
      </w:r>
      <w:r>
        <w:rPr>
          <w:color w:val="000000"/>
        </w:rPr>
        <w:t>:667-71</w:t>
      </w:r>
      <w:r w:rsidRPr="00E91505">
        <w:rPr>
          <w:color w:val="000000"/>
        </w:rPr>
        <w:t>.</w:t>
      </w:r>
      <w:r w:rsidRPr="00B73484">
        <w:rPr>
          <w:color w:val="000000"/>
        </w:rPr>
        <w:t xml:space="preserve"> Disponible en: </w:t>
      </w:r>
      <w:hyperlink r:id="rId37" w:history="1">
        <w:r w:rsidRPr="00ED7FF6">
          <w:rPr>
            <w:rStyle w:val="Hipervnculo"/>
          </w:rPr>
          <w:t>https://www.researchgate.net/publication/341651933_Epidemiological_characteristics_of_infection_in_COVID-19_close_contacts_in_Nigbo_city</w:t>
        </w:r>
      </w:hyperlink>
    </w:p>
    <w:p w14:paraId="5E435AF1" w14:textId="77777777" w:rsidR="005973A2" w:rsidRPr="00063C5A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  <w:lang w:val="en-US"/>
        </w:rPr>
      </w:pPr>
      <w:r>
        <w:rPr>
          <w:color w:val="000000"/>
          <w:lang w:val="en-US"/>
        </w:rPr>
        <w:t xml:space="preserve">26. </w:t>
      </w:r>
      <w:r w:rsidRPr="00063C5A">
        <w:rPr>
          <w:color w:val="000000"/>
          <w:lang w:val="en-US"/>
        </w:rPr>
        <w:t xml:space="preserve">He D, Zhao </w:t>
      </w:r>
      <w:proofErr w:type="spellStart"/>
      <w:r w:rsidRPr="00063C5A">
        <w:rPr>
          <w:color w:val="000000"/>
          <w:lang w:val="en-US"/>
        </w:rPr>
        <w:t>Sh</w:t>
      </w:r>
      <w:proofErr w:type="spellEnd"/>
      <w:r w:rsidRPr="00063C5A">
        <w:rPr>
          <w:color w:val="000000"/>
          <w:lang w:val="en-US"/>
        </w:rPr>
        <w:t xml:space="preserve">, Lin Q, Zhuang Z, Cao P, Wang </w:t>
      </w:r>
      <w:proofErr w:type="spellStart"/>
      <w:proofErr w:type="gramStart"/>
      <w:r w:rsidRPr="00063C5A">
        <w:rPr>
          <w:color w:val="000000"/>
          <w:lang w:val="en-US"/>
        </w:rPr>
        <w:t>M,Yang</w:t>
      </w:r>
      <w:proofErr w:type="spellEnd"/>
      <w:proofErr w:type="gramEnd"/>
      <w:r w:rsidRPr="00063C5A">
        <w:rPr>
          <w:color w:val="000000"/>
          <w:lang w:val="en-US"/>
        </w:rPr>
        <w:t xml:space="preserve"> L. The relative transmissibility of asymptomatic COVID-19 infections among close contacts. International Journal of Infectious Diseases. 2020 [</w:t>
      </w:r>
      <w:proofErr w:type="spellStart"/>
      <w:r w:rsidRPr="00063C5A">
        <w:rPr>
          <w:color w:val="000000"/>
          <w:lang w:val="en-US"/>
        </w:rPr>
        <w:t>acceso</w:t>
      </w:r>
      <w:proofErr w:type="spellEnd"/>
      <w:r w:rsidRPr="00063C5A">
        <w:rPr>
          <w:color w:val="000000"/>
          <w:lang w:val="en-US"/>
        </w:rPr>
        <w:t>: 5/08/2020]; 94</w:t>
      </w:r>
      <w:r>
        <w:rPr>
          <w:color w:val="000000"/>
          <w:lang w:val="en-US"/>
        </w:rPr>
        <w:t>:145-</w:t>
      </w:r>
      <w:r w:rsidRPr="009F76F6">
        <w:rPr>
          <w:color w:val="000000"/>
          <w:lang w:val="en-US"/>
        </w:rPr>
        <w:t>7.</w:t>
      </w:r>
      <w:r w:rsidRPr="00063C5A">
        <w:rPr>
          <w:color w:val="000000"/>
          <w:lang w:val="en-US"/>
        </w:rPr>
        <w:t xml:space="preserve"> Disponible </w:t>
      </w:r>
      <w:proofErr w:type="spellStart"/>
      <w:r w:rsidRPr="00063C5A">
        <w:rPr>
          <w:color w:val="000000"/>
          <w:lang w:val="en-US"/>
        </w:rPr>
        <w:t>en</w:t>
      </w:r>
      <w:proofErr w:type="spellEnd"/>
      <w:r w:rsidRPr="00063C5A">
        <w:rPr>
          <w:color w:val="000000"/>
          <w:lang w:val="en-US"/>
        </w:rPr>
        <w:t xml:space="preserve">: </w:t>
      </w:r>
      <w:hyperlink r:id="rId38" w:history="1">
        <w:r w:rsidRPr="00ED7FF6">
          <w:rPr>
            <w:rStyle w:val="Hipervnculo"/>
            <w:lang w:val="en-US"/>
          </w:rPr>
          <w:t>https://www.sciencedirect.com/science/article/pii/s1201971220302502</w:t>
        </w:r>
      </w:hyperlink>
    </w:p>
    <w:p w14:paraId="5904C69C" w14:textId="77777777" w:rsidR="005973A2" w:rsidRPr="00265D05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 w:rsidRPr="00BD0B1F">
        <w:rPr>
          <w:color w:val="000000"/>
        </w:rPr>
        <w:t>2</w:t>
      </w:r>
      <w:r>
        <w:rPr>
          <w:color w:val="000000"/>
        </w:rPr>
        <w:t>7</w:t>
      </w:r>
      <w:r w:rsidRPr="00BD0B1F">
        <w:rPr>
          <w:color w:val="000000"/>
        </w:rPr>
        <w:t>. Ministerio de Salud Pública. Anuario Estadístico de Salud 2019. La Habana: Dirección de registros médicos y estadísticas de salud; 20</w:t>
      </w:r>
      <w:r>
        <w:rPr>
          <w:color w:val="000000"/>
        </w:rPr>
        <w:t>20</w:t>
      </w:r>
      <w:r w:rsidRPr="00BD0B1F">
        <w:rPr>
          <w:color w:val="000000"/>
        </w:rPr>
        <w:t>[acceso: 5/08/2020]. Disponible en</w:t>
      </w:r>
      <w:r w:rsidRPr="00265D05">
        <w:rPr>
          <w:color w:val="000000"/>
        </w:rPr>
        <w:t xml:space="preserve">: </w:t>
      </w:r>
      <w:hyperlink r:id="rId39" w:history="1">
        <w:r w:rsidRPr="00ED7FF6">
          <w:rPr>
            <w:rStyle w:val="Hipervnculo"/>
          </w:rPr>
          <w:t>http://files.sld.cu/bvscuba.sld.cu/files/2020/05/Anuario-Electr%C3%B3nico-Espa%C3%B1ol-2019-ed-2020.pdf</w:t>
        </w:r>
      </w:hyperlink>
    </w:p>
    <w:p w14:paraId="27444091" w14:textId="77777777" w:rsidR="005973A2" w:rsidRPr="000466C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  <w:lang w:val="en-US"/>
        </w:rPr>
        <w:t xml:space="preserve">28. </w:t>
      </w:r>
      <w:proofErr w:type="spellStart"/>
      <w:r w:rsidRPr="00063C5A">
        <w:rPr>
          <w:color w:val="000000"/>
          <w:lang w:val="en-US"/>
        </w:rPr>
        <w:t>Madjid</w:t>
      </w:r>
      <w:proofErr w:type="spellEnd"/>
      <w:r w:rsidRPr="00063C5A">
        <w:rPr>
          <w:color w:val="000000"/>
          <w:lang w:val="en-US"/>
        </w:rPr>
        <w:t xml:space="preserve"> M, </w:t>
      </w:r>
      <w:proofErr w:type="spellStart"/>
      <w:r w:rsidRPr="00063C5A">
        <w:rPr>
          <w:color w:val="000000"/>
          <w:lang w:val="en-US"/>
        </w:rPr>
        <w:t>Safavi-Naeini</w:t>
      </w:r>
      <w:proofErr w:type="spellEnd"/>
      <w:r w:rsidRPr="00063C5A">
        <w:rPr>
          <w:color w:val="000000"/>
          <w:lang w:val="en-US"/>
        </w:rPr>
        <w:t xml:space="preserve"> P, Solomon SD, </w:t>
      </w:r>
      <w:proofErr w:type="spellStart"/>
      <w:r w:rsidRPr="00063C5A">
        <w:rPr>
          <w:color w:val="000000"/>
          <w:lang w:val="en-US"/>
        </w:rPr>
        <w:t>Vardeny</w:t>
      </w:r>
      <w:proofErr w:type="spellEnd"/>
      <w:r w:rsidRPr="00063C5A">
        <w:rPr>
          <w:color w:val="000000"/>
          <w:lang w:val="en-US"/>
        </w:rPr>
        <w:t xml:space="preserve"> O. Potential effects of coronaviruses on the cardiovascular system: A review. </w:t>
      </w:r>
      <w:r w:rsidRPr="000466C4">
        <w:rPr>
          <w:color w:val="000000"/>
        </w:rPr>
        <w:t xml:space="preserve">JAMA </w:t>
      </w:r>
      <w:proofErr w:type="spellStart"/>
      <w:r w:rsidRPr="000466C4">
        <w:rPr>
          <w:color w:val="000000"/>
        </w:rPr>
        <w:t>Cardiology</w:t>
      </w:r>
      <w:proofErr w:type="spellEnd"/>
      <w:r w:rsidRPr="000466C4">
        <w:rPr>
          <w:color w:val="000000"/>
        </w:rPr>
        <w:t>. 2020 [acceso: 15/07/2020];</w:t>
      </w:r>
      <w:r>
        <w:rPr>
          <w:color w:val="000000"/>
        </w:rPr>
        <w:t>5(7):831-</w:t>
      </w:r>
      <w:r w:rsidRPr="000466C4">
        <w:rPr>
          <w:color w:val="000000"/>
        </w:rPr>
        <w:t>40. Disponible en:</w:t>
      </w:r>
    </w:p>
    <w:p w14:paraId="006DB1C1" w14:textId="77777777" w:rsidR="005973A2" w:rsidRPr="00B73484" w:rsidRDefault="002B3763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hyperlink r:id="rId40" w:history="1">
        <w:r w:rsidR="005973A2" w:rsidRPr="00ED7FF6">
          <w:rPr>
            <w:rStyle w:val="Hipervnculo"/>
          </w:rPr>
          <w:t>https://jamanetwork.com/journals/jamacardiology/fullarticle/2763846</w:t>
        </w:r>
      </w:hyperlink>
    </w:p>
    <w:p w14:paraId="0B48D9A3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  <w:lang w:val="en-US"/>
        </w:rPr>
        <w:t xml:space="preserve">29. </w:t>
      </w:r>
      <w:r w:rsidRPr="00063C5A">
        <w:rPr>
          <w:color w:val="000000"/>
          <w:lang w:val="en-US"/>
        </w:rPr>
        <w:t xml:space="preserve">Zheng Y, Ma Y, Zhang J. COVID-19 and the cardiovascular system. </w:t>
      </w:r>
      <w:proofErr w:type="spellStart"/>
      <w:r w:rsidRPr="00B73484">
        <w:rPr>
          <w:color w:val="000000"/>
        </w:rPr>
        <w:t>Nat</w:t>
      </w:r>
      <w:proofErr w:type="spellEnd"/>
      <w:r w:rsidRPr="00B73484">
        <w:rPr>
          <w:color w:val="000000"/>
        </w:rPr>
        <w:t xml:space="preserve"> </w:t>
      </w:r>
      <w:proofErr w:type="spellStart"/>
      <w:r w:rsidRPr="00B73484">
        <w:rPr>
          <w:color w:val="000000"/>
        </w:rPr>
        <w:t>Rev</w:t>
      </w:r>
      <w:proofErr w:type="spellEnd"/>
      <w:r w:rsidRPr="00B73484">
        <w:rPr>
          <w:color w:val="000000"/>
        </w:rPr>
        <w:t xml:space="preserve"> </w:t>
      </w:r>
      <w:proofErr w:type="spellStart"/>
      <w:r w:rsidRPr="00B73484">
        <w:rPr>
          <w:color w:val="000000"/>
        </w:rPr>
        <w:t>Cardiol</w:t>
      </w:r>
      <w:proofErr w:type="spellEnd"/>
      <w:r w:rsidRPr="00B73484">
        <w:rPr>
          <w:color w:val="000000"/>
        </w:rPr>
        <w:t xml:space="preserve">. 2020 [acceso: 5/08/2020]; </w:t>
      </w:r>
      <w:r w:rsidRPr="002213BB">
        <w:rPr>
          <w:color w:val="000000"/>
        </w:rPr>
        <w:t>17:</w:t>
      </w:r>
      <w:r>
        <w:rPr>
          <w:color w:val="000000"/>
        </w:rPr>
        <w:t>259-60</w:t>
      </w:r>
      <w:r w:rsidRPr="002213BB">
        <w:rPr>
          <w:color w:val="000000"/>
        </w:rPr>
        <w:t>.</w:t>
      </w:r>
      <w:r w:rsidRPr="00B73484">
        <w:rPr>
          <w:color w:val="000000"/>
        </w:rPr>
        <w:t xml:space="preserve"> Disponible en: </w:t>
      </w:r>
      <w:hyperlink r:id="rId41" w:history="1">
        <w:r w:rsidRPr="00ED7FF6">
          <w:rPr>
            <w:rStyle w:val="Hipervnculo"/>
          </w:rPr>
          <w:t>https://www.nature.com/articles/s41569-020-0360-5?fbclid=IwAR3TjvxiEtYQqNkpsPuEuuef94Gp2m4a89Y2pw2FtOxsSPxGZ18Tml</w:t>
        </w:r>
      </w:hyperlink>
    </w:p>
    <w:p w14:paraId="04D1EF40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30. </w:t>
      </w:r>
      <w:r w:rsidRPr="00B73484">
        <w:rPr>
          <w:color w:val="000000"/>
        </w:rPr>
        <w:t>Adultos mayores y COVID-19</w:t>
      </w:r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Atlanta:</w:t>
      </w:r>
      <w:r w:rsidRPr="00B73484">
        <w:rPr>
          <w:color w:val="000000"/>
        </w:rPr>
        <w:t>Centro</w:t>
      </w:r>
      <w:proofErr w:type="spellEnd"/>
      <w:proofErr w:type="gramEnd"/>
      <w:r w:rsidRPr="00B73484">
        <w:rPr>
          <w:color w:val="000000"/>
        </w:rPr>
        <w:t xml:space="preserve"> para el Control y Prevención de las Enfermedades</w:t>
      </w:r>
      <w:r>
        <w:rPr>
          <w:color w:val="000000"/>
        </w:rPr>
        <w:t>;2000</w:t>
      </w:r>
      <w:r w:rsidRPr="00B73484">
        <w:rPr>
          <w:color w:val="000000"/>
        </w:rPr>
        <w:t>[</w:t>
      </w:r>
      <w:r>
        <w:rPr>
          <w:color w:val="000000"/>
        </w:rPr>
        <w:t xml:space="preserve">actualizado: 27/07/2020; </w:t>
      </w:r>
      <w:r w:rsidRPr="00B73484">
        <w:rPr>
          <w:color w:val="000000"/>
        </w:rPr>
        <w:t>acceso: 13/08/2020]</w:t>
      </w:r>
      <w:r>
        <w:rPr>
          <w:color w:val="000000"/>
        </w:rPr>
        <w:t xml:space="preserve">. </w:t>
      </w:r>
      <w:r w:rsidRPr="00B73484">
        <w:rPr>
          <w:color w:val="000000"/>
        </w:rPr>
        <w:t>[</w:t>
      </w:r>
      <w:r>
        <w:rPr>
          <w:color w:val="000000"/>
        </w:rPr>
        <w:t>aprox. 5 p.</w:t>
      </w:r>
      <w:r w:rsidRPr="00B73484">
        <w:rPr>
          <w:color w:val="000000"/>
        </w:rPr>
        <w:t>]</w:t>
      </w:r>
      <w:r>
        <w:rPr>
          <w:color w:val="000000"/>
        </w:rPr>
        <w:t>.</w:t>
      </w:r>
      <w:r w:rsidRPr="00B73484">
        <w:rPr>
          <w:color w:val="000000"/>
        </w:rPr>
        <w:t xml:space="preserve"> Disponible en: </w:t>
      </w:r>
      <w:hyperlink r:id="rId42" w:history="1">
        <w:r w:rsidRPr="007907B5">
          <w:rPr>
            <w:rStyle w:val="Hipervnculo"/>
          </w:rPr>
          <w:t>https://español.cdc.gov/coronavirus/2019-ncov/need-extra-precautions/older-adults.html</w:t>
        </w:r>
      </w:hyperlink>
    </w:p>
    <w:p w14:paraId="04D42F9A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 w:rsidRPr="000466C4">
        <w:rPr>
          <w:color w:val="000000"/>
          <w:lang w:val="en-US"/>
        </w:rPr>
        <w:lastRenderedPageBreak/>
        <w:t>3</w:t>
      </w:r>
      <w:r>
        <w:rPr>
          <w:color w:val="000000"/>
          <w:lang w:val="en-US"/>
        </w:rPr>
        <w:t>1</w:t>
      </w:r>
      <w:r w:rsidRPr="000466C4">
        <w:rPr>
          <w:color w:val="000000"/>
          <w:lang w:val="en-US"/>
        </w:rPr>
        <w:t xml:space="preserve">. Chen N, Zhou M, Dong </w:t>
      </w:r>
      <w:r w:rsidRPr="00063C5A">
        <w:rPr>
          <w:color w:val="000000"/>
          <w:lang w:val="en-US"/>
        </w:rPr>
        <w:t xml:space="preserve">X, Qu J, Gong F, Han Y, et al. Epidemiological and clinical characteristics of 99 cases of 2019 novel coronavirus pneumonia in Wuhan, China: a descriptive study. </w:t>
      </w:r>
      <w:r w:rsidRPr="005C465D">
        <w:rPr>
          <w:color w:val="000000"/>
          <w:lang w:val="en-US"/>
        </w:rPr>
        <w:t>The Lancet. 2020 [</w:t>
      </w:r>
      <w:proofErr w:type="spellStart"/>
      <w:r w:rsidRPr="005C465D">
        <w:rPr>
          <w:color w:val="000000"/>
          <w:lang w:val="en-US"/>
        </w:rPr>
        <w:t>acceso</w:t>
      </w:r>
      <w:proofErr w:type="spellEnd"/>
      <w:r w:rsidRPr="005C465D">
        <w:rPr>
          <w:color w:val="000000"/>
          <w:lang w:val="en-US"/>
        </w:rPr>
        <w:t xml:space="preserve">: 13/07/2020];395(10223):507-13. </w:t>
      </w:r>
      <w:r w:rsidRPr="00B73484">
        <w:rPr>
          <w:color w:val="000000"/>
        </w:rPr>
        <w:t xml:space="preserve">Disponible en: </w:t>
      </w:r>
      <w:hyperlink r:id="rId43" w:history="1">
        <w:r w:rsidRPr="00ED7FF6">
          <w:rPr>
            <w:rStyle w:val="Hipervnculo"/>
          </w:rPr>
          <w:t>https://www.thelancet.com/journals/lancet/article/PIIs0140-6736(20)30211-7/fulltext</w:t>
        </w:r>
      </w:hyperlink>
    </w:p>
    <w:p w14:paraId="5B32CB66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 w:rsidRPr="000571FD">
        <w:rPr>
          <w:color w:val="000000"/>
          <w:lang w:val="en-US"/>
        </w:rPr>
        <w:t xml:space="preserve">32. Chen X, Hu W, Ling J, Mo P, Zhang Y, Jiang Q, et al. Hypertension and Diabetes Delay the Viral Clearance in COVID-19 Patients. </w:t>
      </w:r>
      <w:proofErr w:type="spellStart"/>
      <w:r w:rsidRPr="000571FD">
        <w:rPr>
          <w:color w:val="000000"/>
          <w:lang w:val="en-US"/>
        </w:rPr>
        <w:t>medRxiv</w:t>
      </w:r>
      <w:proofErr w:type="spellEnd"/>
      <w:r w:rsidRPr="000571FD">
        <w:rPr>
          <w:color w:val="000000"/>
          <w:lang w:val="en-US"/>
        </w:rPr>
        <w:t xml:space="preserve">. </w:t>
      </w:r>
      <w:r w:rsidRPr="006E6CA9">
        <w:rPr>
          <w:color w:val="000000"/>
        </w:rPr>
        <w:t xml:space="preserve">2020 [acceso: 24/04/2020]. </w:t>
      </w:r>
      <w:r w:rsidRPr="000571FD">
        <w:rPr>
          <w:color w:val="000000"/>
        </w:rPr>
        <w:t>Disponible en:</w:t>
      </w:r>
    </w:p>
    <w:p w14:paraId="46B1DCD6" w14:textId="77777777" w:rsidR="005973A2" w:rsidRPr="00B73484" w:rsidRDefault="002B3763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hyperlink r:id="rId44" w:history="1">
        <w:r w:rsidR="005973A2" w:rsidRPr="00ED7FF6">
          <w:rPr>
            <w:rStyle w:val="Hipervnculo"/>
          </w:rPr>
          <w:t>https://www.medrxiv.org/content/10.1101/2020.03.22.20040774v1.full.pdf</w:t>
        </w:r>
      </w:hyperlink>
    </w:p>
    <w:p w14:paraId="3071D88E" w14:textId="77777777" w:rsidR="005973A2" w:rsidRPr="000466C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33. </w:t>
      </w:r>
      <w:r w:rsidRPr="00B73484">
        <w:rPr>
          <w:color w:val="000000"/>
        </w:rPr>
        <w:t xml:space="preserve">García Céspedes ME, Bell Castillo J, Romero Calzado DE, </w:t>
      </w:r>
      <w:proofErr w:type="spellStart"/>
      <w:r w:rsidRPr="00B73484">
        <w:rPr>
          <w:color w:val="000000"/>
        </w:rPr>
        <w:t>Ferrales</w:t>
      </w:r>
      <w:proofErr w:type="spellEnd"/>
      <w:r w:rsidRPr="00B73484">
        <w:rPr>
          <w:color w:val="000000"/>
        </w:rPr>
        <w:t xml:space="preserve"> </w:t>
      </w:r>
      <w:proofErr w:type="spellStart"/>
      <w:r w:rsidRPr="00B73484">
        <w:rPr>
          <w:color w:val="000000"/>
        </w:rPr>
        <w:t>Biset</w:t>
      </w:r>
      <w:proofErr w:type="spellEnd"/>
      <w:r w:rsidRPr="00B73484">
        <w:rPr>
          <w:color w:val="000000"/>
        </w:rPr>
        <w:t xml:space="preserve"> N. La COVID-19 en personas hipertensas. MEDISAN. </w:t>
      </w:r>
      <w:r w:rsidRPr="000466C4">
        <w:rPr>
          <w:color w:val="000000"/>
        </w:rPr>
        <w:t>2020 [acceso: 5/08/2020];24(3):501</w:t>
      </w:r>
      <w:r>
        <w:rPr>
          <w:color w:val="000000"/>
        </w:rPr>
        <w:t>-</w:t>
      </w:r>
      <w:r w:rsidRPr="000466C4">
        <w:rPr>
          <w:color w:val="000000"/>
        </w:rPr>
        <w:t xml:space="preserve">14. Disponible en: </w:t>
      </w:r>
      <w:hyperlink r:id="rId45" w:history="1">
        <w:r w:rsidRPr="00ED7FF6">
          <w:rPr>
            <w:rStyle w:val="Hipervnculo"/>
          </w:rPr>
          <w:t>http://scielo.sld.cu/scielo.php?script=sci_arttex&amp;pid=s1029_30192020000300501&amp;ing=es&amp;nrm=iso&amp;tlng=es</w:t>
        </w:r>
      </w:hyperlink>
    </w:p>
    <w:p w14:paraId="1A8D9F1F" w14:textId="77777777" w:rsidR="005973A2" w:rsidRPr="00B73484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34. </w:t>
      </w:r>
      <w:r w:rsidRPr="00B73484">
        <w:rPr>
          <w:color w:val="000000"/>
        </w:rPr>
        <w:t xml:space="preserve">Guan W, Ni Z, </w:t>
      </w:r>
      <w:proofErr w:type="spellStart"/>
      <w:r w:rsidRPr="00B73484">
        <w:rPr>
          <w:color w:val="000000"/>
        </w:rPr>
        <w:t>Hu</w:t>
      </w:r>
      <w:proofErr w:type="spellEnd"/>
      <w:r w:rsidRPr="00B73484">
        <w:rPr>
          <w:color w:val="000000"/>
        </w:rPr>
        <w:t xml:space="preserve"> Y, </w:t>
      </w:r>
      <w:proofErr w:type="spellStart"/>
      <w:r w:rsidRPr="00B73484">
        <w:rPr>
          <w:color w:val="000000"/>
        </w:rPr>
        <w:t>Liang</w:t>
      </w:r>
      <w:proofErr w:type="spellEnd"/>
      <w:r w:rsidRPr="00B73484">
        <w:rPr>
          <w:color w:val="000000"/>
        </w:rPr>
        <w:t xml:space="preserve"> W, </w:t>
      </w:r>
      <w:proofErr w:type="spellStart"/>
      <w:r w:rsidRPr="00B73484">
        <w:rPr>
          <w:color w:val="000000"/>
        </w:rPr>
        <w:t>Ou</w:t>
      </w:r>
      <w:proofErr w:type="spellEnd"/>
      <w:r w:rsidRPr="00B73484">
        <w:rPr>
          <w:color w:val="000000"/>
        </w:rPr>
        <w:t xml:space="preserve"> C, He J, Liu L, et al. </w:t>
      </w:r>
      <w:r w:rsidRPr="00063C5A">
        <w:rPr>
          <w:color w:val="000000"/>
          <w:lang w:val="en-US"/>
        </w:rPr>
        <w:t xml:space="preserve">Clinical Characteristics of Coronavirus Disease 2019 in China. </w:t>
      </w:r>
      <w:r w:rsidRPr="005C465D">
        <w:rPr>
          <w:color w:val="000000"/>
          <w:lang w:val="en-US"/>
        </w:rPr>
        <w:t xml:space="preserve">N </w:t>
      </w:r>
      <w:proofErr w:type="spellStart"/>
      <w:r w:rsidRPr="005C465D">
        <w:rPr>
          <w:color w:val="000000"/>
          <w:lang w:val="en-US"/>
        </w:rPr>
        <w:t>Engl</w:t>
      </w:r>
      <w:proofErr w:type="spellEnd"/>
      <w:r w:rsidRPr="005C465D">
        <w:rPr>
          <w:color w:val="000000"/>
          <w:lang w:val="en-US"/>
        </w:rPr>
        <w:t xml:space="preserve"> J Med. 2020 [</w:t>
      </w:r>
      <w:proofErr w:type="spellStart"/>
      <w:r w:rsidRPr="005C465D">
        <w:rPr>
          <w:color w:val="000000"/>
          <w:lang w:val="en-US"/>
        </w:rPr>
        <w:t>acceso</w:t>
      </w:r>
      <w:proofErr w:type="spellEnd"/>
      <w:r w:rsidRPr="005C465D">
        <w:rPr>
          <w:color w:val="000000"/>
          <w:lang w:val="en-US"/>
        </w:rPr>
        <w:t xml:space="preserve">: 5/07/2020];382(18):1708-20. </w:t>
      </w:r>
      <w:r w:rsidRPr="00B73484">
        <w:rPr>
          <w:color w:val="000000"/>
        </w:rPr>
        <w:t xml:space="preserve">Disponible en: </w:t>
      </w:r>
      <w:hyperlink r:id="rId46" w:history="1">
        <w:r w:rsidRPr="00ED7FF6">
          <w:rPr>
            <w:rStyle w:val="Hipervnculo"/>
          </w:rPr>
          <w:t>https://www.nejm.org/doi/full/10.1056/nejmoa2002032</w:t>
        </w:r>
      </w:hyperlink>
    </w:p>
    <w:p w14:paraId="461E3271" w14:textId="77777777" w:rsidR="005973A2" w:rsidRDefault="005973A2" w:rsidP="005973A2">
      <w:pPr>
        <w:pStyle w:val="style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35. </w:t>
      </w:r>
      <w:r w:rsidRPr="00B73484">
        <w:rPr>
          <w:color w:val="000000"/>
        </w:rPr>
        <w:t xml:space="preserve">Góngora Gómez O, Gámez Leyva LR. Manifestaciones extrapulmonares de la infección por el nuevo Coronavirus SARS-CoV-2.Rev </w:t>
      </w:r>
      <w:proofErr w:type="spellStart"/>
      <w:r w:rsidRPr="00B73484">
        <w:rPr>
          <w:color w:val="000000"/>
        </w:rPr>
        <w:t>haban</w:t>
      </w:r>
      <w:proofErr w:type="spellEnd"/>
      <w:r w:rsidRPr="00B73484">
        <w:rPr>
          <w:color w:val="000000"/>
        </w:rPr>
        <w:t xml:space="preserve"> </w:t>
      </w:r>
      <w:proofErr w:type="spellStart"/>
      <w:r w:rsidRPr="00B73484">
        <w:rPr>
          <w:color w:val="000000"/>
        </w:rPr>
        <w:t>cienc</w:t>
      </w:r>
      <w:proofErr w:type="spellEnd"/>
      <w:r w:rsidRPr="00B73484">
        <w:rPr>
          <w:color w:val="000000"/>
        </w:rPr>
        <w:t xml:space="preserve"> </w:t>
      </w:r>
      <w:proofErr w:type="spellStart"/>
      <w:r w:rsidRPr="00B73484">
        <w:rPr>
          <w:color w:val="000000"/>
        </w:rPr>
        <w:t>méd</w:t>
      </w:r>
      <w:proofErr w:type="spellEnd"/>
      <w:r w:rsidRPr="00B73484">
        <w:rPr>
          <w:color w:val="000000"/>
        </w:rPr>
        <w:t>. 2020 [acceso: 30/07/2020]; 19(</w:t>
      </w:r>
      <w:proofErr w:type="spellStart"/>
      <w:r w:rsidRPr="00B73484">
        <w:rPr>
          <w:color w:val="000000"/>
        </w:rPr>
        <w:t>Supl</w:t>
      </w:r>
      <w:proofErr w:type="spellEnd"/>
      <w:r w:rsidRPr="00B73484">
        <w:rPr>
          <w:color w:val="000000"/>
        </w:rPr>
        <w:t xml:space="preserve">.): e3378. Disponible en: </w:t>
      </w:r>
      <w:hyperlink r:id="rId47" w:history="1">
        <w:r w:rsidRPr="00ED7FF6">
          <w:rPr>
            <w:rStyle w:val="Hipervnculo"/>
          </w:rPr>
          <w:t>http://www.revhabanera.sld.cu/index.php/rhab/article/view/3378</w:t>
        </w:r>
      </w:hyperlink>
    </w:p>
    <w:p w14:paraId="0F81EC26" w14:textId="77777777" w:rsidR="005973A2" w:rsidRDefault="005973A2" w:rsidP="005973A2">
      <w:pPr>
        <w:pStyle w:val="style3"/>
        <w:spacing w:before="0" w:beforeAutospacing="0" w:after="0" w:afterAutospacing="0" w:line="360" w:lineRule="auto"/>
        <w:jc w:val="both"/>
        <w:rPr>
          <w:color w:val="000000"/>
        </w:rPr>
      </w:pPr>
    </w:p>
    <w:p w14:paraId="064D3225" w14:textId="77777777" w:rsidR="005973A2" w:rsidRDefault="005973A2" w:rsidP="005973A2">
      <w:pPr>
        <w:pStyle w:val="style3"/>
        <w:spacing w:before="0" w:beforeAutospacing="0" w:after="0" w:afterAutospacing="0" w:line="360" w:lineRule="auto"/>
        <w:jc w:val="both"/>
        <w:rPr>
          <w:color w:val="000000"/>
        </w:rPr>
      </w:pPr>
    </w:p>
    <w:p w14:paraId="5A895BBA" w14:textId="77777777" w:rsidR="005973A2" w:rsidRPr="006B696F" w:rsidRDefault="005973A2" w:rsidP="005973A2">
      <w:pPr>
        <w:pStyle w:val="style3"/>
        <w:spacing w:before="0" w:beforeAutospacing="0" w:after="0" w:afterAutospacing="0" w:line="360" w:lineRule="auto"/>
        <w:jc w:val="center"/>
        <w:rPr>
          <w:b/>
          <w:bCs/>
        </w:rPr>
      </w:pPr>
      <w:r w:rsidRPr="006B696F">
        <w:rPr>
          <w:b/>
          <w:bCs/>
        </w:rPr>
        <w:t>Conflictos de interés</w:t>
      </w:r>
    </w:p>
    <w:p w14:paraId="6290E7CD" w14:textId="77777777" w:rsidR="005973A2" w:rsidRPr="006B696F" w:rsidRDefault="005973A2" w:rsidP="005973A2">
      <w:pPr>
        <w:pStyle w:val="style3"/>
        <w:spacing w:before="0" w:beforeAutospacing="0" w:after="0" w:afterAutospacing="0" w:line="360" w:lineRule="auto"/>
        <w:jc w:val="both"/>
      </w:pPr>
      <w:r w:rsidRPr="006B696F">
        <w:t>No existe</w:t>
      </w:r>
      <w:r>
        <w:t xml:space="preserve">n </w:t>
      </w:r>
      <w:r w:rsidRPr="006B696F">
        <w:t>conflicto</w:t>
      </w:r>
      <w:r>
        <w:t>s de interés.</w:t>
      </w:r>
    </w:p>
    <w:p w14:paraId="6C199FA0" w14:textId="77777777" w:rsidR="005973A2" w:rsidRDefault="005973A2" w:rsidP="005973A2">
      <w:pPr>
        <w:pStyle w:val="style3"/>
        <w:spacing w:before="0" w:beforeAutospacing="0" w:after="0" w:afterAutospacing="0" w:line="360" w:lineRule="auto"/>
        <w:jc w:val="center"/>
        <w:rPr>
          <w:b/>
          <w:bCs/>
        </w:rPr>
      </w:pPr>
    </w:p>
    <w:p w14:paraId="2E0DBC81" w14:textId="77777777" w:rsidR="005973A2" w:rsidRDefault="005973A2" w:rsidP="005973A2">
      <w:pPr>
        <w:pStyle w:val="style3"/>
        <w:spacing w:before="0" w:beforeAutospacing="0" w:after="0" w:afterAutospacing="0" w:line="360" w:lineRule="auto"/>
        <w:jc w:val="center"/>
        <w:rPr>
          <w:color w:val="FF0000"/>
        </w:rPr>
      </w:pPr>
      <w:r w:rsidRPr="006B696F">
        <w:rPr>
          <w:b/>
          <w:bCs/>
        </w:rPr>
        <w:t>Contribuciones de los autores</w:t>
      </w:r>
    </w:p>
    <w:p w14:paraId="6005729C" w14:textId="77777777" w:rsidR="005973A2" w:rsidRDefault="005973A2" w:rsidP="005973A2">
      <w:pPr>
        <w:pStyle w:val="style3"/>
        <w:spacing w:before="0" w:beforeAutospacing="0" w:after="0" w:afterAutospacing="0" w:line="360" w:lineRule="auto"/>
      </w:pPr>
      <w:r w:rsidRPr="00327B65">
        <w:rPr>
          <w:i/>
        </w:rPr>
        <w:t>Juan Bruno Ruiz Nápoles:</w:t>
      </w:r>
      <w:r>
        <w:t xml:space="preserve"> diseño y realización de la investigación.</w:t>
      </w:r>
    </w:p>
    <w:p w14:paraId="4C0AAB07" w14:textId="77777777" w:rsidR="005973A2" w:rsidRDefault="005973A2" w:rsidP="005973A2">
      <w:pPr>
        <w:pStyle w:val="style3"/>
        <w:spacing w:before="0" w:beforeAutospacing="0" w:after="0" w:afterAutospacing="0" w:line="360" w:lineRule="auto"/>
      </w:pPr>
      <w:proofErr w:type="spellStart"/>
      <w:r w:rsidRPr="00327B65">
        <w:rPr>
          <w:i/>
        </w:rPr>
        <w:t>Katerine</w:t>
      </w:r>
      <w:proofErr w:type="spellEnd"/>
      <w:r w:rsidRPr="00327B65">
        <w:rPr>
          <w:i/>
        </w:rPr>
        <w:t xml:space="preserve"> Ruiz Nápoles:</w:t>
      </w:r>
      <w:r>
        <w:rPr>
          <w:i/>
        </w:rPr>
        <w:t xml:space="preserve"> </w:t>
      </w:r>
      <w:r>
        <w:t>búsqueda, revisión de la información y discusión de los resultados.</w:t>
      </w:r>
    </w:p>
    <w:p w14:paraId="50501C02" w14:textId="77777777" w:rsidR="005973A2" w:rsidRDefault="005973A2" w:rsidP="005973A2">
      <w:pPr>
        <w:pStyle w:val="style3"/>
        <w:spacing w:before="0" w:beforeAutospacing="0" w:after="0" w:afterAutospacing="0" w:line="360" w:lineRule="auto"/>
      </w:pPr>
    </w:p>
    <w:p w14:paraId="2C4F6B38" w14:textId="77777777" w:rsidR="00675476" w:rsidRPr="00391509" w:rsidRDefault="005973A2" w:rsidP="00694EBC">
      <w:pPr>
        <w:pStyle w:val="style3"/>
        <w:spacing w:before="0" w:beforeAutospacing="0" w:after="0" w:afterAutospacing="0" w:line="360" w:lineRule="auto"/>
      </w:pPr>
      <w:r>
        <w:t>Los autores se hacen individualmente responsables del contenido del artículo.</w:t>
      </w:r>
    </w:p>
    <w:sectPr w:rsidR="00675476" w:rsidRPr="00391509" w:rsidSect="000F3690">
      <w:headerReference w:type="default" r:id="rId48"/>
      <w:footerReference w:type="even" r:id="rId49"/>
      <w:footerReference w:type="default" r:id="rId50"/>
      <w:pgSz w:w="12242" w:h="15842" w:code="1"/>
      <w:pgMar w:top="1418" w:right="1134" w:bottom="1701" w:left="1134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1B542" w14:textId="77777777" w:rsidR="002B3763" w:rsidRDefault="002B3763">
      <w:r>
        <w:separator/>
      </w:r>
    </w:p>
  </w:endnote>
  <w:endnote w:type="continuationSeparator" w:id="0">
    <w:p w14:paraId="4945B0C5" w14:textId="77777777" w:rsidR="002B3763" w:rsidRDefault="002B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E91D5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4D43FD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95C4F" w14:textId="77777777" w:rsidR="000F3690" w:rsidRPr="00AE044C" w:rsidRDefault="000F3690" w:rsidP="00391509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443F08" wp14:editId="1632D78C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DBD00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dyxwEAAG4DAAAOAAAAZHJzL2Uyb0RvYy54bWysU02P2yAQvVfqf0DcGzuRkk2tOHvINr2k&#10;baTd/oAJYBsVMwhI7Pz7DuSj2+5tVR8Qw8w83ryHV49jb9hJ+aDR1nw6KTlTVqDUtq35z5ftpyVn&#10;IYKVYNCqmp9V4I/rjx9Wg6vUDDs0UnlGIDZUg6t5F6OriiKITvUQJuiUpWSDvodIoW8L6WEg9N4U&#10;s7JcFAN66TwKFQKdPl2SfJ3xm0aJ+KNpgorM1Jy4xbz6vB7SWqxXULUeXKfFlQa8g0UP2tKld6gn&#10;iMCOXr+B6rXwGLCJE4F9gU2jhcoz0DTT8p9pnjtwKs9C4gR3lyn8P1jx/bT3TEvyjjMLPVm001ax&#10;h6TM4EJFBRu792k2Mdpnt0PxKzCLmw5sqzLDl7OjtmnqKP5qSUFwhH8YvqGkGjhGzDKNje8TJAnA&#10;xuzG+e6GGiMTdLiYLRfzkkwTlJt+LufZrQKqW7PzIX5V2LO0qbkh3hkcTrsQExmobiXpLotbbUw2&#10;3Fg21Hy2nD/Mc0dAo2XKprrg28PGeHaC9Gbo227zaJR5XebxaGVG6xTIL9d9BG0ue7rd2KsiSYSL&#10;nAeU572/KUWmZprXB5hezes4d//5Tda/AQAA//8DAFBLAwQUAAYACAAAACEAhoC+k9oAAAAFAQAA&#10;DwAAAGRycy9kb3ducmV2LnhtbEyOwU7DMBBE70j9B2srcaN2i9SSEKcqSBw4oRaExM2Nt0nUeB1s&#10;p035erYnOI7m7ewr1qPrxAlDbD1pmM8UCKTK25ZqDR/vL3cPIGIyZE3nCTVcMMK6nNwUJrf+TFs8&#10;7VIteIRibjQ0KfW5lLFq0Jk48z0SdwcfnEkcQy1tMGced51cKLWUzrTEHxrT43OD1XE3ONb4vtx/&#10;Hl+9XRzkNtmvMDy9/Qxa307HzSOIhGP6g+GqzzdQstPeD2Sj6DQsmdOwykBwmWWK854plYEsC/nf&#10;vvwFAAD//wMAUEsBAi0AFAAGAAgAAAAhALaDOJL+AAAA4QEAABMAAAAAAAAAAAAAAAAAAAAAAFtD&#10;b250ZW50X1R5cGVzXS54bWxQSwECLQAUAAYACAAAACEAOP0h/9YAAACUAQAACwAAAAAAAAAAAAAA&#10;AAAvAQAAX3JlbHMvLnJlbHNQSwECLQAUAAYACAAAACEAB293cscBAABuAwAADgAAAAAAAAAAAAAA&#10;AAAuAgAAZHJzL2Uyb0RvYy54bWxQSwECLQAUAAYACAAAACEAhoC+k9oAAAAFAQAADwAAAAAAAAAA&#10;AAAAAAAhBAAAZHJzL2Rvd25yZXYueG1sUEsFBgAAAAAEAAQA8wAAACgFAAAAAA==&#10;" strokecolor="blue" strokeweight="2.25pt"/>
          </w:pict>
        </mc:Fallback>
      </mc:AlternateContent>
    </w:r>
  </w:p>
  <w:p w14:paraId="4726E996" w14:textId="77777777" w:rsidR="00675476" w:rsidRPr="005973A2" w:rsidRDefault="002B3763" w:rsidP="005973A2">
    <w:pPr>
      <w:pStyle w:val="Piedepgina"/>
      <w:spacing w:after="0"/>
      <w:ind w:right="357"/>
      <w:rPr>
        <w:rFonts w:ascii="Times New Roman" w:hAnsi="Times New Roman" w:cs="Times New Roman"/>
      </w:rPr>
    </w:pPr>
    <w:hyperlink r:id="rId1" w:history="1">
      <w:r w:rsidR="00391509" w:rsidRPr="005973A2">
        <w:rPr>
          <w:rStyle w:val="Hipervnculo"/>
          <w:rFonts w:ascii="Times New Roman" w:hAnsi="Times New Roman" w:cs="Times New Roman"/>
        </w:rPr>
        <w:t>http://scielo.sld.cu</w:t>
      </w:r>
    </w:hyperlink>
  </w:p>
  <w:p w14:paraId="3ADC03BF" w14:textId="77777777" w:rsidR="00391509" w:rsidRPr="005973A2" w:rsidRDefault="002B3763" w:rsidP="005973A2">
    <w:pPr>
      <w:pStyle w:val="Piedepgina"/>
      <w:tabs>
        <w:tab w:val="clear" w:pos="4252"/>
        <w:tab w:val="left" w:pos="8504"/>
      </w:tabs>
      <w:spacing w:after="0"/>
      <w:ind w:right="357"/>
      <w:rPr>
        <w:rFonts w:ascii="Times New Roman" w:hAnsi="Times New Roman" w:cs="Times New Roman"/>
      </w:rPr>
    </w:pPr>
    <w:hyperlink r:id="rId2" w:history="1">
      <w:r w:rsidR="00391509" w:rsidRPr="005973A2">
        <w:rPr>
          <w:rStyle w:val="Hipervnculo"/>
          <w:rFonts w:ascii="Times New Roman" w:hAnsi="Times New Roman" w:cs="Times New Roman"/>
        </w:rPr>
        <w:t>http://www.revmedmilitar.sld.cu</w:t>
      </w:r>
    </w:hyperlink>
    <w:r w:rsidR="00391509" w:rsidRPr="005973A2">
      <w:rPr>
        <w:rFonts w:ascii="Times New Roman" w:hAnsi="Times New Roman" w:cs="Times New Roman"/>
      </w:rPr>
      <w:t xml:space="preserve"> </w:t>
    </w:r>
    <w:r w:rsidR="00AE044C" w:rsidRPr="005973A2">
      <w:rPr>
        <w:rFonts w:ascii="Times New Roman" w:hAnsi="Times New Roman" w:cs="Times New Roman"/>
      </w:rPr>
      <w:tab/>
    </w:r>
  </w:p>
  <w:p w14:paraId="25889194" w14:textId="77777777" w:rsidR="00180CE9" w:rsidRPr="005973A2" w:rsidRDefault="00180CE9" w:rsidP="005973A2">
    <w:pPr>
      <w:pStyle w:val="Piedepgina"/>
      <w:spacing w:after="0"/>
      <w:ind w:right="357"/>
      <w:jc w:val="center"/>
      <w:rPr>
        <w:rFonts w:ascii="Times New Roman" w:hAnsi="Times New Roman" w:cs="Times New Roman"/>
        <w:sz w:val="18"/>
        <w:szCs w:val="18"/>
      </w:rPr>
    </w:pPr>
    <w:r w:rsidRPr="005973A2">
      <w:rPr>
        <w:rFonts w:ascii="Times New Roman" w:hAnsi="Times New Roman" w:cs="Times New Roman"/>
      </w:rPr>
      <w:t xml:space="preserve">Bajo licencia </w:t>
    </w:r>
    <w:proofErr w:type="spellStart"/>
    <w:r w:rsidRPr="005973A2">
      <w:rPr>
        <w:rFonts w:ascii="Times New Roman" w:hAnsi="Times New Roman" w:cs="Times New Roman"/>
      </w:rPr>
      <w:t>Creative</w:t>
    </w:r>
    <w:proofErr w:type="spellEnd"/>
    <w:r w:rsidRPr="005973A2">
      <w:rPr>
        <w:rFonts w:ascii="Times New Roman" w:hAnsi="Times New Roman" w:cs="Times New Roman"/>
      </w:rPr>
      <w:t xml:space="preserve"> </w:t>
    </w:r>
    <w:proofErr w:type="spellStart"/>
    <w:r w:rsidRPr="005973A2">
      <w:rPr>
        <w:rFonts w:ascii="Times New Roman" w:hAnsi="Times New Roman" w:cs="Times New Roman"/>
      </w:rPr>
      <w:t>Commons</w:t>
    </w:r>
    <w:proofErr w:type="spellEnd"/>
    <w:r w:rsidRPr="005973A2">
      <w:rPr>
        <w:rFonts w:ascii="Times New Roman" w:hAnsi="Times New Roman" w:cs="Times New Roman"/>
        <w:sz w:val="18"/>
        <w:szCs w:val="18"/>
      </w:rPr>
      <w:t xml:space="preserve"> </w:t>
    </w:r>
    <w:r w:rsidRPr="005973A2">
      <w:rPr>
        <w:rFonts w:ascii="Times New Roman" w:hAnsi="Times New Roman" w:cs="Times New Roman"/>
        <w:noProof/>
        <w:sz w:val="18"/>
        <w:szCs w:val="18"/>
        <w:lang w:eastAsia="es-ES"/>
      </w:rPr>
      <w:drawing>
        <wp:inline distT="0" distB="0" distL="0" distR="0" wp14:anchorId="3783CDD5" wp14:editId="567C3227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FEF39" w14:textId="77777777" w:rsidR="002B3763" w:rsidRDefault="002B3763">
      <w:r>
        <w:separator/>
      </w:r>
    </w:p>
  </w:footnote>
  <w:footnote w:type="continuationSeparator" w:id="0">
    <w:p w14:paraId="0148AC77" w14:textId="77777777" w:rsidR="002B3763" w:rsidRDefault="002B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E02ED" w14:textId="7D0CD5AD" w:rsidR="00CC376A" w:rsidRPr="005973A2" w:rsidRDefault="005C465D" w:rsidP="00180CE9">
    <w:pPr>
      <w:pStyle w:val="Encabezado"/>
      <w:tabs>
        <w:tab w:val="left" w:pos="420"/>
      </w:tabs>
      <w:jc w:val="center"/>
      <w:rPr>
        <w:rFonts w:ascii="Times New Roman" w:hAnsi="Times New Roman" w:cs="Times New Roman"/>
      </w:rPr>
    </w:pPr>
    <w:r w:rsidRPr="00CC376A">
      <w:rPr>
        <w:rFonts w:ascii="Verdana" w:hAnsi="Verdana"/>
        <w:noProof/>
        <w:color w:val="00FFFF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C33F50" wp14:editId="3F6BED6F">
              <wp:simplePos x="0" y="0"/>
              <wp:positionH relativeFrom="column">
                <wp:posOffset>12700</wp:posOffset>
              </wp:positionH>
              <wp:positionV relativeFrom="paragraph">
                <wp:posOffset>222250</wp:posOffset>
              </wp:positionV>
              <wp:extent cx="6276975" cy="28575"/>
              <wp:effectExtent l="19050" t="1905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8F84C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7.5pt" to="495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VxwgEAAG4DAAAOAAAAZHJzL2Uyb0RvYy54bWysU8Fu2zAMvQ/YPwi6L04MJO2MOD2kyy7Z&#10;FqDdBzCSbAuTRUFSYufvRylOtm63YT4IpEg+Pj7K66exN+ysfNBoa76YzTlTVqDUtq3599fdh0fO&#10;QgQrwaBVNb+owJ8279+tB1epEjs0UnlGIDZUg6t5F6OriiKITvUQZuiUpWCDvodIrm8L6WEg9N4U&#10;5Xy+Kgb00nkUKgS6fb4G+SbjN40S8VvTBBWZqTlxi/n0+Tyms9isoWo9uE6LiQb8A4setKWmd6hn&#10;iMBOXv8F1WvhMWATZwL7AptGC5VnoGkW8z+meenAqTwLiRPcXabw/2DF1/PBMy1rXnJmoacV7bVV&#10;bJmUGVyoKGFrDz7NJkb74vYofgRmcduBbVVm+HpxVLZIFcWbkuQER/jH4QtKyoFTxCzT2Pg+QZIA&#10;bMzbuNy3ocbIBF2uyofVx4clZ4Ji5eOSzNQBqlux8yF+VtizZNTcEO8MDud9iNfUW0rqZXGnjaF7&#10;qIxlww0z+QGNlimaHd8et8azM6Q3Q99uNzV+k+bxZGVG6xTIT5MdQZurTUSNnRRJIlzlPKK8HHwi&#10;l8ShpeaJpgeYXs3vfs769ZtsfgIAAP//AwBQSwMEFAAGAAgAAAAhAIhKZOveAAAABwEAAA8AAABk&#10;cnMvZG93bnJldi54bWxMj09PwzAMxe9IfIfISNxYSqeitTSdBhIHTmh/hMQta7y2WuN0Sbp1fHrM&#10;CU6W/ez3fi6Xk+3FGX3oHCl4nCUgkGpnOmoU7LZvDwsQIWoyuneECq4YYFnd3pS6MO5CazxvYiPY&#10;hEKhFbQxDoWUoW7R6jBzAxJrB+etjtz6RhqvL2xue5kmyZO0uiNOaPWAry3Wx81oGeN0nX8e351J&#10;D3IdzZcfXz6+R6Xu76bVM4iIU/xbhl98voGKmfZuJBNEryDlT6KCecaV5TxPMhB7HuQZyKqU//mr&#10;HwAAAP//AwBQSwECLQAUAAYACAAAACEAtoM4kv4AAADhAQAAEwAAAAAAAAAAAAAAAAAAAAAAW0Nv&#10;bnRlbnRfVHlwZXNdLnhtbFBLAQItABQABgAIAAAAIQA4/SH/1gAAAJQBAAALAAAAAAAAAAAAAAAA&#10;AC8BAABfcmVscy8ucmVsc1BLAQItABQABgAIAAAAIQDjiPVxwgEAAG4DAAAOAAAAAAAAAAAAAAAA&#10;AC4CAABkcnMvZTJvRG9jLnhtbFBLAQItABQABgAIAAAAIQCISmTr3gAAAAcBAAAPAAAAAAAAAAAA&#10;AAAAABwEAABkcnMvZG93bnJldi54bWxQSwUGAAAAAAQABADzAAAAJwUAAAAA&#10;" strokecolor="blue" strokeweight="2.25pt"/>
          </w:pict>
        </mc:Fallback>
      </mc:AlternateContent>
    </w:r>
    <w:r w:rsidR="00B31971" w:rsidRPr="005973A2">
      <w:rPr>
        <w:rFonts w:ascii="Times New Roman" w:hAnsi="Times New Roman" w:cs="Times New Roman"/>
        <w:b/>
        <w:noProof/>
        <w:color w:val="00FFFF"/>
        <w:lang w:eastAsia="es-ES"/>
      </w:rPr>
      <w:drawing>
        <wp:anchor distT="0" distB="0" distL="114300" distR="114300" simplePos="0" relativeHeight="251681792" behindDoc="0" locked="0" layoutInCell="1" allowOverlap="1" wp14:anchorId="15B10063" wp14:editId="42689FB2">
          <wp:simplePos x="0" y="0"/>
          <wp:positionH relativeFrom="column">
            <wp:posOffset>6029325</wp:posOffset>
          </wp:positionH>
          <wp:positionV relativeFrom="paragraph">
            <wp:posOffset>-276225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5973A2">
      <w:rPr>
        <w:rFonts w:ascii="Times New Roman" w:hAnsi="Times New Roman" w:cs="Times New Roman"/>
      </w:rPr>
      <w:t xml:space="preserve">Revista </w:t>
    </w:r>
    <w:r w:rsidR="00380D64" w:rsidRPr="005973A2">
      <w:rPr>
        <w:rFonts w:ascii="Times New Roman" w:hAnsi="Times New Roman" w:cs="Times New Roman"/>
      </w:rPr>
      <w:t>Cubana de Medicina Militar.</w:t>
    </w:r>
    <w:r w:rsidR="00D85951" w:rsidRPr="005973A2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2021</w:t>
    </w:r>
    <w:r w:rsidR="003E03D5" w:rsidRPr="005973A2">
      <w:rPr>
        <w:rFonts w:ascii="Times New Roman" w:hAnsi="Times New Roman" w:cs="Times New Roman"/>
      </w:rPr>
      <w:t>;</w:t>
    </w:r>
    <w:r>
      <w:rPr>
        <w:rFonts w:ascii="Times New Roman" w:hAnsi="Times New Roman" w:cs="Times New Roman"/>
      </w:rPr>
      <w:t>50</w:t>
    </w:r>
    <w:r w:rsidR="00493701" w:rsidRPr="005973A2">
      <w:rPr>
        <w:rFonts w:ascii="Times New Roman" w:hAnsi="Times New Roman" w:cs="Times New Roman"/>
      </w:rPr>
      <w:t>(</w:t>
    </w:r>
    <w:r>
      <w:rPr>
        <w:rFonts w:ascii="Times New Roman" w:hAnsi="Times New Roman" w:cs="Times New Roman"/>
      </w:rPr>
      <w:t>2</w:t>
    </w:r>
    <w:r w:rsidR="00493701" w:rsidRPr="005973A2">
      <w:rPr>
        <w:rFonts w:ascii="Times New Roman" w:hAnsi="Times New Roman" w:cs="Times New Roman"/>
      </w:rPr>
      <w:t>)</w:t>
    </w:r>
    <w:r w:rsidR="00391509" w:rsidRPr="005973A2">
      <w:rPr>
        <w:rFonts w:ascii="Times New Roman" w:hAnsi="Times New Roman" w:cs="Times New Roman"/>
      </w:rPr>
      <w:t>:</w:t>
    </w:r>
    <w:r>
      <w:rPr>
        <w:rFonts w:ascii="Times New Roman" w:hAnsi="Times New Roman" w:cs="Times New Roman"/>
      </w:rPr>
      <w:t xml:space="preserve"> e0210919</w:t>
    </w:r>
  </w:p>
  <w:p w14:paraId="7EF3068D" w14:textId="05971940" w:rsidR="00A477DE" w:rsidRDefault="00A477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E8A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2DCF334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E16E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02AE2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A5AE9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668A16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multilevel"/>
    <w:tmpl w:val="73E825D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BE043F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E69413D"/>
    <w:multiLevelType w:val="hybridMultilevel"/>
    <w:tmpl w:val="243442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7768"/>
    <w:multiLevelType w:val="hybridMultilevel"/>
    <w:tmpl w:val="D13A5DD0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2314E"/>
    <w:multiLevelType w:val="hybridMultilevel"/>
    <w:tmpl w:val="581A4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D4CFE"/>
    <w:multiLevelType w:val="hybridMultilevel"/>
    <w:tmpl w:val="5AF01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E6D1A"/>
    <w:multiLevelType w:val="hybridMultilevel"/>
    <w:tmpl w:val="3AA6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  <w:lvlOverride w:ilvl="0">
      <w:startOverride w:val="3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3A2"/>
    <w:rsid w:val="000F3690"/>
    <w:rsid w:val="001221D1"/>
    <w:rsid w:val="00180CE9"/>
    <w:rsid w:val="00230DD5"/>
    <w:rsid w:val="002B3763"/>
    <w:rsid w:val="00380D64"/>
    <w:rsid w:val="00391509"/>
    <w:rsid w:val="003E03D5"/>
    <w:rsid w:val="0046536F"/>
    <w:rsid w:val="00493701"/>
    <w:rsid w:val="004E2065"/>
    <w:rsid w:val="005508A2"/>
    <w:rsid w:val="00566F71"/>
    <w:rsid w:val="005973A2"/>
    <w:rsid w:val="005C465D"/>
    <w:rsid w:val="00675476"/>
    <w:rsid w:val="00694EBC"/>
    <w:rsid w:val="006F7B26"/>
    <w:rsid w:val="007C430F"/>
    <w:rsid w:val="007D614D"/>
    <w:rsid w:val="00960D6A"/>
    <w:rsid w:val="009A0560"/>
    <w:rsid w:val="009B0917"/>
    <w:rsid w:val="00A23C0C"/>
    <w:rsid w:val="00A477DE"/>
    <w:rsid w:val="00A71E65"/>
    <w:rsid w:val="00AE044C"/>
    <w:rsid w:val="00B31971"/>
    <w:rsid w:val="00B4380A"/>
    <w:rsid w:val="00B463AD"/>
    <w:rsid w:val="00B66ECB"/>
    <w:rsid w:val="00C7523A"/>
    <w:rsid w:val="00CB0CEC"/>
    <w:rsid w:val="00CC1B6E"/>
    <w:rsid w:val="00CC376A"/>
    <w:rsid w:val="00CC48A1"/>
    <w:rsid w:val="00D85951"/>
    <w:rsid w:val="00DA3812"/>
    <w:rsid w:val="00E62606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02673"/>
  <w15:docId w15:val="{721D99B2-A0D2-4A6B-8433-F460E598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3A2"/>
    <w:pPr>
      <w:spacing w:after="200" w:line="276" w:lineRule="auto"/>
    </w:pPr>
    <w:rPr>
      <w:rFonts w:ascii="Calibri" w:eastAsia="Calibri" w:hAnsi="Calibri" w:cs="SimSu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973A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A71E65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973A2"/>
    <w:rPr>
      <w:rFonts w:ascii="Cambria" w:hAnsi="Cambria"/>
      <w:b/>
      <w:bCs/>
      <w:kern w:val="32"/>
      <w:sz w:val="32"/>
      <w:szCs w:val="32"/>
    </w:rPr>
  </w:style>
  <w:style w:type="paragraph" w:customStyle="1" w:styleId="style10">
    <w:name w:val="style10"/>
    <w:basedOn w:val="Normal"/>
    <w:rsid w:val="0059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973A2"/>
    <w:rPr>
      <w:b/>
      <w:bCs/>
    </w:rPr>
  </w:style>
  <w:style w:type="paragraph" w:customStyle="1" w:styleId="style3">
    <w:name w:val="style3"/>
    <w:basedOn w:val="Normal"/>
    <w:rsid w:val="0059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973A2"/>
    <w:rPr>
      <w:i/>
      <w:iCs/>
    </w:rPr>
  </w:style>
  <w:style w:type="paragraph" w:customStyle="1" w:styleId="DecimalAligned">
    <w:name w:val="Decimal Aligned"/>
    <w:basedOn w:val="Normal"/>
    <w:uiPriority w:val="40"/>
    <w:qFormat/>
    <w:rsid w:val="005973A2"/>
    <w:pPr>
      <w:tabs>
        <w:tab w:val="decimal" w:pos="360"/>
      </w:tabs>
    </w:pPr>
    <w:rPr>
      <w:rFonts w:eastAsia="SimSun" w:cs="Times New Roman"/>
      <w:lang w:eastAsia="es-ES"/>
    </w:rPr>
  </w:style>
  <w:style w:type="paragraph" w:styleId="Textonotapie">
    <w:name w:val="footnote text"/>
    <w:basedOn w:val="Normal"/>
    <w:link w:val="TextonotapieCar"/>
    <w:uiPriority w:val="99"/>
    <w:rsid w:val="005973A2"/>
    <w:pPr>
      <w:spacing w:after="0" w:line="240" w:lineRule="auto"/>
    </w:pPr>
    <w:rPr>
      <w:rFonts w:eastAsia="SimSu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973A2"/>
    <w:rPr>
      <w:rFonts w:ascii="Calibri" w:eastAsia="SimSun" w:hAnsi="Calibri"/>
    </w:rPr>
  </w:style>
  <w:style w:type="character" w:styleId="nfasissutil">
    <w:name w:val="Subtle Emphasis"/>
    <w:basedOn w:val="Fuentedeprrafopredeter"/>
    <w:uiPriority w:val="19"/>
    <w:qFormat/>
    <w:rsid w:val="005973A2"/>
    <w:rPr>
      <w:i/>
      <w:iCs/>
    </w:rPr>
  </w:style>
  <w:style w:type="table" w:styleId="Sombreadoclaro-nfasis1">
    <w:name w:val="Light Shading Accent 1"/>
    <w:basedOn w:val="Tablanormal"/>
    <w:uiPriority w:val="60"/>
    <w:rsid w:val="005973A2"/>
    <w:rPr>
      <w:rFonts w:ascii="Calibri" w:eastAsia="SimSun" w:hAnsi="Calibri" w:cs="SimSu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medio2-nfasis5">
    <w:name w:val="Medium Shading 2 Accent 5"/>
    <w:basedOn w:val="Tablanormal"/>
    <w:uiPriority w:val="64"/>
    <w:rsid w:val="005973A2"/>
    <w:rPr>
      <w:rFonts w:ascii="Calibri" w:eastAsia="SimSun" w:hAnsi="Calibri" w:cs="SimSun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">
    <w:name w:val="Light List"/>
    <w:basedOn w:val="Tablanormal"/>
    <w:uiPriority w:val="61"/>
    <w:rsid w:val="005973A2"/>
    <w:rPr>
      <w:rFonts w:ascii="Calibri" w:eastAsia="SimSun" w:hAnsi="Calibri" w:cs="SimSun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Descripcin">
    <w:name w:val="caption"/>
    <w:basedOn w:val="Normal"/>
    <w:next w:val="Normal"/>
    <w:uiPriority w:val="35"/>
    <w:qFormat/>
    <w:rsid w:val="005973A2"/>
    <w:pPr>
      <w:spacing w:line="240" w:lineRule="auto"/>
    </w:pPr>
    <w:rPr>
      <w:i/>
      <w:iCs/>
      <w:color w:val="1F497D"/>
      <w:sz w:val="18"/>
      <w:szCs w:val="18"/>
    </w:rPr>
  </w:style>
  <w:style w:type="paragraph" w:styleId="Prrafodelista">
    <w:name w:val="List Paragraph"/>
    <w:basedOn w:val="Normal"/>
    <w:uiPriority w:val="34"/>
    <w:qFormat/>
    <w:rsid w:val="005973A2"/>
    <w:pPr>
      <w:ind w:left="720"/>
      <w:contextualSpacing/>
    </w:pPr>
  </w:style>
  <w:style w:type="table" w:styleId="Listaclara-nfasis3">
    <w:name w:val="Light List Accent 3"/>
    <w:basedOn w:val="Tablanormal"/>
    <w:uiPriority w:val="61"/>
    <w:rsid w:val="005973A2"/>
    <w:rPr>
      <w:rFonts w:ascii="Calibri" w:eastAsia="SimSun" w:hAnsi="Calibri" w:cs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Refdecomentario">
    <w:name w:val="annotation reference"/>
    <w:basedOn w:val="Fuentedeprrafopredeter"/>
    <w:uiPriority w:val="99"/>
    <w:rsid w:val="00597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5973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5973A2"/>
    <w:rPr>
      <w:rFonts w:ascii="Calibri" w:eastAsia="Calibri" w:hAnsi="Calibri" w:cs="SimSu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73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973A2"/>
    <w:rPr>
      <w:rFonts w:ascii="Calibri" w:eastAsia="Calibri" w:hAnsi="Calibri" w:cs="SimSun"/>
      <w:b/>
      <w:bCs/>
      <w:lang w:eastAsia="en-US"/>
    </w:rPr>
  </w:style>
  <w:style w:type="character" w:customStyle="1" w:styleId="fontstyle01">
    <w:name w:val="fontstyle01"/>
    <w:rsid w:val="005973A2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Normal"/>
    <w:uiPriority w:val="99"/>
    <w:unhideWhenUsed/>
    <w:rsid w:val="005973A2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12"/>
      <w:szCs w:val="12"/>
      <w:lang w:eastAsia="es-ES"/>
    </w:rPr>
  </w:style>
  <w:style w:type="character" w:customStyle="1" w:styleId="fundeu-field">
    <w:name w:val="fundeu-field"/>
    <w:basedOn w:val="Fuentedeprrafopredeter"/>
    <w:rsid w:val="005973A2"/>
  </w:style>
  <w:style w:type="paragraph" w:styleId="Textoindependiente">
    <w:name w:val="Body Text"/>
    <w:basedOn w:val="Normal"/>
    <w:link w:val="TextoindependienteCar"/>
    <w:uiPriority w:val="99"/>
    <w:unhideWhenUsed/>
    <w:rsid w:val="005973A2"/>
    <w:pPr>
      <w:spacing w:after="120" w:line="240" w:lineRule="auto"/>
    </w:pPr>
    <w:rPr>
      <w:rFonts w:ascii="Arial" w:eastAsia="Times New Roman" w:hAnsi="Arial" w:cs="Arial"/>
      <w:sz w:val="12"/>
      <w:szCs w:val="12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973A2"/>
    <w:rPr>
      <w:rFonts w:ascii="Arial" w:hAnsi="Arial" w:cs="Arial"/>
      <w:sz w:val="12"/>
      <w:szCs w:val="1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73A2"/>
    <w:rPr>
      <w:color w:val="605E5C"/>
      <w:shd w:val="clear" w:color="auto" w:fill="E1DFDD"/>
    </w:rPr>
  </w:style>
  <w:style w:type="paragraph" w:customStyle="1" w:styleId="n2">
    <w:name w:val="n2"/>
    <w:basedOn w:val="Normal"/>
    <w:rsid w:val="0059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">
    <w:name w:val="j"/>
    <w:basedOn w:val="Normal"/>
    <w:rsid w:val="0059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cep">
    <w:name w:val="n_acep"/>
    <w:basedOn w:val="Fuentedeprrafopredeter"/>
    <w:rsid w:val="005973A2"/>
  </w:style>
  <w:style w:type="paragraph" w:customStyle="1" w:styleId="j2">
    <w:name w:val="j2"/>
    <w:basedOn w:val="Normal"/>
    <w:rsid w:val="0059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">
    <w:name w:val="h"/>
    <w:basedOn w:val="Fuentedeprrafopredeter"/>
    <w:rsid w:val="0059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32238757" TargetMode="External"/><Relationship Id="rId18" Type="http://schemas.openxmlformats.org/officeDocument/2006/relationships/hyperlink" Target="https://pubmed.ncbi.nlm.nih.gov/31967327/" TargetMode="External"/><Relationship Id="rId26" Type="http://schemas.openxmlformats.org/officeDocument/2006/relationships/hyperlink" Target="https://www.sciencedirect.com/science/article/pii/s2013251420300754" TargetMode="External"/><Relationship Id="rId39" Type="http://schemas.openxmlformats.org/officeDocument/2006/relationships/hyperlink" Target="http://files.sld.cu/bvscuba.sld.cu/files/2020/05/Anuario-Electr%C3%B3nico-Espa%C3%B1ol-2019-ed-20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med.ncbi.nlm.nih.gov/24141714/" TargetMode="External"/><Relationship Id="rId34" Type="http://schemas.openxmlformats.org/officeDocument/2006/relationships/hyperlink" Target="http://www.scielo.org.pe/scielo.php?pid=S1726-46342020000200253&amp;script=sci_arttext" TargetMode="External"/><Relationship Id="rId42" Type="http://schemas.openxmlformats.org/officeDocument/2006/relationships/hyperlink" Target="https://espa&#241;ol.cdc.gov/coronavirus/2019-ncov/need-extra-precautions/older-adults.html" TargetMode="External"/><Relationship Id="rId47" Type="http://schemas.openxmlformats.org/officeDocument/2006/relationships/hyperlink" Target="http://www.revhabanera.sld.cu/index.php/rhab/article/view/3378" TargetMode="External"/><Relationship Id="rId50" Type="http://schemas.openxmlformats.org/officeDocument/2006/relationships/footer" Target="footer2.xml"/><Relationship Id="rId7" Type="http://schemas.openxmlformats.org/officeDocument/2006/relationships/hyperlink" Target="https://orcid.org/0000-0001-6942-3333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www.revhabanera.sld.cu/index.php/rhab/article/view/3254/2505" TargetMode="External"/><Relationship Id="rId25" Type="http://schemas.openxmlformats.org/officeDocument/2006/relationships/hyperlink" Target="https://www.doi.org/10.2807/1560-7917" TargetMode="External"/><Relationship Id="rId33" Type="http://schemas.openxmlformats.org/officeDocument/2006/relationships/hyperlink" Target="https://www.doi.org/10.1016/S0140-6736(20)31189-2" TargetMode="External"/><Relationship Id="rId38" Type="http://schemas.openxmlformats.org/officeDocument/2006/relationships/hyperlink" Target="https://www.sciencedirect.com/science/article/pii/s1201971220302502" TargetMode="External"/><Relationship Id="rId46" Type="http://schemas.openxmlformats.org/officeDocument/2006/relationships/hyperlink" Target="https://www.nejm.org/doi/full/10.1056/nejmoa20020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S0140-6736(20)30183-5" TargetMode="External"/><Relationship Id="rId20" Type="http://schemas.openxmlformats.org/officeDocument/2006/relationships/hyperlink" Target="http://www.medisan.sld.cu/index.php/san/article/view/3146" TargetMode="External"/><Relationship Id="rId29" Type="http://schemas.openxmlformats.org/officeDocument/2006/relationships/hyperlink" Target="https://medimay.sld.cu/index.php/rcmh/article/view/1660" TargetMode="External"/><Relationship Id="rId41" Type="http://schemas.openxmlformats.org/officeDocument/2006/relationships/hyperlink" Target="https://www.nature.com/articles/s41569-020-0360-5?fbclid=IwAR3TjvxiEtYQqNkpsPuEuuef94Gp2m4a89Y2pw2FtOxsSPxGZ18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24" Type="http://schemas.openxmlformats.org/officeDocument/2006/relationships/hyperlink" Target="http://idpjournal.biomedcentral.com/articles/10.1186/s40249-020-00679-2" TargetMode="External"/><Relationship Id="rId32" Type="http://schemas.openxmlformats.org/officeDocument/2006/relationships/hyperlink" Target="http://jamanetwork.com/journals/jamanetworkopen/fullarticle/2766237" TargetMode="External"/><Relationship Id="rId37" Type="http://schemas.openxmlformats.org/officeDocument/2006/relationships/hyperlink" Target="https://www.researchgate.net/publication/341651933_Epidemiological_characteristics_of_infection_in_COVID-19_close_contacts_in_Nigbo_city" TargetMode="External"/><Relationship Id="rId40" Type="http://schemas.openxmlformats.org/officeDocument/2006/relationships/hyperlink" Target="https://jamanetwork.com/journals/jamacardiology/fullarticle/2763846" TargetMode="External"/><Relationship Id="rId45" Type="http://schemas.openxmlformats.org/officeDocument/2006/relationships/hyperlink" Target="http://scielo.sld.cu/scielo.php?script=sci_arttex&amp;pid=s1029_30192020000300501&amp;ing=es&amp;nrm=iso&amp;tlng=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vid19.who.int/?gclid=EAIaIQobChMIrLW_poyo7QIVxNrICh2Z6Q5OEAAYASAAEgICfvD_BwE" TargetMode="External"/><Relationship Id="rId23" Type="http://schemas.openxmlformats.org/officeDocument/2006/relationships/hyperlink" Target="https://doi.org/10.1016/j.jmii.2020.05.001" TargetMode="External"/><Relationship Id="rId28" Type="http://schemas.openxmlformats.org/officeDocument/2006/relationships/hyperlink" Target="https://medisan.sld.cu/index.php/san/article/view/3145" TargetMode="External"/><Relationship Id="rId36" Type="http://schemas.openxmlformats.org/officeDocument/2006/relationships/hyperlink" Target="https://www.revistamedicinainterna.net/index.php/spmi/article/view/506" TargetMode="External"/><Relationship Id="rId49" Type="http://schemas.openxmlformats.org/officeDocument/2006/relationships/footer" Target="footer1.xml"/><Relationship Id="rId10" Type="http://schemas.openxmlformats.org/officeDocument/2006/relationships/image" Target="media/image1.gif"/><Relationship Id="rId19" Type="http://schemas.openxmlformats.org/officeDocument/2006/relationships/hyperlink" Target="https://www.revcardiologia.sld.cu/index.php/revcardiologia/article/view/9998" TargetMode="External"/><Relationship Id="rId31" Type="http://schemas.openxmlformats.org/officeDocument/2006/relationships/hyperlink" Target="https://doi.org/10.1007/s11427-020-1661-4" TargetMode="External"/><Relationship Id="rId44" Type="http://schemas.openxmlformats.org/officeDocument/2006/relationships/hyperlink" Target="https://www.medrxiv.org/content/10.1101/2020.03.22.20040774v1.full.pdf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uanbhlg@infomed.sld.cu" TargetMode="External"/><Relationship Id="rId14" Type="http://schemas.openxmlformats.org/officeDocument/2006/relationships/hyperlink" Target="http://www.doi.org/10.1002/jmv.25748" TargetMode="External"/><Relationship Id="rId22" Type="http://schemas.openxmlformats.org/officeDocument/2006/relationships/hyperlink" Target="https://jamanetwork.com/journals/jama/fullarticle/2762130" TargetMode="External"/><Relationship Id="rId27" Type="http://schemas.openxmlformats.org/officeDocument/2006/relationships/hyperlink" Target="https://www.thelancet.com/journal/lancet/onlinefirst" TargetMode="External"/><Relationship Id="rId30" Type="http://schemas.openxmlformats.org/officeDocument/2006/relationships/hyperlink" Target="https://revzoilomarinello.sld.cu/index.php/zmv/article/view/2361" TargetMode="External"/><Relationship Id="rId35" Type="http://schemas.openxmlformats.org/officeDocument/2006/relationships/hyperlink" Target="https://www.doi.org/10.1016/s0140-6736(20)30526-2" TargetMode="External"/><Relationship Id="rId43" Type="http://schemas.openxmlformats.org/officeDocument/2006/relationships/hyperlink" Target="https://www.thelancet.com/journals/lancet/article/PIIs0140-6736(20)30211-7/fulltext" TargetMode="External"/><Relationship Id="rId48" Type="http://schemas.openxmlformats.org/officeDocument/2006/relationships/header" Target="header1.xml"/><Relationship Id="rId8" Type="http://schemas.openxmlformats.org/officeDocument/2006/relationships/hyperlink" Target="https://orcid.org/0000-0002-5304-3675" TargetMode="External"/><Relationship Id="rId51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OK_artículo.dotx</Template>
  <TotalTime>30</TotalTime>
  <Pages>15</Pages>
  <Words>4473</Words>
  <Characters>24606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29021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SG</cp:lastModifiedBy>
  <cp:revision>6</cp:revision>
  <cp:lastPrinted>2010-09-13T21:29:00Z</cp:lastPrinted>
  <dcterms:created xsi:type="dcterms:W3CDTF">2021-04-15T18:36:00Z</dcterms:created>
  <dcterms:modified xsi:type="dcterms:W3CDTF">2021-04-17T00:11:00Z</dcterms:modified>
</cp:coreProperties>
</file>