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4FFF1" w14:textId="77777777" w:rsidR="00BF79D0" w:rsidRPr="00BF79D0" w:rsidRDefault="00BF79D0" w:rsidP="00BF79D0">
      <w:pPr>
        <w:keepNext/>
        <w:spacing w:line="360" w:lineRule="auto"/>
        <w:jc w:val="right"/>
        <w:outlineLvl w:val="1"/>
        <w:rPr>
          <w:rFonts w:eastAsia="Calibri"/>
          <w:bCs/>
          <w:sz w:val="20"/>
          <w:szCs w:val="20"/>
          <w:lang w:val="es-ES" w:eastAsia="en-US"/>
        </w:rPr>
      </w:pPr>
      <w:r w:rsidRPr="00BF79D0">
        <w:rPr>
          <w:rFonts w:eastAsia="Calibri"/>
          <w:bCs/>
          <w:sz w:val="20"/>
          <w:szCs w:val="20"/>
          <w:lang w:val="es-ES" w:eastAsia="en-US"/>
        </w:rPr>
        <w:t>Artículo de investigación</w:t>
      </w:r>
    </w:p>
    <w:p w14:paraId="4D3BACAC" w14:textId="77777777" w:rsidR="00BF79D0" w:rsidRPr="00BF79D0" w:rsidRDefault="00BF79D0" w:rsidP="00BF79D0">
      <w:pPr>
        <w:spacing w:line="360" w:lineRule="auto"/>
        <w:jc w:val="right"/>
        <w:rPr>
          <w:rFonts w:eastAsia="Calibri"/>
          <w:bCs/>
          <w:sz w:val="20"/>
          <w:szCs w:val="20"/>
          <w:lang w:val="es-ES" w:eastAsia="en-US"/>
        </w:rPr>
      </w:pPr>
    </w:p>
    <w:p w14:paraId="055C2073" w14:textId="77777777" w:rsidR="00BF79D0" w:rsidRPr="00BF79D0" w:rsidRDefault="00BF79D0" w:rsidP="00BF79D0">
      <w:pPr>
        <w:keepNext/>
        <w:spacing w:line="360" w:lineRule="auto"/>
        <w:jc w:val="center"/>
        <w:outlineLvl w:val="0"/>
        <w:rPr>
          <w:rFonts w:eastAsia="Calibri"/>
          <w:b/>
          <w:bCs/>
          <w:sz w:val="28"/>
          <w:szCs w:val="28"/>
          <w:lang w:val="es-ES" w:eastAsia="en-US"/>
        </w:rPr>
      </w:pPr>
      <w:r w:rsidRPr="00BF79D0">
        <w:rPr>
          <w:rFonts w:eastAsia="Calibri"/>
          <w:b/>
          <w:bCs/>
          <w:sz w:val="28"/>
          <w:szCs w:val="28"/>
          <w:lang w:val="es-ES" w:eastAsia="en-US"/>
        </w:rPr>
        <w:t>Diabetes, hiperglucemia y evolución de pacientes con la COVID-19</w:t>
      </w:r>
    </w:p>
    <w:p w14:paraId="3A5586B6" w14:textId="77777777" w:rsidR="00BF79D0" w:rsidRPr="00BF79D0" w:rsidRDefault="00BF79D0" w:rsidP="00BF79D0">
      <w:pPr>
        <w:spacing w:line="360" w:lineRule="auto"/>
        <w:jc w:val="center"/>
        <w:rPr>
          <w:rFonts w:eastAsia="Calibri"/>
          <w:bCs/>
          <w:sz w:val="28"/>
          <w:szCs w:val="28"/>
          <w:lang w:val="en" w:eastAsia="en-US"/>
        </w:rPr>
      </w:pPr>
      <w:r w:rsidRPr="00BF79D0">
        <w:rPr>
          <w:rFonts w:eastAsia="Calibri"/>
          <w:bCs/>
          <w:sz w:val="28"/>
          <w:szCs w:val="28"/>
          <w:lang w:val="en" w:eastAsia="en-US"/>
        </w:rPr>
        <w:t>Diabetes, hyperglycemia and evolution of patients with COVID-19</w:t>
      </w:r>
    </w:p>
    <w:p w14:paraId="7E1DD106" w14:textId="77777777" w:rsidR="00BF79D0" w:rsidRPr="00BF79D0" w:rsidRDefault="00BF79D0" w:rsidP="00BF79D0">
      <w:pPr>
        <w:spacing w:line="360" w:lineRule="auto"/>
        <w:jc w:val="both"/>
        <w:rPr>
          <w:rFonts w:eastAsia="Calibri"/>
          <w:b/>
          <w:bCs/>
          <w:lang w:val="en-US" w:eastAsia="en-US"/>
        </w:rPr>
      </w:pPr>
    </w:p>
    <w:p w14:paraId="58E8DC5F" w14:textId="77777777" w:rsidR="00BF79D0" w:rsidRPr="00BF79D0" w:rsidRDefault="00BF79D0" w:rsidP="00BF79D0">
      <w:pPr>
        <w:spacing w:line="360" w:lineRule="auto"/>
        <w:jc w:val="both"/>
        <w:rPr>
          <w:rFonts w:eastAsia="Calibri"/>
          <w:lang w:val="es-CU" w:eastAsia="en-US"/>
        </w:rPr>
      </w:pPr>
      <w:r w:rsidRPr="00BF79D0">
        <w:rPr>
          <w:rFonts w:eastAsia="Calibri"/>
          <w:lang w:val="es-CU" w:eastAsia="en-US"/>
        </w:rPr>
        <w:t>Rubén González Tabares</w:t>
      </w:r>
      <w:r w:rsidRPr="00BF79D0">
        <w:rPr>
          <w:rFonts w:eastAsia="Calibri"/>
          <w:vertAlign w:val="superscript"/>
          <w:lang w:val="es-CU" w:eastAsia="en-US"/>
        </w:rPr>
        <w:t>1</w:t>
      </w:r>
      <w:r w:rsidRPr="00BF79D0">
        <w:rPr>
          <w:rFonts w:eastAsia="Calibri"/>
          <w:lang w:val="es-CU" w:eastAsia="en-US"/>
        </w:rPr>
        <w:t xml:space="preserve">* </w:t>
      </w:r>
      <w:hyperlink r:id="rId7" w:history="1">
        <w:r w:rsidRPr="00BF79D0">
          <w:rPr>
            <w:rFonts w:eastAsia="Calibri"/>
            <w:color w:val="0563C1"/>
            <w:u w:val="single"/>
            <w:lang w:val="es-CU" w:eastAsia="en-US"/>
          </w:rPr>
          <w:t>https://orcid.org/0000-0002-4076-8650</w:t>
        </w:r>
      </w:hyperlink>
      <w:r w:rsidRPr="00BF79D0">
        <w:rPr>
          <w:rFonts w:eastAsia="Calibri"/>
          <w:lang w:val="es-CU" w:eastAsia="en-US"/>
        </w:rPr>
        <w:t xml:space="preserve"> </w:t>
      </w:r>
    </w:p>
    <w:p w14:paraId="785B18D3" w14:textId="77777777" w:rsidR="00BF79D0" w:rsidRPr="00BF79D0" w:rsidRDefault="00BF79D0" w:rsidP="00BF79D0">
      <w:pPr>
        <w:spacing w:line="360" w:lineRule="auto"/>
        <w:jc w:val="both"/>
        <w:rPr>
          <w:rFonts w:eastAsia="Calibri"/>
          <w:lang w:val="es-CU" w:eastAsia="en-US"/>
        </w:rPr>
      </w:pPr>
      <w:r w:rsidRPr="00BF79D0">
        <w:rPr>
          <w:rFonts w:eastAsia="Calibri"/>
          <w:lang w:val="es-CU" w:eastAsia="en-US"/>
        </w:rPr>
        <w:t>Frank Abel Acosta González</w:t>
      </w:r>
      <w:r w:rsidRPr="00BF79D0">
        <w:rPr>
          <w:rFonts w:eastAsia="Calibri"/>
          <w:vertAlign w:val="superscript"/>
          <w:lang w:val="es-CU" w:eastAsia="en-US"/>
        </w:rPr>
        <w:t>1</w:t>
      </w:r>
      <w:r w:rsidRPr="00BF79D0">
        <w:rPr>
          <w:rFonts w:eastAsia="Calibri"/>
          <w:lang w:val="es-CU" w:eastAsia="en-US"/>
        </w:rPr>
        <w:t xml:space="preserve"> </w:t>
      </w:r>
      <w:hyperlink r:id="rId8" w:history="1">
        <w:r w:rsidRPr="00BF79D0">
          <w:rPr>
            <w:rFonts w:eastAsia="Calibri"/>
            <w:color w:val="0563C1"/>
            <w:u w:val="single"/>
            <w:lang w:val="es-CU" w:eastAsia="en-US"/>
          </w:rPr>
          <w:t>https://orcid.org/0000-0003-0607-6658</w:t>
        </w:r>
      </w:hyperlink>
      <w:r w:rsidRPr="00BF79D0">
        <w:rPr>
          <w:rFonts w:eastAsia="Calibri"/>
          <w:lang w:val="es-CU" w:eastAsia="en-US"/>
        </w:rPr>
        <w:t xml:space="preserve"> </w:t>
      </w:r>
    </w:p>
    <w:p w14:paraId="59D46191" w14:textId="77777777" w:rsidR="00BF79D0" w:rsidRPr="00BF79D0" w:rsidRDefault="00BF79D0" w:rsidP="00BF79D0">
      <w:pPr>
        <w:spacing w:line="360" w:lineRule="auto"/>
        <w:jc w:val="both"/>
        <w:rPr>
          <w:rFonts w:eastAsia="Calibri"/>
          <w:lang w:val="es-CU" w:eastAsia="en-US"/>
        </w:rPr>
      </w:pPr>
      <w:proofErr w:type="spellStart"/>
      <w:r w:rsidRPr="00BF79D0">
        <w:rPr>
          <w:rFonts w:eastAsia="Calibri"/>
          <w:lang w:val="es-CU" w:eastAsia="en-US"/>
        </w:rPr>
        <w:t>Evián</w:t>
      </w:r>
      <w:proofErr w:type="spellEnd"/>
      <w:r w:rsidRPr="00BF79D0">
        <w:rPr>
          <w:rFonts w:eastAsia="Calibri"/>
          <w:lang w:val="es-CU" w:eastAsia="en-US"/>
        </w:rPr>
        <w:t xml:space="preserve"> Oliva Villa</w:t>
      </w:r>
      <w:r w:rsidRPr="00BF79D0">
        <w:rPr>
          <w:rFonts w:eastAsia="Calibri"/>
          <w:vertAlign w:val="superscript"/>
          <w:lang w:val="es-CU" w:eastAsia="en-US"/>
        </w:rPr>
        <w:t>1</w:t>
      </w:r>
      <w:r w:rsidRPr="00BF79D0">
        <w:rPr>
          <w:rFonts w:eastAsia="Calibri"/>
          <w:lang w:val="es-CU" w:eastAsia="en-US"/>
        </w:rPr>
        <w:t xml:space="preserve"> </w:t>
      </w:r>
      <w:hyperlink r:id="rId9" w:history="1">
        <w:r w:rsidRPr="00BF79D0">
          <w:rPr>
            <w:rFonts w:eastAsia="Calibri"/>
            <w:color w:val="0563C1"/>
            <w:u w:val="single"/>
            <w:lang w:val="es-CU" w:eastAsia="en-US"/>
          </w:rPr>
          <w:t>https://orcid.org/0000-0002-3077-9970</w:t>
        </w:r>
      </w:hyperlink>
      <w:r w:rsidRPr="00BF79D0">
        <w:rPr>
          <w:rFonts w:eastAsia="Calibri"/>
          <w:lang w:val="es-CU" w:eastAsia="en-US"/>
        </w:rPr>
        <w:t xml:space="preserve"> </w:t>
      </w:r>
    </w:p>
    <w:p w14:paraId="43AFEEE3" w14:textId="77777777" w:rsidR="00BF79D0" w:rsidRPr="00BF79D0" w:rsidRDefault="00BF79D0" w:rsidP="00BF79D0">
      <w:pPr>
        <w:spacing w:line="360" w:lineRule="auto"/>
        <w:jc w:val="both"/>
        <w:rPr>
          <w:rFonts w:eastAsia="Calibri"/>
          <w:lang w:val="es-CU" w:eastAsia="en-US"/>
        </w:rPr>
      </w:pPr>
      <w:r w:rsidRPr="00BF79D0">
        <w:rPr>
          <w:rFonts w:eastAsia="Calibri"/>
          <w:lang w:val="es-CU" w:eastAsia="en-US"/>
        </w:rPr>
        <w:t>Sandy Fidel Rodríguez Reyes</w:t>
      </w:r>
      <w:r w:rsidRPr="00BF79D0">
        <w:rPr>
          <w:rFonts w:eastAsia="Calibri"/>
          <w:vertAlign w:val="superscript"/>
          <w:lang w:val="es-CU" w:eastAsia="en-US"/>
        </w:rPr>
        <w:t>1</w:t>
      </w:r>
      <w:r w:rsidRPr="00BF79D0">
        <w:rPr>
          <w:rFonts w:eastAsia="Calibri"/>
          <w:lang w:val="es-CU" w:eastAsia="en-US"/>
        </w:rPr>
        <w:t xml:space="preserve"> </w:t>
      </w:r>
      <w:hyperlink r:id="rId10" w:history="1">
        <w:r w:rsidRPr="00BF79D0">
          <w:rPr>
            <w:rFonts w:eastAsia="Calibri"/>
            <w:color w:val="0563C1"/>
            <w:u w:val="single"/>
            <w:lang w:val="es-CU" w:eastAsia="en-US"/>
          </w:rPr>
          <w:t>https://orcid.org/0000-0001-9499-316X</w:t>
        </w:r>
      </w:hyperlink>
      <w:r w:rsidRPr="00BF79D0">
        <w:rPr>
          <w:rFonts w:eastAsia="Calibri"/>
          <w:lang w:val="es-CU" w:eastAsia="en-US"/>
        </w:rPr>
        <w:t xml:space="preserve"> </w:t>
      </w:r>
    </w:p>
    <w:p w14:paraId="4F6C53EE" w14:textId="77777777" w:rsidR="00BF79D0" w:rsidRPr="00BF79D0" w:rsidRDefault="00BF79D0" w:rsidP="00BF79D0">
      <w:pPr>
        <w:spacing w:line="360" w:lineRule="auto"/>
        <w:jc w:val="both"/>
        <w:rPr>
          <w:rFonts w:eastAsia="Calibri"/>
          <w:lang w:val="es-CU" w:eastAsia="en-US"/>
        </w:rPr>
      </w:pPr>
      <w:proofErr w:type="spellStart"/>
      <w:r w:rsidRPr="00BF79D0">
        <w:rPr>
          <w:rFonts w:eastAsia="Calibri"/>
          <w:lang w:val="es-CU" w:eastAsia="en-US"/>
        </w:rPr>
        <w:t>Ivelyse</w:t>
      </w:r>
      <w:proofErr w:type="spellEnd"/>
      <w:r w:rsidRPr="00BF79D0">
        <w:rPr>
          <w:rFonts w:eastAsia="Calibri"/>
          <w:lang w:val="es-CU" w:eastAsia="en-US"/>
        </w:rPr>
        <w:t xml:space="preserve"> Cabeza Echevarría</w:t>
      </w:r>
      <w:r w:rsidRPr="00BF79D0">
        <w:rPr>
          <w:rFonts w:eastAsia="Calibri"/>
          <w:vertAlign w:val="superscript"/>
          <w:lang w:val="es-CU" w:eastAsia="en-US"/>
        </w:rPr>
        <w:t>1</w:t>
      </w:r>
      <w:r w:rsidRPr="00BF79D0">
        <w:rPr>
          <w:rFonts w:eastAsia="Calibri"/>
          <w:lang w:val="es-CU" w:eastAsia="en-US"/>
        </w:rPr>
        <w:t xml:space="preserve"> </w:t>
      </w:r>
      <w:hyperlink r:id="rId11" w:history="1">
        <w:r w:rsidRPr="00BF79D0">
          <w:rPr>
            <w:rFonts w:eastAsia="Calibri"/>
            <w:color w:val="0563C1"/>
            <w:u w:val="single"/>
            <w:lang w:val="es-CU" w:eastAsia="en-US"/>
          </w:rPr>
          <w:t>https://orcid.org/0000-0003-2458-8294</w:t>
        </w:r>
      </w:hyperlink>
      <w:r w:rsidRPr="00BF79D0">
        <w:rPr>
          <w:rFonts w:eastAsia="Calibri"/>
          <w:lang w:val="es-CU" w:eastAsia="en-US"/>
        </w:rPr>
        <w:t xml:space="preserve"> </w:t>
      </w:r>
    </w:p>
    <w:p w14:paraId="09DCA6A8" w14:textId="77777777" w:rsidR="00BF79D0" w:rsidRPr="00BF79D0" w:rsidRDefault="00BF79D0" w:rsidP="00BF79D0">
      <w:pPr>
        <w:spacing w:line="360" w:lineRule="auto"/>
        <w:jc w:val="both"/>
        <w:rPr>
          <w:rFonts w:eastAsia="Calibri"/>
          <w:lang w:val="es-CU" w:eastAsia="en-US"/>
        </w:rPr>
      </w:pPr>
    </w:p>
    <w:p w14:paraId="70F242A9" w14:textId="77777777" w:rsidR="00BF79D0" w:rsidRPr="00BF79D0" w:rsidRDefault="00BF79D0" w:rsidP="00BF79D0">
      <w:pPr>
        <w:spacing w:line="360" w:lineRule="auto"/>
        <w:jc w:val="both"/>
        <w:rPr>
          <w:rFonts w:eastAsia="Calibri"/>
          <w:lang w:val="es-CU" w:eastAsia="en-US"/>
        </w:rPr>
      </w:pPr>
      <w:r w:rsidRPr="00BF79D0">
        <w:rPr>
          <w:rFonts w:eastAsia="Calibri"/>
          <w:vertAlign w:val="superscript"/>
          <w:lang w:val="es-CU" w:eastAsia="en-US"/>
        </w:rPr>
        <w:t>1</w:t>
      </w:r>
      <w:r w:rsidRPr="00BF79D0">
        <w:rPr>
          <w:rFonts w:eastAsia="Calibri"/>
          <w:lang w:val="es-CU" w:eastAsia="en-US"/>
        </w:rPr>
        <w:t>Hospital Militar "Dr. Mario Muñoz Monroy". Matanzas, Cuba.</w:t>
      </w:r>
    </w:p>
    <w:p w14:paraId="18F4401D" w14:textId="77777777" w:rsidR="00BF79D0" w:rsidRPr="00BF79D0" w:rsidRDefault="00BF79D0" w:rsidP="00BF79D0">
      <w:pPr>
        <w:spacing w:line="360" w:lineRule="auto"/>
        <w:jc w:val="both"/>
        <w:rPr>
          <w:rFonts w:eastAsia="Calibri"/>
          <w:lang w:val="es-CU" w:eastAsia="en-US"/>
        </w:rPr>
      </w:pPr>
      <w:r w:rsidRPr="00BF79D0">
        <w:rPr>
          <w:rFonts w:eastAsia="Calibri"/>
          <w:lang w:val="es-CU" w:eastAsia="en-US"/>
        </w:rPr>
        <w:t xml:space="preserve">*Autor para la correspondencia. Correo electrónico: </w:t>
      </w:r>
      <w:hyperlink r:id="rId12" w:history="1">
        <w:r w:rsidRPr="00BF79D0">
          <w:rPr>
            <w:rFonts w:eastAsia="Calibri"/>
            <w:color w:val="0563C1"/>
            <w:u w:val="single"/>
            <w:lang w:val="es-CU" w:eastAsia="en-US"/>
          </w:rPr>
          <w:t>rubengt@infomed.sld.cu</w:t>
        </w:r>
      </w:hyperlink>
      <w:r w:rsidRPr="00BF79D0">
        <w:rPr>
          <w:rFonts w:eastAsia="Calibri"/>
          <w:lang w:val="es-CU" w:eastAsia="en-US"/>
        </w:rPr>
        <w:t xml:space="preserve"> </w:t>
      </w:r>
    </w:p>
    <w:p w14:paraId="6D4C4F9B" w14:textId="77777777" w:rsidR="00BF79D0" w:rsidRPr="00BF79D0" w:rsidRDefault="00BF79D0" w:rsidP="00BF79D0">
      <w:pPr>
        <w:spacing w:line="360" w:lineRule="auto"/>
        <w:jc w:val="both"/>
        <w:rPr>
          <w:rFonts w:eastAsia="Calibri"/>
          <w:lang w:val="es-CU" w:eastAsia="en-US"/>
        </w:rPr>
      </w:pPr>
    </w:p>
    <w:p w14:paraId="2396DA8E" w14:textId="77777777" w:rsidR="00BF79D0" w:rsidRPr="00BF79D0" w:rsidRDefault="00BF79D0" w:rsidP="00BF79D0">
      <w:pPr>
        <w:spacing w:line="360" w:lineRule="auto"/>
        <w:jc w:val="both"/>
        <w:rPr>
          <w:rFonts w:eastAsia="Calibri"/>
          <w:b/>
          <w:bCs/>
          <w:lang w:val="es-MX" w:eastAsia="en-US"/>
        </w:rPr>
      </w:pPr>
      <w:r w:rsidRPr="00BF79D0">
        <w:rPr>
          <w:rFonts w:eastAsia="Calibri"/>
          <w:b/>
          <w:bCs/>
          <w:lang w:val="es-MX" w:eastAsia="en-US"/>
        </w:rPr>
        <w:t xml:space="preserve">RESUMEN </w:t>
      </w:r>
    </w:p>
    <w:p w14:paraId="6D4B4D21" w14:textId="77777777" w:rsidR="00BF79D0" w:rsidRPr="00BF79D0" w:rsidRDefault="00BF79D0" w:rsidP="00BF79D0">
      <w:pPr>
        <w:spacing w:line="360" w:lineRule="auto"/>
        <w:jc w:val="both"/>
        <w:rPr>
          <w:rFonts w:eastAsia="Calibri"/>
          <w:bCs/>
          <w:lang w:val="es-MX" w:eastAsia="en-US"/>
        </w:rPr>
      </w:pPr>
      <w:r w:rsidRPr="00BF79D0">
        <w:rPr>
          <w:rFonts w:eastAsia="Calibri"/>
          <w:b/>
          <w:bCs/>
          <w:lang w:val="es-MX" w:eastAsia="en-US"/>
        </w:rPr>
        <w:t>Introducción:</w:t>
      </w:r>
      <w:r w:rsidRPr="00BF79D0">
        <w:rPr>
          <w:rFonts w:eastAsia="Calibri"/>
          <w:bCs/>
          <w:lang w:val="es-MX" w:eastAsia="en-US"/>
        </w:rPr>
        <w:t xml:space="preserve"> La diabetes mellitus e hiperglucemia, en pacientes con la COVID-19, predisponen a mayor gravedad de la enfermedad y peores resultados a corto plazo.</w:t>
      </w:r>
    </w:p>
    <w:p w14:paraId="7CDAD921" w14:textId="77777777" w:rsidR="00BF79D0" w:rsidRPr="00BF79D0" w:rsidRDefault="00BF79D0" w:rsidP="00BF79D0">
      <w:pPr>
        <w:spacing w:line="360" w:lineRule="auto"/>
        <w:jc w:val="both"/>
        <w:rPr>
          <w:rFonts w:eastAsia="Calibri"/>
          <w:bCs/>
          <w:lang w:val="es-MX" w:eastAsia="en-US"/>
        </w:rPr>
      </w:pPr>
      <w:r w:rsidRPr="00BF79D0">
        <w:rPr>
          <w:rFonts w:eastAsia="Calibri"/>
          <w:b/>
          <w:bCs/>
          <w:lang w:val="es-MX" w:eastAsia="en-US"/>
        </w:rPr>
        <w:t xml:space="preserve">Objetivo: </w:t>
      </w:r>
      <w:r w:rsidRPr="00BF79D0">
        <w:rPr>
          <w:rFonts w:eastAsia="Calibri"/>
          <w:bCs/>
          <w:lang w:val="es-MX" w:eastAsia="en-US"/>
        </w:rPr>
        <w:t>Identificar diferencias clínicas, de parámetros humorales, evolución y en el uso de medicamentos en pacientes infectados con el SARS-CoV-2, en relación con el estado glucémico, durante la pandemia de la COVID-19.</w:t>
      </w:r>
    </w:p>
    <w:p w14:paraId="72C8C7CA" w14:textId="5A2F8CEF" w:rsidR="00BF79D0" w:rsidRPr="00BF79D0" w:rsidRDefault="00BF79D0" w:rsidP="00BF79D0">
      <w:pPr>
        <w:spacing w:line="360" w:lineRule="auto"/>
        <w:mirrorIndents/>
        <w:jc w:val="both"/>
        <w:rPr>
          <w:rFonts w:eastAsia="Calibri"/>
          <w:lang w:val="es-MX" w:eastAsia="x-none"/>
        </w:rPr>
      </w:pPr>
      <w:r w:rsidRPr="00BF79D0">
        <w:rPr>
          <w:rFonts w:eastAsia="Calibri"/>
          <w:b/>
          <w:lang w:val="x-none" w:eastAsia="x-none"/>
        </w:rPr>
        <w:t>Métodos</w:t>
      </w:r>
      <w:r w:rsidRPr="00BF79D0">
        <w:rPr>
          <w:rFonts w:eastAsia="Calibri"/>
          <w:lang w:val="x-none" w:eastAsia="x-none"/>
        </w:rPr>
        <w:t xml:space="preserve">: </w:t>
      </w:r>
      <w:r w:rsidRPr="00BF79D0">
        <w:rPr>
          <w:rFonts w:eastAsia="Calibri"/>
          <w:lang w:val="es-MX" w:eastAsia="x-none"/>
        </w:rPr>
        <w:t xml:space="preserve">Estudio retrospectivo, de todos los pacientes infectados con SARS-CoV-2, atendidos en el Hospital Militar “Dr. Mario Muñoz Monroy”, desde </w:t>
      </w:r>
      <w:r w:rsidRPr="00BF79D0">
        <w:rPr>
          <w:rFonts w:eastAsia="Calibri"/>
          <w:lang w:val="x-none" w:eastAsia="x-none"/>
        </w:rPr>
        <w:t xml:space="preserve">el 17 de marzo </w:t>
      </w:r>
      <w:r w:rsidRPr="00BF79D0">
        <w:rPr>
          <w:rFonts w:eastAsia="Calibri"/>
          <w:lang w:val="es-CU" w:eastAsia="x-none"/>
        </w:rPr>
        <w:t>hasta el</w:t>
      </w:r>
      <w:r w:rsidRPr="00BF79D0">
        <w:rPr>
          <w:rFonts w:eastAsia="Calibri"/>
          <w:lang w:val="x-none" w:eastAsia="x-none"/>
        </w:rPr>
        <w:t xml:space="preserve"> 4 de junio</w:t>
      </w:r>
      <w:r w:rsidRPr="00BF79D0">
        <w:rPr>
          <w:rFonts w:eastAsia="Calibri"/>
          <w:lang w:val="es-CU" w:eastAsia="x-none"/>
        </w:rPr>
        <w:t xml:space="preserve"> </w:t>
      </w:r>
      <w:r w:rsidRPr="00BF79D0">
        <w:rPr>
          <w:rFonts w:eastAsia="Calibri"/>
          <w:lang w:val="es-MX" w:eastAsia="x-none"/>
        </w:rPr>
        <w:t>de 2020. Se recopilaron variables demográficas, evolución de los síntomas, estadía hospitalaria, antecedentes patológicos personales, parámetros humorales al ingreso, complicaciones y uso de medicamentos. Fueron creados tres grupos: diabéticos (n = 16), hiperglucémicos (glucemia en ayunas ≥ 7,8 mmol/L; n</w:t>
      </w:r>
      <w:r w:rsidR="00517134">
        <w:rPr>
          <w:rFonts w:eastAsia="Calibri"/>
          <w:lang w:val="es-MX" w:eastAsia="x-none"/>
        </w:rPr>
        <w:t> </w:t>
      </w:r>
      <w:r w:rsidRPr="00BF79D0">
        <w:rPr>
          <w:rFonts w:eastAsia="Calibri"/>
          <w:lang w:val="es-MX" w:eastAsia="x-none"/>
        </w:rPr>
        <w:t>=</w:t>
      </w:r>
      <w:r w:rsidR="00517134">
        <w:rPr>
          <w:rFonts w:eastAsia="Calibri"/>
          <w:lang w:val="es-MX" w:eastAsia="x-none"/>
        </w:rPr>
        <w:t> </w:t>
      </w:r>
      <w:r w:rsidRPr="00BF79D0">
        <w:rPr>
          <w:rFonts w:eastAsia="Calibri"/>
          <w:lang w:val="es-MX" w:eastAsia="x-none"/>
        </w:rPr>
        <w:t xml:space="preserve">10) y </w:t>
      </w:r>
      <w:proofErr w:type="spellStart"/>
      <w:r w:rsidRPr="00BF79D0">
        <w:rPr>
          <w:rFonts w:eastAsia="Calibri"/>
          <w:lang w:val="es-MX" w:eastAsia="x-none"/>
        </w:rPr>
        <w:t>normoglucémicos</w:t>
      </w:r>
      <w:proofErr w:type="spellEnd"/>
      <w:r w:rsidRPr="00BF79D0">
        <w:rPr>
          <w:rFonts w:eastAsia="Calibri"/>
          <w:lang w:val="es-MX" w:eastAsia="x-none"/>
        </w:rPr>
        <w:t xml:space="preserve"> (n = 219). Se utilizaron las pruebas de </w:t>
      </w:r>
      <w:r w:rsidRPr="00BF79D0">
        <w:rPr>
          <w:rFonts w:eastAsia="Calibri"/>
          <w:i/>
          <w:lang w:val="es-MX" w:eastAsia="x-none"/>
        </w:rPr>
        <w:t>ji</w:t>
      </w:r>
      <w:r w:rsidRPr="00BF79D0">
        <w:rPr>
          <w:rFonts w:eastAsia="Calibri"/>
          <w:lang w:val="es-MX" w:eastAsia="x-none"/>
        </w:rPr>
        <w:t xml:space="preserve"> cuadrado y H de </w:t>
      </w:r>
      <w:r w:rsidRPr="00BF79D0">
        <w:rPr>
          <w:rFonts w:eastAsia="Calibri"/>
          <w:lang w:val="x-none" w:eastAsia="x-none"/>
        </w:rPr>
        <w:t>Kruskal – Wallis</w:t>
      </w:r>
      <w:r w:rsidRPr="00BF79D0">
        <w:rPr>
          <w:rFonts w:eastAsia="Calibri"/>
          <w:lang w:val="es-CU" w:eastAsia="x-none"/>
        </w:rPr>
        <w:t>,</w:t>
      </w:r>
      <w:r w:rsidRPr="00BF79D0">
        <w:rPr>
          <w:rFonts w:eastAsia="Calibri"/>
          <w:lang w:val="es-MX" w:eastAsia="x-none"/>
        </w:rPr>
        <w:t xml:space="preserve"> para las comparaciones entre los grupos. Se usó un intervalo de confianza del 95 %.</w:t>
      </w:r>
    </w:p>
    <w:p w14:paraId="1BA57384" w14:textId="77777777" w:rsidR="00BF79D0" w:rsidRPr="00BF79D0" w:rsidRDefault="00BF79D0" w:rsidP="00BF79D0">
      <w:pPr>
        <w:spacing w:line="360" w:lineRule="auto"/>
        <w:mirrorIndents/>
        <w:jc w:val="both"/>
        <w:rPr>
          <w:rFonts w:eastAsia="Calibri"/>
          <w:lang w:eastAsia="x-none"/>
        </w:rPr>
      </w:pPr>
      <w:r w:rsidRPr="00BF79D0">
        <w:rPr>
          <w:rFonts w:eastAsia="Calibri"/>
          <w:b/>
          <w:lang w:eastAsia="x-none"/>
        </w:rPr>
        <w:t>Resultados</w:t>
      </w:r>
      <w:r w:rsidRPr="00BF79D0">
        <w:rPr>
          <w:rFonts w:eastAsia="Calibri"/>
          <w:lang w:eastAsia="x-none"/>
        </w:rPr>
        <w:t xml:space="preserve">: Los pacientes diabéticos e hiperglucémicos, en relación con </w:t>
      </w:r>
      <w:proofErr w:type="spellStart"/>
      <w:r w:rsidRPr="00BF79D0">
        <w:rPr>
          <w:rFonts w:eastAsia="Calibri"/>
          <w:lang w:eastAsia="x-none"/>
        </w:rPr>
        <w:t>normoglucémicos</w:t>
      </w:r>
      <w:proofErr w:type="spellEnd"/>
      <w:r w:rsidRPr="00BF79D0">
        <w:rPr>
          <w:rFonts w:eastAsia="Calibri"/>
          <w:lang w:eastAsia="x-none"/>
        </w:rPr>
        <w:t xml:space="preserve">, tuvieron mayor proporción de sintomáticos al ingreso, hipertensión arterial, cardiopatía isquémica, insuficiencia </w:t>
      </w:r>
      <w:r w:rsidRPr="00BF79D0">
        <w:rPr>
          <w:rFonts w:eastAsia="Calibri"/>
          <w:lang w:eastAsia="x-none"/>
        </w:rPr>
        <w:lastRenderedPageBreak/>
        <w:t xml:space="preserve">renal crónica, otros antecedentes, complicaciones, mortalidad, uso de esteroides y </w:t>
      </w:r>
      <w:proofErr w:type="spellStart"/>
      <w:r w:rsidRPr="00BF79D0">
        <w:rPr>
          <w:rFonts w:eastAsia="Calibri"/>
          <w:lang w:eastAsia="x-none"/>
        </w:rPr>
        <w:t>Jusvinza</w:t>
      </w:r>
      <w:proofErr w:type="spellEnd"/>
      <w:r w:rsidRPr="00BF79D0">
        <w:rPr>
          <w:rFonts w:eastAsia="Calibri"/>
          <w:lang w:eastAsia="x-none"/>
        </w:rPr>
        <w:t xml:space="preserve">. Además, tuvieron menores valores de hematocrito y linfocitos, mayores de neutrófilos, plaquetas, creatinina, </w:t>
      </w:r>
      <w:r w:rsidRPr="00BF79D0">
        <w:rPr>
          <w:rFonts w:eastAsia="Calibri"/>
          <w:bCs/>
          <w:color w:val="000000"/>
          <w:lang w:val="es-ES" w:eastAsia="x-none"/>
        </w:rPr>
        <w:t>aspartato amino transferasa</w:t>
      </w:r>
      <w:r w:rsidRPr="00BF79D0">
        <w:rPr>
          <w:rFonts w:eastAsia="Calibri"/>
          <w:lang w:eastAsia="x-none"/>
        </w:rPr>
        <w:t xml:space="preserve">, </w:t>
      </w:r>
      <w:proofErr w:type="spellStart"/>
      <w:r w:rsidRPr="00BF79D0">
        <w:rPr>
          <w:rFonts w:eastAsia="Calibri"/>
          <w:bCs/>
          <w:color w:val="000000"/>
          <w:lang w:val="es-ES" w:eastAsia="x-none"/>
        </w:rPr>
        <w:t>glutamil</w:t>
      </w:r>
      <w:proofErr w:type="spellEnd"/>
      <w:r w:rsidRPr="00BF79D0">
        <w:rPr>
          <w:rFonts w:eastAsia="Calibri"/>
          <w:bCs/>
          <w:color w:val="000000"/>
          <w:lang w:val="es-ES" w:eastAsia="x-none"/>
        </w:rPr>
        <w:t xml:space="preserve"> transpeptidasa</w:t>
      </w:r>
      <w:r w:rsidRPr="00BF79D0">
        <w:rPr>
          <w:rFonts w:eastAsia="Calibri"/>
          <w:lang w:eastAsia="x-none"/>
        </w:rPr>
        <w:t xml:space="preserve">, fosfatasa alcalina y </w:t>
      </w:r>
      <w:r w:rsidRPr="00BF79D0">
        <w:rPr>
          <w:rFonts w:eastAsia="Calibri"/>
          <w:bCs/>
          <w:color w:val="000000"/>
          <w:lang w:val="es-ES" w:eastAsia="x-none"/>
        </w:rPr>
        <w:t>deshidrogenasa láctica</w:t>
      </w:r>
      <w:r w:rsidRPr="00BF79D0">
        <w:rPr>
          <w:rFonts w:eastAsia="Calibri"/>
          <w:lang w:eastAsia="x-none"/>
        </w:rPr>
        <w:t>.</w:t>
      </w:r>
    </w:p>
    <w:p w14:paraId="354D4E6B" w14:textId="77777777" w:rsidR="00BF79D0" w:rsidRPr="00BF79D0" w:rsidRDefault="00BF79D0" w:rsidP="00BF79D0">
      <w:pPr>
        <w:spacing w:line="360" w:lineRule="auto"/>
        <w:jc w:val="both"/>
        <w:rPr>
          <w:rFonts w:eastAsia="Calibri"/>
          <w:bCs/>
          <w:lang w:val="es-MX" w:eastAsia="en-US"/>
        </w:rPr>
      </w:pPr>
      <w:r w:rsidRPr="00BF79D0">
        <w:rPr>
          <w:rFonts w:eastAsia="Calibri"/>
          <w:b/>
          <w:bCs/>
          <w:lang w:val="es-MX" w:eastAsia="en-US"/>
        </w:rPr>
        <w:t>Conclusiones:</w:t>
      </w:r>
      <w:r w:rsidRPr="00BF79D0">
        <w:rPr>
          <w:rFonts w:eastAsia="Calibri"/>
          <w:bCs/>
          <w:lang w:eastAsia="en-US"/>
        </w:rPr>
        <w:t xml:space="preserve"> Tanto la diabetes como la hiperglucemia predisponen a formas clínicas más graves de COVID-19, con peores parámetros humorales, evolución y mayor mortalidad. En estos pacientes se usa con mayor frecuencia esteroides y </w:t>
      </w:r>
      <w:proofErr w:type="spellStart"/>
      <w:r w:rsidRPr="00BF79D0">
        <w:rPr>
          <w:rFonts w:eastAsia="Calibri"/>
          <w:bCs/>
          <w:lang w:eastAsia="en-US"/>
        </w:rPr>
        <w:t>Jusvinza</w:t>
      </w:r>
      <w:proofErr w:type="spellEnd"/>
      <w:r w:rsidRPr="00BF79D0">
        <w:rPr>
          <w:rFonts w:eastAsia="Calibri"/>
          <w:bCs/>
          <w:lang w:eastAsia="en-US"/>
        </w:rPr>
        <w:t>.</w:t>
      </w:r>
    </w:p>
    <w:p w14:paraId="71C632F0" w14:textId="65BBB846" w:rsidR="00BF79D0" w:rsidRPr="00BF79D0" w:rsidRDefault="00BF79D0" w:rsidP="00BF79D0">
      <w:pPr>
        <w:spacing w:line="360" w:lineRule="auto"/>
        <w:jc w:val="both"/>
        <w:rPr>
          <w:rFonts w:eastAsia="Calibri"/>
          <w:bCs/>
          <w:lang w:val="es-MX" w:eastAsia="en-US"/>
        </w:rPr>
      </w:pPr>
      <w:r w:rsidRPr="00BF79D0">
        <w:rPr>
          <w:rFonts w:eastAsia="Calibri"/>
          <w:b/>
          <w:bCs/>
          <w:lang w:val="es-MX" w:eastAsia="en-US"/>
        </w:rPr>
        <w:t>Palabras clave</w:t>
      </w:r>
      <w:r w:rsidRPr="00BF79D0">
        <w:rPr>
          <w:rFonts w:eastAsia="Calibri"/>
          <w:bCs/>
          <w:lang w:val="es-MX" w:eastAsia="en-US"/>
        </w:rPr>
        <w:t xml:space="preserve">: infecciones por coronavirus; diabetes mellitus; hiperglucemia; factores de riesgo; complicaciones; hipertensión; isquemia miocárdica; tabaquismo; insuficiencia renal crónica. </w:t>
      </w:r>
    </w:p>
    <w:p w14:paraId="5B9D19BF" w14:textId="77777777" w:rsidR="00BF79D0" w:rsidRPr="00BF79D0" w:rsidRDefault="00BF79D0" w:rsidP="00BF79D0">
      <w:pPr>
        <w:spacing w:line="360" w:lineRule="auto"/>
        <w:jc w:val="both"/>
        <w:rPr>
          <w:rFonts w:eastAsia="Calibri"/>
          <w:bCs/>
          <w:lang w:val="es-MX" w:eastAsia="en-US"/>
        </w:rPr>
      </w:pPr>
    </w:p>
    <w:p w14:paraId="34F19844" w14:textId="77777777" w:rsidR="00BF79D0" w:rsidRPr="00BF79D0" w:rsidRDefault="00BF79D0" w:rsidP="00BF79D0">
      <w:pPr>
        <w:spacing w:line="360" w:lineRule="auto"/>
        <w:jc w:val="both"/>
        <w:rPr>
          <w:rFonts w:eastAsia="Calibri"/>
          <w:b/>
          <w:bCs/>
          <w:lang w:val="en-US" w:eastAsia="en-US"/>
        </w:rPr>
      </w:pPr>
      <w:r w:rsidRPr="00BF79D0">
        <w:rPr>
          <w:rFonts w:eastAsia="Calibri"/>
          <w:b/>
          <w:bCs/>
          <w:lang w:val="en-US" w:eastAsia="en-US"/>
        </w:rPr>
        <w:t>ABSTRACT</w:t>
      </w:r>
    </w:p>
    <w:p w14:paraId="336B476A" w14:textId="77777777" w:rsidR="00BF79D0" w:rsidRPr="00BF79D0" w:rsidRDefault="00BF79D0" w:rsidP="00BF79D0">
      <w:pPr>
        <w:spacing w:line="360" w:lineRule="auto"/>
        <w:jc w:val="both"/>
        <w:rPr>
          <w:rFonts w:eastAsia="Calibri"/>
          <w:bCs/>
          <w:lang w:val="en-US" w:eastAsia="en-US"/>
        </w:rPr>
      </w:pPr>
      <w:r w:rsidRPr="00BF79D0">
        <w:rPr>
          <w:rFonts w:eastAsia="Calibri"/>
          <w:b/>
          <w:bCs/>
          <w:lang w:val="en" w:eastAsia="en-US"/>
        </w:rPr>
        <w:t>Introduction</w:t>
      </w:r>
      <w:r w:rsidRPr="00BF79D0">
        <w:rPr>
          <w:rFonts w:eastAsia="Calibri"/>
          <w:bCs/>
          <w:lang w:val="en" w:eastAsia="en-US"/>
        </w:rPr>
        <w:t>: Diabetes mellitus and hyperglycemia, in patients with COVID-19, predispose to greater severity of the disease and worse short-term outcomes.</w:t>
      </w:r>
    </w:p>
    <w:p w14:paraId="359F77C3" w14:textId="77777777" w:rsidR="00BF79D0" w:rsidRPr="00BF79D0" w:rsidRDefault="00BF79D0" w:rsidP="00BF79D0">
      <w:pPr>
        <w:spacing w:line="360" w:lineRule="auto"/>
        <w:jc w:val="both"/>
        <w:rPr>
          <w:rFonts w:eastAsia="Calibri"/>
          <w:bCs/>
          <w:lang w:val="en-US" w:eastAsia="en-US"/>
        </w:rPr>
      </w:pPr>
      <w:r w:rsidRPr="00BF79D0">
        <w:rPr>
          <w:rFonts w:eastAsia="Calibri"/>
          <w:b/>
          <w:bCs/>
          <w:lang w:val="en" w:eastAsia="en-US"/>
        </w:rPr>
        <w:t>Objective</w:t>
      </w:r>
      <w:r w:rsidRPr="00BF79D0">
        <w:rPr>
          <w:rFonts w:eastAsia="Calibri"/>
          <w:bCs/>
          <w:lang w:val="en" w:eastAsia="en-US"/>
        </w:rPr>
        <w:t>: To identify clinical differences, of humoral parameters, evolution and in the use of medications in patients infected with SARS-CoV-2; in relation to glycemic status, during the COVID-19 pandemic.</w:t>
      </w:r>
    </w:p>
    <w:p w14:paraId="41C24DE7" w14:textId="77777777" w:rsidR="00BF79D0" w:rsidRPr="00BF79D0" w:rsidRDefault="00BF79D0" w:rsidP="00BF79D0">
      <w:pPr>
        <w:spacing w:line="360" w:lineRule="auto"/>
        <w:jc w:val="both"/>
        <w:rPr>
          <w:rFonts w:eastAsia="Calibri"/>
          <w:bCs/>
          <w:lang w:val="en-US" w:eastAsia="en-US"/>
        </w:rPr>
      </w:pPr>
      <w:r w:rsidRPr="00BF79D0">
        <w:rPr>
          <w:rFonts w:eastAsia="Calibri"/>
          <w:b/>
          <w:bCs/>
          <w:lang w:val="en" w:eastAsia="en-US"/>
        </w:rPr>
        <w:t>Methods</w:t>
      </w:r>
      <w:r w:rsidRPr="00BF79D0">
        <w:rPr>
          <w:rFonts w:eastAsia="Calibri"/>
          <w:bCs/>
          <w:lang w:val="en" w:eastAsia="en-US"/>
        </w:rPr>
        <w:t xml:space="preserve">: Retrospective study of all patients infected with SARS-CoV-2, treated at the Hospital </w:t>
      </w:r>
      <w:proofErr w:type="spellStart"/>
      <w:r w:rsidRPr="00BF79D0">
        <w:rPr>
          <w:rFonts w:eastAsia="Calibri"/>
          <w:bCs/>
          <w:lang w:val="en" w:eastAsia="en-US"/>
        </w:rPr>
        <w:t>Militar</w:t>
      </w:r>
      <w:proofErr w:type="spellEnd"/>
      <w:r w:rsidRPr="00BF79D0">
        <w:rPr>
          <w:rFonts w:eastAsia="Calibri"/>
          <w:bCs/>
          <w:lang w:val="en" w:eastAsia="en-US"/>
        </w:rPr>
        <w:t xml:space="preserve"> </w:t>
      </w:r>
      <w:r w:rsidRPr="00BF79D0">
        <w:rPr>
          <w:rFonts w:eastAsia="Calibri"/>
          <w:bCs/>
          <w:lang w:val="en-US" w:eastAsia="en-US"/>
        </w:rPr>
        <w:t>Dr. Mario Muñoz Monroy</w:t>
      </w:r>
      <w:r w:rsidRPr="00BF79D0">
        <w:rPr>
          <w:rFonts w:eastAsia="Calibri"/>
          <w:bCs/>
          <w:lang w:val="en" w:eastAsia="en-US"/>
        </w:rPr>
        <w:t xml:space="preserve"> _until June/2020. Demographic variables, evolution of symptoms, hospital stay, personal pathological history, </w:t>
      </w:r>
      <w:r w:rsidRPr="00BF79D0">
        <w:rPr>
          <w:rFonts w:eastAsia="Calibri"/>
          <w:bCs/>
          <w:lang w:val="en-US" w:eastAsia="en-US"/>
        </w:rPr>
        <w:t>humoral</w:t>
      </w:r>
      <w:r w:rsidRPr="00BF79D0">
        <w:rPr>
          <w:rFonts w:eastAsia="Calibri"/>
          <w:bCs/>
          <w:lang w:val="en" w:eastAsia="en-US"/>
        </w:rPr>
        <w:t xml:space="preserve"> parameters on admission, complications and use of medications were collected. Three groups were created: diabetic (n = 16), hyperglycemic (fasting blood glucose ≥ 7.8 mmol/L; n = 10) and </w:t>
      </w:r>
      <w:proofErr w:type="spellStart"/>
      <w:r w:rsidRPr="00BF79D0">
        <w:rPr>
          <w:rFonts w:eastAsia="Calibri"/>
          <w:bCs/>
          <w:lang w:val="en" w:eastAsia="en-US"/>
        </w:rPr>
        <w:t>normo</w:t>
      </w:r>
      <w:proofErr w:type="spellEnd"/>
      <w:r w:rsidRPr="00BF79D0">
        <w:rPr>
          <w:rFonts w:eastAsia="Calibri"/>
          <w:bCs/>
          <w:lang w:val="en" w:eastAsia="en-US"/>
        </w:rPr>
        <w:t xml:space="preserve"> glycemic (n = 219). Chi-square and Kruskal-Wallis H test were used for comparisons between groups. A 95% confidence interval was used.</w:t>
      </w:r>
    </w:p>
    <w:p w14:paraId="56337D7E" w14:textId="77777777" w:rsidR="00BF79D0" w:rsidRPr="00BF79D0" w:rsidRDefault="00BF79D0" w:rsidP="00BF79D0">
      <w:pPr>
        <w:spacing w:line="360" w:lineRule="auto"/>
        <w:jc w:val="both"/>
        <w:rPr>
          <w:rFonts w:eastAsia="Calibri"/>
          <w:bCs/>
          <w:lang w:val="en" w:eastAsia="en-US"/>
        </w:rPr>
      </w:pPr>
      <w:r w:rsidRPr="00BF79D0">
        <w:rPr>
          <w:rFonts w:eastAsia="Calibri"/>
          <w:b/>
          <w:bCs/>
          <w:lang w:val="en" w:eastAsia="en-US"/>
        </w:rPr>
        <w:t>Results</w:t>
      </w:r>
      <w:r w:rsidRPr="00BF79D0">
        <w:rPr>
          <w:rFonts w:eastAsia="Calibri"/>
          <w:bCs/>
          <w:lang w:val="en" w:eastAsia="en-US"/>
        </w:rPr>
        <w:t xml:space="preserve">: Diabetic and hyperglycemic patients had a higher proportion of symptoms on admission, arterial hypertension, ischemic heart disease, chronic renal insufficiency, other antecedents, complications, mortality, and use of steroids and </w:t>
      </w:r>
      <w:proofErr w:type="spellStart"/>
      <w:r w:rsidRPr="00BF79D0">
        <w:rPr>
          <w:rFonts w:eastAsia="Calibri"/>
          <w:bCs/>
          <w:lang w:val="en" w:eastAsia="en-US"/>
        </w:rPr>
        <w:t>Jusvinza</w:t>
      </w:r>
      <w:proofErr w:type="spellEnd"/>
      <w:r w:rsidRPr="00BF79D0">
        <w:rPr>
          <w:rFonts w:eastAsia="Calibri"/>
          <w:bCs/>
          <w:lang w:val="en" w:eastAsia="en-US"/>
        </w:rPr>
        <w:t>. In addition, they had lower values of hematocrit and lymphocytes, and higher values of neutrophils, platelets, creatinine, aspartate amino transferase, glutamyl transpeptidase, alkaline phosphatase and lactic dehydrogenase.</w:t>
      </w:r>
    </w:p>
    <w:p w14:paraId="10623E2B" w14:textId="77777777" w:rsidR="00BF79D0" w:rsidRPr="00BF79D0" w:rsidRDefault="00BF79D0" w:rsidP="00BF79D0">
      <w:pPr>
        <w:spacing w:line="360" w:lineRule="auto"/>
        <w:jc w:val="both"/>
        <w:rPr>
          <w:rFonts w:eastAsia="Calibri"/>
          <w:bCs/>
          <w:lang w:val="en-US" w:eastAsia="en-US"/>
        </w:rPr>
      </w:pPr>
      <w:r w:rsidRPr="00BF79D0">
        <w:rPr>
          <w:rFonts w:eastAsia="Calibri"/>
          <w:b/>
          <w:bCs/>
          <w:lang w:val="en" w:eastAsia="en-US"/>
        </w:rPr>
        <w:t>Conclusions</w:t>
      </w:r>
      <w:r w:rsidRPr="00BF79D0">
        <w:rPr>
          <w:rFonts w:eastAsia="Calibri"/>
          <w:bCs/>
          <w:lang w:val="en" w:eastAsia="en-US"/>
        </w:rPr>
        <w:t xml:space="preserve">: Both diabetes and hyperglycemia predisposed to more severe clinical forms of COVID-19, with worse humoral parameters, evolution and higher mortality. Steroids and </w:t>
      </w:r>
      <w:proofErr w:type="spellStart"/>
      <w:r w:rsidRPr="00BF79D0">
        <w:rPr>
          <w:rFonts w:eastAsia="Calibri"/>
          <w:bCs/>
          <w:lang w:val="en" w:eastAsia="en-US"/>
        </w:rPr>
        <w:t>Jusvinza</w:t>
      </w:r>
      <w:proofErr w:type="spellEnd"/>
      <w:r w:rsidRPr="00BF79D0">
        <w:rPr>
          <w:rFonts w:eastAsia="Calibri"/>
          <w:bCs/>
          <w:lang w:val="en" w:eastAsia="en-US"/>
        </w:rPr>
        <w:t xml:space="preserve"> were used more frequently in these patients.</w:t>
      </w:r>
    </w:p>
    <w:p w14:paraId="23F7A09C" w14:textId="6D994286" w:rsidR="00BF79D0" w:rsidRPr="00BF79D0" w:rsidRDefault="00BF79D0" w:rsidP="00813FA2">
      <w:pPr>
        <w:spacing w:line="360" w:lineRule="auto"/>
        <w:jc w:val="both"/>
        <w:rPr>
          <w:lang w:val="en" w:eastAsia="es-ES"/>
        </w:rPr>
      </w:pPr>
      <w:r w:rsidRPr="00BF79D0">
        <w:rPr>
          <w:b/>
          <w:lang w:val="en" w:eastAsia="es-ES"/>
        </w:rPr>
        <w:lastRenderedPageBreak/>
        <w:t>Keywords:</w:t>
      </w:r>
      <w:r w:rsidRPr="00BF79D0">
        <w:rPr>
          <w:lang w:val="en" w:eastAsia="es-ES"/>
        </w:rPr>
        <w:t xml:space="preserve"> coronavirus infections; diabetes mellitus; hyperglycemia; risk factors; complications; hypertension; myocardial ischemia; tobacco use disorder; renal insufficiency, chronic.</w:t>
      </w:r>
    </w:p>
    <w:p w14:paraId="6DD941DB" w14:textId="77777777" w:rsidR="00BF79D0" w:rsidRPr="00BF79D0" w:rsidRDefault="00BF79D0" w:rsidP="00BF79D0">
      <w:pPr>
        <w:spacing w:line="360" w:lineRule="auto"/>
        <w:rPr>
          <w:lang w:val="en" w:eastAsia="es-ES"/>
        </w:rPr>
      </w:pPr>
    </w:p>
    <w:p w14:paraId="42C06FCF" w14:textId="77777777" w:rsidR="00BF79D0" w:rsidRPr="00BF79D0" w:rsidRDefault="00BF79D0" w:rsidP="00BF79D0">
      <w:pPr>
        <w:spacing w:line="360" w:lineRule="auto"/>
        <w:rPr>
          <w:lang w:val="en" w:eastAsia="es-ES"/>
        </w:rPr>
      </w:pPr>
    </w:p>
    <w:p w14:paraId="6B8E3EC6" w14:textId="77777777" w:rsidR="00BF79D0" w:rsidRPr="00BF79D0" w:rsidRDefault="00BF79D0" w:rsidP="00BF79D0">
      <w:pPr>
        <w:spacing w:line="360" w:lineRule="auto"/>
        <w:rPr>
          <w:lang w:val="es-CU" w:eastAsia="es-ES"/>
        </w:rPr>
      </w:pPr>
      <w:r w:rsidRPr="00BF79D0">
        <w:rPr>
          <w:lang w:val="es-CU" w:eastAsia="es-ES"/>
        </w:rPr>
        <w:t>Recibido: 15/09/2020</w:t>
      </w:r>
    </w:p>
    <w:p w14:paraId="4B0B2552" w14:textId="77777777" w:rsidR="00BF79D0" w:rsidRPr="00BF79D0" w:rsidRDefault="00BF79D0" w:rsidP="00BF79D0">
      <w:pPr>
        <w:spacing w:line="360" w:lineRule="auto"/>
        <w:rPr>
          <w:lang w:val="es-CU" w:eastAsia="es-ES"/>
        </w:rPr>
      </w:pPr>
      <w:r w:rsidRPr="00BF79D0">
        <w:rPr>
          <w:lang w:val="es-CU" w:eastAsia="es-ES"/>
        </w:rPr>
        <w:t>Aprobado: 09/02/2021</w:t>
      </w:r>
    </w:p>
    <w:p w14:paraId="05A38A24" w14:textId="77777777" w:rsidR="00BF79D0" w:rsidRPr="00BF79D0" w:rsidRDefault="00BF79D0" w:rsidP="00BF79D0">
      <w:pPr>
        <w:spacing w:line="360" w:lineRule="auto"/>
        <w:rPr>
          <w:lang w:val="es-CU" w:eastAsia="es-ES"/>
        </w:rPr>
      </w:pPr>
    </w:p>
    <w:p w14:paraId="6DF74843" w14:textId="77777777" w:rsidR="00BF79D0" w:rsidRPr="00BF79D0" w:rsidRDefault="00BF79D0" w:rsidP="00BF79D0">
      <w:pPr>
        <w:spacing w:line="360" w:lineRule="auto"/>
        <w:jc w:val="both"/>
        <w:rPr>
          <w:rFonts w:eastAsia="Calibri"/>
          <w:b/>
          <w:bCs/>
          <w:lang w:val="es-MX" w:eastAsia="en-US"/>
        </w:rPr>
      </w:pPr>
    </w:p>
    <w:p w14:paraId="429C3397" w14:textId="77777777" w:rsidR="00BF79D0" w:rsidRPr="00BF79D0" w:rsidRDefault="00BF79D0" w:rsidP="00BF79D0">
      <w:pPr>
        <w:spacing w:line="360" w:lineRule="auto"/>
        <w:jc w:val="center"/>
        <w:rPr>
          <w:rFonts w:eastAsia="Calibri"/>
          <w:b/>
          <w:bCs/>
          <w:sz w:val="32"/>
          <w:szCs w:val="32"/>
          <w:lang w:val="es-MX" w:eastAsia="en-US"/>
        </w:rPr>
      </w:pPr>
      <w:r w:rsidRPr="00BF79D0">
        <w:rPr>
          <w:rFonts w:eastAsia="Calibri"/>
          <w:b/>
          <w:bCs/>
          <w:sz w:val="32"/>
          <w:szCs w:val="32"/>
          <w:lang w:val="es-MX" w:eastAsia="en-US"/>
        </w:rPr>
        <w:t>INTRODUCCIÓN</w:t>
      </w:r>
    </w:p>
    <w:p w14:paraId="7D740E6E"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Desde el inicio de la pandemia de la COVID-19, en China, han sido identificados varios grupos de riesgo para el desarrollo de cuadros clínicos graves. Los pacientes de edad avanzada, con antecedentes de enfermedades cardiovasculares e inmunodeprimidos son los más vulnerables. Singular atención se ha prestado a la diabetes mellitus (DM), grupo en el que se ha demostrado mayor gravedad de la enfermedad y peores resultados a corto plazo, incluida la </w:t>
      </w:r>
      <w:proofErr w:type="gramStart"/>
      <w:r w:rsidRPr="00BF79D0">
        <w:rPr>
          <w:rFonts w:eastAsia="Calibri"/>
          <w:bCs/>
          <w:lang w:val="es-MX" w:eastAsia="en-US"/>
        </w:rPr>
        <w:t>muerte.</w:t>
      </w:r>
      <w:r w:rsidRPr="00BF79D0">
        <w:rPr>
          <w:rFonts w:eastAsia="Calibri"/>
          <w:bCs/>
          <w:vertAlign w:val="superscript"/>
          <w:lang w:val="es-MX" w:eastAsia="en-US"/>
        </w:rPr>
        <w:t>(</w:t>
      </w:r>
      <w:proofErr w:type="gramEnd"/>
      <w:r w:rsidRPr="00BF79D0">
        <w:rPr>
          <w:rFonts w:eastAsia="Calibri"/>
          <w:bCs/>
          <w:vertAlign w:val="superscript"/>
          <w:lang w:val="es-MX" w:eastAsia="en-US"/>
        </w:rPr>
        <w:t>1,2)</w:t>
      </w:r>
      <w:r w:rsidRPr="00BF79D0">
        <w:rPr>
          <w:rFonts w:eastAsia="Calibri"/>
          <w:bCs/>
          <w:lang w:val="es-MX" w:eastAsia="en-US"/>
        </w:rPr>
        <w:t xml:space="preserve"> Entre los propios diabéticos, aquellos con mal control metabólico tienen los peores resultados.</w:t>
      </w:r>
      <w:r w:rsidRPr="00BF79D0">
        <w:rPr>
          <w:rFonts w:eastAsia="Calibri"/>
          <w:bCs/>
          <w:vertAlign w:val="superscript"/>
          <w:lang w:val="es-MX" w:eastAsia="en-US"/>
        </w:rPr>
        <w:t>(3)</w:t>
      </w:r>
      <w:r w:rsidRPr="00BF79D0">
        <w:rPr>
          <w:rFonts w:eastAsia="Calibri"/>
          <w:bCs/>
          <w:lang w:val="es-MX" w:eastAsia="en-US"/>
        </w:rPr>
        <w:t xml:space="preserve"> Además, los valores elevados de glucemia en ayunas, más allá del antecedente de diabetes, se han identificado como un predictor independiente de muerte, en pacientes con la COVID-19.</w:t>
      </w:r>
      <w:r w:rsidRPr="00BF79D0">
        <w:rPr>
          <w:rFonts w:eastAsia="Calibri"/>
          <w:bCs/>
          <w:vertAlign w:val="superscript"/>
          <w:lang w:val="es-MX" w:eastAsia="en-US"/>
        </w:rPr>
        <w:t>(3,4)</w:t>
      </w:r>
      <w:r w:rsidRPr="00BF79D0">
        <w:rPr>
          <w:rFonts w:eastAsia="Calibri"/>
          <w:bCs/>
          <w:lang w:val="es-MX" w:eastAsia="en-US"/>
        </w:rPr>
        <w:t xml:space="preserve"> </w:t>
      </w:r>
    </w:p>
    <w:p w14:paraId="685A8559"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La prevalencia de diabetes en Cuba muestra incremento en los últimos 15 años, y alcanza en la actualidad el 6,7 % de la población general, sin embargo, en mayores de 60 años (grupo de riesgo ante la COVID-19) llega a más del 25 %.</w:t>
      </w:r>
      <w:r w:rsidRPr="00BF79D0">
        <w:rPr>
          <w:rFonts w:eastAsia="Calibri"/>
          <w:bCs/>
          <w:vertAlign w:val="superscript"/>
          <w:lang w:val="es-MX" w:eastAsia="en-US"/>
        </w:rPr>
        <w:t>(5)</w:t>
      </w:r>
      <w:r w:rsidRPr="00BF79D0">
        <w:rPr>
          <w:rFonts w:eastAsia="Calibri"/>
          <w:bCs/>
          <w:lang w:val="es-MX" w:eastAsia="en-US"/>
        </w:rPr>
        <w:t xml:space="preserve"> En este contexto, se estima además un subregistro de diabetes, o la presencia de un número significativo de casos no diagnosticados, como ocurre en otras partes del mundo.</w:t>
      </w:r>
      <w:r w:rsidRPr="00BF79D0">
        <w:rPr>
          <w:rFonts w:eastAsia="Calibri"/>
          <w:bCs/>
          <w:vertAlign w:val="superscript"/>
          <w:lang w:val="es-MX" w:eastAsia="en-US"/>
        </w:rPr>
        <w:t>(6)</w:t>
      </w:r>
      <w:r w:rsidRPr="00BF79D0">
        <w:rPr>
          <w:rFonts w:eastAsia="Calibri"/>
          <w:bCs/>
          <w:lang w:val="es-MX" w:eastAsia="en-US"/>
        </w:rPr>
        <w:t xml:space="preserve"> Por este motivo, el número de pacientes susceptibles a complicaciones durante la pandemia de la COVID-19 en Cuba, vinculados con trastornos de la regulación de la glucemia, es significativo.</w:t>
      </w:r>
    </w:p>
    <w:p w14:paraId="73BA9D0B"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En pacientes hospitalizados, se define hiperglucemia cuando los valores de glucemia son iguales o superiores a 7,8 mmol/</w:t>
      </w:r>
      <w:proofErr w:type="gramStart"/>
      <w:r w:rsidRPr="00BF79D0">
        <w:rPr>
          <w:rFonts w:eastAsia="Calibri"/>
          <w:bCs/>
          <w:lang w:val="es-MX" w:eastAsia="en-US"/>
        </w:rPr>
        <w:t>L.</w:t>
      </w:r>
      <w:r w:rsidRPr="00BF79D0">
        <w:rPr>
          <w:rFonts w:eastAsia="Calibri"/>
          <w:bCs/>
          <w:vertAlign w:val="superscript"/>
          <w:lang w:val="es-MX" w:eastAsia="en-US"/>
        </w:rPr>
        <w:t>(</w:t>
      </w:r>
      <w:proofErr w:type="gramEnd"/>
      <w:r w:rsidRPr="00BF79D0">
        <w:rPr>
          <w:rFonts w:eastAsia="Calibri"/>
          <w:bCs/>
          <w:vertAlign w:val="superscript"/>
          <w:lang w:val="es-MX" w:eastAsia="en-US"/>
        </w:rPr>
        <w:t>7)</w:t>
      </w:r>
      <w:r w:rsidRPr="00BF79D0">
        <w:rPr>
          <w:rFonts w:eastAsia="Calibri"/>
          <w:bCs/>
          <w:lang w:val="es-MX" w:eastAsia="en-US"/>
        </w:rPr>
        <w:t xml:space="preserve"> La hiperglucemia </w:t>
      </w:r>
      <w:r w:rsidRPr="00BF79D0">
        <w:rPr>
          <w:rFonts w:eastAsia="Calibri"/>
          <w:bCs/>
          <w:i/>
          <w:iCs/>
          <w:lang w:val="es-MX" w:eastAsia="en-US"/>
        </w:rPr>
        <w:t>per se</w:t>
      </w:r>
      <w:r w:rsidRPr="00BF79D0">
        <w:rPr>
          <w:rFonts w:eastAsia="Calibri"/>
          <w:bCs/>
          <w:lang w:val="es-MX" w:eastAsia="en-US"/>
        </w:rPr>
        <w:t>, ha sido identificada como factor de riesgo independiente para el desarrollo de complicaciones en pacientes con enfermedades cardiovasculares e infecciosas. Además, varios trabajos reconocen su relación con la mortalidad en pacientes positivos al SARS-CoV-</w:t>
      </w:r>
      <w:proofErr w:type="gramStart"/>
      <w:r w:rsidRPr="00BF79D0">
        <w:rPr>
          <w:rFonts w:eastAsia="Calibri"/>
          <w:bCs/>
          <w:lang w:val="es-MX" w:eastAsia="en-US"/>
        </w:rPr>
        <w:t>2.</w:t>
      </w:r>
      <w:r w:rsidRPr="00BF79D0">
        <w:rPr>
          <w:rFonts w:eastAsia="Calibri"/>
          <w:bCs/>
          <w:vertAlign w:val="superscript"/>
          <w:lang w:val="es-MX" w:eastAsia="en-US"/>
        </w:rPr>
        <w:t>(</w:t>
      </w:r>
      <w:proofErr w:type="gramEnd"/>
      <w:r w:rsidRPr="00BF79D0">
        <w:rPr>
          <w:rFonts w:eastAsia="Calibri"/>
          <w:bCs/>
          <w:vertAlign w:val="superscript"/>
          <w:lang w:val="es-MX" w:eastAsia="en-US"/>
        </w:rPr>
        <w:t>8,9,10)</w:t>
      </w:r>
    </w:p>
    <w:p w14:paraId="5927968C"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lastRenderedPageBreak/>
        <w:t xml:space="preserve">Durante la actual pandemia de COVID-19, el Hospital Militar “Dr. Mario Muños Monroy”, de Matanzas, fue designado para la atención de pacientes confirmados y sospechosos de la provincia y del vecino territorio de Cienfuegos. Entre el 17 de marzo y el 4 de junio, se hicieron 250 ingresos positivos; todos los casos diagnosticados, independientemente de la forma clínica, sintomatología o gravedad. </w:t>
      </w:r>
    </w:p>
    <w:p w14:paraId="5EC753E5"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El objetivo de este trabajo es identificar diferencias clínicas, de parámetros humorales, evolución y en el uso de medicamentos, en pacientes infectados con SARS-CoV-2; en relación con el estado glucémico, durante la pandemia de COVID-19.</w:t>
      </w:r>
    </w:p>
    <w:p w14:paraId="1FEA6CA2" w14:textId="77777777" w:rsidR="00BF79D0" w:rsidRPr="00BF79D0" w:rsidRDefault="00BF79D0" w:rsidP="00BF79D0">
      <w:pPr>
        <w:spacing w:line="360" w:lineRule="auto"/>
        <w:jc w:val="both"/>
        <w:rPr>
          <w:rFonts w:eastAsia="Calibri"/>
          <w:bCs/>
          <w:lang w:val="es-MX" w:eastAsia="en-US"/>
        </w:rPr>
      </w:pPr>
    </w:p>
    <w:p w14:paraId="7F5640AA" w14:textId="77777777" w:rsidR="00BF79D0" w:rsidRPr="00BF79D0" w:rsidRDefault="00BF79D0" w:rsidP="00BF79D0">
      <w:pPr>
        <w:spacing w:line="360" w:lineRule="auto"/>
        <w:jc w:val="both"/>
        <w:rPr>
          <w:rFonts w:eastAsia="Calibri"/>
          <w:b/>
          <w:bCs/>
          <w:lang w:val="es-MX" w:eastAsia="en-US"/>
        </w:rPr>
      </w:pPr>
    </w:p>
    <w:p w14:paraId="2AFBB458" w14:textId="77777777" w:rsidR="00BF79D0" w:rsidRPr="00BF79D0" w:rsidRDefault="00BF79D0" w:rsidP="00BF79D0">
      <w:pPr>
        <w:spacing w:line="360" w:lineRule="auto"/>
        <w:jc w:val="center"/>
        <w:rPr>
          <w:rFonts w:eastAsia="Calibri"/>
          <w:b/>
          <w:bCs/>
          <w:sz w:val="32"/>
          <w:szCs w:val="32"/>
          <w:lang w:val="es-MX" w:eastAsia="en-US"/>
        </w:rPr>
      </w:pPr>
      <w:r w:rsidRPr="00BF79D0">
        <w:rPr>
          <w:rFonts w:eastAsia="Calibri"/>
          <w:b/>
          <w:bCs/>
          <w:sz w:val="32"/>
          <w:szCs w:val="32"/>
          <w:lang w:val="es-MX" w:eastAsia="en-US"/>
        </w:rPr>
        <w:t>MÉTODOS</w:t>
      </w:r>
    </w:p>
    <w:p w14:paraId="15424DBE" w14:textId="77777777" w:rsidR="00BF79D0" w:rsidRPr="00BF79D0" w:rsidRDefault="00BF79D0" w:rsidP="00BF79D0">
      <w:pPr>
        <w:spacing w:line="360" w:lineRule="auto"/>
        <w:mirrorIndents/>
        <w:jc w:val="both"/>
        <w:rPr>
          <w:rFonts w:eastAsia="Calibri"/>
          <w:bCs/>
          <w:color w:val="000000"/>
          <w:lang w:val="x-none" w:eastAsia="x-none"/>
        </w:rPr>
      </w:pPr>
      <w:r w:rsidRPr="00BF79D0">
        <w:rPr>
          <w:rFonts w:eastAsia="Calibri"/>
          <w:bCs/>
          <w:color w:val="000000"/>
          <w:lang w:val="es-ES" w:eastAsia="x-none"/>
        </w:rPr>
        <w:t>Este trabajo utiliza datos de los cuales se han realizado otros análisis (presentados para publicac</w:t>
      </w:r>
      <w:r w:rsidRPr="00BF79D0">
        <w:rPr>
          <w:rFonts w:eastAsia="Calibri"/>
          <w:bCs/>
          <w:lang w:val="es-ES" w:eastAsia="x-none"/>
        </w:rPr>
        <w:t>ión en otro artículo: Predictores de mal pronóstico en pacientes con la COVID-19</w:t>
      </w:r>
      <w:r w:rsidRPr="00BF79D0">
        <w:rPr>
          <w:rFonts w:eastAsia="Calibri"/>
          <w:bCs/>
          <w:color w:val="000000"/>
          <w:lang w:val="es-ES" w:eastAsia="x-none"/>
        </w:rPr>
        <w:t xml:space="preserve">). Fueron incluidos todos los pacientes atendidos en el </w:t>
      </w:r>
      <w:r w:rsidRPr="00BF79D0">
        <w:rPr>
          <w:rFonts w:eastAsia="Calibri"/>
          <w:bCs/>
          <w:color w:val="000000"/>
          <w:lang w:val="x-none" w:eastAsia="x-none"/>
        </w:rPr>
        <w:t>Hospital</w:t>
      </w:r>
      <w:r w:rsidRPr="00BF79D0">
        <w:rPr>
          <w:rFonts w:eastAsia="Calibri"/>
          <w:bCs/>
          <w:color w:val="000000"/>
          <w:lang w:val="es-CU" w:eastAsia="x-none"/>
        </w:rPr>
        <w:t xml:space="preserve"> Militar “Dr. Mario Muñoz Monroy”</w:t>
      </w:r>
      <w:r w:rsidRPr="00BF79D0">
        <w:rPr>
          <w:rFonts w:eastAsia="Calibri"/>
          <w:bCs/>
          <w:color w:val="000000"/>
          <w:lang w:val="es-ES" w:eastAsia="x-none"/>
        </w:rPr>
        <w:t>,</w:t>
      </w:r>
      <w:r w:rsidRPr="00BF79D0">
        <w:rPr>
          <w:rFonts w:eastAsia="Calibri"/>
          <w:bCs/>
          <w:color w:val="000000"/>
          <w:lang w:val="x-none" w:eastAsia="x-none"/>
        </w:rPr>
        <w:t xml:space="preserve"> de Matanzas</w:t>
      </w:r>
      <w:r w:rsidRPr="00BF79D0">
        <w:rPr>
          <w:rFonts w:eastAsia="Calibri"/>
          <w:bCs/>
          <w:color w:val="000000"/>
          <w:lang w:val="es-ES" w:eastAsia="x-none"/>
        </w:rPr>
        <w:t xml:space="preserve">, desde </w:t>
      </w:r>
      <w:r w:rsidRPr="00BF79D0">
        <w:rPr>
          <w:rFonts w:eastAsia="Calibri"/>
          <w:bCs/>
          <w:color w:val="000000"/>
          <w:lang w:val="x-none" w:eastAsia="x-none"/>
        </w:rPr>
        <w:t>el 17 de marzo hasta el 4 de junio de 2020</w:t>
      </w:r>
      <w:r w:rsidRPr="00BF79D0">
        <w:rPr>
          <w:rFonts w:eastAsia="Calibri"/>
          <w:bCs/>
          <w:color w:val="000000"/>
          <w:lang w:val="es-CU" w:eastAsia="x-none"/>
        </w:rPr>
        <w:t>,</w:t>
      </w:r>
      <w:r w:rsidRPr="00BF79D0">
        <w:rPr>
          <w:rFonts w:eastAsia="Calibri"/>
          <w:bCs/>
          <w:color w:val="000000"/>
          <w:lang w:val="es-MX" w:eastAsia="x-none"/>
        </w:rPr>
        <w:t xml:space="preserve"> positivos al SARS-CoV-2, diagnosticados por el test de reacción en cadena de la polimerasa en tiempo real</w:t>
      </w:r>
      <w:r w:rsidRPr="00BF79D0">
        <w:rPr>
          <w:rFonts w:eastAsia="Calibri"/>
          <w:bCs/>
          <w:i/>
          <w:color w:val="000000"/>
          <w:lang w:val="es-MX" w:eastAsia="x-none"/>
        </w:rPr>
        <w:t xml:space="preserve"> </w:t>
      </w:r>
      <w:r w:rsidRPr="00BF79D0">
        <w:rPr>
          <w:rFonts w:eastAsia="Calibri"/>
          <w:bCs/>
          <w:color w:val="000000"/>
          <w:lang w:val="es-MX" w:eastAsia="x-none"/>
        </w:rPr>
        <w:t>(RT-PCR).</w:t>
      </w:r>
    </w:p>
    <w:p w14:paraId="2BAD2739" w14:textId="77777777" w:rsidR="00BF79D0" w:rsidRPr="00BF79D0" w:rsidRDefault="00BF79D0" w:rsidP="00BF79D0">
      <w:pPr>
        <w:spacing w:line="360" w:lineRule="auto"/>
        <w:mirrorIndents/>
        <w:jc w:val="both"/>
        <w:rPr>
          <w:rFonts w:eastAsia="Calibri"/>
          <w:bCs/>
          <w:color w:val="000000"/>
          <w:lang w:val="es-ES" w:eastAsia="x-none"/>
        </w:rPr>
      </w:pPr>
      <w:r w:rsidRPr="00BF79D0">
        <w:rPr>
          <w:rFonts w:eastAsia="Calibri"/>
          <w:bCs/>
          <w:color w:val="000000"/>
          <w:lang w:val="es-ES" w:eastAsia="x-none"/>
        </w:rPr>
        <w:t xml:space="preserve">Los datos fueron tomados de las historias clínicas. De un universo de 250 pacientes, se excluyeron </w:t>
      </w:r>
      <w:r w:rsidRPr="00BF79D0">
        <w:rPr>
          <w:rFonts w:eastAsia="Calibri"/>
          <w:bCs/>
          <w:color w:val="000000"/>
          <w:lang w:val="es-CU" w:eastAsia="x-none"/>
        </w:rPr>
        <w:t>5.</w:t>
      </w:r>
      <w:r w:rsidRPr="00BF79D0">
        <w:rPr>
          <w:rFonts w:eastAsia="Calibri"/>
          <w:bCs/>
          <w:color w:val="000000"/>
          <w:lang w:val="x-none" w:eastAsia="x-none"/>
        </w:rPr>
        <w:t xml:space="preserve"> </w:t>
      </w:r>
      <w:r w:rsidRPr="00BF79D0">
        <w:rPr>
          <w:rFonts w:eastAsia="Calibri"/>
          <w:bCs/>
          <w:color w:val="000000"/>
          <w:lang w:val="es-CU" w:eastAsia="x-none"/>
        </w:rPr>
        <w:t>Tres fueron</w:t>
      </w:r>
      <w:r w:rsidRPr="00BF79D0">
        <w:rPr>
          <w:rFonts w:eastAsia="Calibri"/>
          <w:bCs/>
          <w:color w:val="000000"/>
          <w:lang w:val="es-ES" w:eastAsia="x-none"/>
        </w:rPr>
        <w:t xml:space="preserve"> madres que estuvieron solo un día ingresadas, porque tenían hijos ingresados en otro centro (hospital pediátrico) por ser casos confirmados de la COVID-19</w:t>
      </w:r>
      <w:r w:rsidRPr="00BF79D0">
        <w:rPr>
          <w:rFonts w:eastAsia="Calibri"/>
          <w:bCs/>
          <w:color w:val="000000"/>
          <w:lang w:val="x-none" w:eastAsia="x-none"/>
        </w:rPr>
        <w:t xml:space="preserve">. </w:t>
      </w:r>
      <w:r w:rsidRPr="00BF79D0">
        <w:rPr>
          <w:rFonts w:eastAsia="Calibri"/>
          <w:bCs/>
          <w:color w:val="000000"/>
          <w:lang w:val="es-ES" w:eastAsia="x-none"/>
        </w:rPr>
        <w:t xml:space="preserve">Se excluyeron otros </w:t>
      </w:r>
      <w:r w:rsidRPr="00BF79D0">
        <w:rPr>
          <w:rFonts w:eastAsia="Calibri"/>
          <w:bCs/>
          <w:color w:val="000000"/>
          <w:lang w:val="es-CU" w:eastAsia="x-none"/>
        </w:rPr>
        <w:t>2, porque las</w:t>
      </w:r>
      <w:r w:rsidRPr="00BF79D0">
        <w:rPr>
          <w:rFonts w:eastAsia="Calibri"/>
          <w:bCs/>
          <w:color w:val="000000"/>
          <w:lang w:val="x-none" w:eastAsia="x-none"/>
        </w:rPr>
        <w:t xml:space="preserve"> historias</w:t>
      </w:r>
      <w:r w:rsidRPr="00BF79D0">
        <w:rPr>
          <w:rFonts w:eastAsia="Calibri"/>
          <w:bCs/>
          <w:color w:val="000000"/>
          <w:lang w:val="es-CU" w:eastAsia="x-none"/>
        </w:rPr>
        <w:t xml:space="preserve"> clínicas estaban </w:t>
      </w:r>
      <w:r w:rsidRPr="00BF79D0">
        <w:rPr>
          <w:rFonts w:eastAsia="Calibri"/>
          <w:bCs/>
          <w:color w:val="000000"/>
          <w:lang w:val="es-ES" w:eastAsia="x-none"/>
        </w:rPr>
        <w:t>duplicadas. La serie quedó formada por 245 pacientes.</w:t>
      </w:r>
    </w:p>
    <w:p w14:paraId="2CC68E33" w14:textId="77777777" w:rsidR="00BF79D0" w:rsidRPr="00BF79D0" w:rsidRDefault="00BF79D0" w:rsidP="00BF79D0">
      <w:pPr>
        <w:spacing w:line="360" w:lineRule="auto"/>
        <w:mirrorIndents/>
        <w:jc w:val="both"/>
        <w:rPr>
          <w:rFonts w:eastAsia="Calibri"/>
          <w:bCs/>
          <w:color w:val="000000"/>
          <w:lang w:val="es-CU" w:eastAsia="x-none"/>
        </w:rPr>
      </w:pPr>
      <w:r w:rsidRPr="00BF79D0">
        <w:rPr>
          <w:rFonts w:eastAsia="Calibri"/>
          <w:bCs/>
          <w:color w:val="000000"/>
          <w:lang w:val="es-CU" w:eastAsia="x-none"/>
        </w:rPr>
        <w:t>Las variables</w:t>
      </w:r>
      <w:r w:rsidRPr="00BF79D0">
        <w:rPr>
          <w:rFonts w:eastAsia="Calibri"/>
          <w:bCs/>
          <w:color w:val="000000"/>
          <w:lang w:val="x-none" w:eastAsia="x-none"/>
        </w:rPr>
        <w:t xml:space="preserve"> recopila</w:t>
      </w:r>
      <w:r w:rsidRPr="00BF79D0">
        <w:rPr>
          <w:rFonts w:eastAsia="Calibri"/>
          <w:bCs/>
          <w:color w:val="000000"/>
          <w:lang w:val="es-CU" w:eastAsia="x-none"/>
        </w:rPr>
        <w:t xml:space="preserve">das fueron: </w:t>
      </w:r>
    </w:p>
    <w:p w14:paraId="584A01DC" w14:textId="77777777" w:rsidR="00BF79D0" w:rsidRPr="00BF79D0" w:rsidRDefault="00BF79D0" w:rsidP="008C6E3D">
      <w:pPr>
        <w:spacing w:line="360" w:lineRule="auto"/>
        <w:mirrorIndents/>
        <w:jc w:val="both"/>
        <w:rPr>
          <w:rFonts w:eastAsia="Calibri"/>
          <w:bCs/>
          <w:color w:val="000000"/>
          <w:lang w:val="es-CU" w:eastAsia="x-none"/>
        </w:rPr>
      </w:pPr>
    </w:p>
    <w:p w14:paraId="2A362BC4"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CU" w:eastAsia="x-none"/>
        </w:rPr>
        <w:t>S</w:t>
      </w:r>
      <w:proofErr w:type="spellStart"/>
      <w:r w:rsidRPr="00BF79D0">
        <w:rPr>
          <w:rFonts w:eastAsia="Calibri"/>
          <w:bCs/>
          <w:color w:val="000000"/>
          <w:lang w:val="x-none" w:eastAsia="x-none"/>
        </w:rPr>
        <w:t>exo</w:t>
      </w:r>
      <w:proofErr w:type="spellEnd"/>
      <w:r w:rsidRPr="00BF79D0">
        <w:rPr>
          <w:rFonts w:eastAsia="Calibri"/>
          <w:bCs/>
          <w:color w:val="000000"/>
          <w:lang w:val="es-ES" w:eastAsia="x-none"/>
        </w:rPr>
        <w:t xml:space="preserve"> (masculino o femenino).</w:t>
      </w:r>
    </w:p>
    <w:p w14:paraId="7B39C5AE"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CU" w:eastAsia="x-none"/>
        </w:rPr>
        <w:t>E</w:t>
      </w:r>
      <w:r w:rsidRPr="00BF79D0">
        <w:rPr>
          <w:rFonts w:eastAsia="Calibri"/>
          <w:bCs/>
          <w:color w:val="000000"/>
          <w:lang w:val="x-none" w:eastAsia="x-none"/>
        </w:rPr>
        <w:t>dad</w:t>
      </w:r>
      <w:r w:rsidRPr="00BF79D0">
        <w:rPr>
          <w:rFonts w:eastAsia="Calibri"/>
          <w:bCs/>
          <w:color w:val="000000"/>
          <w:lang w:val="es-ES" w:eastAsia="x-none"/>
        </w:rPr>
        <w:t xml:space="preserve"> en años cumplidos, estratificada en 5 grupos de 20 años (hasta 19 años, de 20 a 39 años, de 40 a 59 años, de 60 a 79 años y 80 años y más).</w:t>
      </w:r>
    </w:p>
    <w:p w14:paraId="7261AF5A"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ES" w:eastAsia="x-none"/>
        </w:rPr>
        <w:t>Evolución de los síntomas, clasificada en tres categorías: sintomático al ingreso (con síntomas en el momento del ingreso), sintomático después del ingreso (asintomático al ingreso, pero desarrolla síntomas después) y asintomático siempre (no desarrollaron síntomas).</w:t>
      </w:r>
    </w:p>
    <w:p w14:paraId="2890F560"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ES" w:eastAsia="x-none"/>
        </w:rPr>
        <w:t xml:space="preserve">Estadía hospitalaria, en días, se estimó desde el primer RT-PCR positivo al SARS-CoV-2, hasta el primero negativo. Este estudio se realizó en un esquema predeterminado, que concebía la </w:t>
      </w:r>
      <w:r w:rsidRPr="00BF79D0">
        <w:rPr>
          <w:rFonts w:eastAsia="Calibri"/>
          <w:bCs/>
          <w:color w:val="000000"/>
          <w:lang w:val="es-ES" w:eastAsia="x-none"/>
        </w:rPr>
        <w:lastRenderedPageBreak/>
        <w:t>realización del segundo RT-PCR 14 días después del que hiciera el diagnóstico. Si la segunda muestra volvía a ser positiva, se repetía el RT-PCR cada cinco días, hasta que se obtuviese un resultado negativo, entonces se daba el alta.</w:t>
      </w:r>
    </w:p>
    <w:p w14:paraId="5C222A15"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ES" w:eastAsia="x-none"/>
        </w:rPr>
        <w:t>A</w:t>
      </w:r>
      <w:proofErr w:type="spellStart"/>
      <w:r w:rsidRPr="00BF79D0">
        <w:rPr>
          <w:rFonts w:eastAsia="Calibri"/>
          <w:bCs/>
          <w:color w:val="000000"/>
          <w:lang w:val="x-none" w:eastAsia="x-none"/>
        </w:rPr>
        <w:t>ntecedentes</w:t>
      </w:r>
      <w:proofErr w:type="spellEnd"/>
      <w:r w:rsidRPr="00BF79D0">
        <w:rPr>
          <w:rFonts w:eastAsia="Calibri"/>
          <w:bCs/>
          <w:color w:val="000000"/>
          <w:lang w:val="x-none" w:eastAsia="x-none"/>
        </w:rPr>
        <w:t xml:space="preserve"> patológicos personales</w:t>
      </w:r>
      <w:r w:rsidRPr="00BF79D0">
        <w:rPr>
          <w:rFonts w:eastAsia="Calibri"/>
          <w:bCs/>
          <w:color w:val="000000"/>
          <w:lang w:val="es-CU" w:eastAsia="x-none"/>
        </w:rPr>
        <w:t>:</w:t>
      </w:r>
      <w:r w:rsidRPr="00BF79D0">
        <w:rPr>
          <w:rFonts w:eastAsia="Calibri"/>
          <w:bCs/>
          <w:color w:val="000000"/>
          <w:lang w:val="es-ES" w:eastAsia="x-none"/>
        </w:rPr>
        <w:t xml:space="preserve"> </w:t>
      </w:r>
      <w:r w:rsidRPr="00BF79D0">
        <w:rPr>
          <w:rFonts w:eastAsia="Calibri"/>
          <w:bCs/>
          <w:color w:val="000000"/>
          <w:lang w:val="x-none" w:eastAsia="x-none"/>
        </w:rPr>
        <w:t>tabaquismo, hipertensión arterial</w:t>
      </w:r>
      <w:r w:rsidRPr="00BF79D0">
        <w:rPr>
          <w:rFonts w:eastAsia="Calibri"/>
          <w:bCs/>
          <w:color w:val="000000"/>
          <w:lang w:val="es-ES" w:eastAsia="x-none"/>
        </w:rPr>
        <w:t xml:space="preserve"> (HTA)</w:t>
      </w:r>
      <w:r w:rsidRPr="00BF79D0">
        <w:rPr>
          <w:rFonts w:eastAsia="Calibri"/>
          <w:bCs/>
          <w:color w:val="000000"/>
          <w:lang w:val="x-none" w:eastAsia="x-none"/>
        </w:rPr>
        <w:t>, asma bronquial</w:t>
      </w:r>
      <w:r w:rsidRPr="00BF79D0">
        <w:rPr>
          <w:rFonts w:eastAsia="Calibri"/>
          <w:bCs/>
          <w:color w:val="000000"/>
          <w:lang w:val="es-ES" w:eastAsia="x-none"/>
        </w:rPr>
        <w:t xml:space="preserve"> (AB)</w:t>
      </w:r>
      <w:r w:rsidRPr="00BF79D0">
        <w:rPr>
          <w:rFonts w:eastAsia="Calibri"/>
          <w:bCs/>
          <w:color w:val="000000"/>
          <w:lang w:val="x-none" w:eastAsia="x-none"/>
        </w:rPr>
        <w:t>, cardiopatía isquémica e insuficiencia renal crónica</w:t>
      </w:r>
      <w:r w:rsidRPr="00BF79D0">
        <w:rPr>
          <w:rFonts w:eastAsia="Calibri"/>
          <w:bCs/>
          <w:color w:val="000000"/>
          <w:lang w:val="es-MX" w:eastAsia="x-none"/>
        </w:rPr>
        <w:t xml:space="preserve"> (IRC)</w:t>
      </w:r>
      <w:r w:rsidRPr="00BF79D0">
        <w:rPr>
          <w:rFonts w:eastAsia="Calibri"/>
          <w:bCs/>
          <w:color w:val="000000"/>
          <w:lang w:val="es-ES" w:eastAsia="x-none"/>
        </w:rPr>
        <w:t>. Bajo la variable “otro antecedente” se recogen 57 problemas de salud que tuvieron una frecuencia inferior al 2 %.</w:t>
      </w:r>
    </w:p>
    <w:p w14:paraId="25B5490A"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ES" w:eastAsia="x-none"/>
        </w:rPr>
        <w:t xml:space="preserve">Parámetros humorales de la primera extracción de sangre durante el ingreso: </w:t>
      </w:r>
      <w:r w:rsidRPr="00BF79D0">
        <w:rPr>
          <w:rFonts w:eastAsia="Calibri"/>
          <w:bCs/>
          <w:color w:val="000000"/>
          <w:lang w:val="x-none" w:eastAsia="x-none"/>
        </w:rPr>
        <w:t xml:space="preserve">hematocrito, conteo de leucocitos, neutrófilos, linfocitos, plaquetas, creatinina, </w:t>
      </w:r>
      <w:r w:rsidRPr="00BF79D0">
        <w:rPr>
          <w:rFonts w:eastAsia="Calibri"/>
          <w:bCs/>
          <w:color w:val="000000"/>
          <w:lang w:val="es-ES" w:eastAsia="x-none"/>
        </w:rPr>
        <w:t>alanina amino transferasa (</w:t>
      </w:r>
      <w:r w:rsidRPr="00BF79D0">
        <w:rPr>
          <w:rFonts w:eastAsia="Calibri"/>
          <w:bCs/>
          <w:color w:val="000000"/>
          <w:lang w:val="x-none" w:eastAsia="x-none"/>
        </w:rPr>
        <w:t>ALAT</w:t>
      </w:r>
      <w:r w:rsidRPr="00BF79D0">
        <w:rPr>
          <w:rFonts w:eastAsia="Calibri"/>
          <w:bCs/>
          <w:color w:val="000000"/>
          <w:lang w:val="es-ES" w:eastAsia="x-none"/>
        </w:rPr>
        <w:t>)</w:t>
      </w:r>
      <w:r w:rsidRPr="00BF79D0">
        <w:rPr>
          <w:rFonts w:eastAsia="Calibri"/>
          <w:bCs/>
          <w:color w:val="000000"/>
          <w:lang w:val="x-none" w:eastAsia="x-none"/>
        </w:rPr>
        <w:t xml:space="preserve">, </w:t>
      </w:r>
      <w:r w:rsidRPr="00BF79D0">
        <w:rPr>
          <w:rFonts w:eastAsia="Calibri"/>
          <w:bCs/>
          <w:color w:val="000000"/>
          <w:lang w:val="es-ES" w:eastAsia="x-none"/>
        </w:rPr>
        <w:t>aspartato amino transferasa (</w:t>
      </w:r>
      <w:r w:rsidRPr="00BF79D0">
        <w:rPr>
          <w:rFonts w:eastAsia="Calibri"/>
          <w:bCs/>
          <w:color w:val="000000"/>
          <w:lang w:val="x-none" w:eastAsia="x-none"/>
        </w:rPr>
        <w:t>ASAT</w:t>
      </w:r>
      <w:r w:rsidRPr="00BF79D0">
        <w:rPr>
          <w:rFonts w:eastAsia="Calibri"/>
          <w:bCs/>
          <w:color w:val="000000"/>
          <w:lang w:val="es-ES" w:eastAsia="x-none"/>
        </w:rPr>
        <w:t>)</w:t>
      </w:r>
      <w:r w:rsidRPr="00BF79D0">
        <w:rPr>
          <w:rFonts w:eastAsia="Calibri"/>
          <w:bCs/>
          <w:color w:val="000000"/>
          <w:lang w:val="x-none" w:eastAsia="x-none"/>
        </w:rPr>
        <w:t xml:space="preserve">, </w:t>
      </w:r>
      <w:r w:rsidRPr="00BF79D0">
        <w:rPr>
          <w:rFonts w:eastAsia="Calibri"/>
          <w:bCs/>
          <w:color w:val="000000"/>
          <w:lang w:val="es-ES" w:eastAsia="x-none"/>
        </w:rPr>
        <w:t xml:space="preserve">gamma </w:t>
      </w:r>
      <w:proofErr w:type="spellStart"/>
      <w:r w:rsidRPr="00BF79D0">
        <w:rPr>
          <w:rFonts w:eastAsia="Calibri"/>
          <w:bCs/>
          <w:color w:val="000000"/>
          <w:lang w:val="es-ES" w:eastAsia="x-none"/>
        </w:rPr>
        <w:t>glutamil</w:t>
      </w:r>
      <w:proofErr w:type="spellEnd"/>
      <w:r w:rsidRPr="00BF79D0">
        <w:rPr>
          <w:rFonts w:eastAsia="Calibri"/>
          <w:bCs/>
          <w:color w:val="000000"/>
          <w:lang w:val="es-ES" w:eastAsia="x-none"/>
        </w:rPr>
        <w:t xml:space="preserve"> transpeptidasa (</w:t>
      </w:r>
      <w:r w:rsidRPr="00BF79D0">
        <w:rPr>
          <w:rFonts w:eastAsia="Calibri"/>
          <w:bCs/>
          <w:color w:val="000000"/>
          <w:lang w:val="x-none" w:eastAsia="x-none"/>
        </w:rPr>
        <w:t>GGT</w:t>
      </w:r>
      <w:r w:rsidRPr="00BF79D0">
        <w:rPr>
          <w:rFonts w:eastAsia="Calibri"/>
          <w:bCs/>
          <w:color w:val="000000"/>
          <w:lang w:val="es-ES" w:eastAsia="x-none"/>
        </w:rPr>
        <w:t>)</w:t>
      </w:r>
      <w:r w:rsidRPr="00BF79D0">
        <w:rPr>
          <w:rFonts w:eastAsia="Calibri"/>
          <w:bCs/>
          <w:color w:val="000000"/>
          <w:lang w:val="x-none" w:eastAsia="x-none"/>
        </w:rPr>
        <w:t xml:space="preserve">, </w:t>
      </w:r>
      <w:r w:rsidRPr="00BF79D0">
        <w:rPr>
          <w:rFonts w:eastAsia="Calibri"/>
          <w:bCs/>
          <w:color w:val="000000"/>
          <w:lang w:val="es-ES" w:eastAsia="x-none"/>
        </w:rPr>
        <w:t>fosfatasa alcalina (</w:t>
      </w:r>
      <w:proofErr w:type="spellStart"/>
      <w:r w:rsidRPr="00BF79D0">
        <w:rPr>
          <w:rFonts w:eastAsia="Calibri"/>
          <w:bCs/>
          <w:color w:val="000000"/>
          <w:lang w:val="es-ES" w:eastAsia="x-none"/>
        </w:rPr>
        <w:t>FAl</w:t>
      </w:r>
      <w:proofErr w:type="spellEnd"/>
      <w:r w:rsidRPr="00BF79D0">
        <w:rPr>
          <w:rFonts w:eastAsia="Calibri"/>
          <w:bCs/>
          <w:color w:val="000000"/>
          <w:lang w:val="es-ES" w:eastAsia="x-none"/>
        </w:rPr>
        <w:t>) y deshidrogenasa láctica (</w:t>
      </w:r>
      <w:r w:rsidRPr="00BF79D0">
        <w:rPr>
          <w:rFonts w:eastAsia="Calibri"/>
          <w:bCs/>
          <w:color w:val="000000"/>
          <w:lang w:val="x-none" w:eastAsia="x-none"/>
        </w:rPr>
        <w:t>LDH</w:t>
      </w:r>
      <w:r w:rsidRPr="00BF79D0">
        <w:rPr>
          <w:rFonts w:eastAsia="Calibri"/>
          <w:bCs/>
          <w:color w:val="000000"/>
          <w:lang w:val="es-ES" w:eastAsia="x-none"/>
        </w:rPr>
        <w:t>).</w:t>
      </w:r>
    </w:p>
    <w:p w14:paraId="36BFBD34"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eastAsia="x-none"/>
        </w:rPr>
        <w:t xml:space="preserve">Complicaciones durante el ingreso: </w:t>
      </w:r>
      <w:proofErr w:type="spellStart"/>
      <w:r w:rsidRPr="00BF79D0">
        <w:rPr>
          <w:rFonts w:eastAsia="Calibri"/>
          <w:bCs/>
          <w:color w:val="000000"/>
          <w:lang w:val="x-none" w:eastAsia="x-none"/>
        </w:rPr>
        <w:t>distr</w:t>
      </w:r>
      <w:r w:rsidRPr="00BF79D0">
        <w:rPr>
          <w:rFonts w:eastAsia="Calibri"/>
          <w:bCs/>
          <w:color w:val="000000"/>
          <w:lang w:val="es-CU" w:eastAsia="x-none"/>
        </w:rPr>
        <w:t>é</w:t>
      </w:r>
      <w:proofErr w:type="spellEnd"/>
      <w:r w:rsidRPr="00BF79D0">
        <w:rPr>
          <w:rFonts w:eastAsia="Calibri"/>
          <w:bCs/>
          <w:color w:val="000000"/>
          <w:lang w:val="x-none" w:eastAsia="x-none"/>
        </w:rPr>
        <w:t>s respiratorio, arritmia,</w:t>
      </w:r>
      <w:r w:rsidRPr="00BF79D0">
        <w:rPr>
          <w:rFonts w:eastAsia="Calibri"/>
          <w:bCs/>
          <w:color w:val="000000"/>
          <w:lang w:eastAsia="x-none"/>
        </w:rPr>
        <w:t xml:space="preserve"> </w:t>
      </w:r>
      <w:r w:rsidRPr="00BF79D0">
        <w:rPr>
          <w:rFonts w:eastAsia="Calibri"/>
          <w:bCs/>
          <w:i/>
          <w:iCs/>
          <w:color w:val="000000"/>
          <w:lang w:val="x-none" w:eastAsia="x-none"/>
        </w:rPr>
        <w:t>shock</w:t>
      </w:r>
      <w:r w:rsidRPr="00BF79D0">
        <w:rPr>
          <w:rFonts w:eastAsia="Calibri"/>
          <w:bCs/>
          <w:color w:val="000000"/>
          <w:lang w:val="x-none" w:eastAsia="x-none"/>
        </w:rPr>
        <w:t xml:space="preserve"> séptico,</w:t>
      </w:r>
      <w:r w:rsidRPr="00BF79D0">
        <w:rPr>
          <w:rFonts w:eastAsia="Calibri"/>
          <w:bCs/>
          <w:color w:val="000000"/>
          <w:lang w:val="es-ES" w:eastAsia="x-none"/>
        </w:rPr>
        <w:t xml:space="preserve"> </w:t>
      </w:r>
      <w:r w:rsidRPr="00BF79D0">
        <w:rPr>
          <w:rFonts w:eastAsia="Calibri"/>
          <w:bCs/>
          <w:color w:val="000000"/>
          <w:lang w:eastAsia="x-none"/>
        </w:rPr>
        <w:t>infección respiratoria baja</w:t>
      </w:r>
      <w:r w:rsidRPr="00BF79D0">
        <w:rPr>
          <w:rFonts w:eastAsia="Calibri"/>
          <w:bCs/>
          <w:color w:val="000000"/>
          <w:lang w:val="x-none" w:eastAsia="x-none"/>
        </w:rPr>
        <w:t>, trastorno hidroelectrolítico y muerte.</w:t>
      </w:r>
      <w:r w:rsidRPr="00BF79D0">
        <w:rPr>
          <w:rFonts w:eastAsia="Calibri"/>
          <w:bCs/>
          <w:color w:val="000000"/>
          <w:lang w:val="es-ES" w:eastAsia="x-none"/>
        </w:rPr>
        <w:t xml:space="preserve"> Bajo “otra complicación”, se agruparon 11 problemas de salud que tuvieron una frecuencia inferior al 2 %.</w:t>
      </w:r>
    </w:p>
    <w:p w14:paraId="74CA530C" w14:textId="77777777" w:rsidR="00BF79D0" w:rsidRPr="00BF79D0" w:rsidRDefault="00BF79D0" w:rsidP="008C6E3D">
      <w:pPr>
        <w:numPr>
          <w:ilvl w:val="0"/>
          <w:numId w:val="7"/>
        </w:numPr>
        <w:spacing w:line="360" w:lineRule="auto"/>
        <w:mirrorIndents/>
        <w:jc w:val="both"/>
        <w:rPr>
          <w:rFonts w:eastAsia="Calibri"/>
          <w:bCs/>
          <w:color w:val="000000"/>
          <w:lang w:val="es-ES" w:eastAsia="x-none"/>
        </w:rPr>
      </w:pPr>
      <w:r w:rsidRPr="00BF79D0">
        <w:rPr>
          <w:rFonts w:eastAsia="Calibri"/>
          <w:bCs/>
          <w:color w:val="000000"/>
          <w:lang w:val="es-ES" w:eastAsia="x-none"/>
        </w:rPr>
        <w:t xml:space="preserve">Se cuantificó el uso de los fármacos </w:t>
      </w:r>
      <w:proofErr w:type="spellStart"/>
      <w:r w:rsidRPr="00BF79D0">
        <w:rPr>
          <w:rFonts w:eastAsia="Calibri"/>
          <w:bCs/>
          <w:color w:val="000000"/>
          <w:lang w:val="es-ES" w:eastAsia="x-none"/>
        </w:rPr>
        <w:t>Kaletra</w:t>
      </w:r>
      <w:proofErr w:type="spellEnd"/>
      <w:r w:rsidRPr="00BF79D0">
        <w:rPr>
          <w:rFonts w:eastAsia="Calibri"/>
          <w:bCs/>
          <w:color w:val="000000"/>
          <w:lang w:val="es-ES" w:eastAsia="x-none"/>
        </w:rPr>
        <w:t xml:space="preserve"> (</w:t>
      </w:r>
      <w:proofErr w:type="spellStart"/>
      <w:r w:rsidRPr="00BF79D0">
        <w:rPr>
          <w:rFonts w:eastAsia="Calibri"/>
          <w:bCs/>
          <w:color w:val="000000"/>
          <w:lang w:val="es-ES" w:eastAsia="x-none"/>
        </w:rPr>
        <w:t>ritonavir</w:t>
      </w:r>
      <w:proofErr w:type="spellEnd"/>
      <w:r w:rsidRPr="00BF79D0">
        <w:rPr>
          <w:rFonts w:eastAsia="Calibri"/>
          <w:bCs/>
          <w:color w:val="000000"/>
          <w:lang w:val="es-ES" w:eastAsia="x-none"/>
        </w:rPr>
        <w:t>/</w:t>
      </w:r>
      <w:proofErr w:type="spellStart"/>
      <w:r w:rsidRPr="00BF79D0">
        <w:rPr>
          <w:rFonts w:eastAsia="Calibri"/>
          <w:bCs/>
          <w:color w:val="000000"/>
          <w:lang w:val="es-ES" w:eastAsia="x-none"/>
        </w:rPr>
        <w:t>lopinavir</w:t>
      </w:r>
      <w:proofErr w:type="spellEnd"/>
      <w:r w:rsidRPr="00BF79D0">
        <w:rPr>
          <w:rFonts w:eastAsia="Calibri"/>
          <w:bCs/>
          <w:color w:val="000000"/>
          <w:lang w:val="es-ES" w:eastAsia="x-none"/>
        </w:rPr>
        <w:t xml:space="preserve">), interferón, cloroquina y </w:t>
      </w:r>
      <w:proofErr w:type="spellStart"/>
      <w:r w:rsidRPr="00BF79D0">
        <w:rPr>
          <w:rFonts w:eastAsia="Calibri"/>
          <w:bCs/>
          <w:color w:val="000000"/>
          <w:lang w:val="es-ES" w:eastAsia="x-none"/>
        </w:rPr>
        <w:t>Jusvinza</w:t>
      </w:r>
      <w:proofErr w:type="spellEnd"/>
      <w:r w:rsidRPr="00BF79D0">
        <w:rPr>
          <w:rFonts w:eastAsia="Calibri"/>
          <w:bCs/>
          <w:color w:val="000000"/>
          <w:lang w:val="es-ES" w:eastAsia="x-none"/>
        </w:rPr>
        <w:t xml:space="preserve"> (nombrado CIGB-258 en el momento en que se producían los datos de este estudio). Bajo la variable “antibióticos” se agruparon 18 fármacos antimicrobianos diferentes a </w:t>
      </w:r>
      <w:proofErr w:type="spellStart"/>
      <w:r w:rsidRPr="00BF79D0">
        <w:rPr>
          <w:rFonts w:eastAsia="Calibri"/>
          <w:bCs/>
          <w:color w:val="000000"/>
          <w:lang w:val="es-ES" w:eastAsia="x-none"/>
        </w:rPr>
        <w:t>Kaletra</w:t>
      </w:r>
      <w:proofErr w:type="spellEnd"/>
      <w:r w:rsidRPr="00BF79D0">
        <w:rPr>
          <w:rFonts w:eastAsia="Calibri"/>
          <w:bCs/>
          <w:color w:val="000000"/>
          <w:lang w:val="es-ES" w:eastAsia="x-none"/>
        </w:rPr>
        <w:t xml:space="preserve"> y cloroquina. En la variable “esteroides” se agruparon cinco fármacos glucocorticoides.</w:t>
      </w:r>
    </w:p>
    <w:p w14:paraId="10E0E76D" w14:textId="77777777" w:rsidR="00BF79D0" w:rsidRPr="00BF79D0" w:rsidRDefault="00BF79D0" w:rsidP="008C6E3D">
      <w:pPr>
        <w:spacing w:line="360" w:lineRule="auto"/>
        <w:mirrorIndents/>
        <w:jc w:val="both"/>
        <w:rPr>
          <w:rFonts w:eastAsia="Calibri"/>
          <w:bCs/>
          <w:color w:val="000000"/>
          <w:lang w:eastAsia="x-none"/>
        </w:rPr>
      </w:pPr>
    </w:p>
    <w:p w14:paraId="1F1B0203" w14:textId="77777777" w:rsidR="00BF79D0" w:rsidRPr="00BF79D0" w:rsidRDefault="00BF79D0" w:rsidP="00BF79D0">
      <w:pPr>
        <w:spacing w:line="360" w:lineRule="auto"/>
        <w:mirrorIndents/>
        <w:jc w:val="both"/>
        <w:rPr>
          <w:rFonts w:eastAsia="Calibri"/>
          <w:bCs/>
          <w:color w:val="000000"/>
          <w:lang w:eastAsia="x-none"/>
        </w:rPr>
      </w:pPr>
      <w:r w:rsidRPr="00BF79D0">
        <w:rPr>
          <w:rFonts w:eastAsia="Calibri"/>
          <w:bCs/>
          <w:color w:val="000000"/>
          <w:lang w:eastAsia="x-none"/>
        </w:rPr>
        <w:t xml:space="preserve">La serie fue dividida en tres grupos para el análisis, según el estado glucémico: diabéticos (pacientes que tenían antecedentes conocidos de DM; n = 16), hiperglucémicos (pacientes sin antecedentes de DM, que tuvieron cifras de glucemia en ayunas, en algún momento durante el ingreso ≥ 7,8 mmol/L; n = 10) y </w:t>
      </w:r>
      <w:proofErr w:type="spellStart"/>
      <w:r w:rsidRPr="00BF79D0">
        <w:rPr>
          <w:rFonts w:eastAsia="Calibri"/>
          <w:bCs/>
          <w:color w:val="000000"/>
          <w:lang w:eastAsia="x-none"/>
        </w:rPr>
        <w:t>normoglucémicos</w:t>
      </w:r>
      <w:proofErr w:type="spellEnd"/>
      <w:r w:rsidRPr="00BF79D0">
        <w:rPr>
          <w:rFonts w:eastAsia="Calibri"/>
          <w:bCs/>
          <w:color w:val="000000"/>
          <w:lang w:eastAsia="x-none"/>
        </w:rPr>
        <w:t xml:space="preserve"> (el resto de los pacientes; n = 219).</w:t>
      </w:r>
    </w:p>
    <w:p w14:paraId="6A28F684"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Se utilizó </w:t>
      </w:r>
      <w:r w:rsidRPr="00BF79D0">
        <w:rPr>
          <w:rFonts w:eastAsia="Calibri"/>
          <w:bCs/>
          <w:i/>
          <w:lang w:val="es-MX" w:eastAsia="en-US"/>
        </w:rPr>
        <w:t>ji</w:t>
      </w:r>
      <w:r w:rsidRPr="00BF79D0">
        <w:rPr>
          <w:rFonts w:eastAsia="Calibri"/>
          <w:bCs/>
          <w:lang w:val="es-MX" w:eastAsia="en-US"/>
        </w:rPr>
        <w:t xml:space="preserve"> – cuadrado para identificar relación entre las categorías de estado glucémico y el sexo, grupos de edad, evolución de los síntomas, antecedentes patológicos personales, complicaciones y medicamentos. Para comparar la distribución de los valores de estadía hospitalaria y parámetros humorales, se utilizó la prueba H de Kruskal – Wallis. Las variables categóricas se presentan en número de casos (n) y frecuencia (%), las variables continuas se presentan en mediana (m) y rango inter cuartil (RIC). Se utilizó el intervalo de confianza del 95 %. Los resultados se presentan en tablas. </w:t>
      </w:r>
    </w:p>
    <w:p w14:paraId="40862675"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lastRenderedPageBreak/>
        <w:t xml:space="preserve">El comité de ética del </w:t>
      </w:r>
      <w:r w:rsidRPr="00BF79D0">
        <w:rPr>
          <w:rFonts w:eastAsia="Calibri"/>
          <w:color w:val="000000"/>
          <w:lang w:val="es-MX" w:eastAsia="en-US"/>
        </w:rPr>
        <w:t xml:space="preserve">Hospital Militar “Dr. Mario Muñoz Monroy”, aprobó este </w:t>
      </w:r>
      <w:r w:rsidRPr="00BF79D0">
        <w:rPr>
          <w:rFonts w:eastAsia="Calibri"/>
          <w:bCs/>
          <w:lang w:val="es-MX" w:eastAsia="en-US"/>
        </w:rPr>
        <w:t>trabajo. No fue necesario consentimiento informado, porque no se realizaron intervenciones en los pacientes.</w:t>
      </w:r>
    </w:p>
    <w:p w14:paraId="757E1DAF" w14:textId="77777777" w:rsidR="00BF79D0" w:rsidRPr="00BF79D0" w:rsidRDefault="00BF79D0" w:rsidP="00BF79D0">
      <w:pPr>
        <w:spacing w:line="360" w:lineRule="auto"/>
        <w:jc w:val="both"/>
        <w:rPr>
          <w:rFonts w:eastAsia="Calibri"/>
          <w:b/>
          <w:bCs/>
          <w:lang w:val="es-MX" w:eastAsia="en-US"/>
        </w:rPr>
      </w:pPr>
    </w:p>
    <w:p w14:paraId="0245B1D9" w14:textId="77777777" w:rsidR="00BF79D0" w:rsidRPr="00BF79D0" w:rsidRDefault="00BF79D0" w:rsidP="00BF79D0">
      <w:pPr>
        <w:spacing w:line="360" w:lineRule="auto"/>
        <w:jc w:val="both"/>
        <w:rPr>
          <w:rFonts w:eastAsia="Calibri"/>
          <w:b/>
          <w:bCs/>
          <w:lang w:val="es-MX" w:eastAsia="en-US"/>
        </w:rPr>
      </w:pPr>
    </w:p>
    <w:p w14:paraId="46C47B44" w14:textId="77777777" w:rsidR="00BF79D0" w:rsidRPr="00BF79D0" w:rsidRDefault="00BF79D0" w:rsidP="00BF79D0">
      <w:pPr>
        <w:spacing w:line="360" w:lineRule="auto"/>
        <w:jc w:val="center"/>
        <w:rPr>
          <w:rFonts w:eastAsia="Calibri"/>
          <w:b/>
          <w:bCs/>
          <w:sz w:val="32"/>
          <w:szCs w:val="32"/>
          <w:lang w:val="es-MX" w:eastAsia="en-US"/>
        </w:rPr>
      </w:pPr>
      <w:r w:rsidRPr="00BF79D0">
        <w:rPr>
          <w:rFonts w:eastAsia="Calibri"/>
          <w:b/>
          <w:bCs/>
          <w:sz w:val="32"/>
          <w:szCs w:val="32"/>
          <w:lang w:val="es-MX" w:eastAsia="en-US"/>
        </w:rPr>
        <w:t>RESULTADOS</w:t>
      </w:r>
    </w:p>
    <w:p w14:paraId="7AB9CAB3" w14:textId="77777777" w:rsidR="00BF79D0" w:rsidRPr="00BF79D0" w:rsidRDefault="00BF79D0" w:rsidP="00BF79D0">
      <w:pPr>
        <w:keepNext/>
        <w:spacing w:line="360" w:lineRule="auto"/>
        <w:jc w:val="center"/>
        <w:rPr>
          <w:rFonts w:eastAsia="Calibri"/>
          <w:b/>
          <w:sz w:val="22"/>
          <w:szCs w:val="22"/>
          <w:lang w:val="es-MX" w:eastAsia="en-US"/>
        </w:rPr>
      </w:pPr>
    </w:p>
    <w:p w14:paraId="44A2348E" w14:textId="3B119D97" w:rsidR="00BF79D0" w:rsidRPr="00BF79D0" w:rsidRDefault="00BF79D0" w:rsidP="00BF79D0">
      <w:pPr>
        <w:keepNext/>
        <w:spacing w:line="360" w:lineRule="auto"/>
        <w:jc w:val="center"/>
        <w:rPr>
          <w:rFonts w:eastAsia="Calibri"/>
          <w:b/>
          <w:sz w:val="22"/>
          <w:szCs w:val="22"/>
          <w:lang w:val="es-MX" w:eastAsia="en-US"/>
        </w:rPr>
      </w:pPr>
      <w:r w:rsidRPr="00BF79D0">
        <w:rPr>
          <w:rFonts w:eastAsia="Calibri"/>
          <w:b/>
          <w:sz w:val="22"/>
          <w:szCs w:val="22"/>
          <w:lang w:val="es-MX" w:eastAsia="en-US"/>
        </w:rPr>
        <w:t xml:space="preserve">Tabla </w:t>
      </w:r>
      <w:r w:rsidRPr="00BF79D0">
        <w:rPr>
          <w:rFonts w:eastAsia="Calibri"/>
          <w:b/>
          <w:sz w:val="22"/>
          <w:szCs w:val="22"/>
          <w:lang w:val="es-MX" w:eastAsia="en-US"/>
        </w:rPr>
        <w:fldChar w:fldCharType="begin"/>
      </w:r>
      <w:r w:rsidRPr="00BF79D0">
        <w:rPr>
          <w:rFonts w:eastAsia="Calibri"/>
          <w:b/>
          <w:sz w:val="22"/>
          <w:szCs w:val="22"/>
          <w:lang w:val="es-MX" w:eastAsia="en-US"/>
        </w:rPr>
        <w:instrText xml:space="preserve"> SEQ Tabla \* ARABIC </w:instrText>
      </w:r>
      <w:r w:rsidRPr="00BF79D0">
        <w:rPr>
          <w:rFonts w:eastAsia="Calibri"/>
          <w:b/>
          <w:sz w:val="22"/>
          <w:szCs w:val="22"/>
          <w:lang w:val="es-MX" w:eastAsia="en-US"/>
        </w:rPr>
        <w:fldChar w:fldCharType="separate"/>
      </w:r>
      <w:r w:rsidR="00117022">
        <w:rPr>
          <w:rFonts w:eastAsia="Calibri"/>
          <w:b/>
          <w:noProof/>
          <w:sz w:val="22"/>
          <w:szCs w:val="22"/>
          <w:lang w:val="es-MX" w:eastAsia="en-US"/>
        </w:rPr>
        <w:t>1</w:t>
      </w:r>
      <w:r w:rsidRPr="00BF79D0">
        <w:rPr>
          <w:rFonts w:eastAsia="Calibri"/>
          <w:b/>
          <w:sz w:val="22"/>
          <w:szCs w:val="22"/>
          <w:lang w:val="es-MX" w:eastAsia="en-US"/>
        </w:rPr>
        <w:fldChar w:fldCharType="end"/>
      </w:r>
      <w:r w:rsidRPr="00BF79D0">
        <w:rPr>
          <w:rFonts w:eastAsia="Calibri"/>
          <w:b/>
          <w:sz w:val="22"/>
          <w:szCs w:val="22"/>
          <w:lang w:val="es-MX" w:eastAsia="en-US"/>
        </w:rPr>
        <w:t xml:space="preserve"> - </w:t>
      </w:r>
      <w:r w:rsidRPr="00BF79D0">
        <w:rPr>
          <w:rFonts w:eastAsia="Calibri"/>
          <w:bCs/>
          <w:sz w:val="22"/>
          <w:szCs w:val="22"/>
          <w:lang w:val="es-MX" w:eastAsia="en-US"/>
        </w:rPr>
        <w:t>Características clínicas según el estado glucémico</w:t>
      </w:r>
    </w:p>
    <w:p w14:paraId="1DC70B6C" w14:textId="6B30FAF3" w:rsidR="00BF79D0" w:rsidRPr="00BF79D0" w:rsidRDefault="00BF79D0" w:rsidP="00BF79D0">
      <w:pPr>
        <w:spacing w:line="360" w:lineRule="auto"/>
        <w:jc w:val="center"/>
        <w:rPr>
          <w:rFonts w:eastAsia="Calibri"/>
          <w:bCs/>
          <w:lang w:val="es-MX" w:eastAsia="en-US"/>
        </w:rPr>
      </w:pPr>
      <w:r w:rsidRPr="00BF79D0">
        <w:rPr>
          <w:rFonts w:eastAsia="Calibri"/>
          <w:noProof/>
          <w:lang w:val="es-MX" w:eastAsia="en-US"/>
        </w:rPr>
        <w:drawing>
          <wp:inline distT="0" distB="0" distL="0" distR="0" wp14:anchorId="0A335A65" wp14:editId="0EF514F0">
            <wp:extent cx="5610225" cy="3162300"/>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162300"/>
                    </a:xfrm>
                    <a:prstGeom prst="rect">
                      <a:avLst/>
                    </a:prstGeom>
                    <a:noFill/>
                    <a:ln>
                      <a:noFill/>
                    </a:ln>
                  </pic:spPr>
                </pic:pic>
              </a:graphicData>
            </a:graphic>
          </wp:inline>
        </w:drawing>
      </w:r>
    </w:p>
    <w:p w14:paraId="780DEDEC" w14:textId="77777777" w:rsidR="00BF79D0" w:rsidRPr="00BF79D0" w:rsidRDefault="00BF79D0" w:rsidP="00BF79D0">
      <w:pPr>
        <w:spacing w:line="360" w:lineRule="auto"/>
        <w:jc w:val="both"/>
        <w:rPr>
          <w:rFonts w:eastAsia="Calibri"/>
          <w:bCs/>
          <w:lang w:val="es-MX" w:eastAsia="en-US"/>
        </w:rPr>
      </w:pPr>
    </w:p>
    <w:p w14:paraId="496D5FB5"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En la tabla 1 se muestra que la proporción de pacientes diabéticos, hiperglucémicos y </w:t>
      </w:r>
      <w:proofErr w:type="spellStart"/>
      <w:r w:rsidRPr="00BF79D0">
        <w:rPr>
          <w:rFonts w:eastAsia="Calibri"/>
          <w:bCs/>
          <w:lang w:val="es-MX" w:eastAsia="en-US"/>
        </w:rPr>
        <w:t>normoglucémicos</w:t>
      </w:r>
      <w:proofErr w:type="spellEnd"/>
      <w:r w:rsidRPr="00BF79D0">
        <w:rPr>
          <w:rFonts w:eastAsia="Calibri"/>
          <w:bCs/>
          <w:lang w:val="es-MX" w:eastAsia="en-US"/>
        </w:rPr>
        <w:t xml:space="preserve"> fue similar en ambos sexos (p &gt; 0,05). Por grupos de edades, no ingresaron pacientes diabéticos o hiperglucémicos menores de 20 años. En el grupo de edad de 20 a 39 años (n = 86; 39,3 %) predominaron los pacientes </w:t>
      </w:r>
      <w:proofErr w:type="spellStart"/>
      <w:r w:rsidRPr="00BF79D0">
        <w:rPr>
          <w:rFonts w:eastAsia="Calibri"/>
          <w:bCs/>
          <w:lang w:val="es-MX" w:eastAsia="en-US"/>
        </w:rPr>
        <w:t>normoglucémicos</w:t>
      </w:r>
      <w:proofErr w:type="spellEnd"/>
      <w:r w:rsidRPr="00BF79D0">
        <w:rPr>
          <w:rFonts w:eastAsia="Calibri"/>
          <w:bCs/>
          <w:lang w:val="es-MX" w:eastAsia="en-US"/>
        </w:rPr>
        <w:t xml:space="preserve"> (p &gt; 0,05) y en el de 60 a 79 años predominaron los diabéticos (n = 6; 37,5 %) e hiperglucémicos (n = 4; 40 %). Poco más de la mitad de los pacientes (n = 135; 55,1 %) estaban sintomáticos al ingreso. La proporción de sintomáticos al ingreso fue mayor entre diabéticos (n = 14; 87,5 %) e hiperglucémicos (n = 6; 60,0 %). Solo pacientes </w:t>
      </w:r>
      <w:proofErr w:type="spellStart"/>
      <w:r w:rsidRPr="00BF79D0">
        <w:rPr>
          <w:rFonts w:eastAsia="Calibri"/>
          <w:bCs/>
          <w:lang w:val="es-MX" w:eastAsia="en-US"/>
        </w:rPr>
        <w:t>normoglucémicos</w:t>
      </w:r>
      <w:proofErr w:type="spellEnd"/>
      <w:r w:rsidRPr="00BF79D0">
        <w:rPr>
          <w:rFonts w:eastAsia="Calibri"/>
          <w:bCs/>
          <w:lang w:val="es-MX" w:eastAsia="en-US"/>
        </w:rPr>
        <w:t xml:space="preserve"> (n = 38; 17,4 %) se mantuvieron asintomáticos siempre, aunque esta diferencia entre grupos no alcanzó significación </w:t>
      </w:r>
      <w:r w:rsidRPr="00BF79D0">
        <w:rPr>
          <w:rFonts w:eastAsia="Calibri"/>
          <w:bCs/>
          <w:lang w:val="es-MX" w:eastAsia="en-US"/>
        </w:rPr>
        <w:lastRenderedPageBreak/>
        <w:t xml:space="preserve">estadística. La estadía hospitalaria fue similar en los tres grupos de estado glucémico: alrededor de 15 días. </w:t>
      </w:r>
    </w:p>
    <w:p w14:paraId="03FD8F07" w14:textId="77777777" w:rsidR="00BF79D0" w:rsidRPr="00BF79D0" w:rsidRDefault="00BF79D0" w:rsidP="00BF79D0">
      <w:pPr>
        <w:spacing w:line="360" w:lineRule="auto"/>
        <w:jc w:val="both"/>
        <w:rPr>
          <w:rFonts w:eastAsia="Calibri"/>
          <w:bCs/>
          <w:lang w:val="es-MX" w:eastAsia="en-US"/>
        </w:rPr>
      </w:pPr>
    </w:p>
    <w:p w14:paraId="3164C514" w14:textId="716AD52C" w:rsidR="00BF79D0" w:rsidRPr="00BF79D0" w:rsidRDefault="00BF79D0" w:rsidP="00BF79D0">
      <w:pPr>
        <w:keepNext/>
        <w:spacing w:line="360" w:lineRule="auto"/>
        <w:jc w:val="center"/>
        <w:rPr>
          <w:rFonts w:eastAsia="Calibri"/>
          <w:bCs/>
          <w:sz w:val="22"/>
          <w:szCs w:val="22"/>
          <w:lang w:val="es-MX" w:eastAsia="en-US"/>
        </w:rPr>
      </w:pPr>
      <w:r w:rsidRPr="00BF79D0">
        <w:rPr>
          <w:rFonts w:eastAsia="Calibri"/>
          <w:b/>
          <w:sz w:val="22"/>
          <w:szCs w:val="22"/>
          <w:lang w:val="es-MX" w:eastAsia="en-US"/>
        </w:rPr>
        <w:t xml:space="preserve">Tabla </w:t>
      </w:r>
      <w:r w:rsidRPr="00BF79D0">
        <w:rPr>
          <w:rFonts w:eastAsia="Calibri"/>
          <w:b/>
          <w:sz w:val="22"/>
          <w:szCs w:val="22"/>
          <w:lang w:val="es-MX" w:eastAsia="en-US"/>
        </w:rPr>
        <w:fldChar w:fldCharType="begin"/>
      </w:r>
      <w:r w:rsidRPr="00BF79D0">
        <w:rPr>
          <w:rFonts w:eastAsia="Calibri"/>
          <w:b/>
          <w:sz w:val="22"/>
          <w:szCs w:val="22"/>
          <w:lang w:val="es-MX" w:eastAsia="en-US"/>
        </w:rPr>
        <w:instrText xml:space="preserve"> SEQ Tabla \* ARABIC </w:instrText>
      </w:r>
      <w:r w:rsidRPr="00BF79D0">
        <w:rPr>
          <w:rFonts w:eastAsia="Calibri"/>
          <w:b/>
          <w:sz w:val="22"/>
          <w:szCs w:val="22"/>
          <w:lang w:val="es-MX" w:eastAsia="en-US"/>
        </w:rPr>
        <w:fldChar w:fldCharType="separate"/>
      </w:r>
      <w:r w:rsidR="00117022">
        <w:rPr>
          <w:rFonts w:eastAsia="Calibri"/>
          <w:b/>
          <w:noProof/>
          <w:sz w:val="22"/>
          <w:szCs w:val="22"/>
          <w:lang w:val="es-MX" w:eastAsia="en-US"/>
        </w:rPr>
        <w:t>2</w:t>
      </w:r>
      <w:r w:rsidRPr="00BF79D0">
        <w:rPr>
          <w:rFonts w:eastAsia="Calibri"/>
          <w:b/>
          <w:sz w:val="22"/>
          <w:szCs w:val="22"/>
          <w:lang w:val="es-MX" w:eastAsia="en-US"/>
        </w:rPr>
        <w:fldChar w:fldCharType="end"/>
      </w:r>
      <w:r w:rsidRPr="00BF79D0">
        <w:rPr>
          <w:rFonts w:eastAsia="Calibri"/>
          <w:b/>
          <w:sz w:val="22"/>
          <w:szCs w:val="22"/>
          <w:lang w:val="es-MX" w:eastAsia="en-US"/>
        </w:rPr>
        <w:t xml:space="preserve"> - </w:t>
      </w:r>
      <w:r w:rsidRPr="00BF79D0">
        <w:rPr>
          <w:rFonts w:eastAsia="Calibri"/>
          <w:bCs/>
          <w:sz w:val="22"/>
          <w:szCs w:val="22"/>
          <w:lang w:val="es-MX" w:eastAsia="en-US"/>
        </w:rPr>
        <w:t>Antecedentes patológicos personales según el estado glucémico</w:t>
      </w:r>
    </w:p>
    <w:p w14:paraId="01E95953" w14:textId="75B93DBB" w:rsidR="00BF79D0" w:rsidRPr="00BF79D0" w:rsidRDefault="00BF79D0" w:rsidP="00BF79D0">
      <w:pPr>
        <w:spacing w:line="360" w:lineRule="auto"/>
        <w:jc w:val="center"/>
        <w:rPr>
          <w:rFonts w:eastAsia="Calibri"/>
          <w:bCs/>
          <w:lang w:val="es-MX" w:eastAsia="en-US"/>
        </w:rPr>
      </w:pPr>
      <w:r w:rsidRPr="00BF79D0">
        <w:rPr>
          <w:rFonts w:eastAsia="Calibri"/>
          <w:noProof/>
          <w:lang w:val="es-MX" w:eastAsia="en-US"/>
        </w:rPr>
        <w:drawing>
          <wp:inline distT="0" distB="0" distL="0" distR="0" wp14:anchorId="40604009" wp14:editId="14D9770F">
            <wp:extent cx="5562600" cy="2828925"/>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828925"/>
                    </a:xfrm>
                    <a:prstGeom prst="rect">
                      <a:avLst/>
                    </a:prstGeom>
                    <a:noFill/>
                    <a:ln>
                      <a:noFill/>
                    </a:ln>
                  </pic:spPr>
                </pic:pic>
              </a:graphicData>
            </a:graphic>
          </wp:inline>
        </w:drawing>
      </w:r>
    </w:p>
    <w:p w14:paraId="70147C72" w14:textId="77777777" w:rsidR="00BF79D0" w:rsidRPr="00BF79D0" w:rsidRDefault="00BF79D0" w:rsidP="00BF79D0">
      <w:pPr>
        <w:spacing w:line="360" w:lineRule="auto"/>
        <w:jc w:val="both"/>
        <w:rPr>
          <w:rFonts w:eastAsia="Calibri"/>
          <w:bCs/>
          <w:lang w:val="es-MX" w:eastAsia="en-US"/>
        </w:rPr>
      </w:pPr>
    </w:p>
    <w:p w14:paraId="5CF72391"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La HTA fue un antecedente muy frecuente en la serie estudiada (tabla 2), alrededor de un tercio de los pacientes la padecía. Esta proporción era mucho mayor en diabéticos (n = 14; 87,5 %) e hiperglucémicos (n = 5; 50 %). También era mayor la proporción de cardiopatía isquémica (n = 5; 31,3 %) e insuficiencia renal crónica (n = 4; 25 %) en los diabéticos. En general, diabéticos (n = 7; 43,8 %) e hiperglucémicos (n = 5; 50 %) tenían una proporción mayor de otros antecedentes. El asma bronquial, tabaquismo y arritmia tuvieron similar distribución entre grupos de estado glucémico.</w:t>
      </w:r>
    </w:p>
    <w:p w14:paraId="101C4FB7" w14:textId="77777777" w:rsidR="00BF79D0" w:rsidRPr="00BF79D0" w:rsidRDefault="00BF79D0" w:rsidP="00BF79D0">
      <w:pPr>
        <w:spacing w:line="360" w:lineRule="auto"/>
        <w:jc w:val="both"/>
        <w:rPr>
          <w:rFonts w:eastAsia="Calibri"/>
          <w:bCs/>
          <w:lang w:val="es-MX" w:eastAsia="en-US"/>
        </w:rPr>
      </w:pPr>
    </w:p>
    <w:p w14:paraId="292AD162" w14:textId="18F3611A" w:rsidR="00BF79D0" w:rsidRPr="00BF79D0" w:rsidRDefault="00BF79D0" w:rsidP="00BF79D0">
      <w:pPr>
        <w:keepNext/>
        <w:spacing w:line="360" w:lineRule="auto"/>
        <w:jc w:val="center"/>
        <w:rPr>
          <w:rFonts w:eastAsia="Calibri"/>
          <w:bCs/>
          <w:sz w:val="22"/>
          <w:szCs w:val="22"/>
          <w:lang w:val="es-MX" w:eastAsia="en-US"/>
        </w:rPr>
      </w:pPr>
      <w:bookmarkStart w:id="0" w:name="_Hlk64126760"/>
      <w:r w:rsidRPr="00BF79D0">
        <w:rPr>
          <w:rFonts w:eastAsia="Calibri"/>
          <w:b/>
          <w:sz w:val="22"/>
          <w:szCs w:val="22"/>
          <w:lang w:val="es-MX" w:eastAsia="en-US"/>
        </w:rPr>
        <w:lastRenderedPageBreak/>
        <w:t xml:space="preserve">Tabla </w:t>
      </w:r>
      <w:r w:rsidRPr="00BF79D0">
        <w:rPr>
          <w:rFonts w:eastAsia="Calibri"/>
          <w:b/>
          <w:sz w:val="22"/>
          <w:szCs w:val="22"/>
          <w:lang w:val="es-MX" w:eastAsia="en-US"/>
        </w:rPr>
        <w:fldChar w:fldCharType="begin"/>
      </w:r>
      <w:r w:rsidRPr="00BF79D0">
        <w:rPr>
          <w:rFonts w:eastAsia="Calibri"/>
          <w:b/>
          <w:sz w:val="22"/>
          <w:szCs w:val="22"/>
          <w:lang w:val="es-MX" w:eastAsia="en-US"/>
        </w:rPr>
        <w:instrText xml:space="preserve"> SEQ Tabla \* ARABIC </w:instrText>
      </w:r>
      <w:r w:rsidRPr="00BF79D0">
        <w:rPr>
          <w:rFonts w:eastAsia="Calibri"/>
          <w:b/>
          <w:sz w:val="22"/>
          <w:szCs w:val="22"/>
          <w:lang w:val="es-MX" w:eastAsia="en-US"/>
        </w:rPr>
        <w:fldChar w:fldCharType="separate"/>
      </w:r>
      <w:r w:rsidR="00117022">
        <w:rPr>
          <w:rFonts w:eastAsia="Calibri"/>
          <w:b/>
          <w:noProof/>
          <w:sz w:val="22"/>
          <w:szCs w:val="22"/>
          <w:lang w:val="es-MX" w:eastAsia="en-US"/>
        </w:rPr>
        <w:t>3</w:t>
      </w:r>
      <w:r w:rsidRPr="00BF79D0">
        <w:rPr>
          <w:rFonts w:eastAsia="Calibri"/>
          <w:b/>
          <w:sz w:val="22"/>
          <w:szCs w:val="22"/>
          <w:lang w:val="es-MX" w:eastAsia="en-US"/>
        </w:rPr>
        <w:fldChar w:fldCharType="end"/>
      </w:r>
      <w:r w:rsidRPr="00BF79D0">
        <w:rPr>
          <w:rFonts w:eastAsia="Calibri"/>
          <w:b/>
          <w:sz w:val="22"/>
          <w:szCs w:val="22"/>
          <w:lang w:val="es-MX" w:eastAsia="en-US"/>
        </w:rPr>
        <w:t xml:space="preserve"> - </w:t>
      </w:r>
      <w:r w:rsidRPr="00BF79D0">
        <w:rPr>
          <w:rFonts w:eastAsia="Calibri"/>
          <w:bCs/>
          <w:sz w:val="22"/>
          <w:szCs w:val="22"/>
          <w:lang w:val="es-MX" w:eastAsia="en-US"/>
        </w:rPr>
        <w:t>Comparación de parámetros humorales según el estado glucémico</w:t>
      </w:r>
    </w:p>
    <w:bookmarkEnd w:id="0"/>
    <w:p w14:paraId="6AAF7564" w14:textId="1A1B1537" w:rsidR="00BF79D0" w:rsidRPr="00BF79D0" w:rsidRDefault="00BF79D0" w:rsidP="00BF79D0">
      <w:pPr>
        <w:spacing w:line="360" w:lineRule="auto"/>
        <w:jc w:val="center"/>
        <w:rPr>
          <w:rFonts w:eastAsia="Calibri"/>
          <w:bCs/>
          <w:lang w:val="es-MX" w:eastAsia="en-US"/>
        </w:rPr>
      </w:pPr>
      <w:r w:rsidRPr="00BF79D0">
        <w:rPr>
          <w:rFonts w:eastAsia="Calibri"/>
          <w:noProof/>
          <w:lang w:val="es-MX" w:eastAsia="en-US"/>
        </w:rPr>
        <w:drawing>
          <wp:inline distT="0" distB="0" distL="0" distR="0" wp14:anchorId="0DC25A2B" wp14:editId="0CBBC256">
            <wp:extent cx="5162550" cy="335280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3352800"/>
                    </a:xfrm>
                    <a:prstGeom prst="rect">
                      <a:avLst/>
                    </a:prstGeom>
                    <a:noFill/>
                    <a:ln>
                      <a:noFill/>
                    </a:ln>
                  </pic:spPr>
                </pic:pic>
              </a:graphicData>
            </a:graphic>
          </wp:inline>
        </w:drawing>
      </w:r>
    </w:p>
    <w:p w14:paraId="68376088" w14:textId="77777777" w:rsidR="00BF79D0" w:rsidRPr="00BF79D0" w:rsidRDefault="00BF79D0" w:rsidP="00BF79D0">
      <w:pPr>
        <w:spacing w:line="360" w:lineRule="auto"/>
        <w:jc w:val="both"/>
        <w:rPr>
          <w:rFonts w:eastAsia="Calibri"/>
          <w:bCs/>
          <w:lang w:val="es-MX" w:eastAsia="en-US"/>
        </w:rPr>
      </w:pPr>
    </w:p>
    <w:p w14:paraId="2F7F2E21"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La tabla 3 muestra que los valores de hematocrito (m = 42 %; RIC 38 – 44) y linfocitos (m = 40 %; RIC 31 – 49) fueron mayores en los </w:t>
      </w:r>
      <w:proofErr w:type="spellStart"/>
      <w:r w:rsidRPr="00BF79D0">
        <w:rPr>
          <w:rFonts w:eastAsia="Calibri"/>
          <w:bCs/>
          <w:lang w:val="es-MX" w:eastAsia="en-US"/>
        </w:rPr>
        <w:t>normoglucémicos</w:t>
      </w:r>
      <w:proofErr w:type="spellEnd"/>
      <w:r w:rsidRPr="00BF79D0">
        <w:rPr>
          <w:rFonts w:eastAsia="Calibri"/>
          <w:bCs/>
          <w:lang w:val="es-MX" w:eastAsia="en-US"/>
        </w:rPr>
        <w:t>. Los leucocitos y ALAT fueron similares en los tres grupos de estado glucémico. Los valores de neutrófilos, plaquetas, glucemia, creatinina, ASAT, GGT, fosfatasa alcalina y LDH fueron superiores en diabéticos e hiperglucémicos (p &lt; 0,05).</w:t>
      </w:r>
    </w:p>
    <w:p w14:paraId="3D1970F8"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Los pacientes normo glucémicos tuvieron menor proporción de infección respiratoria baja (n = 26; 11,9 %), arritmia (n = 9; 4,1 %), trastorno hidroelectrolítico (n = 4; 1,8 %), distrés respiratorio (n = 1; 0,5 %), daño múltiple de órganos (n = 1; 0,5 %), </w:t>
      </w:r>
      <w:r w:rsidRPr="00BF79D0">
        <w:rPr>
          <w:rFonts w:eastAsia="Calibri"/>
          <w:bCs/>
          <w:i/>
          <w:iCs/>
          <w:lang w:val="es-MX" w:eastAsia="en-US"/>
        </w:rPr>
        <w:t>shock</w:t>
      </w:r>
      <w:r w:rsidRPr="00BF79D0">
        <w:rPr>
          <w:rFonts w:eastAsia="Calibri"/>
          <w:bCs/>
          <w:lang w:val="es-MX" w:eastAsia="en-US"/>
        </w:rPr>
        <w:t xml:space="preserve"> séptico (n = 0; 0 %), otra complicación (n = 7; 3,2 %) y muerte (n = 1; 0,5 %) que los hiperglucémicos o diabéticos (p &lt; 0,05). Llama la atención que, excepto la arritmia, el resto de las complicaciones fueron más frecuentes en hiperglucémicos, incluso que en diabéticos (tabla 4).</w:t>
      </w:r>
    </w:p>
    <w:p w14:paraId="140FB0CA" w14:textId="77777777" w:rsidR="00BF79D0" w:rsidRPr="00BF79D0" w:rsidRDefault="00BF79D0" w:rsidP="00BF79D0">
      <w:pPr>
        <w:keepNext/>
        <w:spacing w:line="360" w:lineRule="auto"/>
        <w:jc w:val="center"/>
        <w:rPr>
          <w:rFonts w:eastAsia="Calibri"/>
          <w:b/>
          <w:sz w:val="22"/>
          <w:szCs w:val="22"/>
          <w:lang w:val="es-MX" w:eastAsia="en-US"/>
        </w:rPr>
      </w:pPr>
    </w:p>
    <w:p w14:paraId="38FDEEEE" w14:textId="62D61383" w:rsidR="00BF79D0" w:rsidRPr="00BF79D0" w:rsidRDefault="00BF79D0" w:rsidP="00BF79D0">
      <w:pPr>
        <w:keepNext/>
        <w:spacing w:line="360" w:lineRule="auto"/>
        <w:jc w:val="center"/>
        <w:rPr>
          <w:rFonts w:eastAsia="Calibri"/>
          <w:bCs/>
          <w:sz w:val="22"/>
          <w:szCs w:val="22"/>
          <w:lang w:val="es-MX" w:eastAsia="en-US"/>
        </w:rPr>
      </w:pPr>
      <w:r w:rsidRPr="00BF79D0">
        <w:rPr>
          <w:rFonts w:eastAsia="Calibri"/>
          <w:b/>
          <w:sz w:val="22"/>
          <w:szCs w:val="22"/>
          <w:lang w:val="es-MX" w:eastAsia="en-US"/>
        </w:rPr>
        <w:t xml:space="preserve">Tabla </w:t>
      </w:r>
      <w:r w:rsidRPr="00BF79D0">
        <w:rPr>
          <w:rFonts w:eastAsia="Calibri"/>
          <w:b/>
          <w:sz w:val="22"/>
          <w:szCs w:val="22"/>
          <w:lang w:val="es-MX" w:eastAsia="en-US"/>
        </w:rPr>
        <w:fldChar w:fldCharType="begin"/>
      </w:r>
      <w:r w:rsidRPr="00BF79D0">
        <w:rPr>
          <w:rFonts w:eastAsia="Calibri"/>
          <w:b/>
          <w:sz w:val="22"/>
          <w:szCs w:val="22"/>
          <w:lang w:val="es-MX" w:eastAsia="en-US"/>
        </w:rPr>
        <w:instrText xml:space="preserve"> SEQ Tabla \* ARABIC </w:instrText>
      </w:r>
      <w:r w:rsidRPr="00BF79D0">
        <w:rPr>
          <w:rFonts w:eastAsia="Calibri"/>
          <w:b/>
          <w:sz w:val="22"/>
          <w:szCs w:val="22"/>
          <w:lang w:val="es-MX" w:eastAsia="en-US"/>
        </w:rPr>
        <w:fldChar w:fldCharType="separate"/>
      </w:r>
      <w:r w:rsidR="00117022">
        <w:rPr>
          <w:rFonts w:eastAsia="Calibri"/>
          <w:b/>
          <w:noProof/>
          <w:sz w:val="22"/>
          <w:szCs w:val="22"/>
          <w:lang w:val="es-MX" w:eastAsia="en-US"/>
        </w:rPr>
        <w:t>4</w:t>
      </w:r>
      <w:r w:rsidRPr="00BF79D0">
        <w:rPr>
          <w:rFonts w:eastAsia="Calibri"/>
          <w:b/>
          <w:sz w:val="22"/>
          <w:szCs w:val="22"/>
          <w:lang w:val="es-MX" w:eastAsia="en-US"/>
        </w:rPr>
        <w:fldChar w:fldCharType="end"/>
      </w:r>
      <w:r w:rsidRPr="00BF79D0">
        <w:rPr>
          <w:rFonts w:eastAsia="Calibri"/>
          <w:b/>
          <w:sz w:val="22"/>
          <w:szCs w:val="22"/>
          <w:lang w:val="es-MX" w:eastAsia="en-US"/>
        </w:rPr>
        <w:t xml:space="preserve"> -</w:t>
      </w:r>
      <w:r w:rsidRPr="00BF79D0">
        <w:rPr>
          <w:rFonts w:eastAsia="Calibri"/>
          <w:bCs/>
          <w:sz w:val="22"/>
          <w:szCs w:val="22"/>
          <w:lang w:val="es-MX" w:eastAsia="en-US"/>
        </w:rPr>
        <w:t xml:space="preserve"> Distribución de complicaciones según el estado glucémico</w:t>
      </w:r>
    </w:p>
    <w:p w14:paraId="00C3E71F" w14:textId="457D5C1E" w:rsidR="00BF79D0" w:rsidRPr="00BF79D0" w:rsidRDefault="00BF79D0" w:rsidP="00BF79D0">
      <w:pPr>
        <w:spacing w:line="360" w:lineRule="auto"/>
        <w:jc w:val="center"/>
        <w:rPr>
          <w:rFonts w:eastAsia="Calibri"/>
          <w:bCs/>
          <w:lang w:val="es-MX" w:eastAsia="en-US"/>
        </w:rPr>
      </w:pPr>
      <w:r w:rsidRPr="00BF79D0">
        <w:rPr>
          <w:rFonts w:eastAsia="Calibri"/>
          <w:noProof/>
          <w:lang w:val="es-MX" w:eastAsia="en-US"/>
        </w:rPr>
        <w:drawing>
          <wp:inline distT="0" distB="0" distL="0" distR="0" wp14:anchorId="346188EF" wp14:editId="2E4C704F">
            <wp:extent cx="5381625" cy="269557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2695575"/>
                    </a:xfrm>
                    <a:prstGeom prst="rect">
                      <a:avLst/>
                    </a:prstGeom>
                    <a:noFill/>
                    <a:ln>
                      <a:noFill/>
                    </a:ln>
                  </pic:spPr>
                </pic:pic>
              </a:graphicData>
            </a:graphic>
          </wp:inline>
        </w:drawing>
      </w:r>
    </w:p>
    <w:p w14:paraId="76864EC0" w14:textId="77777777" w:rsidR="00BF79D0" w:rsidRPr="00BF79D0" w:rsidRDefault="00BF79D0" w:rsidP="00BF79D0">
      <w:pPr>
        <w:spacing w:line="360" w:lineRule="auto"/>
        <w:jc w:val="both"/>
        <w:rPr>
          <w:rFonts w:eastAsia="Calibri"/>
          <w:bCs/>
          <w:lang w:val="es-MX" w:eastAsia="en-US"/>
        </w:rPr>
      </w:pPr>
    </w:p>
    <w:p w14:paraId="19880853" w14:textId="17349BD8" w:rsidR="00BF79D0" w:rsidRPr="00BF79D0" w:rsidRDefault="00BF79D0" w:rsidP="00BF79D0">
      <w:pPr>
        <w:keepNext/>
        <w:spacing w:line="360" w:lineRule="auto"/>
        <w:jc w:val="center"/>
        <w:rPr>
          <w:rFonts w:eastAsia="Calibri"/>
          <w:bCs/>
          <w:lang w:val="es-MX" w:eastAsia="en-US"/>
        </w:rPr>
      </w:pPr>
      <w:r w:rsidRPr="00BF79D0">
        <w:rPr>
          <w:rFonts w:eastAsia="Calibri"/>
          <w:noProof/>
          <w:lang w:val="es-MX" w:eastAsia="en-US"/>
        </w:rPr>
        <w:drawing>
          <wp:inline distT="0" distB="0" distL="0" distR="0" wp14:anchorId="5343D724" wp14:editId="6BEC3AF6">
            <wp:extent cx="4020335" cy="394335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5555" cy="3958278"/>
                    </a:xfrm>
                    <a:prstGeom prst="rect">
                      <a:avLst/>
                    </a:prstGeom>
                    <a:noFill/>
                    <a:ln>
                      <a:noFill/>
                    </a:ln>
                  </pic:spPr>
                </pic:pic>
              </a:graphicData>
            </a:graphic>
          </wp:inline>
        </w:drawing>
      </w:r>
    </w:p>
    <w:p w14:paraId="12B41ED0" w14:textId="62239077" w:rsidR="00BF79D0" w:rsidRPr="00BF79D0" w:rsidRDefault="00BF79D0" w:rsidP="00BF79D0">
      <w:pPr>
        <w:spacing w:line="360" w:lineRule="auto"/>
        <w:jc w:val="center"/>
        <w:rPr>
          <w:rFonts w:eastAsia="Calibri"/>
          <w:bCs/>
          <w:sz w:val="22"/>
          <w:szCs w:val="22"/>
          <w:lang w:val="es-MX" w:eastAsia="en-US"/>
        </w:rPr>
      </w:pPr>
      <w:r w:rsidRPr="00BF79D0">
        <w:rPr>
          <w:rFonts w:eastAsia="Calibri"/>
          <w:b/>
          <w:sz w:val="22"/>
          <w:szCs w:val="22"/>
          <w:lang w:val="es-MX" w:eastAsia="en-US"/>
        </w:rPr>
        <w:t xml:space="preserve">Fig. </w:t>
      </w:r>
      <w:r w:rsidRPr="00BF79D0">
        <w:rPr>
          <w:rFonts w:eastAsia="Calibri"/>
          <w:b/>
          <w:sz w:val="22"/>
          <w:szCs w:val="22"/>
          <w:lang w:val="es-MX" w:eastAsia="en-US"/>
        </w:rPr>
        <w:fldChar w:fldCharType="begin"/>
      </w:r>
      <w:r w:rsidRPr="00BF79D0">
        <w:rPr>
          <w:rFonts w:eastAsia="Calibri"/>
          <w:b/>
          <w:sz w:val="22"/>
          <w:szCs w:val="22"/>
          <w:lang w:val="es-MX" w:eastAsia="en-US"/>
        </w:rPr>
        <w:instrText xml:space="preserve"> SEQ Figura \* ARABIC </w:instrText>
      </w:r>
      <w:r w:rsidRPr="00BF79D0">
        <w:rPr>
          <w:rFonts w:eastAsia="Calibri"/>
          <w:b/>
          <w:sz w:val="22"/>
          <w:szCs w:val="22"/>
          <w:lang w:val="es-MX" w:eastAsia="en-US"/>
        </w:rPr>
        <w:fldChar w:fldCharType="separate"/>
      </w:r>
      <w:r w:rsidR="00117022">
        <w:rPr>
          <w:rFonts w:eastAsia="Calibri"/>
          <w:b/>
          <w:noProof/>
          <w:sz w:val="22"/>
          <w:szCs w:val="22"/>
          <w:lang w:val="es-MX" w:eastAsia="en-US"/>
        </w:rPr>
        <w:t>1</w:t>
      </w:r>
      <w:r w:rsidRPr="00BF79D0">
        <w:rPr>
          <w:rFonts w:eastAsia="Calibri"/>
          <w:b/>
          <w:sz w:val="22"/>
          <w:szCs w:val="22"/>
          <w:lang w:val="es-MX" w:eastAsia="en-US"/>
        </w:rPr>
        <w:fldChar w:fldCharType="end"/>
      </w:r>
      <w:r w:rsidRPr="00BF79D0">
        <w:rPr>
          <w:rFonts w:eastAsia="Calibri"/>
          <w:b/>
          <w:sz w:val="22"/>
          <w:szCs w:val="22"/>
          <w:lang w:val="es-MX" w:eastAsia="en-US"/>
        </w:rPr>
        <w:t xml:space="preserve"> -</w:t>
      </w:r>
      <w:r w:rsidRPr="00BF79D0">
        <w:rPr>
          <w:rFonts w:eastAsia="Calibri"/>
          <w:bCs/>
          <w:sz w:val="22"/>
          <w:szCs w:val="22"/>
          <w:lang w:val="es-MX" w:eastAsia="en-US"/>
        </w:rPr>
        <w:t xml:space="preserve"> Uso de medicamentos según el estado glucémico.</w:t>
      </w:r>
    </w:p>
    <w:p w14:paraId="230ED00E" w14:textId="77777777" w:rsidR="00BF79D0" w:rsidRPr="00BF79D0" w:rsidRDefault="00BF79D0" w:rsidP="00BF79D0">
      <w:pPr>
        <w:spacing w:line="360" w:lineRule="auto"/>
        <w:jc w:val="both"/>
        <w:rPr>
          <w:rFonts w:eastAsia="Calibri"/>
          <w:bCs/>
          <w:lang w:val="es-MX" w:eastAsia="en-US"/>
        </w:rPr>
      </w:pPr>
    </w:p>
    <w:p w14:paraId="0A506F4C" w14:textId="554748C0"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La figura 1 muestra el fármaco más usado, la </w:t>
      </w:r>
      <w:proofErr w:type="spellStart"/>
      <w:r w:rsidRPr="00BF79D0">
        <w:rPr>
          <w:rFonts w:eastAsia="Calibri"/>
          <w:bCs/>
          <w:lang w:val="es-MX" w:eastAsia="en-US"/>
        </w:rPr>
        <w:t>Kaletra</w:t>
      </w:r>
      <w:proofErr w:type="spellEnd"/>
      <w:r w:rsidRPr="00BF79D0">
        <w:rPr>
          <w:rFonts w:eastAsia="Calibri"/>
          <w:bCs/>
          <w:lang w:val="es-MX" w:eastAsia="en-US"/>
        </w:rPr>
        <w:t xml:space="preserve"> (n = 242; 98,8 %), aunque la triada </w:t>
      </w:r>
      <w:proofErr w:type="spellStart"/>
      <w:r w:rsidRPr="00BF79D0">
        <w:rPr>
          <w:rFonts w:eastAsia="Calibri"/>
          <w:bCs/>
          <w:lang w:val="es-MX" w:eastAsia="en-US"/>
        </w:rPr>
        <w:t>Kaletra</w:t>
      </w:r>
      <w:proofErr w:type="spellEnd"/>
      <w:r w:rsidRPr="00BF79D0">
        <w:rPr>
          <w:rFonts w:eastAsia="Calibri"/>
          <w:bCs/>
          <w:lang w:val="es-MX" w:eastAsia="en-US"/>
        </w:rPr>
        <w:t xml:space="preserve"> – cloroquina – interferón formó parte de los protocolos de tratamiento, durante la mayor parte del periodo de estudio. Llama la atención que 6 de cada 10 pacientes llevaron algún tratamiento antibiótico. Solo 11 pacientes (4,5 %) fueron tratados con esteroides, y se usó </w:t>
      </w:r>
      <w:proofErr w:type="spellStart"/>
      <w:r w:rsidRPr="00BF79D0">
        <w:rPr>
          <w:rFonts w:eastAsia="Calibri"/>
          <w:bCs/>
          <w:lang w:val="es-MX" w:eastAsia="en-US"/>
        </w:rPr>
        <w:t>Jusvinza</w:t>
      </w:r>
      <w:proofErr w:type="spellEnd"/>
      <w:r w:rsidRPr="00BF79D0">
        <w:rPr>
          <w:rFonts w:eastAsia="Calibri"/>
          <w:bCs/>
          <w:lang w:val="es-MX" w:eastAsia="en-US"/>
        </w:rPr>
        <w:t xml:space="preserve"> (en el momento de su uso CIGB-258) en seis pacientes, ambos fármacos fueron usados en mayor proporción en pacientes hiperglucémicos (p</w:t>
      </w:r>
      <w:r w:rsidR="00AE31E5">
        <w:rPr>
          <w:rFonts w:eastAsia="Calibri"/>
          <w:bCs/>
          <w:lang w:val="es-MX" w:eastAsia="en-US"/>
        </w:rPr>
        <w:t> </w:t>
      </w:r>
      <w:r w:rsidRPr="00BF79D0">
        <w:rPr>
          <w:rFonts w:eastAsia="Calibri"/>
          <w:bCs/>
          <w:lang w:val="es-MX" w:eastAsia="en-US"/>
        </w:rPr>
        <w:t>&lt;</w:t>
      </w:r>
      <w:r w:rsidR="00AE31E5">
        <w:rPr>
          <w:rFonts w:eastAsia="Calibri"/>
          <w:bCs/>
          <w:lang w:val="es-MX" w:eastAsia="en-US"/>
        </w:rPr>
        <w:t> </w:t>
      </w:r>
      <w:r w:rsidRPr="00BF79D0">
        <w:rPr>
          <w:rFonts w:eastAsia="Calibri"/>
          <w:bCs/>
          <w:lang w:val="es-MX" w:eastAsia="en-US"/>
        </w:rPr>
        <w:t xml:space="preserve">0,05). El resto de los medicamentos se usaron en igual proporción en los tres grupos de estado glucémico. </w:t>
      </w:r>
    </w:p>
    <w:p w14:paraId="4ACA71A7" w14:textId="77777777" w:rsidR="00BF79D0" w:rsidRPr="00BF79D0" w:rsidRDefault="00BF79D0" w:rsidP="00BF79D0">
      <w:pPr>
        <w:spacing w:line="360" w:lineRule="auto"/>
        <w:jc w:val="both"/>
        <w:rPr>
          <w:rFonts w:eastAsia="Calibri"/>
          <w:b/>
          <w:bCs/>
          <w:lang w:val="es-MX" w:eastAsia="en-US"/>
        </w:rPr>
      </w:pPr>
    </w:p>
    <w:p w14:paraId="5376F29A" w14:textId="77777777" w:rsidR="00BF79D0" w:rsidRPr="00BF79D0" w:rsidRDefault="00BF79D0" w:rsidP="00BF79D0">
      <w:pPr>
        <w:spacing w:line="360" w:lineRule="auto"/>
        <w:jc w:val="both"/>
        <w:rPr>
          <w:rFonts w:eastAsia="Calibri"/>
          <w:b/>
          <w:bCs/>
          <w:lang w:val="es-MX" w:eastAsia="en-US"/>
        </w:rPr>
      </w:pPr>
    </w:p>
    <w:p w14:paraId="1545DD1B" w14:textId="77777777" w:rsidR="00BF79D0" w:rsidRPr="00BF79D0" w:rsidRDefault="00BF79D0" w:rsidP="00BF79D0">
      <w:pPr>
        <w:spacing w:line="360" w:lineRule="auto"/>
        <w:jc w:val="center"/>
        <w:rPr>
          <w:rFonts w:eastAsia="Calibri"/>
          <w:b/>
          <w:bCs/>
          <w:sz w:val="32"/>
          <w:szCs w:val="32"/>
          <w:lang w:val="es-MX" w:eastAsia="en-US"/>
        </w:rPr>
      </w:pPr>
      <w:r w:rsidRPr="00BF79D0">
        <w:rPr>
          <w:rFonts w:eastAsia="Calibri"/>
          <w:b/>
          <w:bCs/>
          <w:sz w:val="32"/>
          <w:szCs w:val="32"/>
          <w:lang w:val="es-MX" w:eastAsia="en-US"/>
        </w:rPr>
        <w:t>DISCUSIÓN</w:t>
      </w:r>
    </w:p>
    <w:p w14:paraId="34402283"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En el momento de redacción de este trabajo no existía otro referente en Cuba, que explorara las diferencias clínicas, humorales y evolutivas de los pacientes con la COVID-19, en relación a su capacidad de regulación de la glucemia.</w:t>
      </w:r>
    </w:p>
    <w:p w14:paraId="1B78BCEE"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La distribución de pacientes en relación con el sexo, se corresponde con la tendencia del resto del país, para la infección por SARS-CoV-2, no así para la diabetes, que en Cuba predomina en el sexo femenino en todos los grupos de edad, y aumenta su prevalencia con el </w:t>
      </w:r>
      <w:proofErr w:type="gramStart"/>
      <w:r w:rsidRPr="00BF79D0">
        <w:rPr>
          <w:rFonts w:eastAsia="Calibri"/>
          <w:bCs/>
          <w:lang w:eastAsia="en-US"/>
        </w:rPr>
        <w:t>envejecimiento.</w:t>
      </w:r>
      <w:r w:rsidRPr="00BF79D0">
        <w:rPr>
          <w:rFonts w:eastAsia="Calibri"/>
          <w:bCs/>
          <w:vertAlign w:val="superscript"/>
          <w:lang w:eastAsia="en-US"/>
        </w:rPr>
        <w:t>(</w:t>
      </w:r>
      <w:proofErr w:type="gramEnd"/>
      <w:r w:rsidRPr="00BF79D0">
        <w:rPr>
          <w:rFonts w:eastAsia="Calibri"/>
          <w:bCs/>
          <w:vertAlign w:val="superscript"/>
          <w:lang w:eastAsia="en-US"/>
        </w:rPr>
        <w:t>5,11)</w:t>
      </w:r>
      <w:r w:rsidRPr="00BF79D0">
        <w:rPr>
          <w:rFonts w:eastAsia="Calibri"/>
          <w:bCs/>
          <w:lang w:eastAsia="en-US"/>
        </w:rPr>
        <w:t xml:space="preserve"> </w:t>
      </w:r>
    </w:p>
    <w:p w14:paraId="01F4B8ED"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La mayor frecuencia de casos asintomáticos al ingreso, en la actualidad en Cuba, puede indicar el éxito de las acciones de pesquisa dirigidas a grupos de riesgo, como los contactos de casos confirmados o las personas provenientes del exterior del país. Las cifras indican que se diagnostican los casos en fase preclínica, antes que desarrollen síntomas. Aun así, un grupo de pacientes nunca tendrá síntomas. En el “</w:t>
      </w:r>
      <w:proofErr w:type="spellStart"/>
      <w:r w:rsidRPr="00BF79D0">
        <w:rPr>
          <w:rFonts w:eastAsia="Calibri"/>
          <w:bCs/>
          <w:lang w:eastAsia="en-US"/>
        </w:rPr>
        <w:t>Diamond</w:t>
      </w:r>
      <w:proofErr w:type="spellEnd"/>
      <w:r w:rsidRPr="00BF79D0">
        <w:rPr>
          <w:rFonts w:eastAsia="Calibri"/>
          <w:bCs/>
          <w:lang w:eastAsia="en-US"/>
        </w:rPr>
        <w:t xml:space="preserve"> </w:t>
      </w:r>
      <w:proofErr w:type="spellStart"/>
      <w:r w:rsidRPr="00BF79D0">
        <w:rPr>
          <w:rFonts w:eastAsia="Calibri"/>
          <w:bCs/>
          <w:lang w:eastAsia="en-US"/>
        </w:rPr>
        <w:t>Princess</w:t>
      </w:r>
      <w:proofErr w:type="spellEnd"/>
      <w:r w:rsidRPr="00BF79D0">
        <w:rPr>
          <w:rFonts w:eastAsia="Calibri"/>
          <w:bCs/>
          <w:lang w:eastAsia="en-US"/>
        </w:rPr>
        <w:t xml:space="preserve">”, el crucero que estuvo en cuarentena en Yokohama, con 3711 personas a bordo, este grupo se estimó en 17,9 %, similar al 15,9 % de la serie que se </w:t>
      </w:r>
      <w:proofErr w:type="gramStart"/>
      <w:r w:rsidRPr="00BF79D0">
        <w:rPr>
          <w:rFonts w:eastAsia="Calibri"/>
          <w:bCs/>
          <w:lang w:eastAsia="en-US"/>
        </w:rPr>
        <w:t>presenta.</w:t>
      </w:r>
      <w:r w:rsidRPr="00BF79D0">
        <w:rPr>
          <w:rFonts w:eastAsia="Calibri"/>
          <w:bCs/>
          <w:vertAlign w:val="superscript"/>
          <w:lang w:eastAsia="en-US"/>
        </w:rPr>
        <w:t>(</w:t>
      </w:r>
      <w:proofErr w:type="gramEnd"/>
      <w:r w:rsidRPr="00BF79D0">
        <w:rPr>
          <w:rFonts w:eastAsia="Calibri"/>
          <w:bCs/>
          <w:vertAlign w:val="superscript"/>
          <w:lang w:eastAsia="en-US"/>
        </w:rPr>
        <w:t>12)</w:t>
      </w:r>
    </w:p>
    <w:p w14:paraId="246713FF"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La carga viral en pacientes sintomáticos y asintomáticos puede ser similar, lo que sugiere un potencial de transmisión en pacientes asintomáticos o mínimamente sintomáticos.</w:t>
      </w:r>
      <w:r w:rsidRPr="00BF79D0">
        <w:rPr>
          <w:rFonts w:eastAsia="Calibri"/>
          <w:bCs/>
          <w:vertAlign w:val="superscript"/>
          <w:lang w:eastAsia="en-US"/>
        </w:rPr>
        <w:t>(13)</w:t>
      </w:r>
      <w:r w:rsidRPr="00BF79D0">
        <w:rPr>
          <w:rFonts w:eastAsia="Calibri"/>
          <w:bCs/>
          <w:lang w:eastAsia="en-US"/>
        </w:rPr>
        <w:t xml:space="preserve"> Se conoce que el SARS-CoV-2 puede infectar antes de la aparición de los síntomas.</w:t>
      </w:r>
      <w:r w:rsidRPr="00BF79D0">
        <w:rPr>
          <w:rFonts w:eastAsia="Calibri"/>
          <w:bCs/>
          <w:vertAlign w:val="superscript"/>
          <w:lang w:eastAsia="en-US"/>
        </w:rPr>
        <w:t>(14)</w:t>
      </w:r>
      <w:r w:rsidRPr="00BF79D0">
        <w:rPr>
          <w:rFonts w:eastAsia="Calibri"/>
          <w:bCs/>
          <w:lang w:eastAsia="en-US"/>
        </w:rPr>
        <w:t xml:space="preserve"> Los diabéticos e hiperglucémicos tuvieron mayor proporción de pacientes sintomáticos al ingreso y ninguno que haya permanecido asintomático siempre; pudiera ser interpretado como una menor resistencia a la infección o la propensión a evolucionar con formas clínicas más graves.</w:t>
      </w:r>
    </w:p>
    <w:p w14:paraId="2176E473"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lastRenderedPageBreak/>
        <w:t xml:space="preserve">La serie que se presenta tiene una mayor proporción de HTA, cardiopatía isquémica e insuficiencia renal crónica en pacientes diabéticos e hiperglucémicos que en </w:t>
      </w:r>
      <w:proofErr w:type="spellStart"/>
      <w:r w:rsidRPr="00BF79D0">
        <w:rPr>
          <w:rFonts w:eastAsia="Calibri"/>
          <w:bCs/>
          <w:lang w:eastAsia="en-US"/>
        </w:rPr>
        <w:t>normoglucémicos</w:t>
      </w:r>
      <w:proofErr w:type="spellEnd"/>
      <w:r w:rsidRPr="00BF79D0">
        <w:rPr>
          <w:rFonts w:eastAsia="Calibri"/>
          <w:bCs/>
          <w:lang w:eastAsia="en-US"/>
        </w:rPr>
        <w:t xml:space="preserve">. Esta es una relación que también se observa en la población general y ha sido reconocida hace más de un </w:t>
      </w:r>
      <w:proofErr w:type="gramStart"/>
      <w:r w:rsidRPr="00BF79D0">
        <w:rPr>
          <w:rFonts w:eastAsia="Calibri"/>
          <w:bCs/>
          <w:lang w:eastAsia="en-US"/>
        </w:rPr>
        <w:t>siglo.</w:t>
      </w:r>
      <w:r w:rsidRPr="00BF79D0">
        <w:rPr>
          <w:rFonts w:eastAsia="Calibri"/>
          <w:bCs/>
          <w:vertAlign w:val="superscript"/>
          <w:lang w:eastAsia="en-US"/>
        </w:rPr>
        <w:t>(</w:t>
      </w:r>
      <w:proofErr w:type="gramEnd"/>
      <w:r w:rsidRPr="00BF79D0">
        <w:rPr>
          <w:rFonts w:eastAsia="Calibri"/>
          <w:bCs/>
          <w:vertAlign w:val="superscript"/>
          <w:lang w:eastAsia="en-US"/>
        </w:rPr>
        <w:t>15)</w:t>
      </w:r>
      <w:r w:rsidRPr="00BF79D0">
        <w:rPr>
          <w:rFonts w:eastAsia="Calibri"/>
          <w:bCs/>
          <w:lang w:eastAsia="en-US"/>
        </w:rPr>
        <w:t xml:space="preserve"> Aquí se muestran con el objetivo de ilustrar la magnitud de las comorbilidades de la serie, pues estas enfermedades se han asociado con mayor gravedad de la COVID-19. En trabajos iniciales provenientes de Wuhan, la proporción de pacientes hipertensos, diabéticos, cardiópatas y con IRC, fue significativamente mayor en aquellos que no sobrevivían, comparados con los egresados </w:t>
      </w:r>
      <w:proofErr w:type="gramStart"/>
      <w:r w:rsidRPr="00BF79D0">
        <w:rPr>
          <w:rFonts w:eastAsia="Calibri"/>
          <w:bCs/>
          <w:lang w:eastAsia="en-US"/>
        </w:rPr>
        <w:t>vivos.</w:t>
      </w:r>
      <w:r w:rsidRPr="00BF79D0">
        <w:rPr>
          <w:rFonts w:eastAsia="Calibri"/>
          <w:bCs/>
          <w:vertAlign w:val="superscript"/>
          <w:lang w:eastAsia="en-US"/>
        </w:rPr>
        <w:t>(</w:t>
      </w:r>
      <w:proofErr w:type="gramEnd"/>
      <w:r w:rsidRPr="00BF79D0">
        <w:rPr>
          <w:rFonts w:eastAsia="Calibri"/>
          <w:bCs/>
          <w:vertAlign w:val="superscript"/>
          <w:lang w:eastAsia="en-US"/>
        </w:rPr>
        <w:t>16)</w:t>
      </w:r>
      <w:r w:rsidRPr="00BF79D0">
        <w:rPr>
          <w:rFonts w:eastAsia="Calibri"/>
          <w:bCs/>
          <w:lang w:eastAsia="en-US"/>
        </w:rPr>
        <w:t xml:space="preserve"> </w:t>
      </w:r>
    </w:p>
    <w:p w14:paraId="6926CCD7"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Estimar la importancia de varios factores de riesgo es complicado, debido a la alta correlación que existe entre ellos: con la edad aumenta la frecuencia de obesidad, prediabetes, diabetes, enfermedades cardiovasculares e IRC. </w:t>
      </w:r>
    </w:p>
    <w:p w14:paraId="108D55BC"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Se postulan tres grupos de mecanismos fundamentales que vinculan la diabetes mellitus con un incremento del riesgo ante la infección por SARS-CoV-2. El primero se debe a mala regulación de la enzima convertidora de angiotensina 2. Los otros dos son la disfunción hepática y la inflamación sistémica crónica, trastornos fisiopatológicos que se pueden evidenciar en los exámenes de </w:t>
      </w:r>
      <w:proofErr w:type="gramStart"/>
      <w:r w:rsidRPr="00BF79D0">
        <w:rPr>
          <w:rFonts w:eastAsia="Calibri"/>
          <w:bCs/>
          <w:lang w:eastAsia="en-US"/>
        </w:rPr>
        <w:t>laboratorio.</w:t>
      </w:r>
      <w:r w:rsidRPr="00BF79D0">
        <w:rPr>
          <w:rFonts w:eastAsia="Calibri"/>
          <w:bCs/>
          <w:vertAlign w:val="superscript"/>
          <w:lang w:eastAsia="en-US"/>
        </w:rPr>
        <w:t>(</w:t>
      </w:r>
      <w:proofErr w:type="gramEnd"/>
      <w:r w:rsidRPr="00BF79D0">
        <w:rPr>
          <w:rFonts w:eastAsia="Calibri"/>
          <w:bCs/>
          <w:vertAlign w:val="superscript"/>
          <w:lang w:eastAsia="en-US"/>
        </w:rPr>
        <w:t>17)</w:t>
      </w:r>
      <w:r w:rsidRPr="00BF79D0">
        <w:rPr>
          <w:rFonts w:eastAsia="Calibri"/>
          <w:bCs/>
          <w:lang w:eastAsia="en-US"/>
        </w:rPr>
        <w:t xml:space="preserve"> </w:t>
      </w:r>
    </w:p>
    <w:p w14:paraId="191EC9EB"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Los parámetros humorales han sido claramente diferentes entre pacientes que portan o no diabetes. </w:t>
      </w:r>
      <w:r w:rsidRPr="00BF79D0">
        <w:rPr>
          <w:rFonts w:eastAsia="Calibri"/>
          <w:bCs/>
          <w:i/>
          <w:lang w:eastAsia="en-US"/>
        </w:rPr>
        <w:t xml:space="preserve">Zhang </w:t>
      </w:r>
      <w:r w:rsidRPr="00BF79D0">
        <w:rPr>
          <w:rFonts w:eastAsia="Calibri"/>
          <w:bCs/>
          <w:iCs/>
          <w:lang w:eastAsia="en-US"/>
        </w:rPr>
        <w:t xml:space="preserve">y </w:t>
      </w:r>
      <w:proofErr w:type="gramStart"/>
      <w:r w:rsidRPr="00BF79D0">
        <w:rPr>
          <w:rFonts w:eastAsia="Calibri"/>
          <w:bCs/>
          <w:iCs/>
          <w:lang w:eastAsia="en-US"/>
        </w:rPr>
        <w:t>otros</w:t>
      </w:r>
      <w:r w:rsidRPr="00BF79D0">
        <w:rPr>
          <w:rFonts w:eastAsia="Calibri"/>
          <w:bCs/>
          <w:vertAlign w:val="superscript"/>
          <w:lang w:eastAsia="en-US"/>
        </w:rPr>
        <w:t>(</w:t>
      </w:r>
      <w:proofErr w:type="gramEnd"/>
      <w:r w:rsidRPr="00BF79D0">
        <w:rPr>
          <w:rFonts w:eastAsia="Calibri"/>
          <w:bCs/>
          <w:vertAlign w:val="superscript"/>
          <w:lang w:eastAsia="en-US"/>
        </w:rPr>
        <w:t>4)</w:t>
      </w:r>
      <w:r w:rsidRPr="00BF79D0">
        <w:rPr>
          <w:rFonts w:eastAsia="Calibri"/>
          <w:bCs/>
          <w:lang w:eastAsia="en-US"/>
        </w:rPr>
        <w:t xml:space="preserve"> también encontraron que los diabéticos tenían neutrófilos y creatinina más altos que el resto de los pacientes. Observaron que los leucocitos y los valores de LDH fueron iguales en diabéticos y no diabéticos. Otra serie, solo encontró más elevado en los diabéticos la glucemia y procalcitonina, y disminuido el </w:t>
      </w:r>
      <w:proofErr w:type="gramStart"/>
      <w:r w:rsidRPr="00BF79D0">
        <w:rPr>
          <w:rFonts w:eastAsia="Calibri"/>
          <w:bCs/>
          <w:lang w:eastAsia="en-US"/>
        </w:rPr>
        <w:t>colesterol.</w:t>
      </w:r>
      <w:r w:rsidRPr="00BF79D0">
        <w:rPr>
          <w:rFonts w:eastAsia="Calibri"/>
          <w:bCs/>
          <w:vertAlign w:val="superscript"/>
          <w:lang w:eastAsia="en-US"/>
        </w:rPr>
        <w:t>(</w:t>
      </w:r>
      <w:proofErr w:type="gramEnd"/>
      <w:r w:rsidRPr="00BF79D0">
        <w:rPr>
          <w:rFonts w:eastAsia="Calibri"/>
          <w:bCs/>
          <w:vertAlign w:val="superscript"/>
          <w:lang w:eastAsia="en-US"/>
        </w:rPr>
        <w:t>18)</w:t>
      </w:r>
      <w:r w:rsidRPr="00BF79D0">
        <w:rPr>
          <w:rFonts w:eastAsia="Calibri"/>
          <w:bCs/>
          <w:lang w:eastAsia="en-US"/>
        </w:rPr>
        <w:t xml:space="preserve"> Un estudio de </w:t>
      </w:r>
      <w:proofErr w:type="spellStart"/>
      <w:r w:rsidRPr="00BF79D0">
        <w:rPr>
          <w:rFonts w:eastAsia="Calibri"/>
          <w:bCs/>
          <w:i/>
          <w:lang w:eastAsia="en-US"/>
        </w:rPr>
        <w:t>Rastad</w:t>
      </w:r>
      <w:proofErr w:type="spellEnd"/>
      <w:r w:rsidRPr="00BF79D0">
        <w:rPr>
          <w:rFonts w:eastAsia="Calibri"/>
          <w:bCs/>
          <w:i/>
          <w:lang w:eastAsia="en-US"/>
        </w:rPr>
        <w:t xml:space="preserve"> </w:t>
      </w:r>
      <w:r w:rsidRPr="00BF79D0">
        <w:rPr>
          <w:rFonts w:eastAsia="Calibri"/>
          <w:bCs/>
          <w:iCs/>
          <w:lang w:eastAsia="en-US"/>
        </w:rPr>
        <w:t>y otros</w:t>
      </w:r>
      <w:r w:rsidRPr="00BF79D0">
        <w:rPr>
          <w:rFonts w:eastAsia="Calibri"/>
          <w:bCs/>
          <w:lang w:eastAsia="en-US"/>
        </w:rPr>
        <w:t>,</w:t>
      </w:r>
      <w:r w:rsidRPr="00BF79D0">
        <w:rPr>
          <w:rFonts w:eastAsia="Calibri"/>
          <w:bCs/>
          <w:vertAlign w:val="superscript"/>
          <w:lang w:eastAsia="en-US"/>
        </w:rPr>
        <w:t>(2)</w:t>
      </w:r>
      <w:r w:rsidRPr="00BF79D0">
        <w:rPr>
          <w:rFonts w:eastAsia="Calibri"/>
          <w:bCs/>
          <w:lang w:eastAsia="en-US"/>
        </w:rPr>
        <w:t xml:space="preserve"> muestra que en los pacientes con la COVID-19, quienes no sobrevivieron, tuvieron un patrón humoral similar al que se aprecia en los diabéticos: neutrófilos, ASAT, creatinina y LDH más altos. El patrón de neutrófilos altos y linfocitos bajos en diabéticos, también fue observado por </w:t>
      </w:r>
      <w:r w:rsidRPr="00BF79D0">
        <w:rPr>
          <w:rFonts w:eastAsia="Calibri"/>
          <w:bCs/>
          <w:i/>
          <w:lang w:eastAsia="en-US"/>
        </w:rPr>
        <w:t xml:space="preserve">Chen </w:t>
      </w:r>
      <w:r w:rsidRPr="00BF79D0">
        <w:rPr>
          <w:rFonts w:eastAsia="Calibri"/>
          <w:bCs/>
          <w:iCs/>
          <w:lang w:eastAsia="en-US"/>
        </w:rPr>
        <w:t xml:space="preserve">y </w:t>
      </w:r>
      <w:proofErr w:type="gramStart"/>
      <w:r w:rsidRPr="00BF79D0">
        <w:rPr>
          <w:rFonts w:eastAsia="Calibri"/>
          <w:bCs/>
          <w:iCs/>
          <w:lang w:eastAsia="en-US"/>
        </w:rPr>
        <w:t>otros</w:t>
      </w:r>
      <w:r w:rsidRPr="00BF79D0">
        <w:rPr>
          <w:rFonts w:eastAsia="Calibri"/>
          <w:bCs/>
          <w:lang w:eastAsia="en-US"/>
        </w:rPr>
        <w:t>,</w:t>
      </w:r>
      <w:r w:rsidRPr="00BF79D0">
        <w:rPr>
          <w:rFonts w:eastAsia="Calibri"/>
          <w:bCs/>
          <w:vertAlign w:val="superscript"/>
          <w:lang w:eastAsia="en-US"/>
        </w:rPr>
        <w:t>(</w:t>
      </w:r>
      <w:proofErr w:type="gramEnd"/>
      <w:r w:rsidRPr="00BF79D0">
        <w:rPr>
          <w:rFonts w:eastAsia="Calibri"/>
          <w:bCs/>
          <w:vertAlign w:val="superscript"/>
          <w:lang w:eastAsia="en-US"/>
        </w:rPr>
        <w:t>19)</w:t>
      </w:r>
      <w:r w:rsidRPr="00BF79D0">
        <w:rPr>
          <w:rFonts w:eastAsia="Calibri"/>
          <w:bCs/>
          <w:lang w:eastAsia="en-US"/>
        </w:rPr>
        <w:t xml:space="preserve"> sin embargo, no apreciaron diferencias en las enzimas hepáticas, creatinina o LDH. Todos estos estudios presentan resultados contradictorios incluso en los valores de dímero-D, cuando se comparan entre diabéticos y no diabéticos.</w:t>
      </w:r>
    </w:p>
    <w:p w14:paraId="4D34EDD3"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 xml:space="preserve">Un análisis similar al que aquí se presenta, procedente de Wuhan, encontró que diabéticos y pacientes con hiperglucemia secundaria (glucemia en ayunas ≥ 7,0 mmol/L) tenían mayor proporción de evolución </w:t>
      </w:r>
      <w:proofErr w:type="gramStart"/>
      <w:r w:rsidRPr="00BF79D0">
        <w:rPr>
          <w:rFonts w:eastAsia="Calibri"/>
          <w:bCs/>
          <w:lang w:val="es-MX" w:eastAsia="en-US"/>
        </w:rPr>
        <w:t>crítica.</w:t>
      </w:r>
      <w:r w:rsidRPr="00BF79D0">
        <w:rPr>
          <w:rFonts w:eastAsia="Calibri"/>
          <w:bCs/>
          <w:vertAlign w:val="superscript"/>
          <w:lang w:val="es-MX" w:eastAsia="en-US"/>
        </w:rPr>
        <w:t>(</w:t>
      </w:r>
      <w:proofErr w:type="gramEnd"/>
      <w:r w:rsidRPr="00BF79D0">
        <w:rPr>
          <w:rFonts w:eastAsia="Calibri"/>
          <w:bCs/>
          <w:vertAlign w:val="superscript"/>
          <w:lang w:val="es-MX" w:eastAsia="en-US"/>
        </w:rPr>
        <w:t>20)</w:t>
      </w:r>
      <w:r w:rsidRPr="00BF79D0">
        <w:rPr>
          <w:rFonts w:eastAsia="Calibri"/>
          <w:bCs/>
          <w:lang w:val="es-MX" w:eastAsia="en-US"/>
        </w:rPr>
        <w:t xml:space="preserve"> </w:t>
      </w:r>
    </w:p>
    <w:p w14:paraId="02948D00"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lastRenderedPageBreak/>
        <w:t xml:space="preserve">La red alveolo capilar de los diabéticos sufre daño microvascular e inflamatorio crónico, como ocurre en el resto de los pequeños vasos del organismo. Este fenómeno parece relacionado con la resistencia insulínica y la propia homeostasis alterada de la </w:t>
      </w:r>
      <w:proofErr w:type="gramStart"/>
      <w:r w:rsidRPr="00BF79D0">
        <w:rPr>
          <w:rFonts w:eastAsia="Calibri"/>
          <w:bCs/>
          <w:lang w:val="es-MX" w:eastAsia="en-US"/>
        </w:rPr>
        <w:t>glucosa.</w:t>
      </w:r>
      <w:r w:rsidRPr="00BF79D0">
        <w:rPr>
          <w:rFonts w:eastAsia="Calibri"/>
          <w:bCs/>
          <w:vertAlign w:val="superscript"/>
          <w:lang w:val="es-MX" w:eastAsia="en-US"/>
        </w:rPr>
        <w:t>(</w:t>
      </w:r>
      <w:proofErr w:type="gramEnd"/>
      <w:r w:rsidRPr="00BF79D0">
        <w:rPr>
          <w:rFonts w:eastAsia="Calibri"/>
          <w:bCs/>
          <w:vertAlign w:val="superscript"/>
          <w:lang w:val="es-MX" w:eastAsia="en-US"/>
        </w:rPr>
        <w:t>21)</w:t>
      </w:r>
      <w:r w:rsidRPr="00BF79D0">
        <w:rPr>
          <w:rFonts w:eastAsia="Calibri"/>
          <w:bCs/>
          <w:lang w:val="es-MX" w:eastAsia="en-US"/>
        </w:rPr>
        <w:t xml:space="preserve"> De hecho, un óptimo control glucémico, en pacientes diabéticos con COVID-19, se ha asociado a reducción de cuadros clínicos graves y muerte.</w:t>
      </w:r>
      <w:r w:rsidRPr="00BF79D0">
        <w:rPr>
          <w:rFonts w:eastAsia="Calibri"/>
          <w:bCs/>
          <w:vertAlign w:val="superscript"/>
          <w:lang w:val="es-MX" w:eastAsia="en-US"/>
        </w:rPr>
        <w:t>(22)</w:t>
      </w:r>
      <w:r w:rsidRPr="00BF79D0">
        <w:rPr>
          <w:rFonts w:eastAsia="Calibri"/>
          <w:bCs/>
          <w:lang w:val="es-MX" w:eastAsia="en-US"/>
        </w:rPr>
        <w:t xml:space="preserve"> </w:t>
      </w:r>
    </w:p>
    <w:p w14:paraId="17F1E835"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La combinación de </w:t>
      </w:r>
      <w:proofErr w:type="spellStart"/>
      <w:r w:rsidRPr="00BF79D0">
        <w:rPr>
          <w:rFonts w:eastAsia="Calibri"/>
          <w:bCs/>
          <w:lang w:eastAsia="en-US"/>
        </w:rPr>
        <w:t>Kaletra</w:t>
      </w:r>
      <w:proofErr w:type="spellEnd"/>
      <w:r w:rsidRPr="00BF79D0">
        <w:rPr>
          <w:rFonts w:eastAsia="Calibri"/>
          <w:bCs/>
          <w:lang w:eastAsia="en-US"/>
        </w:rPr>
        <w:t xml:space="preserve"> – interferón – cloroquina fue el esquema de tratamiento principal durante la mayor parte del periodo de estudio; a eso se debe la alta frecuencia de su uso. El amplio uso de antibióticos fue empírico, y en muchos casos sin evidencia de infección bacteriana concomitante. </w:t>
      </w:r>
    </w:p>
    <w:p w14:paraId="3665FD5E"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Este trabajo tiene varias limitaciones: se basa en datos extraídos retrospectivamente de las historias clínicas; no se realizaron en todos los pacientes, todos los exámenes de laboratorio; no se realizó oximetría en todos los pacientes, ni se contó con imágenes pulmonares, lo cual hubiera permitido precisar la gravedad de la enfermedad. Tampoco se realizaron marcadores de daño cardíaco, como troponinas y </w:t>
      </w:r>
      <w:proofErr w:type="spellStart"/>
      <w:r w:rsidRPr="00BF79D0">
        <w:rPr>
          <w:rFonts w:eastAsia="Calibri"/>
          <w:bCs/>
          <w:lang w:eastAsia="en-US"/>
        </w:rPr>
        <w:t>creatinocinasa</w:t>
      </w:r>
      <w:proofErr w:type="spellEnd"/>
      <w:r w:rsidRPr="00BF79D0">
        <w:rPr>
          <w:rFonts w:eastAsia="Calibri"/>
          <w:bCs/>
          <w:lang w:eastAsia="en-US"/>
        </w:rPr>
        <w:t xml:space="preserve"> específica o marcadores de inflamación como interleucina y procalcitonina. </w:t>
      </w:r>
    </w:p>
    <w:p w14:paraId="01B5CDE7"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 xml:space="preserve">En conclusión, los pacientes diabéticos e hiperglucémicos desarrollaron formas clínicas más graves de la COVID-19 con peores parámetros humorales, evolución y mayor mortalidad. Estos pacientes tenían edad más avanzada y mayor proporción de casos sintomáticos al ingreso. Presentaban mayor frecuencia de comorbilidades de enfermedades cardiovasculares, IRC y otros antecedentes. La diabetes e hiperglucemia se asociaron además con valores elevados de neutrófilos, plaquetas, creatinina, ASAT, GGT, fosfatasa alcalina y LDH; y menores valores de hematocrito y linfocitos. Todas las complicaciones exploradas se observaron en mayor proporción en pacientes diabéticos e hiperglucémicos, en estos pacientes se usaron con mayor frecuencia esteroides y </w:t>
      </w:r>
      <w:proofErr w:type="spellStart"/>
      <w:r w:rsidRPr="00BF79D0">
        <w:rPr>
          <w:rFonts w:eastAsia="Calibri"/>
          <w:bCs/>
          <w:lang w:eastAsia="en-US"/>
        </w:rPr>
        <w:t>Jusvinza</w:t>
      </w:r>
      <w:proofErr w:type="spellEnd"/>
      <w:r w:rsidRPr="00BF79D0">
        <w:rPr>
          <w:rFonts w:eastAsia="Calibri"/>
          <w:bCs/>
          <w:lang w:eastAsia="en-US"/>
        </w:rPr>
        <w:t xml:space="preserve">. </w:t>
      </w:r>
    </w:p>
    <w:p w14:paraId="36A8C6B9" w14:textId="77777777" w:rsidR="00BF79D0" w:rsidRPr="00BF79D0" w:rsidRDefault="00BF79D0" w:rsidP="00BF79D0">
      <w:pPr>
        <w:spacing w:line="360" w:lineRule="auto"/>
        <w:jc w:val="both"/>
        <w:rPr>
          <w:rFonts w:eastAsia="Calibri"/>
          <w:bCs/>
          <w:lang w:eastAsia="en-US"/>
        </w:rPr>
      </w:pPr>
      <w:r w:rsidRPr="00BF79D0">
        <w:rPr>
          <w:rFonts w:eastAsia="Calibri"/>
          <w:bCs/>
          <w:lang w:eastAsia="en-US"/>
        </w:rPr>
        <w:t>Se recomienda prestar atención, no solo al antecedente de diabetes mellitus, sino a las cifras elevadas de glucemia, ya que ambas condiciones se asociaron con peores resultados a corto plazo, en pacientes con la COVID-19.</w:t>
      </w:r>
    </w:p>
    <w:p w14:paraId="03DC7CB5" w14:textId="77777777" w:rsidR="00BF79D0" w:rsidRPr="00BF79D0" w:rsidRDefault="00BF79D0" w:rsidP="00BF79D0">
      <w:pPr>
        <w:spacing w:line="360" w:lineRule="auto"/>
        <w:jc w:val="both"/>
        <w:rPr>
          <w:rFonts w:eastAsia="Calibri"/>
          <w:b/>
          <w:lang w:val="es-MX" w:eastAsia="en-US"/>
        </w:rPr>
      </w:pPr>
    </w:p>
    <w:p w14:paraId="3CA8D989" w14:textId="77777777" w:rsidR="00BF79D0" w:rsidRPr="00BF79D0" w:rsidRDefault="00BF79D0" w:rsidP="00BF79D0">
      <w:pPr>
        <w:spacing w:line="360" w:lineRule="auto"/>
        <w:rPr>
          <w:rFonts w:eastAsia="Calibri"/>
          <w:b/>
          <w:bCs/>
          <w:lang w:eastAsia="en-US"/>
        </w:rPr>
      </w:pPr>
    </w:p>
    <w:p w14:paraId="34AE35EF" w14:textId="77777777" w:rsidR="00BF79D0" w:rsidRPr="00BF79D0" w:rsidRDefault="00BF79D0" w:rsidP="00BF79D0">
      <w:pPr>
        <w:spacing w:line="360" w:lineRule="auto"/>
        <w:jc w:val="center"/>
        <w:rPr>
          <w:rFonts w:eastAsia="Calibri"/>
          <w:b/>
          <w:bCs/>
          <w:sz w:val="32"/>
          <w:szCs w:val="32"/>
          <w:lang w:eastAsia="en-US"/>
        </w:rPr>
      </w:pPr>
      <w:r w:rsidRPr="00BF79D0">
        <w:rPr>
          <w:rFonts w:eastAsia="Calibri"/>
          <w:b/>
          <w:bCs/>
          <w:sz w:val="32"/>
          <w:szCs w:val="32"/>
          <w:lang w:eastAsia="en-US"/>
        </w:rPr>
        <w:t>REFERENCIAS BIBLIOGRÁFICAS</w:t>
      </w:r>
    </w:p>
    <w:p w14:paraId="1A57F183" w14:textId="77777777" w:rsidR="00BF79D0" w:rsidRPr="00BF79D0" w:rsidRDefault="00BF79D0" w:rsidP="00BF79D0">
      <w:pPr>
        <w:spacing w:line="360" w:lineRule="auto"/>
        <w:rPr>
          <w:rFonts w:eastAsia="Calibri"/>
          <w:bCs/>
          <w:noProof/>
          <w:lang w:val="x-none" w:eastAsia="x-none"/>
        </w:rPr>
      </w:pPr>
      <w:bookmarkStart w:id="1" w:name="_ENREF_1"/>
      <w:r w:rsidRPr="00BF79D0">
        <w:rPr>
          <w:rFonts w:eastAsia="Calibri"/>
          <w:bCs/>
          <w:noProof/>
          <w:lang w:val="x-none" w:eastAsia="x-none"/>
        </w:rPr>
        <w:t>1. Chung SM, Lee YY, Ha E, Yoon JS, Won KC, Lee HW, et al. The Risk of Diabetes on Clinical Outcomes in Patients with Coronavirus Disease 2019: A Retrospective Cohort Study. Diabetes &amp; metabolism journal. 2020</w:t>
      </w:r>
      <w:r w:rsidRPr="00BF79D0">
        <w:rPr>
          <w:rFonts w:eastAsia="Calibri"/>
          <w:bCs/>
          <w:noProof/>
          <w:lang w:eastAsia="x-none"/>
        </w:rPr>
        <w:t xml:space="preserve"> </w:t>
      </w:r>
      <w:r w:rsidRPr="00BF79D0">
        <w:rPr>
          <w:rFonts w:eastAsia="Calibri"/>
          <w:bCs/>
          <w:noProof/>
          <w:lang w:val="es-ES" w:eastAsia="x-none"/>
        </w:rPr>
        <w:t>[acceso: 1/09/2020]</w:t>
      </w:r>
      <w:r w:rsidRPr="00BF79D0">
        <w:rPr>
          <w:rFonts w:eastAsia="Calibri"/>
          <w:bCs/>
          <w:noProof/>
          <w:lang w:val="x-none" w:eastAsia="x-none"/>
        </w:rPr>
        <w:t xml:space="preserve">; 44(3):405-13. </w:t>
      </w:r>
      <w:r w:rsidRPr="00BF79D0">
        <w:rPr>
          <w:rFonts w:eastAsia="Calibri"/>
          <w:bCs/>
          <w:noProof/>
          <w:lang w:eastAsia="x-none"/>
        </w:rPr>
        <w:t>Disponible en</w:t>
      </w:r>
      <w:r w:rsidRPr="00BF79D0">
        <w:rPr>
          <w:rFonts w:eastAsia="Calibri"/>
          <w:bCs/>
          <w:noProof/>
          <w:lang w:val="x-none" w:eastAsia="x-none"/>
        </w:rPr>
        <w:t xml:space="preserve">: </w:t>
      </w:r>
      <w:hyperlink r:id="rId18" w:history="1">
        <w:r w:rsidRPr="00BF79D0">
          <w:rPr>
            <w:rFonts w:eastAsia="Calibri"/>
            <w:bCs/>
            <w:noProof/>
            <w:color w:val="0563C1"/>
            <w:u w:val="single"/>
            <w:lang w:val="x-none" w:eastAsia="x-none"/>
          </w:rPr>
          <w:t>https://www.scopus.com/inward/record.uri?eid=2-s2.0-85087532305&amp;doi=10.4093%2fdmj.2020.0105&amp;partnerID=40&amp;md5=4694c060d41edb21d47f44f1ec65c05d</w:t>
        </w:r>
      </w:hyperlink>
      <w:bookmarkEnd w:id="1"/>
    </w:p>
    <w:p w14:paraId="3AD8E058" w14:textId="77777777" w:rsidR="00BF79D0" w:rsidRPr="00BF79D0" w:rsidRDefault="00BF79D0" w:rsidP="00BF79D0">
      <w:pPr>
        <w:spacing w:line="360" w:lineRule="auto"/>
        <w:rPr>
          <w:rFonts w:eastAsia="Calibri"/>
          <w:bCs/>
          <w:noProof/>
          <w:lang w:val="x-none" w:eastAsia="x-none"/>
        </w:rPr>
      </w:pPr>
      <w:bookmarkStart w:id="2" w:name="_ENREF_2"/>
      <w:r w:rsidRPr="00BF79D0">
        <w:rPr>
          <w:rFonts w:eastAsia="Calibri"/>
          <w:bCs/>
          <w:noProof/>
          <w:lang w:val="x-none" w:eastAsia="x-none"/>
        </w:rPr>
        <w:t>2.</w:t>
      </w:r>
      <w:r w:rsidRPr="00BF79D0">
        <w:rPr>
          <w:rFonts w:eastAsia="Calibri"/>
          <w:bCs/>
          <w:noProof/>
          <w:lang w:val="es-ES" w:eastAsia="x-none"/>
        </w:rPr>
        <w:t xml:space="preserve"> </w:t>
      </w:r>
      <w:r w:rsidRPr="00BF79D0">
        <w:rPr>
          <w:rFonts w:eastAsia="Calibri"/>
          <w:bCs/>
          <w:noProof/>
          <w:lang w:val="x-none" w:eastAsia="x-none"/>
        </w:rPr>
        <w:t>Rastad H, Karim H, Ejtahed HS, Tajbakhsh R, Noorisepehr M, Babaei M, et al. Risk and predictors of in-hospital mortality from COVID-19 in patients with diabetes and cardiovascular disease. Diabetology and Metabolic Syndrome. 2020</w:t>
      </w:r>
      <w:r w:rsidRPr="00BF79D0">
        <w:rPr>
          <w:rFonts w:eastAsia="Calibri"/>
          <w:bCs/>
          <w:noProof/>
          <w:lang w:eastAsia="x-none"/>
        </w:rPr>
        <w:t xml:space="preserve"> </w:t>
      </w:r>
      <w:r w:rsidRPr="00BF79D0">
        <w:rPr>
          <w:rFonts w:eastAsia="Calibri"/>
          <w:bCs/>
          <w:noProof/>
          <w:lang w:val="en-US" w:eastAsia="x-none"/>
        </w:rPr>
        <w:t>[acceso: 1/09/2020]</w:t>
      </w:r>
      <w:r w:rsidRPr="00BF79D0">
        <w:rPr>
          <w:rFonts w:eastAsia="Calibri"/>
          <w:bCs/>
          <w:noProof/>
          <w:lang w:val="x-none" w:eastAsia="x-none"/>
        </w:rPr>
        <w:t>; 12(1)</w:t>
      </w:r>
      <w:r w:rsidRPr="00BF79D0">
        <w:rPr>
          <w:rFonts w:eastAsia="Calibri"/>
          <w:bCs/>
          <w:noProof/>
          <w:lang w:eastAsia="x-none"/>
        </w:rPr>
        <w:t>:11</w:t>
      </w:r>
      <w:r w:rsidRPr="00BF79D0">
        <w:rPr>
          <w:rFonts w:eastAsia="Calibri"/>
          <w:bCs/>
          <w:noProof/>
          <w:lang w:val="x-none" w:eastAsia="x-none"/>
        </w:rPr>
        <w:t xml:space="preserve">. </w:t>
      </w:r>
      <w:r w:rsidRPr="00BF79D0">
        <w:rPr>
          <w:rFonts w:eastAsia="Calibri"/>
          <w:bCs/>
          <w:noProof/>
          <w:lang w:eastAsia="x-none"/>
        </w:rPr>
        <w:t>Disponible en</w:t>
      </w:r>
      <w:r w:rsidRPr="00BF79D0">
        <w:rPr>
          <w:rFonts w:eastAsia="Calibri"/>
          <w:bCs/>
          <w:noProof/>
          <w:lang w:val="x-none" w:eastAsia="x-none"/>
        </w:rPr>
        <w:t xml:space="preserve">: </w:t>
      </w:r>
      <w:hyperlink r:id="rId19" w:history="1">
        <w:r w:rsidRPr="00BF79D0">
          <w:rPr>
            <w:rFonts w:eastAsia="Calibri"/>
            <w:bCs/>
            <w:noProof/>
            <w:color w:val="0563C1"/>
            <w:u w:val="single"/>
            <w:lang w:val="x-none" w:eastAsia="x-none"/>
          </w:rPr>
          <w:t>https://www.scopus.com/inward/record.uri?eid=2-s2.0-85088011066&amp;doi=10.1186%2fs13098-020-00565-9&amp;partnerID=40&amp;md5=8b932cc30dcc834e426208ebc16f8e05</w:t>
        </w:r>
      </w:hyperlink>
      <w:bookmarkEnd w:id="2"/>
    </w:p>
    <w:p w14:paraId="2D235AD3" w14:textId="77777777" w:rsidR="00BF79D0" w:rsidRPr="00BF79D0" w:rsidRDefault="00BF79D0" w:rsidP="00BF79D0">
      <w:pPr>
        <w:spacing w:line="360" w:lineRule="auto"/>
        <w:rPr>
          <w:rFonts w:eastAsia="Calibri"/>
          <w:bCs/>
          <w:noProof/>
          <w:lang w:eastAsia="x-none"/>
        </w:rPr>
      </w:pPr>
      <w:bookmarkStart w:id="3" w:name="_ENREF_3"/>
      <w:r w:rsidRPr="00BF79D0">
        <w:rPr>
          <w:rFonts w:eastAsia="Calibri"/>
          <w:bCs/>
          <w:noProof/>
          <w:lang w:val="x-none" w:eastAsia="x-none"/>
        </w:rPr>
        <w:t>3.</w:t>
      </w:r>
      <w:r w:rsidRPr="00BF79D0">
        <w:rPr>
          <w:rFonts w:eastAsia="Calibri"/>
          <w:bCs/>
          <w:noProof/>
          <w:lang w:val="es-ES" w:eastAsia="x-none"/>
        </w:rPr>
        <w:t xml:space="preserve"> </w:t>
      </w:r>
      <w:r w:rsidRPr="00BF79D0">
        <w:rPr>
          <w:rFonts w:eastAsia="Calibri"/>
          <w:bCs/>
          <w:noProof/>
          <w:lang w:val="x-none" w:eastAsia="x-none"/>
        </w:rPr>
        <w:t>Li Y, Han X, Alwalid O, Cui Y, Cao Y, Liu J, et al. Baseline characteristics and risk factors for short-term outcomes in 132 COVID-19 patients with diabetes in Wuhan China: A retrospective study. Diabetes Research and Clinical Practice. 2020</w:t>
      </w:r>
      <w:r w:rsidRPr="00BF79D0">
        <w:rPr>
          <w:rFonts w:eastAsia="Calibri"/>
          <w:bCs/>
          <w:noProof/>
          <w:lang w:val="en-US" w:eastAsia="x-none"/>
        </w:rPr>
        <w:t>[acceso: 1/09/2020]</w:t>
      </w:r>
      <w:r w:rsidRPr="00BF79D0">
        <w:rPr>
          <w:rFonts w:eastAsia="Calibri"/>
          <w:bCs/>
          <w:noProof/>
          <w:lang w:val="x-none" w:eastAsia="x-none"/>
        </w:rPr>
        <w:t>; 166</w:t>
      </w:r>
      <w:r w:rsidRPr="00BF79D0">
        <w:rPr>
          <w:rFonts w:eastAsia="Calibri"/>
          <w:bCs/>
          <w:noProof/>
          <w:lang w:eastAsia="x-none"/>
        </w:rPr>
        <w:t>:10</w:t>
      </w:r>
      <w:r w:rsidRPr="00BF79D0">
        <w:rPr>
          <w:rFonts w:eastAsia="Calibri"/>
          <w:bCs/>
          <w:noProof/>
          <w:lang w:val="x-none" w:eastAsia="x-none"/>
        </w:rPr>
        <w:t xml:space="preserve">. </w:t>
      </w:r>
      <w:r w:rsidRPr="00BF79D0">
        <w:rPr>
          <w:rFonts w:eastAsia="Calibri"/>
          <w:bCs/>
          <w:noProof/>
          <w:lang w:eastAsia="x-none"/>
        </w:rPr>
        <w:t>Disponible en</w:t>
      </w:r>
      <w:r w:rsidRPr="00BF79D0">
        <w:rPr>
          <w:rFonts w:eastAsia="Calibri"/>
          <w:bCs/>
          <w:noProof/>
          <w:lang w:val="x-none" w:eastAsia="x-none"/>
        </w:rPr>
        <w:t xml:space="preserve">: </w:t>
      </w:r>
      <w:hyperlink r:id="rId20" w:history="1">
        <w:r w:rsidRPr="00BF79D0">
          <w:rPr>
            <w:rFonts w:eastAsia="Calibri"/>
            <w:bCs/>
            <w:noProof/>
            <w:color w:val="0563C1"/>
            <w:u w:val="single"/>
            <w:lang w:val="x-none" w:eastAsia="x-none"/>
          </w:rPr>
          <w:t>https://www.scopus.com/inward/record.uri?eid=2-s2.0-85087855134&amp;doi=10.1016%2fj.diabres.2020.108299&amp;partnerID=40&amp;md5=075d4fc441c552bc640d80af133f2594</w:t>
        </w:r>
      </w:hyperlink>
      <w:bookmarkEnd w:id="3"/>
    </w:p>
    <w:p w14:paraId="406015BD" w14:textId="77777777" w:rsidR="00BF79D0" w:rsidRPr="00BF79D0" w:rsidRDefault="00BF79D0" w:rsidP="00BF79D0">
      <w:pPr>
        <w:spacing w:line="360" w:lineRule="auto"/>
        <w:rPr>
          <w:rFonts w:eastAsia="Calibri"/>
          <w:bCs/>
          <w:noProof/>
          <w:lang w:eastAsia="x-none"/>
        </w:rPr>
      </w:pPr>
      <w:bookmarkStart w:id="4" w:name="_ENREF_4"/>
      <w:r w:rsidRPr="00BF79D0">
        <w:rPr>
          <w:rFonts w:eastAsia="Calibri"/>
          <w:bCs/>
          <w:noProof/>
          <w:lang w:val="x-none" w:eastAsia="x-none"/>
        </w:rPr>
        <w:t>4.</w:t>
      </w:r>
      <w:r w:rsidRPr="00BF79D0">
        <w:rPr>
          <w:rFonts w:eastAsia="Calibri"/>
          <w:bCs/>
          <w:noProof/>
          <w:lang w:val="en-US" w:eastAsia="x-none"/>
        </w:rPr>
        <w:t xml:space="preserve"> </w:t>
      </w:r>
      <w:r w:rsidRPr="00BF79D0">
        <w:rPr>
          <w:rFonts w:eastAsia="Calibri"/>
          <w:bCs/>
          <w:noProof/>
          <w:lang w:val="x-none" w:eastAsia="x-none"/>
        </w:rPr>
        <w:t>Zhang Y, Cui Y, Shen M, Zhang J, Liu B, Dai M, et al. Association of diabetes mellitus with disease severity and prognosis in COVID-19: A retrospective cohort study. Diabetes Research and Clinical Practice. 2020</w:t>
      </w:r>
      <w:r w:rsidRPr="00BF79D0">
        <w:rPr>
          <w:rFonts w:eastAsia="Calibri"/>
          <w:bCs/>
          <w:noProof/>
          <w:lang w:val="es-ES" w:eastAsia="x-none"/>
        </w:rPr>
        <w:t>[acceso: 1/09/2020]</w:t>
      </w:r>
      <w:r w:rsidRPr="00BF79D0">
        <w:rPr>
          <w:rFonts w:eastAsia="Calibri"/>
          <w:bCs/>
          <w:noProof/>
          <w:lang w:val="x-none" w:eastAsia="x-none"/>
        </w:rPr>
        <w:t>; 165</w:t>
      </w:r>
      <w:r w:rsidRPr="00BF79D0">
        <w:rPr>
          <w:rFonts w:eastAsia="Calibri"/>
          <w:bCs/>
          <w:noProof/>
          <w:lang w:eastAsia="x-none"/>
        </w:rPr>
        <w:t>: 8.</w:t>
      </w:r>
      <w:r w:rsidRPr="00BF79D0">
        <w:rPr>
          <w:rFonts w:eastAsia="Calibri"/>
          <w:bCs/>
          <w:noProof/>
          <w:lang w:val="x-none" w:eastAsia="x-none"/>
        </w:rPr>
        <w:t xml:space="preserve"> </w:t>
      </w:r>
      <w:r w:rsidRPr="00BF79D0">
        <w:rPr>
          <w:rFonts w:eastAsia="Calibri"/>
          <w:bCs/>
          <w:noProof/>
          <w:lang w:eastAsia="x-none"/>
        </w:rPr>
        <w:t>Disponible en</w:t>
      </w:r>
      <w:r w:rsidRPr="00BF79D0">
        <w:rPr>
          <w:rFonts w:eastAsia="Calibri"/>
          <w:bCs/>
          <w:noProof/>
          <w:lang w:val="x-none" w:eastAsia="x-none"/>
        </w:rPr>
        <w:t xml:space="preserve">: </w:t>
      </w:r>
      <w:hyperlink r:id="rId21" w:history="1">
        <w:r w:rsidRPr="00BF79D0">
          <w:rPr>
            <w:rFonts w:eastAsia="Calibri"/>
            <w:bCs/>
            <w:noProof/>
            <w:color w:val="0563C1"/>
            <w:u w:val="single"/>
            <w:lang w:val="x-none" w:eastAsia="x-none"/>
          </w:rPr>
          <w:t>https://www.scopus.com/inward/record.uri?eid=2-s2.0-85085763427&amp;doi=10.1016%2fj.diabres.2020.108227&amp;partnerID=40&amp;md5=ae17ce73d1687129b84e48659620a479</w:t>
        </w:r>
      </w:hyperlink>
      <w:bookmarkEnd w:id="4"/>
    </w:p>
    <w:p w14:paraId="412EB945" w14:textId="77777777" w:rsidR="00BF79D0" w:rsidRPr="00BF79D0" w:rsidRDefault="00BF79D0" w:rsidP="00BF79D0">
      <w:pPr>
        <w:spacing w:line="360" w:lineRule="auto"/>
        <w:rPr>
          <w:rFonts w:eastAsia="Calibri"/>
          <w:bCs/>
          <w:noProof/>
          <w:lang w:val="es-CU" w:eastAsia="x-none"/>
        </w:rPr>
      </w:pPr>
      <w:bookmarkStart w:id="5" w:name="_ENREF_5"/>
      <w:r w:rsidRPr="00BF79D0">
        <w:rPr>
          <w:rFonts w:eastAsia="Calibri"/>
          <w:bCs/>
          <w:noProof/>
          <w:lang w:val="x-none" w:eastAsia="x-none"/>
        </w:rPr>
        <w:t>5.</w:t>
      </w:r>
      <w:r w:rsidRPr="00BF79D0">
        <w:rPr>
          <w:rFonts w:eastAsia="Calibri"/>
          <w:bCs/>
          <w:noProof/>
          <w:lang w:val="es-ES" w:eastAsia="x-none"/>
        </w:rPr>
        <w:t xml:space="preserve"> </w:t>
      </w:r>
      <w:r w:rsidRPr="00BF79D0">
        <w:rPr>
          <w:rFonts w:eastAsia="Calibri"/>
          <w:bCs/>
          <w:noProof/>
          <w:lang w:val="x-none" w:eastAsia="x-none"/>
        </w:rPr>
        <w:t>Bess Constantén S, Alonso Alomá I, Sánchez Sordo E, Martínez Morales MÁ, López Nistal LM, Alonso Expósito I, et al. Anuario Estadístico de Salud 2019. La Habana</w:t>
      </w:r>
      <w:r w:rsidRPr="00BF79D0">
        <w:rPr>
          <w:rFonts w:eastAsia="Calibri"/>
          <w:bCs/>
          <w:noProof/>
          <w:lang w:val="es-ES" w:eastAsia="x-none"/>
        </w:rPr>
        <w:t>:</w:t>
      </w:r>
      <w:r w:rsidRPr="00BF79D0">
        <w:rPr>
          <w:rFonts w:eastAsia="Calibri"/>
          <w:bCs/>
          <w:noProof/>
          <w:lang w:val="x-none" w:eastAsia="x-none"/>
        </w:rPr>
        <w:t xml:space="preserve"> Ministerio de Salud Pública Dirección de Registros Médicos y Estadísticas de Salud; 2020</w:t>
      </w:r>
      <w:r w:rsidRPr="00BF79D0">
        <w:rPr>
          <w:rFonts w:eastAsia="Calibri"/>
          <w:bCs/>
          <w:noProof/>
          <w:lang w:val="es-ES" w:eastAsia="x-none"/>
        </w:rPr>
        <w:t>.</w:t>
      </w:r>
      <w:r w:rsidRPr="00BF79D0">
        <w:rPr>
          <w:rFonts w:eastAsia="Calibri"/>
          <w:bCs/>
          <w:noProof/>
          <w:lang w:eastAsia="x-none"/>
        </w:rPr>
        <w:t xml:space="preserve"> </w:t>
      </w:r>
      <w:r w:rsidRPr="00BF79D0">
        <w:rPr>
          <w:rFonts w:eastAsia="Calibri"/>
          <w:bCs/>
          <w:noProof/>
          <w:lang w:val="es-ES" w:eastAsia="x-none"/>
        </w:rPr>
        <w:t>[acceso: 1/09/2020]</w:t>
      </w:r>
      <w:r w:rsidRPr="00BF79D0">
        <w:rPr>
          <w:rFonts w:eastAsia="Calibri"/>
          <w:bCs/>
          <w:noProof/>
          <w:lang w:val="x-none" w:eastAsia="x-none"/>
        </w:rPr>
        <w:t xml:space="preserve">. </w:t>
      </w:r>
      <w:r w:rsidRPr="00BF79D0">
        <w:rPr>
          <w:rFonts w:eastAsia="Calibri"/>
          <w:bCs/>
          <w:noProof/>
          <w:lang w:eastAsia="x-none"/>
        </w:rPr>
        <w:t>Disponible en</w:t>
      </w:r>
      <w:r w:rsidRPr="00BF79D0">
        <w:rPr>
          <w:rFonts w:eastAsia="Calibri"/>
          <w:bCs/>
          <w:noProof/>
          <w:lang w:val="x-none" w:eastAsia="x-none"/>
        </w:rPr>
        <w:t xml:space="preserve">: </w:t>
      </w:r>
      <w:hyperlink r:id="rId22" w:history="1">
        <w:r w:rsidRPr="00BF79D0">
          <w:rPr>
            <w:rFonts w:eastAsia="Calibri"/>
            <w:bCs/>
            <w:noProof/>
            <w:color w:val="0563C1"/>
            <w:u w:val="single"/>
            <w:lang w:val="x-none" w:eastAsia="x-none"/>
          </w:rPr>
          <w:t>http://files.sld.cu/bvscuba/files/2020/05/Anuario-Electr%C3%B3nico-Espa%C3%B1ol-2019-ed-2020.pdf</w:t>
        </w:r>
      </w:hyperlink>
      <w:bookmarkEnd w:id="5"/>
      <w:r w:rsidRPr="00BF79D0">
        <w:rPr>
          <w:rFonts w:eastAsia="Calibri"/>
          <w:bCs/>
          <w:noProof/>
          <w:lang w:val="es-CU" w:eastAsia="x-none"/>
        </w:rPr>
        <w:t xml:space="preserve"> </w:t>
      </w:r>
    </w:p>
    <w:p w14:paraId="38865C17" w14:textId="77777777" w:rsidR="00BF79D0" w:rsidRPr="00BF79D0" w:rsidRDefault="00BF79D0" w:rsidP="00BF79D0">
      <w:pPr>
        <w:spacing w:line="360" w:lineRule="auto"/>
        <w:rPr>
          <w:rFonts w:eastAsia="Calibri"/>
          <w:bCs/>
          <w:noProof/>
          <w:lang w:val="es-CU" w:eastAsia="x-none"/>
        </w:rPr>
      </w:pPr>
      <w:bookmarkStart w:id="6" w:name="_ENREF_6"/>
      <w:r w:rsidRPr="00BF79D0">
        <w:rPr>
          <w:rFonts w:eastAsia="Calibri"/>
          <w:bCs/>
          <w:noProof/>
          <w:lang w:val="x-none" w:eastAsia="x-none"/>
        </w:rPr>
        <w:t>6.</w:t>
      </w:r>
      <w:r w:rsidRPr="00BF79D0">
        <w:rPr>
          <w:rFonts w:eastAsia="Calibri"/>
          <w:bCs/>
          <w:noProof/>
          <w:lang w:val="es-ES" w:eastAsia="x-none"/>
        </w:rPr>
        <w:t xml:space="preserve"> </w:t>
      </w:r>
      <w:r w:rsidRPr="00BF79D0">
        <w:rPr>
          <w:rFonts w:eastAsia="Calibri"/>
          <w:bCs/>
          <w:noProof/>
          <w:lang w:val="x-none" w:eastAsia="x-none"/>
        </w:rPr>
        <w:t>Federación Internacional de</w:t>
      </w:r>
      <w:r w:rsidRPr="00BF79D0">
        <w:rPr>
          <w:rFonts w:eastAsia="Calibri"/>
          <w:bCs/>
          <w:noProof/>
          <w:lang w:eastAsia="x-none"/>
        </w:rPr>
        <w:t xml:space="preserve"> la</w:t>
      </w:r>
      <w:r w:rsidRPr="00BF79D0">
        <w:rPr>
          <w:rFonts w:eastAsia="Calibri"/>
          <w:bCs/>
          <w:noProof/>
          <w:lang w:val="x-none" w:eastAsia="x-none"/>
        </w:rPr>
        <w:t xml:space="preserve"> Diabetes. Atlas de la Diabetes de la FID. Bruselas, Bélgica</w:t>
      </w:r>
      <w:r w:rsidRPr="00BF79D0">
        <w:rPr>
          <w:rFonts w:eastAsia="Calibri"/>
          <w:bCs/>
          <w:noProof/>
          <w:lang w:eastAsia="x-none"/>
        </w:rPr>
        <w:t xml:space="preserve">; </w:t>
      </w:r>
      <w:r w:rsidRPr="00BF79D0">
        <w:rPr>
          <w:rFonts w:eastAsia="Calibri"/>
          <w:bCs/>
          <w:noProof/>
          <w:lang w:val="x-none" w:eastAsia="x-none"/>
        </w:rPr>
        <w:t>2019</w:t>
      </w:r>
      <w:r w:rsidRPr="00BF79D0">
        <w:rPr>
          <w:rFonts w:eastAsia="Calibri"/>
          <w:bCs/>
          <w:noProof/>
          <w:lang w:val="es-CU" w:eastAsia="x-none"/>
        </w:rPr>
        <w:t>.</w:t>
      </w:r>
      <w:r w:rsidRPr="00BF79D0">
        <w:rPr>
          <w:rFonts w:eastAsia="Calibri"/>
          <w:bCs/>
          <w:noProof/>
          <w:lang w:eastAsia="x-none"/>
        </w:rPr>
        <w:t xml:space="preserve"> </w:t>
      </w:r>
      <w:r w:rsidRPr="00BF79D0">
        <w:rPr>
          <w:rFonts w:eastAsia="Calibri"/>
          <w:bCs/>
          <w:noProof/>
          <w:lang w:val="es-ES" w:eastAsia="x-none"/>
        </w:rPr>
        <w:t>[acceso: 1/09/2020]</w:t>
      </w:r>
      <w:r w:rsidRPr="00BF79D0">
        <w:rPr>
          <w:rFonts w:eastAsia="Calibri"/>
          <w:bCs/>
          <w:noProof/>
          <w:lang w:val="x-none" w:eastAsia="x-none"/>
        </w:rPr>
        <w:t xml:space="preserve">. </w:t>
      </w:r>
      <w:r w:rsidRPr="00BF79D0">
        <w:rPr>
          <w:rFonts w:eastAsia="Calibri"/>
          <w:bCs/>
          <w:noProof/>
          <w:lang w:val="es-ES" w:eastAsia="x-none"/>
        </w:rPr>
        <w:t>Disponible en</w:t>
      </w:r>
      <w:r w:rsidRPr="00BF79D0">
        <w:rPr>
          <w:rFonts w:eastAsia="Calibri"/>
          <w:bCs/>
          <w:noProof/>
          <w:lang w:val="x-none" w:eastAsia="x-none"/>
        </w:rPr>
        <w:t>:</w:t>
      </w:r>
      <w:bookmarkEnd w:id="6"/>
      <w:r w:rsidRPr="00BF79D0">
        <w:rPr>
          <w:rFonts w:eastAsia="Calibri"/>
          <w:bCs/>
          <w:noProof/>
          <w:lang w:val="es-ES" w:eastAsia="x-none"/>
        </w:rPr>
        <w:t xml:space="preserve"> </w:t>
      </w:r>
      <w:hyperlink r:id="rId23" w:history="1">
        <w:r w:rsidRPr="00BF79D0">
          <w:rPr>
            <w:rFonts w:eastAsia="Calibri"/>
            <w:bCs/>
            <w:noProof/>
            <w:color w:val="0563C1"/>
            <w:u w:val="single"/>
            <w:lang w:val="x-none" w:eastAsia="x-none"/>
          </w:rPr>
          <w:t>https://www.diabetesatlas.org/es/resources/</w:t>
        </w:r>
      </w:hyperlink>
    </w:p>
    <w:p w14:paraId="1587B7E6" w14:textId="77777777" w:rsidR="00BF79D0" w:rsidRPr="00BF79D0" w:rsidRDefault="00BF79D0" w:rsidP="00BF79D0">
      <w:pPr>
        <w:spacing w:line="360" w:lineRule="auto"/>
        <w:rPr>
          <w:rFonts w:eastAsia="Calibri"/>
          <w:bCs/>
          <w:noProof/>
          <w:color w:val="0563C1"/>
          <w:u w:val="single"/>
          <w:lang w:val="en-US" w:eastAsia="x-none"/>
        </w:rPr>
      </w:pPr>
      <w:bookmarkStart w:id="7" w:name="_ENREF_7"/>
      <w:r w:rsidRPr="00BF79D0">
        <w:rPr>
          <w:rFonts w:eastAsia="Calibri"/>
          <w:bCs/>
          <w:noProof/>
          <w:lang w:val="x-none" w:eastAsia="x-none"/>
        </w:rPr>
        <w:lastRenderedPageBreak/>
        <w:t>7.</w:t>
      </w:r>
      <w:r w:rsidRPr="00BF79D0">
        <w:rPr>
          <w:rFonts w:eastAsia="Calibri"/>
          <w:bCs/>
          <w:noProof/>
          <w:lang w:val="en-US" w:eastAsia="x-none"/>
        </w:rPr>
        <w:t xml:space="preserve"> </w:t>
      </w:r>
      <w:r w:rsidRPr="00BF79D0">
        <w:rPr>
          <w:rFonts w:eastAsia="Calibri"/>
          <w:bCs/>
          <w:noProof/>
          <w:lang w:val="x-none" w:eastAsia="x-none"/>
        </w:rPr>
        <w:t>A</w:t>
      </w:r>
      <w:r w:rsidRPr="00BF79D0">
        <w:rPr>
          <w:rFonts w:eastAsia="Calibri"/>
          <w:bCs/>
          <w:noProof/>
          <w:lang w:val="en-US" w:eastAsia="x-none"/>
        </w:rPr>
        <w:t>merican Diabetes A</w:t>
      </w:r>
      <w:r w:rsidRPr="00BF79D0">
        <w:rPr>
          <w:rFonts w:eastAsia="Calibri"/>
          <w:bCs/>
          <w:noProof/>
          <w:lang w:val="x-none" w:eastAsia="x-none"/>
        </w:rPr>
        <w:t>ssociation 15. Diabetes Care in the Hospital: Standards of Medical Care in Diabetes</w:t>
      </w:r>
      <w:r w:rsidRPr="00BF79D0">
        <w:rPr>
          <w:rFonts w:eastAsia="Calibri"/>
          <w:bCs/>
          <w:noProof/>
          <w:lang w:val="en-US" w:eastAsia="x-none"/>
        </w:rPr>
        <w:t xml:space="preserve"> – </w:t>
      </w:r>
      <w:r w:rsidRPr="00BF79D0">
        <w:rPr>
          <w:rFonts w:eastAsia="Calibri"/>
          <w:bCs/>
          <w:noProof/>
          <w:lang w:val="x-none" w:eastAsia="x-none"/>
        </w:rPr>
        <w:t xml:space="preserve">2020. Diabetes Care. 2020 </w:t>
      </w:r>
      <w:r w:rsidRPr="00BF79D0">
        <w:rPr>
          <w:rFonts w:eastAsia="Calibri"/>
          <w:bCs/>
          <w:noProof/>
          <w:lang w:val="en-US" w:eastAsia="x-none"/>
        </w:rPr>
        <w:t>[acceso: 1/09/2020]</w:t>
      </w:r>
      <w:r w:rsidRPr="00BF79D0">
        <w:rPr>
          <w:rFonts w:eastAsia="Calibri"/>
          <w:bCs/>
          <w:noProof/>
          <w:lang w:val="x-none" w:eastAsia="x-none"/>
        </w:rPr>
        <w:t xml:space="preserve">; 43(Supplement 1):S193-202. </w:t>
      </w:r>
      <w:r w:rsidRPr="00BF79D0">
        <w:rPr>
          <w:rFonts w:eastAsia="Calibri"/>
          <w:bCs/>
          <w:noProof/>
          <w:lang w:val="en-US" w:eastAsia="x-none"/>
        </w:rPr>
        <w:t>Disponible en</w:t>
      </w:r>
      <w:r w:rsidRPr="00BF79D0">
        <w:rPr>
          <w:rFonts w:eastAsia="Calibri"/>
          <w:bCs/>
          <w:noProof/>
          <w:lang w:val="x-none" w:eastAsia="x-none"/>
        </w:rPr>
        <w:t xml:space="preserve">: </w:t>
      </w:r>
      <w:hyperlink r:id="rId24" w:history="1">
        <w:r w:rsidRPr="00BF79D0">
          <w:rPr>
            <w:rFonts w:eastAsia="Calibri"/>
            <w:bCs/>
            <w:noProof/>
            <w:color w:val="0563C1"/>
            <w:u w:val="single"/>
            <w:lang w:val="x-none" w:eastAsia="x-none"/>
          </w:rPr>
          <w:t>https://care.diabetesjournals.org/content/diacare/43/Supplement_1/S193.full.pdf</w:t>
        </w:r>
      </w:hyperlink>
      <w:bookmarkEnd w:id="7"/>
    </w:p>
    <w:p w14:paraId="12A6A85B" w14:textId="77777777" w:rsidR="00BF79D0" w:rsidRPr="00BF79D0" w:rsidRDefault="00BF79D0" w:rsidP="00BF79D0">
      <w:pPr>
        <w:spacing w:line="360" w:lineRule="auto"/>
        <w:rPr>
          <w:rFonts w:eastAsia="Calibri"/>
          <w:noProof/>
          <w:lang w:val="es-ES" w:eastAsia="es-MX"/>
        </w:rPr>
      </w:pPr>
      <w:bookmarkStart w:id="8" w:name="_ENREF_8"/>
      <w:r w:rsidRPr="00BF79D0">
        <w:rPr>
          <w:rFonts w:eastAsia="Calibri"/>
          <w:bCs/>
          <w:noProof/>
          <w:lang w:val="x-none" w:eastAsia="x-none"/>
        </w:rPr>
        <w:t>8.</w:t>
      </w:r>
      <w:r w:rsidRPr="00BF79D0">
        <w:rPr>
          <w:rFonts w:eastAsia="Calibri"/>
          <w:bCs/>
          <w:noProof/>
          <w:lang w:val="en-US" w:eastAsia="x-none"/>
        </w:rPr>
        <w:t xml:space="preserve"> </w:t>
      </w:r>
      <w:r w:rsidRPr="00BF79D0">
        <w:rPr>
          <w:rFonts w:eastAsia="Calibri"/>
          <w:noProof/>
          <w:lang w:val="en-US" w:eastAsia="es-MX"/>
        </w:rPr>
        <w:t xml:space="preserve">Zhu L, She Z-G, Cheng X, Qin J-J, Zhang X-J, Cai J, et al. Association of Blood Glucose Control and Outcomes in Patients with COVID-19 and Pre-existing Type 2 Diabetes. </w:t>
      </w:r>
      <w:r w:rsidRPr="00BF79D0">
        <w:rPr>
          <w:rFonts w:eastAsia="Calibri"/>
          <w:noProof/>
          <w:lang w:val="es-ES" w:eastAsia="es-MX"/>
        </w:rPr>
        <w:t xml:space="preserve">Cell Metab. 2020 </w:t>
      </w:r>
      <w:r w:rsidRPr="00BF79D0">
        <w:rPr>
          <w:rFonts w:eastAsia="Calibri"/>
          <w:bCs/>
          <w:noProof/>
          <w:lang w:val="es-ES" w:eastAsia="x-none"/>
        </w:rPr>
        <w:t>[acceso: 1/09/2020]</w:t>
      </w:r>
      <w:r w:rsidRPr="00BF79D0">
        <w:rPr>
          <w:rFonts w:eastAsia="Calibri"/>
          <w:noProof/>
          <w:lang w:val="es-ES" w:eastAsia="es-MX"/>
        </w:rPr>
        <w:t xml:space="preserve">; 31(6):1068-77. Disponible en: </w:t>
      </w:r>
      <w:hyperlink r:id="rId25" w:history="1">
        <w:r w:rsidRPr="00BF79D0">
          <w:rPr>
            <w:rFonts w:eastAsia="Calibri"/>
            <w:bCs/>
            <w:noProof/>
            <w:color w:val="0563C1"/>
            <w:u w:val="single"/>
            <w:lang w:val="x-none" w:eastAsia="x-none"/>
          </w:rPr>
          <w:t>https://www.ncbi.nlm.nih.gov/pmc/articles/PMC7252168/pdf/main.pdf</w:t>
        </w:r>
      </w:hyperlink>
      <w:r w:rsidRPr="00BF79D0">
        <w:rPr>
          <w:rFonts w:eastAsia="Calibri"/>
          <w:noProof/>
          <w:lang w:val="es-ES" w:eastAsia="es-MX"/>
        </w:rPr>
        <w:t xml:space="preserve"> </w:t>
      </w:r>
    </w:p>
    <w:p w14:paraId="1E956E92" w14:textId="77777777" w:rsidR="00BF79D0" w:rsidRPr="00BF79D0" w:rsidRDefault="00BF79D0" w:rsidP="00BF79D0">
      <w:pPr>
        <w:spacing w:line="360" w:lineRule="auto"/>
        <w:rPr>
          <w:rFonts w:eastAsia="Calibri"/>
          <w:noProof/>
          <w:lang w:val="en-US" w:eastAsia="es-MX"/>
        </w:rPr>
      </w:pPr>
      <w:r w:rsidRPr="00BF79D0">
        <w:rPr>
          <w:rFonts w:eastAsia="Calibri"/>
          <w:noProof/>
          <w:lang w:val="en-US" w:eastAsia="es-MX"/>
        </w:rPr>
        <w:t xml:space="preserve">9. Bode B, Garrett V, Messler J, McFarland R, Crowe J, Booth R, et al. Glycemic Characteristics and Clinical Outcomes of COVID-19 Patients Hospitalized in the United States. Journal of Diabetes Science and Technology. 2020 </w:t>
      </w:r>
      <w:r w:rsidRPr="00BF79D0">
        <w:rPr>
          <w:rFonts w:eastAsia="Calibri"/>
          <w:bCs/>
          <w:noProof/>
          <w:lang w:val="en-US" w:eastAsia="x-none"/>
        </w:rPr>
        <w:t>[acceso: 1/09/2020]</w:t>
      </w:r>
      <w:r w:rsidRPr="00BF79D0">
        <w:rPr>
          <w:rFonts w:eastAsia="Calibri"/>
          <w:noProof/>
          <w:lang w:val="en-US" w:eastAsia="es-MX"/>
        </w:rPr>
        <w:t xml:space="preserve">; 14(4):813-21. Disponible en: </w:t>
      </w:r>
      <w:hyperlink r:id="rId26" w:history="1">
        <w:r w:rsidRPr="00BF79D0">
          <w:rPr>
            <w:rFonts w:eastAsia="Calibri"/>
            <w:noProof/>
            <w:color w:val="0563C1"/>
            <w:u w:val="single"/>
            <w:lang w:val="en-US" w:eastAsia="es-MX"/>
          </w:rPr>
          <w:t>https://journals.sagepub.com/doi/abs/10.1177/1932296820924469</w:t>
        </w:r>
      </w:hyperlink>
    </w:p>
    <w:p w14:paraId="65BFA3C3" w14:textId="77777777" w:rsidR="00BF79D0" w:rsidRPr="00BF79D0" w:rsidRDefault="00BF79D0" w:rsidP="00BF79D0">
      <w:pPr>
        <w:spacing w:line="360" w:lineRule="auto"/>
        <w:rPr>
          <w:rFonts w:eastAsia="Calibri"/>
          <w:bCs/>
          <w:noProof/>
          <w:lang w:val="en-US" w:eastAsia="x-none"/>
        </w:rPr>
      </w:pPr>
      <w:r w:rsidRPr="00BF79D0">
        <w:rPr>
          <w:rFonts w:eastAsia="Calibri"/>
          <w:noProof/>
          <w:lang w:val="en-US" w:eastAsia="es-MX"/>
        </w:rPr>
        <w:t xml:space="preserve">10. Liu Z, Liu S, Wang Z, Liu C, Long F, Jin P. Relation between blood glucose and the prognosis of severe coronavirus disease 2019. J Cent South Univ (Med Sci). 2020 </w:t>
      </w:r>
      <w:r w:rsidRPr="00BF79D0">
        <w:rPr>
          <w:rFonts w:eastAsia="Calibri"/>
          <w:bCs/>
          <w:noProof/>
          <w:lang w:val="en-US" w:eastAsia="x-none"/>
        </w:rPr>
        <w:t>[acceso: 1/09/2020]</w:t>
      </w:r>
      <w:r w:rsidRPr="00BF79D0">
        <w:rPr>
          <w:rFonts w:eastAsia="Calibri"/>
          <w:noProof/>
          <w:lang w:val="en-US" w:eastAsia="es-MX"/>
        </w:rPr>
        <w:t xml:space="preserve">; 45(5):530-5. Disponible en: </w:t>
      </w:r>
      <w:hyperlink r:id="rId27" w:history="1">
        <w:r w:rsidRPr="00BF79D0">
          <w:rPr>
            <w:rFonts w:eastAsia="Calibri"/>
            <w:noProof/>
            <w:color w:val="0563C1"/>
            <w:u w:val="single"/>
            <w:lang w:val="en-US" w:eastAsia="es-MX"/>
          </w:rPr>
          <w:t>http://xbyxb.csu.edu.cn/xbwk/fileup/PDF/202005530.pdf</w:t>
        </w:r>
      </w:hyperlink>
      <w:r w:rsidRPr="00BF79D0">
        <w:rPr>
          <w:rFonts w:eastAsia="Calibri"/>
          <w:noProof/>
          <w:lang w:val="en-US" w:eastAsia="es-MX"/>
        </w:rPr>
        <w:t xml:space="preserve"> </w:t>
      </w:r>
    </w:p>
    <w:p w14:paraId="03FA700C" w14:textId="77777777" w:rsidR="00BF79D0" w:rsidRPr="00BF79D0" w:rsidRDefault="00BF79D0" w:rsidP="00BF79D0">
      <w:pPr>
        <w:spacing w:line="360" w:lineRule="auto"/>
        <w:rPr>
          <w:rFonts w:eastAsia="Calibri"/>
          <w:bCs/>
          <w:noProof/>
          <w:lang w:val="es-CU" w:eastAsia="x-none"/>
        </w:rPr>
      </w:pPr>
      <w:r w:rsidRPr="00BF79D0">
        <w:rPr>
          <w:rFonts w:eastAsia="Calibri"/>
          <w:bCs/>
          <w:noProof/>
          <w:lang w:val="es-ES" w:eastAsia="x-none"/>
        </w:rPr>
        <w:t xml:space="preserve">11. </w:t>
      </w:r>
      <w:r w:rsidRPr="00BF79D0">
        <w:rPr>
          <w:rFonts w:eastAsia="Calibri"/>
          <w:bCs/>
          <w:noProof/>
          <w:lang w:eastAsia="x-none"/>
        </w:rPr>
        <w:t xml:space="preserve">Almeida Cruz Y, Reyes Carmona S, Guerra Valdés E A, Alonso Porro I, Alemañy Castilla C, Steyners Patiño D, et al. </w:t>
      </w:r>
      <w:r w:rsidRPr="00BF79D0">
        <w:rPr>
          <w:rFonts w:eastAsia="Calibri"/>
          <w:bCs/>
          <w:noProof/>
          <w:lang w:val="x-none" w:eastAsia="x-none"/>
        </w:rPr>
        <w:t>Covid19</w:t>
      </w:r>
      <w:r w:rsidRPr="00BF79D0">
        <w:rPr>
          <w:rFonts w:eastAsia="Calibri"/>
          <w:bCs/>
          <w:noProof/>
          <w:lang w:val="es-ES" w:eastAsia="x-none"/>
        </w:rPr>
        <w:t xml:space="preserve"> </w:t>
      </w:r>
      <w:r w:rsidRPr="00BF79D0">
        <w:rPr>
          <w:rFonts w:eastAsia="Calibri"/>
          <w:bCs/>
          <w:noProof/>
          <w:lang w:val="x-none" w:eastAsia="x-none"/>
        </w:rPr>
        <w:t>Cuba</w:t>
      </w:r>
      <w:r w:rsidRPr="00BF79D0">
        <w:rPr>
          <w:rFonts w:eastAsia="Calibri"/>
          <w:bCs/>
          <w:noProof/>
          <w:lang w:val="es-ES" w:eastAsia="x-none"/>
        </w:rPr>
        <w:t xml:space="preserve"> </w:t>
      </w:r>
      <w:r w:rsidRPr="00BF79D0">
        <w:rPr>
          <w:rFonts w:eastAsia="Calibri"/>
          <w:bCs/>
          <w:noProof/>
          <w:lang w:val="x-none" w:eastAsia="x-none"/>
        </w:rPr>
        <w:t>Data; 2020 [</w:t>
      </w:r>
      <w:r w:rsidRPr="00BF79D0">
        <w:rPr>
          <w:rFonts w:eastAsia="Calibri"/>
          <w:bCs/>
          <w:noProof/>
          <w:lang w:val="es-CU" w:eastAsia="x-none"/>
        </w:rPr>
        <w:t>acceso:</w:t>
      </w:r>
      <w:r w:rsidRPr="00BF79D0">
        <w:rPr>
          <w:rFonts w:eastAsia="Calibri"/>
          <w:bCs/>
          <w:noProof/>
          <w:lang w:val="x-none" w:eastAsia="x-none"/>
        </w:rPr>
        <w:t xml:space="preserve"> </w:t>
      </w:r>
      <w:r w:rsidRPr="00BF79D0">
        <w:rPr>
          <w:rFonts w:eastAsia="Calibri"/>
          <w:bCs/>
          <w:noProof/>
          <w:lang w:val="es-CU" w:eastAsia="x-none"/>
        </w:rPr>
        <w:t>1/09/2020</w:t>
      </w:r>
      <w:r w:rsidRPr="00BF79D0">
        <w:rPr>
          <w:rFonts w:eastAsia="Calibri"/>
          <w:bCs/>
          <w:noProof/>
          <w:lang w:val="x-none" w:eastAsia="x-none"/>
        </w:rPr>
        <w:t xml:space="preserve">]. </w:t>
      </w:r>
      <w:r w:rsidRPr="00BF79D0">
        <w:rPr>
          <w:rFonts w:eastAsia="Calibri"/>
          <w:bCs/>
          <w:noProof/>
          <w:lang w:val="es-CU" w:eastAsia="x-none"/>
        </w:rPr>
        <w:t>Disponible en</w:t>
      </w:r>
      <w:r w:rsidRPr="00BF79D0">
        <w:rPr>
          <w:rFonts w:eastAsia="Calibri"/>
          <w:bCs/>
          <w:noProof/>
          <w:lang w:val="x-none" w:eastAsia="x-none"/>
        </w:rPr>
        <w:t xml:space="preserve">: </w:t>
      </w:r>
      <w:hyperlink r:id="rId28" w:anchor="cuba" w:history="1">
        <w:r w:rsidRPr="00BF79D0">
          <w:rPr>
            <w:rFonts w:eastAsia="Calibri"/>
            <w:bCs/>
            <w:noProof/>
            <w:color w:val="0563C1"/>
            <w:u w:val="single"/>
            <w:lang w:val="x-none" w:eastAsia="x-none"/>
          </w:rPr>
          <w:t>https://covid19cubadata.github.io/#cuba</w:t>
        </w:r>
      </w:hyperlink>
      <w:bookmarkEnd w:id="8"/>
    </w:p>
    <w:p w14:paraId="39A927AB" w14:textId="77777777" w:rsidR="00BF79D0" w:rsidRPr="00BF79D0" w:rsidRDefault="00BF79D0" w:rsidP="00BF79D0">
      <w:pPr>
        <w:spacing w:line="360" w:lineRule="auto"/>
        <w:rPr>
          <w:rFonts w:eastAsia="Calibri"/>
          <w:bCs/>
          <w:noProof/>
          <w:lang w:val="x-none" w:eastAsia="x-none"/>
        </w:rPr>
      </w:pPr>
      <w:bookmarkStart w:id="9" w:name="_ENREF_9"/>
      <w:r w:rsidRPr="00BF79D0">
        <w:rPr>
          <w:rFonts w:eastAsia="Calibri"/>
          <w:bCs/>
          <w:noProof/>
          <w:lang w:val="en-US" w:eastAsia="x-none"/>
        </w:rPr>
        <w:t>12</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Mizumoto K, Kagaya K, Zarebski A, Chowell G. Estimating the asymptomatic proportion of coronavirus disease 2019 (COVID-19) cases on board the Diamond Princess cruise ship, Yokohama, Japan, 2020. Euro surveillance: bulletin Europeen sur les maladies transmissibles. 2020</w:t>
      </w:r>
      <w:r w:rsidRPr="00BF79D0">
        <w:rPr>
          <w:rFonts w:eastAsia="Calibri"/>
          <w:bCs/>
          <w:noProof/>
          <w:lang w:val="es-CU" w:eastAsia="x-none"/>
        </w:rPr>
        <w:t>[acceso: 1/09/2020]</w:t>
      </w:r>
      <w:r w:rsidRPr="00BF79D0">
        <w:rPr>
          <w:rFonts w:eastAsia="Calibri"/>
          <w:bCs/>
          <w:noProof/>
          <w:lang w:val="x-none" w:eastAsia="x-none"/>
        </w:rPr>
        <w:t>; 25(10):</w:t>
      </w:r>
      <w:r w:rsidRPr="00BF79D0">
        <w:rPr>
          <w:rFonts w:eastAsia="Calibri"/>
          <w:bCs/>
          <w:noProof/>
          <w:lang w:val="es-CU" w:eastAsia="x-none"/>
        </w:rPr>
        <w:t>5.</w:t>
      </w:r>
      <w:r w:rsidRPr="00BF79D0">
        <w:rPr>
          <w:rFonts w:eastAsia="Calibri"/>
          <w:bCs/>
          <w:noProof/>
          <w:lang w:val="x-none" w:eastAsia="x-none"/>
        </w:rPr>
        <w:t xml:space="preserve"> </w:t>
      </w:r>
      <w:r w:rsidRPr="00BF79D0">
        <w:rPr>
          <w:rFonts w:eastAsia="Calibri"/>
          <w:bCs/>
          <w:noProof/>
          <w:lang w:val="es-CU" w:eastAsia="x-none"/>
        </w:rPr>
        <w:t>Disponible en</w:t>
      </w:r>
      <w:r w:rsidRPr="00BF79D0">
        <w:rPr>
          <w:rFonts w:eastAsia="Calibri"/>
          <w:bCs/>
          <w:noProof/>
          <w:lang w:val="x-none" w:eastAsia="x-none"/>
        </w:rPr>
        <w:t xml:space="preserve">: </w:t>
      </w:r>
      <w:hyperlink r:id="rId29" w:history="1">
        <w:r w:rsidRPr="00BF79D0">
          <w:rPr>
            <w:rFonts w:eastAsia="Calibri"/>
            <w:bCs/>
            <w:noProof/>
            <w:color w:val="0563C1"/>
            <w:u w:val="single"/>
            <w:lang w:val="x-none" w:eastAsia="x-none"/>
          </w:rPr>
          <w:t>https://www.ncbi.nlm.nih.gov/pmc/articles/PMC7078829/</w:t>
        </w:r>
      </w:hyperlink>
      <w:bookmarkEnd w:id="9"/>
    </w:p>
    <w:p w14:paraId="2963A483" w14:textId="77777777" w:rsidR="00BF79D0" w:rsidRPr="00BF79D0" w:rsidRDefault="00BF79D0" w:rsidP="00BF79D0">
      <w:pPr>
        <w:spacing w:line="360" w:lineRule="auto"/>
        <w:rPr>
          <w:rFonts w:eastAsia="Calibri"/>
          <w:bCs/>
          <w:noProof/>
          <w:lang w:val="en-US" w:eastAsia="x-none"/>
        </w:rPr>
      </w:pPr>
      <w:bookmarkStart w:id="10" w:name="_ENREF_10"/>
      <w:r w:rsidRPr="00BF79D0">
        <w:rPr>
          <w:rFonts w:eastAsia="Calibri"/>
          <w:bCs/>
          <w:noProof/>
          <w:lang w:val="x-none" w:eastAsia="x-none"/>
        </w:rPr>
        <w:t>1</w:t>
      </w:r>
      <w:r w:rsidRPr="00BF79D0">
        <w:rPr>
          <w:rFonts w:eastAsia="Calibri"/>
          <w:bCs/>
          <w:noProof/>
          <w:lang w:val="en-US" w:eastAsia="x-none"/>
        </w:rPr>
        <w:t>3</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Zou L, Ruan F, Huang M, Liang L, Huang H, Hong Z, et al. SARS-CoV-2 Viral Load in Upper Respiratory Specimens of Infected Patients. The New England journal of medicine. 2020</w:t>
      </w:r>
      <w:r w:rsidRPr="00BF79D0">
        <w:rPr>
          <w:rFonts w:eastAsia="Calibri"/>
          <w:bCs/>
          <w:noProof/>
          <w:lang w:val="en-US" w:eastAsia="x-none"/>
        </w:rPr>
        <w:t>[acceso: 1/09/2020]</w:t>
      </w:r>
      <w:r w:rsidRPr="00BF79D0">
        <w:rPr>
          <w:rFonts w:eastAsia="Calibri"/>
          <w:bCs/>
          <w:noProof/>
          <w:lang w:val="x-none" w:eastAsia="x-none"/>
        </w:rPr>
        <w:t>; 382(12):1177-9</w:t>
      </w:r>
      <w:r w:rsidRPr="00BF79D0">
        <w:rPr>
          <w:rFonts w:eastAsia="Calibri"/>
          <w:bCs/>
          <w:noProof/>
          <w:lang w:val="en-US" w:eastAsia="x-none"/>
        </w:rPr>
        <w:t>.</w:t>
      </w:r>
      <w:r w:rsidRPr="00BF79D0">
        <w:rPr>
          <w:rFonts w:eastAsia="Calibri"/>
          <w:bCs/>
          <w:noProof/>
          <w:lang w:val="x-none" w:eastAsia="x-none"/>
        </w:rPr>
        <w:t xml:space="preserve"> </w:t>
      </w:r>
      <w:r w:rsidRPr="00BF79D0">
        <w:rPr>
          <w:rFonts w:eastAsia="Calibri"/>
          <w:bCs/>
          <w:noProof/>
          <w:lang w:val="en-US" w:eastAsia="x-none"/>
        </w:rPr>
        <w:t>Disponible en</w:t>
      </w:r>
      <w:r w:rsidRPr="00BF79D0">
        <w:rPr>
          <w:rFonts w:eastAsia="Calibri"/>
          <w:bCs/>
          <w:noProof/>
          <w:lang w:val="x-none" w:eastAsia="x-none"/>
        </w:rPr>
        <w:t xml:space="preserve">: </w:t>
      </w:r>
      <w:hyperlink r:id="rId30" w:history="1">
        <w:r w:rsidRPr="00BF79D0">
          <w:rPr>
            <w:rFonts w:eastAsia="Calibri"/>
            <w:bCs/>
            <w:noProof/>
            <w:color w:val="0563C1"/>
            <w:u w:val="single"/>
            <w:lang w:val="x-none" w:eastAsia="x-none"/>
          </w:rPr>
          <w:t>https://www.ncbi.nlm.nih.gov/pmc/articles/PMC7121626/</w:t>
        </w:r>
      </w:hyperlink>
      <w:bookmarkEnd w:id="10"/>
    </w:p>
    <w:p w14:paraId="6EAB03D0" w14:textId="77777777" w:rsidR="00BF79D0" w:rsidRPr="00BF79D0" w:rsidRDefault="00BF79D0" w:rsidP="00BF79D0">
      <w:pPr>
        <w:spacing w:line="360" w:lineRule="auto"/>
        <w:rPr>
          <w:rFonts w:eastAsia="Calibri"/>
          <w:bCs/>
          <w:noProof/>
          <w:lang w:val="en-US" w:eastAsia="x-none"/>
        </w:rPr>
      </w:pPr>
      <w:bookmarkStart w:id="11" w:name="_ENREF_11"/>
      <w:r w:rsidRPr="00BF79D0">
        <w:rPr>
          <w:rFonts w:eastAsia="Calibri"/>
          <w:bCs/>
          <w:noProof/>
          <w:lang w:val="x-none" w:eastAsia="x-none"/>
        </w:rPr>
        <w:t>1</w:t>
      </w:r>
      <w:r w:rsidRPr="00BF79D0">
        <w:rPr>
          <w:rFonts w:eastAsia="Calibri"/>
          <w:bCs/>
          <w:noProof/>
          <w:lang w:val="en-US" w:eastAsia="x-none"/>
        </w:rPr>
        <w:t>4</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Rothe C, Schunk M, Sothmann P, Bretzel G, Froeschl G, Wallrauch C, et al. Transmission of 2019-nCoV Infection from an Asymptomatic Contact in Germany. The New England journal of medicine. 2020</w:t>
      </w:r>
      <w:r w:rsidRPr="00BF79D0">
        <w:rPr>
          <w:rFonts w:eastAsia="Calibri"/>
          <w:bCs/>
          <w:noProof/>
          <w:lang w:val="en-US" w:eastAsia="x-none"/>
        </w:rPr>
        <w:t>[acceso: 1/09/2020]</w:t>
      </w:r>
      <w:r w:rsidRPr="00BF79D0">
        <w:rPr>
          <w:rFonts w:eastAsia="Calibri"/>
          <w:bCs/>
          <w:noProof/>
          <w:lang w:val="x-none" w:eastAsia="x-none"/>
        </w:rPr>
        <w:t>; 382(10):970-1</w:t>
      </w:r>
      <w:r w:rsidRPr="00BF79D0">
        <w:rPr>
          <w:rFonts w:eastAsia="Calibri"/>
          <w:bCs/>
          <w:noProof/>
          <w:lang w:val="en-US" w:eastAsia="x-none"/>
        </w:rPr>
        <w:t>.</w:t>
      </w:r>
      <w:r w:rsidRPr="00BF79D0">
        <w:rPr>
          <w:rFonts w:eastAsia="Calibri"/>
          <w:bCs/>
          <w:noProof/>
          <w:lang w:val="x-none" w:eastAsia="x-none"/>
        </w:rPr>
        <w:t xml:space="preserve"> </w:t>
      </w:r>
      <w:r w:rsidRPr="00BF79D0">
        <w:rPr>
          <w:rFonts w:eastAsia="Calibri"/>
          <w:bCs/>
          <w:noProof/>
          <w:lang w:val="en-US" w:eastAsia="x-none"/>
        </w:rPr>
        <w:t>Disponible en</w:t>
      </w:r>
      <w:r w:rsidRPr="00BF79D0">
        <w:rPr>
          <w:rFonts w:eastAsia="Calibri"/>
          <w:bCs/>
          <w:noProof/>
          <w:lang w:val="x-none" w:eastAsia="x-none"/>
        </w:rPr>
        <w:t xml:space="preserve">: </w:t>
      </w:r>
      <w:hyperlink r:id="rId31" w:history="1">
        <w:r w:rsidRPr="00BF79D0">
          <w:rPr>
            <w:rFonts w:eastAsia="Calibri"/>
            <w:bCs/>
            <w:noProof/>
            <w:color w:val="0563C1"/>
            <w:u w:val="single"/>
            <w:lang w:val="x-none" w:eastAsia="x-none"/>
          </w:rPr>
          <w:t>https://www.ncbi.nlm.nih.gov/pmc/articles/PMC7120970/</w:t>
        </w:r>
      </w:hyperlink>
      <w:bookmarkEnd w:id="11"/>
    </w:p>
    <w:p w14:paraId="31BE34AE" w14:textId="77777777" w:rsidR="00BF79D0" w:rsidRPr="00BF79D0" w:rsidRDefault="00BF79D0" w:rsidP="00BF79D0">
      <w:pPr>
        <w:spacing w:line="360" w:lineRule="auto"/>
        <w:rPr>
          <w:rFonts w:eastAsia="Calibri"/>
          <w:bCs/>
          <w:noProof/>
          <w:lang w:eastAsia="x-none"/>
        </w:rPr>
      </w:pPr>
      <w:bookmarkStart w:id="12" w:name="_ENREF_12"/>
      <w:r w:rsidRPr="00BF79D0">
        <w:rPr>
          <w:rFonts w:eastAsia="Calibri"/>
          <w:bCs/>
          <w:noProof/>
          <w:lang w:val="x-none" w:eastAsia="x-none"/>
        </w:rPr>
        <w:lastRenderedPageBreak/>
        <w:t>1</w:t>
      </w:r>
      <w:r w:rsidRPr="00BF79D0">
        <w:rPr>
          <w:rFonts w:eastAsia="Calibri"/>
          <w:bCs/>
          <w:noProof/>
          <w:lang w:val="en-US" w:eastAsia="x-none"/>
        </w:rPr>
        <w:t>5</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Low Wang CC, Hess CN, Hiatt WR, Goldfine AB. Clinical Update: Cardiovascular Disease in Diabetes Mellitus: Atherosclerotic Cardiovascular Disease and Heart Failure in Type 2 Diabetes Mellitus - Mechanisms, Management, and Clinical Considerations. Circulation. 2016</w:t>
      </w:r>
      <w:r w:rsidRPr="00BF79D0">
        <w:rPr>
          <w:rFonts w:eastAsia="Calibri"/>
          <w:bCs/>
          <w:noProof/>
          <w:lang w:val="es-CU" w:eastAsia="x-none"/>
        </w:rPr>
        <w:t>[acceso: 1/09/2020]</w:t>
      </w:r>
      <w:r w:rsidRPr="00BF79D0">
        <w:rPr>
          <w:rFonts w:eastAsia="Calibri"/>
          <w:bCs/>
          <w:noProof/>
          <w:lang w:val="x-none" w:eastAsia="x-none"/>
        </w:rPr>
        <w:t>; 133(24):2459-502</w:t>
      </w:r>
      <w:r w:rsidRPr="00BF79D0">
        <w:rPr>
          <w:rFonts w:eastAsia="Calibri"/>
          <w:bCs/>
          <w:noProof/>
          <w:lang w:val="es-CU" w:eastAsia="x-none"/>
        </w:rPr>
        <w:t>.</w:t>
      </w:r>
      <w:r w:rsidRPr="00BF79D0">
        <w:rPr>
          <w:rFonts w:eastAsia="Calibri"/>
          <w:bCs/>
          <w:noProof/>
          <w:lang w:val="x-none" w:eastAsia="x-none"/>
        </w:rPr>
        <w:t xml:space="preserve"> </w:t>
      </w:r>
      <w:r w:rsidRPr="00BF79D0">
        <w:rPr>
          <w:rFonts w:eastAsia="Calibri"/>
          <w:bCs/>
          <w:noProof/>
          <w:lang w:val="es-CU" w:eastAsia="x-none"/>
        </w:rPr>
        <w:t>Disponible en</w:t>
      </w:r>
      <w:r w:rsidRPr="00BF79D0">
        <w:rPr>
          <w:rFonts w:eastAsia="Calibri"/>
          <w:bCs/>
          <w:noProof/>
          <w:lang w:val="x-none" w:eastAsia="x-none"/>
        </w:rPr>
        <w:t xml:space="preserve">: </w:t>
      </w:r>
      <w:hyperlink r:id="rId32" w:history="1">
        <w:r w:rsidRPr="00BF79D0">
          <w:rPr>
            <w:rFonts w:eastAsia="Calibri"/>
            <w:bCs/>
            <w:noProof/>
            <w:color w:val="0563C1"/>
            <w:u w:val="single"/>
            <w:lang w:val="x-none" w:eastAsia="x-none"/>
          </w:rPr>
          <w:t>https://www.ncbi.nlm.nih.gov/pmc/articles/PMC4910510/</w:t>
        </w:r>
      </w:hyperlink>
      <w:bookmarkEnd w:id="12"/>
    </w:p>
    <w:p w14:paraId="68F7C343" w14:textId="77777777" w:rsidR="00BF79D0" w:rsidRPr="00BF79D0" w:rsidRDefault="00BF79D0" w:rsidP="00BF79D0">
      <w:pPr>
        <w:spacing w:line="360" w:lineRule="auto"/>
        <w:rPr>
          <w:rFonts w:eastAsia="Calibri"/>
          <w:bCs/>
          <w:noProof/>
          <w:lang w:eastAsia="x-none"/>
        </w:rPr>
      </w:pPr>
      <w:bookmarkStart w:id="13" w:name="_ENREF_13"/>
      <w:r w:rsidRPr="00BF79D0">
        <w:rPr>
          <w:rFonts w:eastAsia="Calibri"/>
          <w:bCs/>
          <w:noProof/>
          <w:lang w:val="x-none" w:eastAsia="x-none"/>
        </w:rPr>
        <w:t>1</w:t>
      </w:r>
      <w:r w:rsidRPr="00BF79D0">
        <w:rPr>
          <w:rFonts w:eastAsia="Calibri"/>
          <w:bCs/>
          <w:noProof/>
          <w:lang w:val="es-ES" w:eastAsia="x-none"/>
        </w:rPr>
        <w:t>6</w:t>
      </w:r>
      <w:r w:rsidRPr="00BF79D0">
        <w:rPr>
          <w:rFonts w:eastAsia="Calibri"/>
          <w:bCs/>
          <w:noProof/>
          <w:lang w:val="x-none" w:eastAsia="x-none"/>
        </w:rPr>
        <w:t>.</w:t>
      </w:r>
      <w:r w:rsidRPr="00BF79D0">
        <w:rPr>
          <w:rFonts w:eastAsia="Calibri"/>
          <w:bCs/>
          <w:noProof/>
          <w:lang w:val="es-ES" w:eastAsia="x-none"/>
        </w:rPr>
        <w:t xml:space="preserve"> </w:t>
      </w:r>
      <w:r w:rsidRPr="00BF79D0">
        <w:rPr>
          <w:rFonts w:eastAsia="Calibri"/>
          <w:bCs/>
          <w:noProof/>
          <w:lang w:val="x-none" w:eastAsia="x-none"/>
        </w:rPr>
        <w:t>Zhou F, Yu T, Du R, Fan G, Liu Y, Liu Z, et al. Clinical course and risk factors for mortality of adult inpatients with COVID-19 in Wuhan, China: a retrospective cohort study. The Lancet. 2020</w:t>
      </w:r>
      <w:r w:rsidRPr="00BF79D0">
        <w:rPr>
          <w:rFonts w:eastAsia="Calibri"/>
          <w:bCs/>
          <w:noProof/>
          <w:lang w:val="es-CU" w:eastAsia="x-none"/>
        </w:rPr>
        <w:t>[acceso: 1/09/2020]</w:t>
      </w:r>
      <w:r w:rsidRPr="00BF79D0">
        <w:rPr>
          <w:rFonts w:eastAsia="Calibri"/>
          <w:bCs/>
          <w:noProof/>
          <w:lang w:val="x-none" w:eastAsia="x-none"/>
        </w:rPr>
        <w:t>; 395(10229):1054-62</w:t>
      </w:r>
      <w:r w:rsidRPr="00BF79D0">
        <w:rPr>
          <w:rFonts w:eastAsia="Calibri"/>
          <w:bCs/>
          <w:noProof/>
          <w:lang w:val="es-CU" w:eastAsia="x-none"/>
        </w:rPr>
        <w:t>.</w:t>
      </w:r>
      <w:r w:rsidRPr="00BF79D0">
        <w:rPr>
          <w:rFonts w:eastAsia="Calibri"/>
          <w:bCs/>
          <w:noProof/>
          <w:lang w:val="x-none" w:eastAsia="x-none"/>
        </w:rPr>
        <w:t xml:space="preserve"> </w:t>
      </w:r>
      <w:r w:rsidRPr="00BF79D0">
        <w:rPr>
          <w:rFonts w:eastAsia="Calibri"/>
          <w:bCs/>
          <w:noProof/>
          <w:lang w:val="es-CU" w:eastAsia="x-none"/>
        </w:rPr>
        <w:t>Disponible en</w:t>
      </w:r>
      <w:r w:rsidRPr="00BF79D0">
        <w:rPr>
          <w:rFonts w:eastAsia="Calibri"/>
          <w:bCs/>
          <w:noProof/>
          <w:lang w:val="x-none" w:eastAsia="x-none"/>
        </w:rPr>
        <w:t xml:space="preserve">: </w:t>
      </w:r>
      <w:hyperlink r:id="rId33" w:history="1">
        <w:r w:rsidRPr="00BF79D0">
          <w:rPr>
            <w:rFonts w:eastAsia="Calibri"/>
            <w:bCs/>
            <w:noProof/>
            <w:color w:val="0563C1"/>
            <w:u w:val="single"/>
            <w:lang w:val="x-none" w:eastAsia="x-none"/>
          </w:rPr>
          <w:t>https://www.scopus.com/inward/record.uri?eid=2-s2.0-85081901579&amp;doi=10.1016%2fS0140-6736%2820%2930566-3&amp;partnerID=40&amp;md5=60b48cc828061e7b65a326e43414171d</w:t>
        </w:r>
      </w:hyperlink>
      <w:bookmarkEnd w:id="13"/>
    </w:p>
    <w:p w14:paraId="040AC932" w14:textId="77777777" w:rsidR="00BF79D0" w:rsidRPr="00BF79D0" w:rsidRDefault="00BF79D0" w:rsidP="00BF79D0">
      <w:pPr>
        <w:spacing w:line="360" w:lineRule="auto"/>
        <w:rPr>
          <w:rFonts w:eastAsia="Calibri"/>
          <w:bCs/>
          <w:noProof/>
          <w:lang w:val="en-US" w:eastAsia="x-none"/>
        </w:rPr>
      </w:pPr>
      <w:bookmarkStart w:id="14" w:name="_ENREF_14"/>
      <w:r w:rsidRPr="00BF79D0">
        <w:rPr>
          <w:rFonts w:eastAsia="Calibri"/>
          <w:bCs/>
          <w:noProof/>
          <w:lang w:val="x-none" w:eastAsia="x-none"/>
        </w:rPr>
        <w:t>1</w:t>
      </w:r>
      <w:r w:rsidRPr="00BF79D0">
        <w:rPr>
          <w:rFonts w:eastAsia="Calibri"/>
          <w:bCs/>
          <w:noProof/>
          <w:lang w:val="en-US" w:eastAsia="x-none"/>
        </w:rPr>
        <w:t>7</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Marhl M, Grubelnik V, Magdič M, Markovič R. Diabetes and metabolic syndrome as risk factors for COVID-19. Diabetes and Metabolic Syndrome: Clinical Research and Reviews. 2020</w:t>
      </w:r>
      <w:r w:rsidRPr="00BF79D0">
        <w:rPr>
          <w:rFonts w:eastAsia="Calibri"/>
          <w:bCs/>
          <w:noProof/>
          <w:lang w:val="en-US" w:eastAsia="x-none"/>
        </w:rPr>
        <w:t>[acceso: 1/09/2020]</w:t>
      </w:r>
      <w:r w:rsidRPr="00BF79D0">
        <w:rPr>
          <w:rFonts w:eastAsia="Calibri"/>
          <w:bCs/>
          <w:noProof/>
          <w:lang w:val="x-none" w:eastAsia="x-none"/>
        </w:rPr>
        <w:t>; 14(4):671-7</w:t>
      </w:r>
      <w:r w:rsidRPr="00BF79D0">
        <w:rPr>
          <w:rFonts w:eastAsia="Calibri"/>
          <w:bCs/>
          <w:noProof/>
          <w:lang w:val="en-US" w:eastAsia="x-none"/>
        </w:rPr>
        <w:t>.</w:t>
      </w:r>
      <w:r w:rsidRPr="00BF79D0">
        <w:rPr>
          <w:rFonts w:eastAsia="Calibri"/>
          <w:bCs/>
          <w:noProof/>
          <w:lang w:val="x-none" w:eastAsia="x-none"/>
        </w:rPr>
        <w:t xml:space="preserve"> </w:t>
      </w:r>
      <w:r w:rsidRPr="00BF79D0">
        <w:rPr>
          <w:rFonts w:eastAsia="Calibri"/>
          <w:bCs/>
          <w:noProof/>
          <w:lang w:val="en-US" w:eastAsia="x-none"/>
        </w:rPr>
        <w:t>Disponible en</w:t>
      </w:r>
      <w:r w:rsidRPr="00BF79D0">
        <w:rPr>
          <w:rFonts w:eastAsia="Calibri"/>
          <w:bCs/>
          <w:noProof/>
          <w:lang w:val="x-none" w:eastAsia="x-none"/>
        </w:rPr>
        <w:t xml:space="preserve">: </w:t>
      </w:r>
      <w:hyperlink r:id="rId34" w:history="1">
        <w:r w:rsidRPr="00BF79D0">
          <w:rPr>
            <w:rFonts w:eastAsia="Calibri"/>
            <w:bCs/>
            <w:noProof/>
            <w:color w:val="0563C1"/>
            <w:u w:val="single"/>
            <w:lang w:val="x-none" w:eastAsia="x-none"/>
          </w:rPr>
          <w:t>https://www.scopus.com/inward/record.uri?eid=2-s2.0-85084707663&amp;doi=10.1016%2fj.dsx.2020.05.013&amp;partnerID=40&amp;md5=d113b7d5293620a6a1ec37c5d8ede7b7</w:t>
        </w:r>
      </w:hyperlink>
      <w:bookmarkEnd w:id="14"/>
    </w:p>
    <w:p w14:paraId="2CD52D33" w14:textId="77777777" w:rsidR="00BF79D0" w:rsidRPr="00BF79D0" w:rsidRDefault="00BF79D0" w:rsidP="00BF79D0">
      <w:pPr>
        <w:spacing w:line="360" w:lineRule="auto"/>
        <w:rPr>
          <w:rFonts w:eastAsia="Calibri"/>
          <w:bCs/>
          <w:noProof/>
          <w:lang w:eastAsia="x-none"/>
        </w:rPr>
      </w:pPr>
      <w:bookmarkStart w:id="15" w:name="_ENREF_15"/>
      <w:r w:rsidRPr="00BF79D0">
        <w:rPr>
          <w:rFonts w:eastAsia="Calibri"/>
          <w:bCs/>
          <w:noProof/>
          <w:lang w:val="x-none" w:eastAsia="x-none"/>
        </w:rPr>
        <w:t>1</w:t>
      </w:r>
      <w:r w:rsidRPr="00BF79D0">
        <w:rPr>
          <w:rFonts w:eastAsia="Calibri"/>
          <w:bCs/>
          <w:noProof/>
          <w:lang w:val="en-US" w:eastAsia="x-none"/>
        </w:rPr>
        <w:t>8</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Shi Q, Zhang X, Jiang F, Zhang X, Hu N, Bimu C, et al. Clinical Characteristics and Risk Factors for Mortality of COVID-19 Patients With Diabetes in Wuhan, China: A Two-Center, Retrospective Study. Diabetes Care. 2020</w:t>
      </w:r>
      <w:r w:rsidRPr="00BF79D0">
        <w:rPr>
          <w:rFonts w:eastAsia="Calibri"/>
          <w:bCs/>
          <w:noProof/>
          <w:lang w:val="es-CU" w:eastAsia="x-none"/>
        </w:rPr>
        <w:t>[acceso: 1/09/2020]</w:t>
      </w:r>
      <w:r w:rsidRPr="00BF79D0">
        <w:rPr>
          <w:rFonts w:eastAsia="Calibri"/>
          <w:bCs/>
          <w:noProof/>
          <w:lang w:val="x-none" w:eastAsia="x-none"/>
        </w:rPr>
        <w:t>; 43(7):1382-91</w:t>
      </w:r>
      <w:r w:rsidRPr="00BF79D0">
        <w:rPr>
          <w:rFonts w:eastAsia="Calibri"/>
          <w:bCs/>
          <w:noProof/>
          <w:lang w:val="es-CU" w:eastAsia="x-none"/>
        </w:rPr>
        <w:t>.</w:t>
      </w:r>
      <w:r w:rsidRPr="00BF79D0">
        <w:rPr>
          <w:rFonts w:eastAsia="Calibri"/>
          <w:bCs/>
          <w:noProof/>
          <w:lang w:val="x-none" w:eastAsia="x-none"/>
        </w:rPr>
        <w:t xml:space="preserve"> </w:t>
      </w:r>
      <w:r w:rsidRPr="00BF79D0">
        <w:rPr>
          <w:rFonts w:eastAsia="Calibri"/>
          <w:bCs/>
          <w:noProof/>
          <w:lang w:val="es-CU" w:eastAsia="x-none"/>
        </w:rPr>
        <w:t>Disponible en</w:t>
      </w:r>
      <w:r w:rsidRPr="00BF79D0">
        <w:rPr>
          <w:rFonts w:eastAsia="Calibri"/>
          <w:bCs/>
          <w:noProof/>
          <w:lang w:val="x-none" w:eastAsia="x-none"/>
        </w:rPr>
        <w:t xml:space="preserve">: </w:t>
      </w:r>
      <w:hyperlink r:id="rId35" w:history="1">
        <w:r w:rsidRPr="00BF79D0">
          <w:rPr>
            <w:rFonts w:eastAsia="Calibri"/>
            <w:bCs/>
            <w:noProof/>
            <w:color w:val="0563C1"/>
            <w:u w:val="single"/>
            <w:lang w:val="x-none" w:eastAsia="x-none"/>
          </w:rPr>
          <w:t>https://www.scopus.com/inward/record.uri?eid=2-s2.0-85086792869&amp;doi=10.2337%2fdc20-0598&amp;partnerID=40&amp;md5=98144d1b276222d9d667cffb3e501b90</w:t>
        </w:r>
      </w:hyperlink>
      <w:bookmarkEnd w:id="15"/>
    </w:p>
    <w:p w14:paraId="0933D38C" w14:textId="77777777" w:rsidR="00BF79D0" w:rsidRPr="00BF79D0" w:rsidRDefault="00BF79D0" w:rsidP="00BF79D0">
      <w:pPr>
        <w:spacing w:line="360" w:lineRule="auto"/>
        <w:rPr>
          <w:rFonts w:eastAsia="Calibri"/>
          <w:bCs/>
          <w:noProof/>
          <w:lang w:eastAsia="x-none"/>
        </w:rPr>
      </w:pPr>
      <w:bookmarkStart w:id="16" w:name="_ENREF_16"/>
      <w:r w:rsidRPr="00BF79D0">
        <w:rPr>
          <w:rFonts w:eastAsia="Calibri"/>
          <w:bCs/>
          <w:noProof/>
          <w:lang w:val="x-none" w:eastAsia="x-none"/>
        </w:rPr>
        <w:t>1</w:t>
      </w:r>
      <w:r w:rsidRPr="00BF79D0">
        <w:rPr>
          <w:rFonts w:eastAsia="Calibri"/>
          <w:bCs/>
          <w:noProof/>
          <w:lang w:val="en-US" w:eastAsia="x-none"/>
        </w:rPr>
        <w:t>9</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Chen Y, Yang D, Cheng B, Chen J, Peng A, Yang C, et al. Clinical Characteristics and Outcomes of Patients With Diabetes and COVID-19 in Association With Glucose-Lowering Medication. Diabetes Care. 2020</w:t>
      </w:r>
      <w:r w:rsidRPr="00BF79D0">
        <w:rPr>
          <w:rFonts w:eastAsia="Calibri"/>
          <w:bCs/>
          <w:noProof/>
          <w:lang w:val="es-CU" w:eastAsia="x-none"/>
        </w:rPr>
        <w:t>[acceso: 1/09/2020]</w:t>
      </w:r>
      <w:r w:rsidRPr="00BF79D0">
        <w:rPr>
          <w:rFonts w:eastAsia="Calibri"/>
          <w:bCs/>
          <w:noProof/>
          <w:lang w:val="x-none" w:eastAsia="x-none"/>
        </w:rPr>
        <w:t>; 43(7):1399-407</w:t>
      </w:r>
      <w:r w:rsidRPr="00BF79D0">
        <w:rPr>
          <w:rFonts w:eastAsia="Calibri"/>
          <w:bCs/>
          <w:noProof/>
          <w:lang w:val="es-CU" w:eastAsia="x-none"/>
        </w:rPr>
        <w:t>.</w:t>
      </w:r>
      <w:r w:rsidRPr="00BF79D0">
        <w:rPr>
          <w:rFonts w:eastAsia="Calibri"/>
          <w:bCs/>
          <w:noProof/>
          <w:lang w:val="x-none" w:eastAsia="x-none"/>
        </w:rPr>
        <w:t xml:space="preserve"> </w:t>
      </w:r>
      <w:r w:rsidRPr="00BF79D0">
        <w:rPr>
          <w:rFonts w:eastAsia="Calibri"/>
          <w:bCs/>
          <w:noProof/>
          <w:lang w:val="es-CU" w:eastAsia="x-none"/>
        </w:rPr>
        <w:t>Disponible en</w:t>
      </w:r>
      <w:r w:rsidRPr="00BF79D0">
        <w:rPr>
          <w:rFonts w:eastAsia="Calibri"/>
          <w:bCs/>
          <w:noProof/>
          <w:lang w:val="x-none" w:eastAsia="x-none"/>
        </w:rPr>
        <w:t xml:space="preserve">: </w:t>
      </w:r>
      <w:hyperlink r:id="rId36" w:history="1">
        <w:r w:rsidRPr="00BF79D0">
          <w:rPr>
            <w:rFonts w:eastAsia="Calibri"/>
            <w:bCs/>
            <w:noProof/>
            <w:color w:val="0563C1"/>
            <w:u w:val="single"/>
            <w:lang w:val="x-none" w:eastAsia="x-none"/>
          </w:rPr>
          <w:t>https://www.scopus.com/inward/record.uri?eid=2-s2.0-85086089021&amp;doi=10.2337%2fdc20-0660&amp;partnerID=40&amp;md5=057a60ad986eea195342a5b37716c79b</w:t>
        </w:r>
      </w:hyperlink>
      <w:bookmarkEnd w:id="16"/>
    </w:p>
    <w:p w14:paraId="2447696B" w14:textId="77777777" w:rsidR="00BF79D0" w:rsidRPr="00BF79D0" w:rsidRDefault="00BF79D0" w:rsidP="00BF79D0">
      <w:pPr>
        <w:spacing w:line="360" w:lineRule="auto"/>
        <w:rPr>
          <w:rFonts w:eastAsia="Calibri"/>
          <w:bCs/>
          <w:noProof/>
          <w:lang w:val="en-US" w:eastAsia="x-none"/>
        </w:rPr>
      </w:pPr>
      <w:bookmarkStart w:id="17" w:name="_ENREF_17"/>
      <w:r w:rsidRPr="00BF79D0">
        <w:rPr>
          <w:rFonts w:eastAsia="Calibri"/>
          <w:bCs/>
          <w:noProof/>
          <w:lang w:val="es-ES" w:eastAsia="x-none"/>
        </w:rPr>
        <w:t>20</w:t>
      </w:r>
      <w:r w:rsidRPr="00BF79D0">
        <w:rPr>
          <w:rFonts w:eastAsia="Calibri"/>
          <w:bCs/>
          <w:noProof/>
          <w:lang w:val="x-none" w:eastAsia="x-none"/>
        </w:rPr>
        <w:t>.</w:t>
      </w:r>
      <w:r w:rsidRPr="00BF79D0">
        <w:rPr>
          <w:rFonts w:eastAsia="Calibri"/>
          <w:bCs/>
          <w:noProof/>
          <w:lang w:val="es-ES" w:eastAsia="x-none"/>
        </w:rPr>
        <w:t xml:space="preserve"> </w:t>
      </w:r>
      <w:r w:rsidRPr="00BF79D0">
        <w:rPr>
          <w:rFonts w:eastAsia="Calibri"/>
          <w:bCs/>
          <w:noProof/>
          <w:lang w:val="x-none" w:eastAsia="x-none"/>
        </w:rPr>
        <w:t>Zhang Y, Li H, Zhang J, Cao Y, Zhao X, Yu N, et al. The clinical characteristics and outcomes of patients with diabetes and secondary hyperglycaemia with coronavirus disease 2019: A single-centre, retrospective, observational study in Wuhan. Diabetes, Obesity and Metabolism. 2020</w:t>
      </w:r>
      <w:r w:rsidRPr="00BF79D0">
        <w:rPr>
          <w:rFonts w:eastAsia="Calibri"/>
          <w:bCs/>
          <w:noProof/>
          <w:lang w:val="en-US" w:eastAsia="x-none"/>
        </w:rPr>
        <w:t xml:space="preserve">[acceso: </w:t>
      </w:r>
      <w:r w:rsidRPr="00BF79D0">
        <w:rPr>
          <w:rFonts w:eastAsia="Calibri"/>
          <w:bCs/>
          <w:noProof/>
          <w:lang w:val="en-US" w:eastAsia="x-none"/>
        </w:rPr>
        <w:lastRenderedPageBreak/>
        <w:t>1/09/2020]</w:t>
      </w:r>
      <w:r w:rsidRPr="00BF79D0">
        <w:rPr>
          <w:rFonts w:eastAsia="Calibri"/>
          <w:bCs/>
          <w:noProof/>
          <w:lang w:val="x-none" w:eastAsia="x-none"/>
        </w:rPr>
        <w:t>; 22(8):1443-54</w:t>
      </w:r>
      <w:r w:rsidRPr="00BF79D0">
        <w:rPr>
          <w:rFonts w:eastAsia="Calibri"/>
          <w:bCs/>
          <w:noProof/>
          <w:lang w:val="en-US" w:eastAsia="x-none"/>
        </w:rPr>
        <w:t>.</w:t>
      </w:r>
      <w:r w:rsidRPr="00BF79D0">
        <w:rPr>
          <w:rFonts w:eastAsia="Calibri"/>
          <w:bCs/>
          <w:noProof/>
          <w:lang w:val="x-none" w:eastAsia="x-none"/>
        </w:rPr>
        <w:t xml:space="preserve"> </w:t>
      </w:r>
      <w:r w:rsidRPr="00BF79D0">
        <w:rPr>
          <w:rFonts w:eastAsia="Calibri"/>
          <w:bCs/>
          <w:noProof/>
          <w:lang w:val="en-US" w:eastAsia="x-none"/>
        </w:rPr>
        <w:t>Disponible en</w:t>
      </w:r>
      <w:r w:rsidRPr="00BF79D0">
        <w:rPr>
          <w:rFonts w:eastAsia="Calibri"/>
          <w:bCs/>
          <w:noProof/>
          <w:lang w:val="x-none" w:eastAsia="x-none"/>
        </w:rPr>
        <w:t xml:space="preserve">: </w:t>
      </w:r>
      <w:hyperlink r:id="rId37" w:history="1">
        <w:r w:rsidRPr="00BF79D0">
          <w:rPr>
            <w:rFonts w:eastAsia="Calibri"/>
            <w:bCs/>
            <w:noProof/>
            <w:color w:val="0563C1"/>
            <w:u w:val="single"/>
            <w:lang w:val="x-none" w:eastAsia="x-none"/>
          </w:rPr>
          <w:t>https://dom-pubs.onlinelibrary.wiley.com/doi/abs/10.1111/dom.14086</w:t>
        </w:r>
      </w:hyperlink>
      <w:bookmarkEnd w:id="17"/>
    </w:p>
    <w:p w14:paraId="62A3F341" w14:textId="77777777" w:rsidR="00BF79D0" w:rsidRPr="00BF79D0" w:rsidRDefault="00BF79D0" w:rsidP="00BF79D0">
      <w:pPr>
        <w:spacing w:line="360" w:lineRule="auto"/>
        <w:rPr>
          <w:rFonts w:eastAsia="Calibri"/>
          <w:bCs/>
          <w:noProof/>
          <w:lang w:val="en-US" w:eastAsia="x-none"/>
        </w:rPr>
      </w:pPr>
      <w:bookmarkStart w:id="18" w:name="_ENREF_18"/>
      <w:r w:rsidRPr="00BF79D0">
        <w:rPr>
          <w:rFonts w:eastAsia="Calibri"/>
          <w:bCs/>
          <w:noProof/>
          <w:lang w:val="en-US" w:eastAsia="x-none"/>
        </w:rPr>
        <w:t>21</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Khateeb J, Fuchs E, Khamaisi M. Diabetes and Lung Disease: A Neglected Relationship. The review of diabetic studies : RDS. 2019</w:t>
      </w:r>
      <w:r w:rsidRPr="00BF79D0">
        <w:rPr>
          <w:rFonts w:eastAsia="Calibri"/>
          <w:bCs/>
          <w:noProof/>
          <w:lang w:val="en-US" w:eastAsia="x-none"/>
        </w:rPr>
        <w:t>[acceso: 1/09/2020]</w:t>
      </w:r>
      <w:r w:rsidRPr="00BF79D0">
        <w:rPr>
          <w:rFonts w:eastAsia="Calibri"/>
          <w:bCs/>
          <w:noProof/>
          <w:lang w:val="x-none" w:eastAsia="x-none"/>
        </w:rPr>
        <w:t>; 15:15</w:t>
      </w:r>
      <w:r w:rsidRPr="00BF79D0">
        <w:rPr>
          <w:rFonts w:eastAsia="Calibri"/>
          <w:bCs/>
          <w:noProof/>
          <w:lang w:val="en-US" w:eastAsia="x-none"/>
        </w:rPr>
        <w:t>.</w:t>
      </w:r>
      <w:r w:rsidRPr="00BF79D0">
        <w:rPr>
          <w:rFonts w:eastAsia="Calibri"/>
          <w:bCs/>
          <w:noProof/>
          <w:lang w:val="x-none" w:eastAsia="x-none"/>
        </w:rPr>
        <w:t xml:space="preserve">. </w:t>
      </w:r>
      <w:r w:rsidRPr="00BF79D0">
        <w:rPr>
          <w:rFonts w:eastAsia="Calibri"/>
          <w:bCs/>
          <w:noProof/>
          <w:lang w:val="en-US" w:eastAsia="x-none"/>
        </w:rPr>
        <w:t>Disponible en</w:t>
      </w:r>
      <w:r w:rsidRPr="00BF79D0">
        <w:rPr>
          <w:rFonts w:eastAsia="Calibri"/>
          <w:bCs/>
          <w:noProof/>
          <w:lang w:val="x-none" w:eastAsia="x-none"/>
        </w:rPr>
        <w:t xml:space="preserve">: </w:t>
      </w:r>
      <w:hyperlink r:id="rId38" w:history="1">
        <w:r w:rsidRPr="00BF79D0">
          <w:rPr>
            <w:rFonts w:eastAsia="Calibri"/>
            <w:bCs/>
            <w:noProof/>
            <w:color w:val="0563C1"/>
            <w:u w:val="single"/>
            <w:lang w:val="x-none" w:eastAsia="x-none"/>
          </w:rPr>
          <w:t>https://www.ncbi.nlm.nih.gov/pmc/articles/PMC6760893/</w:t>
        </w:r>
      </w:hyperlink>
      <w:bookmarkEnd w:id="18"/>
    </w:p>
    <w:p w14:paraId="46B7E618" w14:textId="77777777" w:rsidR="00BF79D0" w:rsidRPr="00BF79D0" w:rsidRDefault="00BF79D0" w:rsidP="00BF79D0">
      <w:pPr>
        <w:spacing w:line="360" w:lineRule="auto"/>
        <w:rPr>
          <w:rFonts w:eastAsia="Calibri"/>
          <w:bCs/>
          <w:noProof/>
          <w:color w:val="0563C1"/>
          <w:u w:val="single"/>
          <w:lang w:val="x-none" w:eastAsia="x-none"/>
        </w:rPr>
      </w:pPr>
      <w:r w:rsidRPr="00BF79D0">
        <w:rPr>
          <w:rFonts w:eastAsia="Calibri"/>
          <w:bCs/>
          <w:noProof/>
          <w:lang w:val="en-US" w:eastAsia="x-none"/>
        </w:rPr>
        <w:t>22</w:t>
      </w:r>
      <w:r w:rsidRPr="00BF79D0">
        <w:rPr>
          <w:rFonts w:eastAsia="Calibri"/>
          <w:bCs/>
          <w:noProof/>
          <w:lang w:val="x-none" w:eastAsia="x-none"/>
        </w:rPr>
        <w:t>.</w:t>
      </w:r>
      <w:r w:rsidRPr="00BF79D0">
        <w:rPr>
          <w:rFonts w:eastAsia="Calibri"/>
          <w:bCs/>
          <w:noProof/>
          <w:lang w:val="en-US" w:eastAsia="x-none"/>
        </w:rPr>
        <w:t xml:space="preserve"> </w:t>
      </w:r>
      <w:r w:rsidRPr="00BF79D0">
        <w:rPr>
          <w:rFonts w:eastAsia="Calibri"/>
          <w:bCs/>
          <w:noProof/>
          <w:lang w:val="x-none" w:eastAsia="x-none"/>
        </w:rPr>
        <w:t xml:space="preserve">Sardu C, D'Onofrio N, Balestrieri ML, Barbieri M, Rizzo MR, Messina V, et al. Outcomes in Patients With Hyperglycemia Affected by COVID-19: Can We Do More on Glycemic Control? Diabetes </w:t>
      </w:r>
      <w:r w:rsidRPr="00BF79D0">
        <w:rPr>
          <w:rFonts w:eastAsia="Calibri"/>
          <w:bCs/>
          <w:noProof/>
          <w:lang w:eastAsia="x-none"/>
        </w:rPr>
        <w:t>C</w:t>
      </w:r>
      <w:r w:rsidRPr="00BF79D0">
        <w:rPr>
          <w:rFonts w:eastAsia="Calibri"/>
          <w:bCs/>
          <w:noProof/>
          <w:lang w:val="x-none" w:eastAsia="x-none"/>
        </w:rPr>
        <w:t>are. 2020</w:t>
      </w:r>
      <w:r w:rsidRPr="00BF79D0">
        <w:rPr>
          <w:rFonts w:eastAsia="Calibri"/>
          <w:bCs/>
          <w:noProof/>
          <w:lang w:val="es-ES" w:eastAsia="x-none"/>
        </w:rPr>
        <w:t>[acceso: 1/09/2020]</w:t>
      </w:r>
      <w:r w:rsidRPr="00BF79D0">
        <w:rPr>
          <w:rFonts w:eastAsia="Calibri"/>
          <w:bCs/>
          <w:noProof/>
          <w:lang w:val="x-none" w:eastAsia="x-none"/>
        </w:rPr>
        <w:t>; 43(7):1408-15</w:t>
      </w:r>
      <w:r w:rsidRPr="00BF79D0">
        <w:rPr>
          <w:rFonts w:eastAsia="Calibri"/>
          <w:bCs/>
          <w:noProof/>
          <w:lang w:eastAsia="x-none"/>
        </w:rPr>
        <w:t>.</w:t>
      </w:r>
      <w:r w:rsidRPr="00BF79D0">
        <w:rPr>
          <w:rFonts w:eastAsia="Calibri"/>
          <w:bCs/>
          <w:noProof/>
          <w:lang w:val="x-none" w:eastAsia="x-none"/>
        </w:rPr>
        <w:t xml:space="preserve">. </w:t>
      </w:r>
      <w:r w:rsidRPr="00BF79D0">
        <w:rPr>
          <w:rFonts w:eastAsia="Calibri"/>
          <w:bCs/>
          <w:noProof/>
          <w:lang w:eastAsia="x-none"/>
        </w:rPr>
        <w:t>Disponible en</w:t>
      </w:r>
      <w:r w:rsidRPr="00BF79D0">
        <w:rPr>
          <w:rFonts w:eastAsia="Calibri"/>
          <w:bCs/>
          <w:noProof/>
          <w:lang w:val="x-none" w:eastAsia="x-none"/>
        </w:rPr>
        <w:t xml:space="preserve">: </w:t>
      </w:r>
      <w:hyperlink r:id="rId39" w:history="1">
        <w:r w:rsidRPr="00BF79D0">
          <w:rPr>
            <w:rFonts w:eastAsia="Calibri"/>
            <w:bCs/>
            <w:noProof/>
            <w:color w:val="0563C1"/>
            <w:u w:val="single"/>
            <w:lang w:val="x-none" w:eastAsia="x-none"/>
          </w:rPr>
          <w:t>https://www.ncbi.nlm.nih.gov/pmc/articles/PMC7305003/</w:t>
        </w:r>
      </w:hyperlink>
    </w:p>
    <w:p w14:paraId="18030CA0" w14:textId="77777777" w:rsidR="00BF79D0" w:rsidRPr="00BF79D0" w:rsidRDefault="00BF79D0" w:rsidP="00BF79D0">
      <w:pPr>
        <w:spacing w:line="360" w:lineRule="auto"/>
        <w:rPr>
          <w:rFonts w:eastAsia="Calibri"/>
          <w:bCs/>
          <w:noProof/>
          <w:color w:val="0563C1"/>
          <w:u w:val="single"/>
          <w:lang w:val="x-none" w:eastAsia="x-none"/>
        </w:rPr>
      </w:pPr>
    </w:p>
    <w:p w14:paraId="48080ACD" w14:textId="77777777" w:rsidR="00BF79D0" w:rsidRPr="00BF79D0" w:rsidRDefault="00BF79D0" w:rsidP="00BF79D0">
      <w:pPr>
        <w:spacing w:line="360" w:lineRule="auto"/>
        <w:jc w:val="both"/>
        <w:rPr>
          <w:rFonts w:eastAsia="Calibri"/>
          <w:b/>
          <w:bCs/>
          <w:lang w:val="es-MX" w:eastAsia="en-US"/>
        </w:rPr>
      </w:pPr>
    </w:p>
    <w:p w14:paraId="7793288B" w14:textId="77777777" w:rsidR="00BF79D0" w:rsidRPr="00BF79D0" w:rsidRDefault="00BF79D0" w:rsidP="00BF79D0">
      <w:pPr>
        <w:spacing w:line="360" w:lineRule="auto"/>
        <w:jc w:val="center"/>
        <w:rPr>
          <w:rFonts w:eastAsia="Calibri"/>
          <w:bCs/>
          <w:lang w:val="es-MX" w:eastAsia="en-US"/>
        </w:rPr>
      </w:pPr>
      <w:r w:rsidRPr="00BF79D0">
        <w:rPr>
          <w:rFonts w:eastAsia="Calibri"/>
          <w:b/>
          <w:bCs/>
          <w:lang w:val="es-MX" w:eastAsia="en-US"/>
        </w:rPr>
        <w:t>Conflicto de intereses</w:t>
      </w:r>
    </w:p>
    <w:p w14:paraId="63876709" w14:textId="77777777" w:rsidR="00BF79D0" w:rsidRPr="00BF79D0" w:rsidRDefault="00BF79D0" w:rsidP="00BF79D0">
      <w:pPr>
        <w:spacing w:line="360" w:lineRule="auto"/>
        <w:jc w:val="both"/>
        <w:rPr>
          <w:rFonts w:eastAsia="Calibri"/>
          <w:bCs/>
          <w:lang w:val="es-MX" w:eastAsia="en-US"/>
        </w:rPr>
      </w:pPr>
      <w:r w:rsidRPr="00BF79D0">
        <w:rPr>
          <w:rFonts w:eastAsia="Calibri"/>
          <w:bCs/>
          <w:lang w:val="es-MX" w:eastAsia="en-US"/>
        </w:rPr>
        <w:t>Los autores declaran no tener conflicto de intereses.</w:t>
      </w:r>
    </w:p>
    <w:p w14:paraId="5C88BEED" w14:textId="77777777" w:rsidR="00BF79D0" w:rsidRPr="00BF79D0" w:rsidRDefault="00BF79D0" w:rsidP="00BF79D0">
      <w:pPr>
        <w:spacing w:line="360" w:lineRule="auto"/>
        <w:jc w:val="both"/>
        <w:rPr>
          <w:rFonts w:eastAsia="Calibri"/>
          <w:bCs/>
          <w:lang w:val="es-MX" w:eastAsia="en-US"/>
        </w:rPr>
      </w:pPr>
    </w:p>
    <w:p w14:paraId="05117134" w14:textId="77777777" w:rsidR="00BF79D0" w:rsidRPr="00BF79D0" w:rsidRDefault="00BF79D0" w:rsidP="00BF79D0">
      <w:pPr>
        <w:spacing w:line="360" w:lineRule="auto"/>
        <w:jc w:val="center"/>
        <w:rPr>
          <w:rFonts w:eastAsia="Calibri"/>
          <w:b/>
          <w:noProof/>
          <w:lang w:val="x-none" w:eastAsia="x-none"/>
        </w:rPr>
      </w:pPr>
      <w:r w:rsidRPr="00BF79D0">
        <w:rPr>
          <w:rFonts w:eastAsia="Calibri"/>
          <w:b/>
          <w:noProof/>
          <w:lang w:val="x-none" w:eastAsia="x-none"/>
        </w:rPr>
        <w:t>Contribuci</w:t>
      </w:r>
      <w:r w:rsidRPr="00BF79D0">
        <w:rPr>
          <w:rFonts w:eastAsia="Calibri"/>
          <w:b/>
          <w:noProof/>
          <w:lang w:val="es-CU" w:eastAsia="x-none"/>
        </w:rPr>
        <w:t>o</w:t>
      </w:r>
      <w:r w:rsidRPr="00BF79D0">
        <w:rPr>
          <w:rFonts w:eastAsia="Calibri"/>
          <w:b/>
          <w:noProof/>
          <w:lang w:val="x-none" w:eastAsia="x-none"/>
        </w:rPr>
        <w:t>n</w:t>
      </w:r>
      <w:r w:rsidRPr="00BF79D0">
        <w:rPr>
          <w:rFonts w:eastAsia="Calibri"/>
          <w:b/>
          <w:noProof/>
          <w:lang w:val="es-CU" w:eastAsia="x-none"/>
        </w:rPr>
        <w:t>es</w:t>
      </w:r>
      <w:r w:rsidRPr="00BF79D0">
        <w:rPr>
          <w:rFonts w:eastAsia="Calibri"/>
          <w:b/>
          <w:noProof/>
          <w:lang w:val="x-none" w:eastAsia="x-none"/>
        </w:rPr>
        <w:t xml:space="preserve"> de los autores</w:t>
      </w:r>
    </w:p>
    <w:p w14:paraId="093088F9" w14:textId="77777777" w:rsidR="00BF79D0" w:rsidRPr="00BF79D0" w:rsidRDefault="00BF79D0" w:rsidP="00BF79D0">
      <w:pPr>
        <w:spacing w:line="360" w:lineRule="auto"/>
        <w:rPr>
          <w:rFonts w:eastAsia="Calibri"/>
          <w:bCs/>
          <w:noProof/>
          <w:lang w:val="es-ES" w:eastAsia="x-none"/>
        </w:rPr>
      </w:pPr>
      <w:r w:rsidRPr="00BF79D0">
        <w:rPr>
          <w:rFonts w:eastAsia="Calibri"/>
          <w:bCs/>
          <w:i/>
          <w:noProof/>
          <w:lang w:val="es-ES" w:eastAsia="x-none"/>
        </w:rPr>
        <w:t>Rubén González Tabares:</w:t>
      </w:r>
      <w:r w:rsidRPr="00BF79D0">
        <w:rPr>
          <w:rFonts w:eastAsia="Calibri"/>
          <w:bCs/>
          <w:noProof/>
          <w:lang w:val="es-ES" w:eastAsia="x-none"/>
        </w:rPr>
        <w:t xml:space="preserve"> conceptualización, curación de datos, análisis formal, investigación, metodología, visualización y redacción. </w:t>
      </w:r>
    </w:p>
    <w:p w14:paraId="26036AF6" w14:textId="77777777" w:rsidR="00BF79D0" w:rsidRPr="00BF79D0" w:rsidRDefault="00BF79D0" w:rsidP="00BF79D0">
      <w:pPr>
        <w:spacing w:line="360" w:lineRule="auto"/>
        <w:rPr>
          <w:rFonts w:eastAsia="Calibri"/>
          <w:bCs/>
          <w:noProof/>
          <w:lang w:val="es-ES" w:eastAsia="x-none"/>
        </w:rPr>
      </w:pPr>
      <w:r w:rsidRPr="00BF79D0">
        <w:rPr>
          <w:rFonts w:eastAsia="Calibri"/>
          <w:bCs/>
          <w:i/>
          <w:noProof/>
          <w:lang w:val="es-ES" w:eastAsia="x-none"/>
        </w:rPr>
        <w:t>Frank Abel Acosta González:</w:t>
      </w:r>
      <w:r w:rsidRPr="00BF79D0">
        <w:rPr>
          <w:rFonts w:eastAsia="Calibri"/>
          <w:bCs/>
          <w:noProof/>
          <w:lang w:val="es-ES" w:eastAsia="x-none"/>
        </w:rPr>
        <w:t xml:space="preserve"> investigación y redacción. </w:t>
      </w:r>
    </w:p>
    <w:p w14:paraId="6C2B232D" w14:textId="77777777" w:rsidR="00BF79D0" w:rsidRPr="00BF79D0" w:rsidRDefault="00BF79D0" w:rsidP="00BF79D0">
      <w:pPr>
        <w:spacing w:line="360" w:lineRule="auto"/>
        <w:rPr>
          <w:rFonts w:eastAsia="Calibri"/>
          <w:bCs/>
          <w:noProof/>
          <w:lang w:val="es-ES" w:eastAsia="x-none"/>
        </w:rPr>
      </w:pPr>
      <w:r w:rsidRPr="00BF79D0">
        <w:rPr>
          <w:rFonts w:eastAsia="Calibri"/>
          <w:bCs/>
          <w:i/>
          <w:noProof/>
          <w:lang w:val="es-ES" w:eastAsia="x-none"/>
        </w:rPr>
        <w:t>Evián Oliva Villa:</w:t>
      </w:r>
      <w:r w:rsidRPr="00BF79D0">
        <w:rPr>
          <w:rFonts w:eastAsia="Calibri"/>
          <w:bCs/>
          <w:noProof/>
          <w:lang w:val="es-ES" w:eastAsia="x-none"/>
        </w:rPr>
        <w:t xml:space="preserve"> investigación. </w:t>
      </w:r>
    </w:p>
    <w:p w14:paraId="4DF15DF2" w14:textId="77777777" w:rsidR="00BF79D0" w:rsidRPr="00BF79D0" w:rsidRDefault="00BF79D0" w:rsidP="00BF79D0">
      <w:pPr>
        <w:spacing w:line="360" w:lineRule="auto"/>
        <w:rPr>
          <w:rFonts w:eastAsia="Calibri"/>
          <w:bCs/>
          <w:noProof/>
          <w:lang w:val="es-ES" w:eastAsia="x-none"/>
        </w:rPr>
      </w:pPr>
      <w:r w:rsidRPr="00BF79D0">
        <w:rPr>
          <w:rFonts w:eastAsia="Calibri"/>
          <w:bCs/>
          <w:i/>
          <w:noProof/>
          <w:lang w:val="es-ES" w:eastAsia="x-none"/>
        </w:rPr>
        <w:t>Sandy Fidel Rodríguez Reyes:</w:t>
      </w:r>
      <w:r w:rsidRPr="00BF79D0">
        <w:rPr>
          <w:rFonts w:eastAsia="Calibri"/>
          <w:bCs/>
          <w:noProof/>
          <w:lang w:val="es-ES" w:eastAsia="x-none"/>
        </w:rPr>
        <w:t xml:space="preserve"> investigación. </w:t>
      </w:r>
    </w:p>
    <w:p w14:paraId="3FADFCA2" w14:textId="77777777" w:rsidR="00BF79D0" w:rsidRPr="00BF79D0" w:rsidRDefault="00BF79D0" w:rsidP="00BF79D0">
      <w:pPr>
        <w:spacing w:line="360" w:lineRule="auto"/>
        <w:rPr>
          <w:rFonts w:eastAsia="Calibri"/>
          <w:bCs/>
          <w:noProof/>
          <w:lang w:val="es-ES" w:eastAsia="x-none"/>
        </w:rPr>
      </w:pPr>
      <w:r w:rsidRPr="00BF79D0">
        <w:rPr>
          <w:rFonts w:eastAsia="Calibri"/>
          <w:bCs/>
          <w:i/>
          <w:noProof/>
          <w:lang w:val="es-ES" w:eastAsia="x-none"/>
        </w:rPr>
        <w:t>Ivelyse Cabeza Echevarría:</w:t>
      </w:r>
      <w:r w:rsidRPr="00BF79D0">
        <w:rPr>
          <w:rFonts w:eastAsia="Calibri"/>
          <w:bCs/>
          <w:noProof/>
          <w:lang w:val="es-ES" w:eastAsia="x-none"/>
        </w:rPr>
        <w:t xml:space="preserve"> investigación. </w:t>
      </w:r>
    </w:p>
    <w:p w14:paraId="10C1A606" w14:textId="77777777" w:rsidR="00BF79D0" w:rsidRPr="00BF79D0" w:rsidRDefault="00BF79D0" w:rsidP="00BF79D0">
      <w:pPr>
        <w:spacing w:line="360" w:lineRule="auto"/>
        <w:rPr>
          <w:rFonts w:eastAsia="Calibri"/>
          <w:bCs/>
          <w:noProof/>
          <w:lang w:val="es-ES" w:eastAsia="x-none"/>
        </w:rPr>
      </w:pPr>
      <w:r w:rsidRPr="00BF79D0">
        <w:rPr>
          <w:rFonts w:eastAsia="Calibri"/>
          <w:bCs/>
          <w:noProof/>
          <w:lang w:val="es-ES" w:eastAsia="x-none"/>
        </w:rPr>
        <w:t>Todos los autores se hacen individualmente responsables del contenido del artículo.</w:t>
      </w:r>
    </w:p>
    <w:p w14:paraId="2FEF64F3" w14:textId="77777777" w:rsidR="00675476" w:rsidRPr="00BF79D0" w:rsidRDefault="00675476" w:rsidP="00391509">
      <w:pPr>
        <w:rPr>
          <w:lang w:val="es-ES"/>
        </w:rPr>
      </w:pPr>
    </w:p>
    <w:sectPr w:rsidR="00675476" w:rsidRPr="00BF79D0" w:rsidSect="00486BFA">
      <w:headerReference w:type="default" r:id="rId40"/>
      <w:footerReference w:type="even" r:id="rId41"/>
      <w:footerReference w:type="default" r:id="rId4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699D" w14:textId="77777777" w:rsidR="003A7417" w:rsidRDefault="003A7417">
      <w:r>
        <w:separator/>
      </w:r>
    </w:p>
  </w:endnote>
  <w:endnote w:type="continuationSeparator" w:id="0">
    <w:p w14:paraId="51DCA8AA" w14:textId="77777777" w:rsidR="003A7417" w:rsidRDefault="003A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65BC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1C51A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DA9F" w14:textId="2E26636B" w:rsidR="000F3690" w:rsidRPr="00AE044C" w:rsidRDefault="00BF79D0"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2E1BABA9" wp14:editId="336B158C">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0FBE9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3BCE7C5" w14:textId="77777777" w:rsidR="00675476" w:rsidRPr="00AE044C" w:rsidRDefault="003A7417" w:rsidP="00391509">
    <w:pPr>
      <w:pStyle w:val="Piedepgina"/>
      <w:ind w:right="360"/>
      <w:rPr>
        <w:sz w:val="22"/>
        <w:szCs w:val="22"/>
      </w:rPr>
    </w:pPr>
    <w:hyperlink r:id="rId1" w:history="1">
      <w:r w:rsidR="00391509" w:rsidRPr="00AE044C">
        <w:rPr>
          <w:rStyle w:val="Hipervnculo"/>
          <w:sz w:val="22"/>
          <w:szCs w:val="22"/>
        </w:rPr>
        <w:t>http://scielo.sld.cu</w:t>
      </w:r>
    </w:hyperlink>
  </w:p>
  <w:p w14:paraId="51143A85" w14:textId="77777777" w:rsidR="00391509" w:rsidRPr="00AE044C" w:rsidRDefault="003A741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015E4E0" w14:textId="0833D6A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BF79D0" w:rsidRPr="00BF79D0">
      <w:rPr>
        <w:rFonts w:ascii="Verdana" w:hAnsi="Verdana"/>
        <w:noProof/>
        <w:sz w:val="18"/>
        <w:szCs w:val="18"/>
        <w:lang w:val="en-US" w:eastAsia="en-US"/>
      </w:rPr>
      <w:drawing>
        <wp:inline distT="0" distB="0" distL="0" distR="0" wp14:anchorId="76952C3C" wp14:editId="3F42FEC0">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87594" w14:textId="77777777" w:rsidR="003A7417" w:rsidRDefault="003A7417">
      <w:r>
        <w:separator/>
      </w:r>
    </w:p>
  </w:footnote>
  <w:footnote w:type="continuationSeparator" w:id="0">
    <w:p w14:paraId="2EDDD891" w14:textId="77777777" w:rsidR="003A7417" w:rsidRDefault="003A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6F02" w14:textId="0D45486A" w:rsidR="00CC376A" w:rsidRPr="00AE044C" w:rsidRDefault="00BF79D0"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FA28B61" wp14:editId="0F3A3128">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sidR="00FD3896">
      <w:rPr>
        <w:sz w:val="22"/>
        <w:szCs w:val="22"/>
      </w:rPr>
      <w:t>2</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0210960</w:t>
    </w:r>
  </w:p>
  <w:p w14:paraId="4FE58AA6" w14:textId="46989A8C" w:rsidR="00A477DE" w:rsidRDefault="00BF79D0">
    <w:r>
      <w:rPr>
        <w:noProof/>
      </w:rPr>
      <mc:AlternateContent>
        <mc:Choice Requires="wps">
          <w:drawing>
            <wp:anchor distT="0" distB="0" distL="114300" distR="114300" simplePos="0" relativeHeight="251657216" behindDoc="0" locked="0" layoutInCell="1" allowOverlap="1" wp14:anchorId="59C9CF1F" wp14:editId="4DA824CD">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A1BF3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157BE"/>
    <w:multiLevelType w:val="hybridMultilevel"/>
    <w:tmpl w:val="A0DA5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A40D71"/>
    <w:multiLevelType w:val="hybridMultilevel"/>
    <w:tmpl w:val="BAA86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2F4AD9"/>
    <w:multiLevelType w:val="hybridMultilevel"/>
    <w:tmpl w:val="3B0CC73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2E5D5143"/>
    <w:multiLevelType w:val="hybridMultilevel"/>
    <w:tmpl w:val="A0D47B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05B48B7"/>
    <w:multiLevelType w:val="multilevel"/>
    <w:tmpl w:val="A23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720A8"/>
    <w:multiLevelType w:val="multilevel"/>
    <w:tmpl w:val="F70E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03448"/>
    <w:multiLevelType w:val="multilevel"/>
    <w:tmpl w:val="F78E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D0"/>
    <w:rsid w:val="000F3690"/>
    <w:rsid w:val="00117022"/>
    <w:rsid w:val="001221D1"/>
    <w:rsid w:val="00180CE9"/>
    <w:rsid w:val="00230DD5"/>
    <w:rsid w:val="00380D64"/>
    <w:rsid w:val="00391509"/>
    <w:rsid w:val="003A7417"/>
    <w:rsid w:val="003E03D5"/>
    <w:rsid w:val="00486BFA"/>
    <w:rsid w:val="00493701"/>
    <w:rsid w:val="004E2065"/>
    <w:rsid w:val="00517134"/>
    <w:rsid w:val="005508A2"/>
    <w:rsid w:val="00566F71"/>
    <w:rsid w:val="005918BD"/>
    <w:rsid w:val="00675476"/>
    <w:rsid w:val="006F0728"/>
    <w:rsid w:val="007C430F"/>
    <w:rsid w:val="007D614D"/>
    <w:rsid w:val="00813FA2"/>
    <w:rsid w:val="008C6E3D"/>
    <w:rsid w:val="00960D6A"/>
    <w:rsid w:val="009A0560"/>
    <w:rsid w:val="009B0917"/>
    <w:rsid w:val="00A23C0C"/>
    <w:rsid w:val="00A41863"/>
    <w:rsid w:val="00A477DE"/>
    <w:rsid w:val="00A71E65"/>
    <w:rsid w:val="00AE044C"/>
    <w:rsid w:val="00AE31E5"/>
    <w:rsid w:val="00B31971"/>
    <w:rsid w:val="00B4380A"/>
    <w:rsid w:val="00B66ECB"/>
    <w:rsid w:val="00BF79D0"/>
    <w:rsid w:val="00C7523A"/>
    <w:rsid w:val="00CC1B6E"/>
    <w:rsid w:val="00CC376A"/>
    <w:rsid w:val="00CC48A1"/>
    <w:rsid w:val="00CF50E0"/>
    <w:rsid w:val="00D85951"/>
    <w:rsid w:val="00E62606"/>
    <w:rsid w:val="00FD389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714BF"/>
  <w15:docId w15:val="{1D07993D-8C22-4FAF-A391-DC6D7B91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BF79D0"/>
    <w:pPr>
      <w:keepNext/>
      <w:spacing w:line="360" w:lineRule="auto"/>
      <w:jc w:val="center"/>
      <w:outlineLvl w:val="0"/>
    </w:pPr>
    <w:rPr>
      <w:rFonts w:eastAsia="Calibri"/>
      <w:b/>
      <w:bCs/>
      <w:lang w:val="es-ES" w:eastAsia="en-US"/>
    </w:rPr>
  </w:style>
  <w:style w:type="paragraph" w:styleId="Ttulo2">
    <w:name w:val="heading 2"/>
    <w:basedOn w:val="Normal"/>
    <w:next w:val="Normal"/>
    <w:link w:val="Ttulo2Car"/>
    <w:uiPriority w:val="9"/>
    <w:unhideWhenUsed/>
    <w:qFormat/>
    <w:rsid w:val="00BF79D0"/>
    <w:pPr>
      <w:keepNext/>
      <w:spacing w:line="360" w:lineRule="auto"/>
      <w:jc w:val="right"/>
      <w:outlineLvl w:val="1"/>
    </w:pPr>
    <w:rPr>
      <w:rFonts w:eastAsia="Calibri"/>
      <w:b/>
      <w:bCs/>
      <w:lang w:val="es-ES" w:eastAsia="en-US"/>
    </w:rPr>
  </w:style>
  <w:style w:type="paragraph" w:styleId="Ttulo3">
    <w:name w:val="heading 3"/>
    <w:basedOn w:val="Normal"/>
    <w:link w:val="Ttulo3Car"/>
    <w:uiPriority w:val="9"/>
    <w:qFormat/>
    <w:rsid w:val="00BF79D0"/>
    <w:pPr>
      <w:spacing w:before="100" w:beforeAutospacing="1" w:after="100" w:afterAutospacing="1"/>
      <w:outlineLvl w:val="2"/>
    </w:pPr>
    <w:rPr>
      <w:b/>
      <w:bCs/>
      <w:sz w:val="27"/>
      <w:szCs w:val="27"/>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link w:val="NormalWebCar"/>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BF79D0"/>
    <w:rPr>
      <w:rFonts w:eastAsia="Calibri"/>
      <w:b/>
      <w:bCs/>
      <w:sz w:val="24"/>
      <w:szCs w:val="24"/>
      <w:lang w:val="es-ES" w:eastAsia="en-US"/>
    </w:rPr>
  </w:style>
  <w:style w:type="character" w:customStyle="1" w:styleId="Ttulo2Car">
    <w:name w:val="Título 2 Car"/>
    <w:basedOn w:val="Fuentedeprrafopredeter"/>
    <w:link w:val="Ttulo2"/>
    <w:uiPriority w:val="9"/>
    <w:rsid w:val="00BF79D0"/>
    <w:rPr>
      <w:rFonts w:eastAsia="Calibri"/>
      <w:b/>
      <w:bCs/>
      <w:sz w:val="24"/>
      <w:szCs w:val="24"/>
      <w:lang w:val="es-ES" w:eastAsia="en-US"/>
    </w:rPr>
  </w:style>
  <w:style w:type="character" w:customStyle="1" w:styleId="Ttulo3Car">
    <w:name w:val="Título 3 Car"/>
    <w:basedOn w:val="Fuentedeprrafopredeter"/>
    <w:link w:val="Ttulo3"/>
    <w:uiPriority w:val="9"/>
    <w:rsid w:val="00BF79D0"/>
    <w:rPr>
      <w:b/>
      <w:bCs/>
      <w:sz w:val="27"/>
      <w:szCs w:val="27"/>
    </w:rPr>
  </w:style>
  <w:style w:type="numbering" w:customStyle="1" w:styleId="Sinlista1">
    <w:name w:val="Sin lista1"/>
    <w:next w:val="Sinlista"/>
    <w:uiPriority w:val="99"/>
    <w:semiHidden/>
    <w:unhideWhenUsed/>
    <w:rsid w:val="00BF79D0"/>
  </w:style>
  <w:style w:type="character" w:styleId="Textoennegrita">
    <w:name w:val="Strong"/>
    <w:uiPriority w:val="22"/>
    <w:qFormat/>
    <w:rsid w:val="00BF79D0"/>
    <w:rPr>
      <w:b/>
      <w:bCs/>
    </w:rPr>
  </w:style>
  <w:style w:type="table" w:styleId="Tablaconcuadrcula">
    <w:name w:val="Table Grid"/>
    <w:basedOn w:val="Tablanormal"/>
    <w:uiPriority w:val="39"/>
    <w:rsid w:val="00BF79D0"/>
    <w:rPr>
      <w:rFonts w:eastAsia="Calibri"/>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link w:val="NormalWeb"/>
    <w:uiPriority w:val="99"/>
    <w:rsid w:val="00BF79D0"/>
    <w:rPr>
      <w:sz w:val="24"/>
      <w:szCs w:val="24"/>
      <w:lang w:val="es-ES_tradnl" w:eastAsia="es-ES_tradnl"/>
    </w:rPr>
  </w:style>
  <w:style w:type="paragraph" w:customStyle="1" w:styleId="EndNoteBibliographyTitle">
    <w:name w:val="EndNote Bibliography Title"/>
    <w:basedOn w:val="Normal"/>
    <w:link w:val="EndNoteBibliographyTitleCar"/>
    <w:rsid w:val="00BF79D0"/>
    <w:pPr>
      <w:spacing w:line="259" w:lineRule="auto"/>
      <w:jc w:val="center"/>
    </w:pPr>
    <w:rPr>
      <w:rFonts w:eastAsia="Calibri"/>
      <w:bCs/>
      <w:noProof/>
      <w:lang w:val="x-none" w:eastAsia="x-none"/>
    </w:rPr>
  </w:style>
  <w:style w:type="character" w:customStyle="1" w:styleId="EndNoteBibliographyTitleCar">
    <w:name w:val="EndNote Bibliography Title Car"/>
    <w:link w:val="EndNoteBibliographyTitle"/>
    <w:rsid w:val="00BF79D0"/>
    <w:rPr>
      <w:rFonts w:eastAsia="Calibri"/>
      <w:bCs/>
      <w:noProof/>
      <w:sz w:val="24"/>
      <w:szCs w:val="24"/>
      <w:lang w:val="x-none" w:eastAsia="x-none"/>
    </w:rPr>
  </w:style>
  <w:style w:type="paragraph" w:customStyle="1" w:styleId="EndNoteBibliography">
    <w:name w:val="EndNote Bibliography"/>
    <w:basedOn w:val="Normal"/>
    <w:link w:val="EndNoteBibliographyCar"/>
    <w:rsid w:val="00BF79D0"/>
    <w:pPr>
      <w:spacing w:after="160" w:line="360" w:lineRule="auto"/>
    </w:pPr>
    <w:rPr>
      <w:rFonts w:eastAsia="Calibri"/>
      <w:bCs/>
      <w:noProof/>
      <w:lang w:val="x-none" w:eastAsia="x-none"/>
    </w:rPr>
  </w:style>
  <w:style w:type="character" w:customStyle="1" w:styleId="EndNoteBibliographyCar">
    <w:name w:val="EndNote Bibliography Car"/>
    <w:link w:val="EndNoteBibliography"/>
    <w:rsid w:val="00BF79D0"/>
    <w:rPr>
      <w:rFonts w:eastAsia="Calibri"/>
      <w:bCs/>
      <w:noProof/>
      <w:sz w:val="24"/>
      <w:szCs w:val="24"/>
      <w:lang w:val="x-none" w:eastAsia="x-none"/>
    </w:rPr>
  </w:style>
  <w:style w:type="paragraph" w:styleId="Prrafodelista">
    <w:name w:val="List Paragraph"/>
    <w:basedOn w:val="Normal"/>
    <w:uiPriority w:val="34"/>
    <w:qFormat/>
    <w:rsid w:val="00BF79D0"/>
    <w:pPr>
      <w:spacing w:after="160" w:line="259" w:lineRule="auto"/>
      <w:ind w:left="720"/>
      <w:contextualSpacing/>
    </w:pPr>
    <w:rPr>
      <w:rFonts w:eastAsia="Calibri"/>
      <w:bCs/>
      <w:lang w:val="es-MX" w:eastAsia="en-US"/>
    </w:rPr>
  </w:style>
  <w:style w:type="character" w:styleId="Textodelmarcadordeposicin">
    <w:name w:val="Placeholder Text"/>
    <w:uiPriority w:val="99"/>
    <w:semiHidden/>
    <w:rsid w:val="00BF79D0"/>
    <w:rPr>
      <w:color w:val="808080"/>
    </w:rPr>
  </w:style>
  <w:style w:type="character" w:styleId="Hipervnculovisitado">
    <w:name w:val="FollowedHyperlink"/>
    <w:uiPriority w:val="99"/>
    <w:semiHidden/>
    <w:unhideWhenUsed/>
    <w:rsid w:val="00BF79D0"/>
    <w:rPr>
      <w:color w:val="954F72"/>
      <w:u w:val="single"/>
    </w:rPr>
  </w:style>
  <w:style w:type="paragraph" w:styleId="Descripcin">
    <w:name w:val="caption"/>
    <w:basedOn w:val="Normal"/>
    <w:next w:val="Normal"/>
    <w:uiPriority w:val="35"/>
    <w:unhideWhenUsed/>
    <w:qFormat/>
    <w:rsid w:val="00BF79D0"/>
    <w:pPr>
      <w:spacing w:after="200"/>
    </w:pPr>
    <w:rPr>
      <w:rFonts w:eastAsia="Calibri"/>
      <w:b/>
      <w:color w:val="4472C4"/>
      <w:sz w:val="18"/>
      <w:szCs w:val="18"/>
      <w:lang w:val="es-MX" w:eastAsia="en-US"/>
    </w:rPr>
  </w:style>
  <w:style w:type="character" w:customStyle="1" w:styleId="tlid-translation">
    <w:name w:val="tlid-translation"/>
    <w:basedOn w:val="Fuentedeprrafopredeter"/>
    <w:rsid w:val="00BF79D0"/>
  </w:style>
  <w:style w:type="character" w:styleId="Refdecomentario">
    <w:name w:val="annotation reference"/>
    <w:uiPriority w:val="99"/>
    <w:semiHidden/>
    <w:unhideWhenUsed/>
    <w:rsid w:val="00BF79D0"/>
    <w:rPr>
      <w:sz w:val="16"/>
      <w:szCs w:val="16"/>
    </w:rPr>
  </w:style>
  <w:style w:type="paragraph" w:styleId="Textocomentario">
    <w:name w:val="annotation text"/>
    <w:basedOn w:val="Normal"/>
    <w:link w:val="TextocomentarioCar"/>
    <w:uiPriority w:val="99"/>
    <w:unhideWhenUsed/>
    <w:qFormat/>
    <w:rsid w:val="00BF79D0"/>
    <w:pPr>
      <w:spacing w:after="160" w:line="259" w:lineRule="auto"/>
    </w:pPr>
    <w:rPr>
      <w:rFonts w:eastAsia="Calibri"/>
      <w:bCs/>
      <w:sz w:val="20"/>
      <w:szCs w:val="20"/>
      <w:lang w:val="es-MX" w:eastAsia="en-US"/>
    </w:rPr>
  </w:style>
  <w:style w:type="character" w:customStyle="1" w:styleId="TextocomentarioCar">
    <w:name w:val="Texto comentario Car"/>
    <w:basedOn w:val="Fuentedeprrafopredeter"/>
    <w:link w:val="Textocomentario"/>
    <w:uiPriority w:val="99"/>
    <w:qFormat/>
    <w:rsid w:val="00BF79D0"/>
    <w:rPr>
      <w:rFonts w:eastAsia="Calibri"/>
      <w:bCs/>
      <w:lang w:val="es-MX" w:eastAsia="en-US"/>
    </w:rPr>
  </w:style>
  <w:style w:type="paragraph" w:styleId="Asuntodelcomentario">
    <w:name w:val="annotation subject"/>
    <w:basedOn w:val="Textocomentario"/>
    <w:next w:val="Textocomentario"/>
    <w:link w:val="AsuntodelcomentarioCar"/>
    <w:uiPriority w:val="99"/>
    <w:semiHidden/>
    <w:unhideWhenUsed/>
    <w:rsid w:val="00BF79D0"/>
    <w:rPr>
      <w:b/>
    </w:rPr>
  </w:style>
  <w:style w:type="character" w:customStyle="1" w:styleId="AsuntodelcomentarioCar">
    <w:name w:val="Asunto del comentario Car"/>
    <w:basedOn w:val="TextocomentarioCar"/>
    <w:link w:val="Asuntodelcomentario"/>
    <w:uiPriority w:val="99"/>
    <w:semiHidden/>
    <w:rsid w:val="00BF79D0"/>
    <w:rPr>
      <w:rFonts w:eastAsia="Calibri"/>
      <w:b/>
      <w:bCs/>
      <w:lang w:val="es-MX" w:eastAsia="en-US"/>
    </w:rPr>
  </w:style>
  <w:style w:type="character" w:customStyle="1" w:styleId="fontstyle01">
    <w:name w:val="fontstyle01"/>
    <w:rsid w:val="00BF79D0"/>
    <w:rPr>
      <w:rFonts w:ascii="Verdana" w:hAnsi="Verdana" w:hint="default"/>
      <w:b w:val="0"/>
      <w:bCs w:val="0"/>
      <w:i w:val="0"/>
      <w:iCs w:val="0"/>
      <w:color w:val="000000"/>
      <w:sz w:val="24"/>
      <w:szCs w:val="24"/>
    </w:rPr>
  </w:style>
  <w:style w:type="paragraph" w:styleId="Lista">
    <w:name w:val="List"/>
    <w:basedOn w:val="Normal"/>
    <w:uiPriority w:val="99"/>
    <w:unhideWhenUsed/>
    <w:rsid w:val="00BF79D0"/>
    <w:pPr>
      <w:ind w:left="283" w:hanging="283"/>
      <w:contextualSpacing/>
    </w:pPr>
    <w:rPr>
      <w:rFonts w:ascii="Arial" w:hAnsi="Arial" w:cs="Arial"/>
      <w:sz w:val="12"/>
      <w:szCs w:val="12"/>
      <w:lang w:val="es-ES" w:eastAsia="es-ES"/>
    </w:rPr>
  </w:style>
  <w:style w:type="paragraph" w:customStyle="1" w:styleId="style3">
    <w:name w:val="style3"/>
    <w:basedOn w:val="Normal"/>
    <w:rsid w:val="00BF79D0"/>
    <w:pPr>
      <w:spacing w:before="100" w:beforeAutospacing="1" w:after="100" w:afterAutospacing="1"/>
    </w:pPr>
  </w:style>
  <w:style w:type="character" w:customStyle="1" w:styleId="orcid-id-https">
    <w:name w:val="orcid-id-https"/>
    <w:rsid w:val="00BF79D0"/>
  </w:style>
  <w:style w:type="paragraph" w:styleId="HTMLconformatoprevio">
    <w:name w:val="HTML Preformatted"/>
    <w:basedOn w:val="Normal"/>
    <w:link w:val="HTMLconformatoprevioCar"/>
    <w:uiPriority w:val="99"/>
    <w:semiHidden/>
    <w:unhideWhenUsed/>
    <w:rsid w:val="00BF79D0"/>
    <w:rPr>
      <w:rFonts w:ascii="Consolas" w:eastAsia="Calibri" w:hAnsi="Consolas" w:cs="Consolas"/>
      <w:bCs/>
      <w:sz w:val="20"/>
      <w:szCs w:val="20"/>
      <w:lang w:val="es-MX" w:eastAsia="en-US"/>
    </w:rPr>
  </w:style>
  <w:style w:type="character" w:customStyle="1" w:styleId="HTMLconformatoprevioCar">
    <w:name w:val="HTML con formato previo Car"/>
    <w:basedOn w:val="Fuentedeprrafopredeter"/>
    <w:link w:val="HTMLconformatoprevio"/>
    <w:uiPriority w:val="99"/>
    <w:semiHidden/>
    <w:rsid w:val="00BF79D0"/>
    <w:rPr>
      <w:rFonts w:ascii="Consolas" w:eastAsia="Calibri" w:hAnsi="Consolas" w:cs="Consolas"/>
      <w:bCs/>
      <w:lang w:val="es-MX" w:eastAsia="en-US"/>
    </w:rPr>
  </w:style>
  <w:style w:type="character" w:customStyle="1" w:styleId="Mencinsinresolver1">
    <w:name w:val="Mención sin resolver1"/>
    <w:uiPriority w:val="99"/>
    <w:semiHidden/>
    <w:unhideWhenUsed/>
    <w:rsid w:val="00BF79D0"/>
    <w:rPr>
      <w:color w:val="605E5C"/>
      <w:shd w:val="clear" w:color="auto" w:fill="E1DFDD"/>
    </w:rPr>
  </w:style>
  <w:style w:type="paragraph" w:customStyle="1" w:styleId="dp2">
    <w:name w:val="dp2"/>
    <w:basedOn w:val="Normal"/>
    <w:rsid w:val="00BF79D0"/>
    <w:pPr>
      <w:spacing w:before="100" w:beforeAutospacing="1" w:after="100" w:afterAutospacing="1"/>
    </w:pPr>
    <w:rPr>
      <w:lang w:val="es-CU" w:eastAsia="es-CU"/>
    </w:rPr>
  </w:style>
  <w:style w:type="character" w:customStyle="1" w:styleId="dp6">
    <w:name w:val="dp6"/>
    <w:basedOn w:val="Fuentedeprrafopredeter"/>
    <w:rsid w:val="00BF79D0"/>
  </w:style>
  <w:style w:type="paragraph" w:customStyle="1" w:styleId="dp1">
    <w:name w:val="dp1"/>
    <w:basedOn w:val="Normal"/>
    <w:rsid w:val="00BF79D0"/>
    <w:pPr>
      <w:spacing w:before="100" w:beforeAutospacing="1" w:after="100" w:afterAutospacing="1"/>
    </w:pPr>
    <w:rPr>
      <w:lang w:val="es-CU" w:eastAsia="es-CU"/>
    </w:rPr>
  </w:style>
  <w:style w:type="character" w:styleId="nfasis">
    <w:name w:val="Emphasis"/>
    <w:uiPriority w:val="20"/>
    <w:qFormat/>
    <w:rsid w:val="00BF7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607-6658" TargetMode="External"/><Relationship Id="rId13" Type="http://schemas.openxmlformats.org/officeDocument/2006/relationships/image" Target="media/image1.gif"/><Relationship Id="rId18" Type="http://schemas.openxmlformats.org/officeDocument/2006/relationships/hyperlink" Target="https://www.scopus.com/inward/record.uri?eid=2-s2.0-85087532305&amp;doi=10.4093%2fdmj.2020.0105&amp;partnerID=40&amp;md5=4694c060d41edb21d47f44f1ec65c05d" TargetMode="External"/><Relationship Id="rId26" Type="http://schemas.openxmlformats.org/officeDocument/2006/relationships/hyperlink" Target="https://journals.sagepub.com/doi/abs/10.1177/1932296820924469" TargetMode="External"/><Relationship Id="rId39" Type="http://schemas.openxmlformats.org/officeDocument/2006/relationships/hyperlink" Target="https://www.ncbi.nlm.nih.gov/pmc/articles/PMC7305003/" TargetMode="External"/><Relationship Id="rId3" Type="http://schemas.openxmlformats.org/officeDocument/2006/relationships/settings" Target="settings.xml"/><Relationship Id="rId21" Type="http://schemas.openxmlformats.org/officeDocument/2006/relationships/hyperlink" Target="https://www.scopus.com/inward/record.uri?eid=2-s2.0-85085763427&amp;doi=10.1016%2fj.diabres.2020.108227&amp;partnerID=40&amp;md5=ae17ce73d1687129b84e48659620a479" TargetMode="External"/><Relationship Id="rId34" Type="http://schemas.openxmlformats.org/officeDocument/2006/relationships/hyperlink" Target="https://www.scopus.com/inward/record.uri?eid=2-s2.0-85084707663&amp;doi=10.1016%2fj.dsx.2020.05.013&amp;partnerID=40&amp;md5=d113b7d5293620a6a1ec37c5d8ede7b7" TargetMode="External"/><Relationship Id="rId42" Type="http://schemas.openxmlformats.org/officeDocument/2006/relationships/footer" Target="footer2.xml"/><Relationship Id="rId7" Type="http://schemas.openxmlformats.org/officeDocument/2006/relationships/hyperlink" Target="https://orcid.org/0000-0002-4076-8650" TargetMode="External"/><Relationship Id="rId12" Type="http://schemas.openxmlformats.org/officeDocument/2006/relationships/hyperlink" Target="mailto:rubengt@infomed.sld.cu" TargetMode="External"/><Relationship Id="rId17" Type="http://schemas.openxmlformats.org/officeDocument/2006/relationships/image" Target="media/image5.jpeg"/><Relationship Id="rId25" Type="http://schemas.openxmlformats.org/officeDocument/2006/relationships/hyperlink" Target="https://www.ncbi.nlm.nih.gov/pmc/articles/PMC7252168/pdf/main.pdf" TargetMode="External"/><Relationship Id="rId33" Type="http://schemas.openxmlformats.org/officeDocument/2006/relationships/hyperlink" Target="https://www.scopus.com/inward/record.uri?eid=2-s2.0-85081901579&amp;doi=10.1016%2fS0140-6736%2820%2930566-3&amp;partnerID=40&amp;md5=60b48cc828061e7b65a326e43414171d" TargetMode="External"/><Relationship Id="rId38" Type="http://schemas.openxmlformats.org/officeDocument/2006/relationships/hyperlink" Target="https://www.ncbi.nlm.nih.gov/pmc/articles/PMC6760893/"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www.scopus.com/inward/record.uri?eid=2-s2.0-85087855134&amp;doi=10.1016%2fj.diabres.2020.108299&amp;partnerID=40&amp;md5=075d4fc441c552bc640d80af133f2594" TargetMode="External"/><Relationship Id="rId29" Type="http://schemas.openxmlformats.org/officeDocument/2006/relationships/hyperlink" Target="https://www.ncbi.nlm.nih.gov/pmc/articles/PMC7078829/"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458-8294" TargetMode="External"/><Relationship Id="rId24" Type="http://schemas.openxmlformats.org/officeDocument/2006/relationships/hyperlink" Target="https://care.diabetesjournals.org/content/diacare/43/Supplement_1/S193.full.pdf" TargetMode="External"/><Relationship Id="rId32" Type="http://schemas.openxmlformats.org/officeDocument/2006/relationships/hyperlink" Target="https://www.ncbi.nlm.nih.gov/pmc/articles/PMC4910510/" TargetMode="External"/><Relationship Id="rId37" Type="http://schemas.openxmlformats.org/officeDocument/2006/relationships/hyperlink" Target="https://dom-pubs.onlinelibrary.wiley.com/doi/abs/10.1111/dom.14086"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www.diabetesatlas.org/es/resources/" TargetMode="External"/><Relationship Id="rId28" Type="http://schemas.openxmlformats.org/officeDocument/2006/relationships/hyperlink" Target="https://covid19cubadata.github.io/" TargetMode="External"/><Relationship Id="rId36" Type="http://schemas.openxmlformats.org/officeDocument/2006/relationships/hyperlink" Target="https://www.scopus.com/inward/record.uri?eid=2-s2.0-85086089021&amp;doi=10.2337%2fdc20-0660&amp;partnerID=40&amp;md5=057a60ad986eea195342a5b37716c79b" TargetMode="External"/><Relationship Id="rId10" Type="http://schemas.openxmlformats.org/officeDocument/2006/relationships/hyperlink" Target="https://orcid.org/0000-0001-9499-316X" TargetMode="External"/><Relationship Id="rId19" Type="http://schemas.openxmlformats.org/officeDocument/2006/relationships/hyperlink" Target="https://www.scopus.com/inward/record.uri?eid=2-s2.0-85088011066&amp;doi=10.1186%2fs13098-020-00565-9&amp;partnerID=40&amp;md5=8b932cc30dcc834e426208ebc16f8e05" TargetMode="External"/><Relationship Id="rId31" Type="http://schemas.openxmlformats.org/officeDocument/2006/relationships/hyperlink" Target="https://www.ncbi.nlm.nih.gov/pmc/articles/PMC712097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3077-9970" TargetMode="External"/><Relationship Id="rId14" Type="http://schemas.openxmlformats.org/officeDocument/2006/relationships/image" Target="media/image2.gif"/><Relationship Id="rId22" Type="http://schemas.openxmlformats.org/officeDocument/2006/relationships/hyperlink" Target="http://files.sld.cu/bvscuba/files/2020/05/Anuario-Electr%C3%B3nico-Espa%C3%B1ol-2019-ed-2020.pdf" TargetMode="External"/><Relationship Id="rId27" Type="http://schemas.openxmlformats.org/officeDocument/2006/relationships/hyperlink" Target="http://xbyxb.csu.edu.cn/xbwk/fileup/PDF/202005530.pdf" TargetMode="External"/><Relationship Id="rId30" Type="http://schemas.openxmlformats.org/officeDocument/2006/relationships/hyperlink" Target="https://www.ncbi.nlm.nih.gov/pmc/articles/PMC7121626/" TargetMode="External"/><Relationship Id="rId35" Type="http://schemas.openxmlformats.org/officeDocument/2006/relationships/hyperlink" Target="https://www.scopus.com/inward/record.uri?eid=2-s2.0-85086792869&amp;doi=10.2337%2fdc20-0598&amp;partnerID=40&amp;md5=98144d1b276222d9d667cffb3e501b90"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TotalTime>
  <Pages>16</Pages>
  <Words>4871</Words>
  <Characters>26794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31602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11</cp:revision>
  <cp:lastPrinted>2021-02-13T22:24:00Z</cp:lastPrinted>
  <dcterms:created xsi:type="dcterms:W3CDTF">2021-02-13T22:18:00Z</dcterms:created>
  <dcterms:modified xsi:type="dcterms:W3CDTF">2021-02-13T22:29:00Z</dcterms:modified>
</cp:coreProperties>
</file>