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EA668A" w14:textId="77777777" w:rsidR="00135EC1" w:rsidRPr="00342921" w:rsidRDefault="00135EC1" w:rsidP="00135EC1">
      <w:pPr>
        <w:tabs>
          <w:tab w:val="left" w:pos="5245"/>
        </w:tabs>
        <w:spacing w:after="0" w:line="360" w:lineRule="auto"/>
        <w:jc w:val="right"/>
        <w:rPr>
          <w:rFonts w:ascii="Times New Roman" w:eastAsia="Times New Roman" w:hAnsi="Times New Roman" w:cs="Times New Roman"/>
          <w:iCs/>
          <w:sz w:val="20"/>
          <w:szCs w:val="20"/>
          <w:shd w:val="clear" w:color="auto" w:fill="FFFFFF"/>
          <w:lang w:eastAsia="es-PE"/>
        </w:rPr>
      </w:pPr>
      <w:r w:rsidRPr="00342921">
        <w:rPr>
          <w:rFonts w:ascii="Times New Roman" w:eastAsia="Times New Roman" w:hAnsi="Times New Roman" w:cs="Times New Roman"/>
          <w:iCs/>
          <w:sz w:val="20"/>
          <w:szCs w:val="20"/>
          <w:shd w:val="clear" w:color="auto" w:fill="FFFFFF"/>
          <w:lang w:eastAsia="es-PE"/>
        </w:rPr>
        <w:t>Carta al Editor</w:t>
      </w:r>
    </w:p>
    <w:p w14:paraId="676C8D34" w14:textId="77777777" w:rsidR="00135EC1" w:rsidRPr="00342921" w:rsidRDefault="00135EC1" w:rsidP="00135EC1">
      <w:pPr>
        <w:tabs>
          <w:tab w:val="left" w:pos="5245"/>
        </w:tabs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</w:pPr>
    </w:p>
    <w:p w14:paraId="4A71F242" w14:textId="77777777" w:rsidR="00135EC1" w:rsidRPr="00342921" w:rsidRDefault="00135EC1" w:rsidP="00135EC1">
      <w:pPr>
        <w:tabs>
          <w:tab w:val="left" w:pos="524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  <w:lang w:eastAsia="es-PE"/>
        </w:rPr>
      </w:pPr>
      <w:r w:rsidRPr="00342921"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  <w:lang w:eastAsia="es-PE"/>
        </w:rPr>
        <w:t>Un caso del factor Bayes en un estudio comparativo según género del miedo a la COVID-19 en Cuba</w:t>
      </w:r>
    </w:p>
    <w:p w14:paraId="1067BD2C" w14:textId="77777777" w:rsidR="00135EC1" w:rsidRPr="00342921" w:rsidRDefault="00135EC1" w:rsidP="00135EC1">
      <w:pPr>
        <w:spacing w:after="0" w:line="36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en-US" w:eastAsia="es-PE"/>
        </w:rPr>
      </w:pPr>
      <w:r w:rsidRPr="00342921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en-US" w:eastAsia="es-PE"/>
        </w:rPr>
        <w:t>A case of the Bayes factor in a comparative study according to gender of the fear of COVID-19 in Cuba</w:t>
      </w:r>
    </w:p>
    <w:p w14:paraId="76D109BD" w14:textId="77777777" w:rsidR="00135EC1" w:rsidRPr="00365BB4" w:rsidRDefault="00135EC1" w:rsidP="00135EC1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val="en-US" w:eastAsia="es-PE"/>
        </w:rPr>
      </w:pPr>
    </w:p>
    <w:p w14:paraId="4C6F7FCF" w14:textId="77777777" w:rsidR="00135EC1" w:rsidRPr="00342921" w:rsidRDefault="00135EC1" w:rsidP="00135EC1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</w:pP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>Cristian Antony Ramos Vera</w:t>
      </w: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vertAlign w:val="superscript"/>
          <w:lang w:eastAsia="es-PE"/>
        </w:rPr>
        <w:t>1</w:t>
      </w: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 xml:space="preserve">* </w:t>
      </w:r>
      <w:hyperlink r:id="rId6" w:history="1">
        <w:r w:rsidRPr="00342921">
          <w:rPr>
            <w:rStyle w:val="Hipervnculo"/>
            <w:rFonts w:ascii="Times New Roman" w:eastAsia="Times New Roman" w:hAnsi="Times New Roman" w:cs="Times New Roman"/>
            <w:iCs/>
            <w:sz w:val="24"/>
            <w:szCs w:val="24"/>
            <w:shd w:val="clear" w:color="auto" w:fill="FFFFFF"/>
            <w:lang w:eastAsia="es-PE"/>
          </w:rPr>
          <w:t>https://orcid.org/0000-0002-3417-5701</w:t>
        </w:r>
      </w:hyperlink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 xml:space="preserve"> </w:t>
      </w:r>
    </w:p>
    <w:p w14:paraId="6C87149E" w14:textId="77777777" w:rsidR="00135EC1" w:rsidRPr="00342921" w:rsidRDefault="00135EC1" w:rsidP="00135EC1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</w:pPr>
    </w:p>
    <w:p w14:paraId="152EEB3C" w14:textId="77777777" w:rsidR="00135EC1" w:rsidRPr="00342921" w:rsidRDefault="00135EC1" w:rsidP="00135EC1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</w:pP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vertAlign w:val="superscript"/>
          <w:lang w:eastAsia="es-PE"/>
        </w:rPr>
        <w:t>1</w:t>
      </w: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>Facultad de Ciencias de la Salud. Universidad Cesar Vallejo. Lima, Perú.</w:t>
      </w:r>
    </w:p>
    <w:p w14:paraId="469987D3" w14:textId="77777777" w:rsidR="00135EC1" w:rsidRPr="00342921" w:rsidRDefault="00135EC1" w:rsidP="00135EC1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</w:pP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 xml:space="preserve">*Correspondencia. Correo electrónico: </w:t>
      </w:r>
      <w:hyperlink r:id="rId7" w:history="1">
        <w:r w:rsidRPr="00342921">
          <w:rPr>
            <w:rStyle w:val="Hipervnculo"/>
            <w:rFonts w:ascii="Times New Roman" w:eastAsia="Times New Roman" w:hAnsi="Times New Roman" w:cs="Times New Roman"/>
            <w:iCs/>
            <w:sz w:val="24"/>
            <w:szCs w:val="24"/>
            <w:shd w:val="clear" w:color="auto" w:fill="FFFFFF"/>
            <w:lang w:eastAsia="es-PE"/>
          </w:rPr>
          <w:t>cristony_777@hotmail.com</w:t>
        </w:r>
      </w:hyperlink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 xml:space="preserve"> </w:t>
      </w:r>
    </w:p>
    <w:p w14:paraId="0AFC7628" w14:textId="77777777" w:rsidR="00135EC1" w:rsidRPr="00342921" w:rsidRDefault="00135EC1" w:rsidP="00135EC1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</w:pPr>
    </w:p>
    <w:p w14:paraId="124DA178" w14:textId="77777777" w:rsidR="00135EC1" w:rsidRPr="00342921" w:rsidRDefault="00135EC1" w:rsidP="00135EC1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</w:pP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>Sr. Editor</w:t>
      </w: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>;</w:t>
      </w:r>
    </w:p>
    <w:p w14:paraId="47383044" w14:textId="77777777" w:rsidR="00135EC1" w:rsidRPr="00342921" w:rsidRDefault="00135EC1" w:rsidP="00135EC1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</w:pP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>De acuerdo con un estudio cubano reciente, que compara las diferencias según género, del miedo a la COVID-19, a través de la prueba estadística t de Student de dos muestras,</w:t>
      </w: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vertAlign w:val="superscript"/>
          <w:lang w:eastAsia="es-PE"/>
        </w:rPr>
        <w:t>(1)</w:t>
      </w: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 xml:space="preserve"> reporta mayor nivel de miedo a la COVID-19 en las mujeres. Este análisis comparativo es uno de los más utilizados en las ciencias médicas</w:t>
      </w: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>,</w:t>
      </w: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vertAlign w:val="superscript"/>
          <w:lang w:eastAsia="es-PE"/>
        </w:rPr>
        <w:t>(2)</w:t>
      </w: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 xml:space="preserve"> basado en la prueba de significa</w:t>
      </w: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>ción</w:t>
      </w: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 xml:space="preserve"> de la hipótesis nula (NHST, siglas en inglés) “p</w:t>
      </w: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> </w:t>
      </w:r>
      <w:r w:rsidRPr="00342921">
        <w:rPr>
          <w:rFonts w:ascii="Times New Roman" w:hAnsi="Times New Roman" w:cs="Times New Roman"/>
          <w:sz w:val="24"/>
          <w:shd w:val="clear" w:color="auto" w:fill="FFFFFF"/>
        </w:rPr>
        <w:t>&lt;</w:t>
      </w:r>
      <w:r>
        <w:rPr>
          <w:rFonts w:ascii="Times New Roman" w:hAnsi="Times New Roman" w:cs="Times New Roman"/>
          <w:sz w:val="24"/>
          <w:shd w:val="clear" w:color="auto" w:fill="FFFFFF"/>
        </w:rPr>
        <w:t> </w:t>
      </w: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>0,05” (estadística frecuentista) que permite rechazar la hipótesis nula (no diferencia) y brinda mayor confianza de verosimilitud al investigador</w:t>
      </w: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>,</w:t>
      </w: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 xml:space="preserve"> a asumir la hipótesis alterna (diferencia) dado la muestra de estudio, que ha presentado algunos cuestionamientos.</w:t>
      </w: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vertAlign w:val="superscript"/>
          <w:lang w:eastAsia="es-PE"/>
        </w:rPr>
        <w:t>(2)</w:t>
      </w:r>
    </w:p>
    <w:p w14:paraId="51A078F8" w14:textId="77777777" w:rsidR="00135EC1" w:rsidRPr="00342921" w:rsidRDefault="00135EC1" w:rsidP="00135EC1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</w:pP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>La estadística bayesiana</w:t>
      </w: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>,</w:t>
      </w: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 xml:space="preserve"> también permite contrastar dos hipótesis opuestas mediante probabilidades a </w:t>
      </w:r>
      <w:r w:rsidRPr="0034292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es-PE"/>
        </w:rPr>
        <w:t xml:space="preserve">priori </w:t>
      </w: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>y</w:t>
      </w:r>
      <w:r w:rsidRPr="0034292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es-PE"/>
        </w:rPr>
        <w:t xml:space="preserve"> posteriori</w:t>
      </w: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 xml:space="preserve"> dado</w:t>
      </w: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>s</w:t>
      </w: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 xml:space="preserve"> los datos, cuya utilidad es más idónea para reforzar las pruebas de significa</w:t>
      </w: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>ción</w:t>
      </w: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 xml:space="preserve"> estadística que se basan en el rendimiento promedio hipotético al realizar una serie de repeticiones idénticas del estudio efectuado.</w:t>
      </w: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vertAlign w:val="superscript"/>
          <w:lang w:eastAsia="es-PE"/>
        </w:rPr>
        <w:t>(2)</w:t>
      </w: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 xml:space="preserve"> Además, cuando se cuenta con hallazgos de significa</w:t>
      </w: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>ción</w:t>
      </w: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>, el modelo bayesiano puede ser una alternativa metodológica de replicación estadística</w:t>
      </w: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>.</w:t>
      </w: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vertAlign w:val="superscript"/>
          <w:lang w:eastAsia="es-PE"/>
        </w:rPr>
        <w:t>(3,4)</w:t>
      </w: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 xml:space="preserve"> Desde este enfoque específicamente, el factor </w:t>
      </w:r>
      <w:r w:rsidRPr="00866A4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es-PE"/>
        </w:rPr>
        <w:t>Bayes</w:t>
      </w: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 xml:space="preserve"> es el método alternativo para evaluar las hipótesis de significa</w:t>
      </w: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>ción</w:t>
      </w: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 xml:space="preserve">, el cual estima el grado en que los datos apoyan a ambas hipótesis, a partir del esquema de clasificación de </w:t>
      </w:r>
      <w:r w:rsidRPr="00866A4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es-PE"/>
        </w:rPr>
        <w:t>Jeffreys</w:t>
      </w: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>:</w:t>
      </w: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vertAlign w:val="superscript"/>
          <w:lang w:eastAsia="es-PE"/>
        </w:rPr>
        <w:t>(5)</w:t>
      </w: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 xml:space="preserve"> débil, moderado, fuerte, muy fuerte y extrema</w:t>
      </w: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 xml:space="preserve"> </w:t>
      </w: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 xml:space="preserve">(tabla 1). </w:t>
      </w:r>
    </w:p>
    <w:p w14:paraId="144D9AE3" w14:textId="77777777" w:rsidR="00135EC1" w:rsidRPr="00342921" w:rsidRDefault="00135EC1" w:rsidP="00135EC1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</w:pP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lastRenderedPageBreak/>
        <w:t xml:space="preserve">Para el presente ejemplo del factor </w:t>
      </w:r>
      <w:r w:rsidRPr="00B1557C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es-PE"/>
        </w:rPr>
        <w:t>Bayes</w:t>
      </w: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 xml:space="preserve">, se requiere el valor t (6,6) y los tamaños de muestra de ambos grupos (569 mujeres y 203 varones) reportado por </w:t>
      </w:r>
      <w:r w:rsidRPr="0034292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es-PE"/>
        </w:rPr>
        <w:t>Broche-Pérez</w:t>
      </w: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 xml:space="preserve"> y otros</w:t>
      </w: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>,</w:t>
      </w: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vertAlign w:val="superscript"/>
          <w:lang w:eastAsia="es-PE"/>
        </w:rPr>
        <w:t>(1)</w:t>
      </w: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 xml:space="preserve"> quienes compararon la puntuación general de la escala del miedo a la COVID-19</w:t>
      </w: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vertAlign w:val="superscript"/>
          <w:lang w:eastAsia="es-PE"/>
        </w:rPr>
        <w:t xml:space="preserve">(6) </w:t>
      </w: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>que fue traducido y adaptado al contexto cubano. Estos autores refieren que en promedio</w:t>
      </w: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>,</w:t>
      </w: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 xml:space="preserve"> las mujeres experimentan más el miedo que los hombres, aun así </w:t>
      </w: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>5</w:t>
      </w: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 xml:space="preserve"> de los </w:t>
      </w: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>7</w:t>
      </w: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>í</w:t>
      </w: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>tems del instrumento utilizado, presentan diferencias en las medias de efecto pequeño (d</w:t>
      </w: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> </w:t>
      </w: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>&gt;</w:t>
      </w: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> </w:t>
      </w: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>0,2)</w:t>
      </w: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>,</w:t>
      </w: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vertAlign w:val="superscript"/>
          <w:lang w:eastAsia="es-PE"/>
        </w:rPr>
        <w:t>(1)</w:t>
      </w: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 xml:space="preserve"> por lo cual es importante reforzar dichos hallazgos. En cuanto al factor </w:t>
      </w:r>
      <w:r w:rsidRPr="002F62D3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es-PE"/>
        </w:rPr>
        <w:t>Bayes</w:t>
      </w: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>, este permite inferir dos interpretaciones: FB</w:t>
      </w: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vertAlign w:val="subscript"/>
          <w:lang w:eastAsia="es-PE"/>
        </w:rPr>
        <w:t>10</w:t>
      </w: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 xml:space="preserve"> (a favor de la hipótesis alternativa de diferencia) y BF</w:t>
      </w: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vertAlign w:val="subscript"/>
          <w:lang w:eastAsia="es-PE"/>
        </w:rPr>
        <w:t>01</w:t>
      </w: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 xml:space="preserve"> (a favor de la hipótesis nula de falta de no diferencia) y el intervalo de credibilidad dado</w:t>
      </w: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>s</w:t>
      </w: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 xml:space="preserve"> los datos</w:t>
      </w: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>,</w:t>
      </w: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vertAlign w:val="superscript"/>
          <w:lang w:eastAsia="es-PE"/>
        </w:rPr>
        <w:t>(4)</w:t>
      </w: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 xml:space="preserve"> ante la evidencia de la hipótesis alterna (diferencia de medias), este análisis se enfoca en el grado de certeza de esta hipótesis. </w:t>
      </w:r>
    </w:p>
    <w:p w14:paraId="003BB350" w14:textId="77777777" w:rsidR="00135EC1" w:rsidRPr="00342921" w:rsidRDefault="00135EC1" w:rsidP="00135EC1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</w:pP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 xml:space="preserve">Los resultados, obtenidos mediante el factor </w:t>
      </w:r>
      <w:r w:rsidRPr="002F62D3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es-PE"/>
        </w:rPr>
        <w:t>Bayes</w:t>
      </w: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>,</w:t>
      </w: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 xml:space="preserve"> son BF</w:t>
      </w: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vertAlign w:val="subscript"/>
          <w:lang w:eastAsia="es-PE"/>
        </w:rPr>
        <w:t>10 </w:t>
      </w: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>= 9,56e+7 y BF</w:t>
      </w: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vertAlign w:val="subscript"/>
          <w:lang w:eastAsia="es-PE"/>
        </w:rPr>
        <w:t>01 </w:t>
      </w: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 xml:space="preserve">= 7,311e-13 e IC </w:t>
      </w: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>(</w:t>
      </w: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>0,192 a 0,359</w:t>
      </w: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>)</w:t>
      </w: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 xml:space="preserve">. Estos hallazgos refieren una evidencia extrema a favor de la hipótesis estadística alterna (diferencia). </w:t>
      </w:r>
    </w:p>
    <w:p w14:paraId="0D5AA40F" w14:textId="77777777" w:rsidR="00135EC1" w:rsidRPr="00342921" w:rsidRDefault="00135EC1" w:rsidP="00135EC1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</w:pP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 xml:space="preserve">Según el estudio de </w:t>
      </w:r>
      <w:r w:rsidRPr="0034292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es-PE"/>
        </w:rPr>
        <w:t>Broche-Pérez</w:t>
      </w: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 xml:space="preserve"> y otros</w:t>
      </w: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>,</w:t>
      </w: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vertAlign w:val="superscript"/>
          <w:lang w:eastAsia="es-PE"/>
        </w:rPr>
        <w:t>(1)</w:t>
      </w: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 xml:space="preserve"> se tuvo como objetivo predefinido</w:t>
      </w: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>,</w:t>
      </w: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 xml:space="preserve"> a partir de la evidencia de la literatura científica</w:t>
      </w: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>,</w:t>
      </w: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 xml:space="preserve"> de una mayor prevalencia del miedo a la COVID-19 en el género femenino, evaluar una diferencia favorable a las mujeres mediante las pruebas de significa</w:t>
      </w: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>ción</w:t>
      </w: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 xml:space="preserve"> “p</w:t>
      </w: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> </w:t>
      </w:r>
      <w:r w:rsidRPr="00342921">
        <w:rPr>
          <w:rFonts w:ascii="Times New Roman" w:hAnsi="Times New Roman" w:cs="Times New Roman"/>
          <w:sz w:val="24"/>
          <w:shd w:val="clear" w:color="auto" w:fill="FFFFFF"/>
        </w:rPr>
        <w:t>&lt;</w:t>
      </w:r>
      <w:r>
        <w:rPr>
          <w:rFonts w:ascii="Times New Roman" w:hAnsi="Times New Roman" w:cs="Times New Roman"/>
          <w:sz w:val="24"/>
          <w:shd w:val="clear" w:color="auto" w:fill="FFFFFF"/>
        </w:rPr>
        <w:t> </w:t>
      </w: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 xml:space="preserve">0,05”, este modelo estadístico es menos apropiado cuando los objetivos buscan confirmar la hipótesis alterna (diferencia). </w:t>
      </w:r>
    </w:p>
    <w:p w14:paraId="69549C6E" w14:textId="77777777" w:rsidR="00135EC1" w:rsidRPr="00342921" w:rsidRDefault="00135EC1" w:rsidP="00135EC1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</w:pP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 xml:space="preserve">El factor </w:t>
      </w:r>
      <w:r w:rsidRPr="00A6563C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es-PE"/>
        </w:rPr>
        <w:t>Bayes</w:t>
      </w: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 xml:space="preserve"> es más idóneo en investigaciones clínicas</w:t>
      </w: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>,</w:t>
      </w: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 xml:space="preserve"> cuyo objetivo es confirmar la diferencia de medias entre grupos,</w:t>
      </w: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vertAlign w:val="superscript"/>
          <w:lang w:eastAsia="es-PE"/>
        </w:rPr>
        <w:t>(7)</w:t>
      </w: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 xml:space="preserve"> debido a que permite precisar el nivel de certeza de la hipótesis alterna</w:t>
      </w: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>,</w:t>
      </w: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 xml:space="preserve"> más allá de las limitaciones del poder estadístico y el tamaño muestral</w:t>
      </w: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>,</w:t>
      </w: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 xml:space="preserve"> que favorecen falsos positivos (errores de tipo I)</w:t>
      </w: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vertAlign w:val="superscript"/>
          <w:lang w:eastAsia="es-PE"/>
        </w:rPr>
        <w:t>(8)</w:t>
      </w: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 xml:space="preserve"> y la inestabilidad de los tamaños de efecto en los estudios según el enfoque NHST,</w:t>
      </w: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vertAlign w:val="superscript"/>
          <w:lang w:eastAsia="es-PE"/>
        </w:rPr>
        <w:t>(9)</w:t>
      </w: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 xml:space="preserve"> cuyas pautas de interpretación</w:t>
      </w: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>,</w:t>
      </w: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 xml:space="preserve"> pueden variar en diversas disciplinas de las ciencias de la salud.</w:t>
      </w: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vertAlign w:val="superscript"/>
          <w:lang w:eastAsia="es-PE"/>
        </w:rPr>
        <w:t>(9)</w:t>
      </w:r>
    </w:p>
    <w:p w14:paraId="6E020D05" w14:textId="77777777" w:rsidR="00135EC1" w:rsidRPr="00342921" w:rsidRDefault="00135EC1" w:rsidP="00135EC1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</w:pP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>Durante el contexto pandémico</w:t>
      </w: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>,</w:t>
      </w: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 xml:space="preserve"> se ha</w:t>
      </w: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>n</w:t>
      </w: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 xml:space="preserve"> incrementado diversas investigaciones</w:t>
      </w: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>,</w:t>
      </w: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 xml:space="preserve"> que comparan las puntuaciones de los instrumentos o encuestas de salud validadas que miden las percepciones, sentimientos, pensamientos y reacciones del impacto de la COVID-19</w:t>
      </w: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>.</w:t>
      </w: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>La</w:t>
      </w: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 xml:space="preserve"> inclusión del factor </w:t>
      </w:r>
      <w:r w:rsidRPr="00A6563C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es-PE"/>
        </w:rPr>
        <w:t>Bayes</w:t>
      </w: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>,</w:t>
      </w: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 xml:space="preserve"> permite brindar información adicional y más precisa</w:t>
      </w: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>,</w:t>
      </w: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 xml:space="preserve"> más allá del rechazo o aceptación de la hipótesis nula de los efectos verdaderos</w:t>
      </w: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>,</w:t>
      </w: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 xml:space="preserve"> dado</w:t>
      </w: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>s</w:t>
      </w: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 xml:space="preserve"> los datos respectivos.</w:t>
      </w: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vertAlign w:val="superscript"/>
          <w:lang w:eastAsia="es-PE"/>
        </w:rPr>
        <w:t>(10)</w:t>
      </w:r>
    </w:p>
    <w:p w14:paraId="5FBA5BCC" w14:textId="77777777" w:rsidR="00135EC1" w:rsidRPr="00342921" w:rsidRDefault="00135EC1" w:rsidP="00135EC1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</w:pP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lastRenderedPageBreak/>
        <w:t>El enfoque bayesiano es de gran utilidad en otros análisis y reanálisis cuantitativos clínicos</w:t>
      </w: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>,</w:t>
      </w: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vertAlign w:val="superscript"/>
          <w:lang w:eastAsia="es-PE"/>
        </w:rPr>
        <w:t>(2,4,8)</w:t>
      </w: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 xml:space="preserve"> además permite reforzar las investigaciones cuantitativas sistemáticas de las ciencias de la salud que usen dichas pruebas estadísticas para brindar una mayor credibilidad a los estudios metaanalíticos</w:t>
      </w: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>.</w:t>
      </w: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>P</w:t>
      </w: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>or lo tanto, esta carta es un aporte metodológico para futuros artículos de la presente revista.</w:t>
      </w:r>
    </w:p>
    <w:p w14:paraId="0B607901" w14:textId="77777777" w:rsidR="00135EC1" w:rsidRPr="00342921" w:rsidRDefault="00135EC1" w:rsidP="00135EC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</w:p>
    <w:p w14:paraId="0F0ED151" w14:textId="77777777" w:rsidR="00135EC1" w:rsidRPr="00A6563C" w:rsidRDefault="00135EC1" w:rsidP="00135EC1">
      <w:pPr>
        <w:spacing w:after="0" w:line="360" w:lineRule="auto"/>
        <w:jc w:val="center"/>
        <w:rPr>
          <w:rFonts w:ascii="Times New Roman" w:eastAsia="Times New Roman" w:hAnsi="Times New Roman" w:cs="Times New Roman"/>
          <w:iCs/>
          <w:shd w:val="clear" w:color="auto" w:fill="FFFFFF"/>
          <w:lang w:eastAsia="es-PE"/>
        </w:rPr>
      </w:pPr>
      <w:r w:rsidRPr="00A6563C">
        <w:rPr>
          <w:rFonts w:ascii="Times New Roman" w:eastAsia="Times New Roman" w:hAnsi="Times New Roman" w:cs="Times New Roman"/>
          <w:b/>
          <w:bCs/>
          <w:lang w:eastAsia="es-PE"/>
        </w:rPr>
        <w:t>Tabla 1 -</w:t>
      </w:r>
      <w:r w:rsidRPr="00A6563C">
        <w:rPr>
          <w:rFonts w:ascii="Times New Roman" w:eastAsia="Times New Roman" w:hAnsi="Times New Roman" w:cs="Times New Roman"/>
          <w:lang w:eastAsia="es-PE"/>
        </w:rPr>
        <w:t xml:space="preserve"> Valores de interpretación cuantificable del factor </w:t>
      </w:r>
      <w:r w:rsidRPr="00A6563C">
        <w:rPr>
          <w:rFonts w:ascii="Times New Roman" w:eastAsia="Times New Roman" w:hAnsi="Times New Roman" w:cs="Times New Roman"/>
          <w:i/>
          <w:iCs/>
          <w:lang w:eastAsia="es-PE"/>
        </w:rPr>
        <w:t>Bayes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1343"/>
        <w:gridCol w:w="1625"/>
      </w:tblGrid>
      <w:tr w:rsidR="00135EC1" w:rsidRPr="00A6563C" w14:paraId="29BF7067" w14:textId="77777777" w:rsidTr="00247AA4">
        <w:trPr>
          <w:trHeight w:val="26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680BB82" w14:textId="77777777" w:rsidR="00135EC1" w:rsidRPr="00A6563C" w:rsidRDefault="00135EC1" w:rsidP="00247AA4">
            <w:pPr>
              <w:tabs>
                <w:tab w:val="left" w:pos="1778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</w:pPr>
            <w:r w:rsidRPr="00A6563C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s-PE"/>
              </w:rPr>
              <w:t>&gt; 100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53A65513" w14:textId="77777777" w:rsidR="00135EC1" w:rsidRPr="00A6563C" w:rsidRDefault="00135EC1" w:rsidP="00247AA4">
            <w:pPr>
              <w:tabs>
                <w:tab w:val="left" w:pos="1778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</w:pPr>
            <w:r w:rsidRPr="00A6563C"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  <w:t>Extrema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1A947E" w14:textId="77777777" w:rsidR="00135EC1" w:rsidRPr="00A6563C" w:rsidRDefault="00135EC1" w:rsidP="00247AA4">
            <w:pPr>
              <w:tabs>
                <w:tab w:val="left" w:pos="1778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</w:pPr>
            <w:r w:rsidRPr="00A6563C"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  <w:t>Hipótesis alternativa</w:t>
            </w:r>
          </w:p>
        </w:tc>
      </w:tr>
      <w:tr w:rsidR="00135EC1" w:rsidRPr="00A6563C" w14:paraId="7A98E0F7" w14:textId="77777777" w:rsidTr="00247AA4">
        <w:trPr>
          <w:trHeight w:val="26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47F5F6" w14:textId="77777777" w:rsidR="00135EC1" w:rsidRPr="00A6563C" w:rsidRDefault="00135EC1" w:rsidP="00247AA4">
            <w:pPr>
              <w:tabs>
                <w:tab w:val="left" w:pos="1778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</w:pPr>
            <w:r w:rsidRPr="00A6563C"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  <w:t>30 – 100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14:paraId="53B3B056" w14:textId="77777777" w:rsidR="00135EC1" w:rsidRPr="00A6563C" w:rsidRDefault="00135EC1" w:rsidP="00247AA4">
            <w:pPr>
              <w:tabs>
                <w:tab w:val="left" w:pos="1778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</w:pPr>
            <w:r w:rsidRPr="00A6563C"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  <w:t>Muy fuerte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80C882" w14:textId="77777777" w:rsidR="00135EC1" w:rsidRPr="00A6563C" w:rsidRDefault="00135EC1" w:rsidP="00247AA4">
            <w:pPr>
              <w:tabs>
                <w:tab w:val="left" w:pos="1778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</w:pPr>
            <w:r w:rsidRPr="00A6563C"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  <w:t>Hipótesis alternativa</w:t>
            </w:r>
          </w:p>
        </w:tc>
      </w:tr>
      <w:tr w:rsidR="00135EC1" w:rsidRPr="00A6563C" w14:paraId="4057AF18" w14:textId="77777777" w:rsidTr="00247AA4">
        <w:trPr>
          <w:trHeight w:val="252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55FB5758" w14:textId="77777777" w:rsidR="00135EC1" w:rsidRPr="00A6563C" w:rsidRDefault="00135EC1" w:rsidP="00247AA4">
            <w:pPr>
              <w:tabs>
                <w:tab w:val="left" w:pos="1778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</w:pPr>
            <w:r w:rsidRPr="00A6563C"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  <w:t>10 – 30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14:paraId="2652AF4D" w14:textId="77777777" w:rsidR="00135EC1" w:rsidRPr="00A6563C" w:rsidRDefault="00135EC1" w:rsidP="00247AA4">
            <w:pPr>
              <w:tabs>
                <w:tab w:val="left" w:pos="1778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</w:pPr>
            <w:r w:rsidRPr="00A6563C"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  <w:t>Fuerte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1BD8C4" w14:textId="77777777" w:rsidR="00135EC1" w:rsidRPr="00A6563C" w:rsidRDefault="00135EC1" w:rsidP="00247AA4">
            <w:pPr>
              <w:tabs>
                <w:tab w:val="left" w:pos="1778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</w:pPr>
            <w:r w:rsidRPr="00A6563C"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  <w:t>Hipótesis alternativa</w:t>
            </w:r>
          </w:p>
        </w:tc>
      </w:tr>
      <w:tr w:rsidR="00135EC1" w:rsidRPr="00A6563C" w14:paraId="72B445F4" w14:textId="77777777" w:rsidTr="00247AA4">
        <w:trPr>
          <w:trHeight w:val="252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7EE50807" w14:textId="77777777" w:rsidR="00135EC1" w:rsidRPr="00A6563C" w:rsidRDefault="00135EC1" w:rsidP="00247AA4">
            <w:pPr>
              <w:tabs>
                <w:tab w:val="left" w:pos="1778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</w:pPr>
            <w:r w:rsidRPr="00A6563C"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  <w:t>3,1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  <w:t xml:space="preserve"> – </w:t>
            </w:r>
            <w:r w:rsidRPr="00A6563C"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  <w:t>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  <w:t xml:space="preserve"> 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14:paraId="3371EC5B" w14:textId="77777777" w:rsidR="00135EC1" w:rsidRPr="00A6563C" w:rsidRDefault="00135EC1" w:rsidP="00247AA4">
            <w:pPr>
              <w:tabs>
                <w:tab w:val="left" w:pos="1778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</w:pPr>
            <w:r w:rsidRPr="00A6563C"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  <w:t>Moderado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85239E" w14:textId="77777777" w:rsidR="00135EC1" w:rsidRPr="00A6563C" w:rsidRDefault="00135EC1" w:rsidP="00247AA4">
            <w:pPr>
              <w:tabs>
                <w:tab w:val="left" w:pos="1778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</w:pPr>
            <w:r w:rsidRPr="00A6563C"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  <w:t>Hipótesis alternativa</w:t>
            </w:r>
          </w:p>
        </w:tc>
      </w:tr>
      <w:tr w:rsidR="00135EC1" w:rsidRPr="00A6563C" w14:paraId="01A2BA66" w14:textId="77777777" w:rsidTr="00247AA4">
        <w:trPr>
          <w:trHeight w:val="252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08EC8E84" w14:textId="77777777" w:rsidR="00135EC1" w:rsidRPr="00A6563C" w:rsidRDefault="00135EC1" w:rsidP="00247AA4">
            <w:pPr>
              <w:tabs>
                <w:tab w:val="left" w:pos="1778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</w:pPr>
            <w:r w:rsidRPr="00A6563C"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  <w:t>1,1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  <w:t xml:space="preserve"> – </w:t>
            </w:r>
            <w:r w:rsidRPr="00A6563C"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  <w:t xml:space="preserve"> 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14:paraId="76240E94" w14:textId="77777777" w:rsidR="00135EC1" w:rsidRPr="00A6563C" w:rsidRDefault="00135EC1" w:rsidP="00247AA4">
            <w:pPr>
              <w:tabs>
                <w:tab w:val="left" w:pos="1778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</w:pPr>
            <w:r w:rsidRPr="00A6563C"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  <w:t>Débil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503F8C" w14:textId="77777777" w:rsidR="00135EC1" w:rsidRPr="00A6563C" w:rsidRDefault="00135EC1" w:rsidP="00247AA4">
            <w:pPr>
              <w:tabs>
                <w:tab w:val="left" w:pos="1778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</w:pPr>
            <w:r w:rsidRPr="00A6563C"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  <w:t>Hipótesis alternativa</w:t>
            </w:r>
          </w:p>
        </w:tc>
      </w:tr>
      <w:tr w:rsidR="00135EC1" w:rsidRPr="00A6563C" w14:paraId="764B6254" w14:textId="77777777" w:rsidTr="00247AA4">
        <w:trPr>
          <w:trHeight w:val="252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5AD59B0B" w14:textId="77777777" w:rsidR="00135EC1" w:rsidRPr="00A6563C" w:rsidRDefault="00135EC1" w:rsidP="00247AA4">
            <w:pPr>
              <w:tabs>
                <w:tab w:val="left" w:pos="1778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</w:pPr>
            <w:r w:rsidRPr="00A6563C"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  <w:t>1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14:paraId="4FA9D37B" w14:textId="77777777" w:rsidR="00135EC1" w:rsidRPr="00A6563C" w:rsidRDefault="00135EC1" w:rsidP="00247AA4">
            <w:pPr>
              <w:tabs>
                <w:tab w:val="left" w:pos="1205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</w:pPr>
            <w:r w:rsidRPr="00A6563C"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22FCDC" w14:textId="77777777" w:rsidR="00135EC1" w:rsidRPr="00A6563C" w:rsidRDefault="00135EC1" w:rsidP="00247AA4">
            <w:pPr>
              <w:tabs>
                <w:tab w:val="left" w:pos="1778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</w:pPr>
            <w:r w:rsidRPr="00A6563C"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  <w:t>No evidencia</w:t>
            </w:r>
          </w:p>
        </w:tc>
      </w:tr>
      <w:tr w:rsidR="00135EC1" w:rsidRPr="00A6563C" w14:paraId="6B0F0B4B" w14:textId="77777777" w:rsidTr="00247AA4">
        <w:trPr>
          <w:trHeight w:val="252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45082B9F" w14:textId="77777777" w:rsidR="00135EC1" w:rsidRPr="00A6563C" w:rsidRDefault="00135EC1" w:rsidP="00247AA4">
            <w:pPr>
              <w:tabs>
                <w:tab w:val="left" w:pos="1778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</w:pPr>
            <w:r w:rsidRPr="00A6563C"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  <w:t>0,3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  <w:t xml:space="preserve"> </w:t>
            </w:r>
            <w:r w:rsidRPr="00A6563C"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  <w:t xml:space="preserve"> </w:t>
            </w:r>
            <w:r w:rsidRPr="00A6563C"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  <w:t>0,9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  <w:t xml:space="preserve"> 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14:paraId="657E5D62" w14:textId="77777777" w:rsidR="00135EC1" w:rsidRPr="00A6563C" w:rsidRDefault="00135EC1" w:rsidP="00247AA4">
            <w:pPr>
              <w:tabs>
                <w:tab w:val="left" w:pos="1778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</w:pPr>
            <w:r w:rsidRPr="00A6563C"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  <w:t>Débil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D164A6" w14:textId="77777777" w:rsidR="00135EC1" w:rsidRPr="00A6563C" w:rsidRDefault="00135EC1" w:rsidP="00247AA4">
            <w:pPr>
              <w:tabs>
                <w:tab w:val="left" w:pos="1778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</w:pPr>
            <w:r w:rsidRPr="00A6563C"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  <w:t>Hipótesis nula</w:t>
            </w:r>
          </w:p>
        </w:tc>
      </w:tr>
      <w:tr w:rsidR="00135EC1" w:rsidRPr="00A6563C" w14:paraId="698FC5E1" w14:textId="77777777" w:rsidTr="00247AA4">
        <w:trPr>
          <w:trHeight w:val="252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3B313807" w14:textId="77777777" w:rsidR="00135EC1" w:rsidRPr="00A6563C" w:rsidRDefault="00135EC1" w:rsidP="00247AA4">
            <w:pPr>
              <w:tabs>
                <w:tab w:val="left" w:pos="1778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</w:pPr>
            <w:r w:rsidRPr="00A6563C"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  <w:t>0,3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  <w:t xml:space="preserve"> </w:t>
            </w:r>
            <w:r w:rsidRPr="00A6563C"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  <w:t xml:space="preserve"> </w:t>
            </w:r>
            <w:r w:rsidRPr="00A6563C"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  <w:t>0,1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14:paraId="6A3F4114" w14:textId="77777777" w:rsidR="00135EC1" w:rsidRPr="00A6563C" w:rsidRDefault="00135EC1" w:rsidP="00247AA4">
            <w:pPr>
              <w:tabs>
                <w:tab w:val="left" w:pos="1778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</w:pPr>
            <w:r w:rsidRPr="00A6563C"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  <w:t>Moderado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B0829F" w14:textId="77777777" w:rsidR="00135EC1" w:rsidRPr="00A6563C" w:rsidRDefault="00135EC1" w:rsidP="00247AA4">
            <w:pPr>
              <w:tabs>
                <w:tab w:val="left" w:pos="1778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</w:pPr>
            <w:r w:rsidRPr="00A6563C"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  <w:t>Hipótesis nula</w:t>
            </w:r>
          </w:p>
        </w:tc>
      </w:tr>
      <w:tr w:rsidR="00135EC1" w:rsidRPr="00A6563C" w14:paraId="3E84C587" w14:textId="77777777" w:rsidTr="00247AA4">
        <w:trPr>
          <w:trHeight w:val="252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4BA74AD0" w14:textId="77777777" w:rsidR="00135EC1" w:rsidRPr="00A6563C" w:rsidRDefault="00135EC1" w:rsidP="00247AA4">
            <w:pPr>
              <w:tabs>
                <w:tab w:val="left" w:pos="1778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</w:pPr>
            <w:r w:rsidRPr="00A6563C"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  <w:t>0,1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  <w:t xml:space="preserve"> </w:t>
            </w:r>
            <w:r w:rsidRPr="00A6563C"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  <w:t xml:space="preserve"> </w:t>
            </w:r>
            <w:r w:rsidRPr="00A6563C"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  <w:t>0,03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14:paraId="6BEDF3FD" w14:textId="77777777" w:rsidR="00135EC1" w:rsidRPr="00A6563C" w:rsidRDefault="00135EC1" w:rsidP="00247AA4">
            <w:pPr>
              <w:tabs>
                <w:tab w:val="left" w:pos="1778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</w:pPr>
            <w:r w:rsidRPr="00A6563C"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  <w:t>Fuerte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B6165D" w14:textId="77777777" w:rsidR="00135EC1" w:rsidRPr="00A6563C" w:rsidRDefault="00135EC1" w:rsidP="00247AA4">
            <w:pPr>
              <w:tabs>
                <w:tab w:val="left" w:pos="1778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</w:pPr>
            <w:r w:rsidRPr="00A6563C"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  <w:t>Hipótesis nula</w:t>
            </w:r>
          </w:p>
        </w:tc>
      </w:tr>
      <w:tr w:rsidR="00135EC1" w:rsidRPr="00A6563C" w14:paraId="217519FE" w14:textId="77777777" w:rsidTr="00247AA4">
        <w:trPr>
          <w:trHeight w:val="26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9A9A6C" w14:textId="77777777" w:rsidR="00135EC1" w:rsidRPr="00A6563C" w:rsidRDefault="00135EC1" w:rsidP="00247AA4">
            <w:pPr>
              <w:tabs>
                <w:tab w:val="left" w:pos="1778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</w:pPr>
            <w:r w:rsidRPr="00A6563C"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  <w:t>0,03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  <w:t xml:space="preserve"> </w:t>
            </w:r>
            <w:r w:rsidRPr="00A6563C"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  <w:t xml:space="preserve"> </w:t>
            </w:r>
            <w:r w:rsidRPr="00A6563C"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  <w:t>0,01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14:paraId="7422D48F" w14:textId="77777777" w:rsidR="00135EC1" w:rsidRPr="00A6563C" w:rsidRDefault="00135EC1" w:rsidP="00247AA4">
            <w:pPr>
              <w:tabs>
                <w:tab w:val="left" w:pos="1778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</w:pPr>
            <w:r w:rsidRPr="00A6563C"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  <w:t>Muy fuerte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415C0B" w14:textId="77777777" w:rsidR="00135EC1" w:rsidRPr="00A6563C" w:rsidRDefault="00135EC1" w:rsidP="00247AA4">
            <w:pPr>
              <w:tabs>
                <w:tab w:val="left" w:pos="1778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</w:pPr>
            <w:r w:rsidRPr="00A6563C"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  <w:t>Hipótesis nula</w:t>
            </w:r>
          </w:p>
        </w:tc>
      </w:tr>
      <w:tr w:rsidR="00135EC1" w:rsidRPr="00A6563C" w14:paraId="67BE7DE9" w14:textId="77777777" w:rsidTr="00247AA4">
        <w:trPr>
          <w:trHeight w:val="26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472F2D4" w14:textId="77777777" w:rsidR="00135EC1" w:rsidRPr="00A6563C" w:rsidRDefault="00135EC1" w:rsidP="00247AA4">
            <w:pPr>
              <w:tabs>
                <w:tab w:val="left" w:pos="1778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</w:pPr>
            <w:r w:rsidRPr="00A6563C"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  <w:t>&lt;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  <w:t xml:space="preserve"> </w:t>
            </w:r>
            <w:r w:rsidRPr="00A6563C"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  <w:t>0,01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68DA626A" w14:textId="77777777" w:rsidR="00135EC1" w:rsidRPr="00A6563C" w:rsidRDefault="00135EC1" w:rsidP="00247AA4">
            <w:pPr>
              <w:tabs>
                <w:tab w:val="left" w:pos="1778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</w:pPr>
            <w:r w:rsidRPr="00A6563C"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  <w:t>Extrema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FE6D94" w14:textId="77777777" w:rsidR="00135EC1" w:rsidRPr="00A6563C" w:rsidRDefault="00135EC1" w:rsidP="00247AA4">
            <w:pPr>
              <w:tabs>
                <w:tab w:val="left" w:pos="1778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</w:pPr>
            <w:r w:rsidRPr="00A6563C"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  <w:t>Hipótesis nula</w:t>
            </w:r>
          </w:p>
        </w:tc>
      </w:tr>
    </w:tbl>
    <w:p w14:paraId="11F147DD" w14:textId="77777777" w:rsidR="00135EC1" w:rsidRPr="00342921" w:rsidRDefault="00135EC1" w:rsidP="00135E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05E9232" w14:textId="77777777" w:rsidR="00135EC1" w:rsidRDefault="00135EC1" w:rsidP="00135E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71B68BE" w14:textId="77777777" w:rsidR="00135EC1" w:rsidRPr="00A6563C" w:rsidRDefault="00135EC1" w:rsidP="00135EC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6563C">
        <w:rPr>
          <w:rFonts w:ascii="Times New Roman" w:hAnsi="Times New Roman" w:cs="Times New Roman"/>
          <w:b/>
          <w:bCs/>
          <w:sz w:val="32"/>
          <w:szCs w:val="32"/>
        </w:rPr>
        <w:t>REFERENCIAS BIBLIOGRÁFICAS</w:t>
      </w:r>
    </w:p>
    <w:p w14:paraId="718E4678" w14:textId="77777777" w:rsidR="00135EC1" w:rsidRPr="00342921" w:rsidRDefault="00135EC1" w:rsidP="00135EC1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val="en-US" w:eastAsia="es-PE"/>
        </w:rPr>
      </w:pP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>1.</w:t>
      </w:r>
      <w:r w:rsidRPr="00342921">
        <w:rPr>
          <w:rFonts w:ascii="Times New Roman" w:hAnsi="Times New Roman" w:cs="Times New Roman"/>
          <w:sz w:val="24"/>
          <w:szCs w:val="24"/>
        </w:rPr>
        <w:t xml:space="preserve"> </w:t>
      </w: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 xml:space="preserve">Broche-Pérez Y, Fernández-Fleites Z, Jiménez-Puig E. Fernández-Castillo E, Rodríguez-Martin BC. </w:t>
      </w: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val="en-US" w:eastAsia="es-PE"/>
        </w:rPr>
        <w:t>Gender and Fear of COVID-19 in a Cuban Population Sample. Int J Ment Health Addict. 2020 [acceso: 08/27/2020];1-9. DOI: 10.1007/s11469-020-00343-8</w:t>
      </w:r>
    </w:p>
    <w:p w14:paraId="7A3256C3" w14:textId="77777777" w:rsidR="00135EC1" w:rsidRPr="00342921" w:rsidRDefault="00135EC1" w:rsidP="00135EC1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val="en-US" w:eastAsia="es-PE"/>
        </w:rPr>
      </w:pP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val="en-US" w:eastAsia="es-PE"/>
        </w:rPr>
        <w:t>2. Kelter R. Bayesian alternatives to null hypothesis significance testing in biomedical research: a non-technical introduction to Bayesian inference with JASP: BMC Med Res Methodol. 2020 [acceso: 08/27/2020]; 20:1-12.</w:t>
      </w:r>
      <w:r w:rsidRPr="00342921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val="en-US" w:eastAsia="es-PE"/>
        </w:rPr>
        <w:t>DOI:10.1186/s12874-020-00980-6</w:t>
      </w:r>
    </w:p>
    <w:p w14:paraId="783769B4" w14:textId="77777777" w:rsidR="00135EC1" w:rsidRPr="00342921" w:rsidRDefault="00135EC1" w:rsidP="00135EC1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</w:pP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val="en-US" w:eastAsia="es-PE"/>
        </w:rPr>
        <w:t>3.</w:t>
      </w:r>
      <w:r w:rsidRPr="003429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val="en-US" w:eastAsia="es-PE"/>
        </w:rPr>
        <w:t xml:space="preserve">Marsmamn M, Wagenmakers EJ. Bayesian benefits with JASP. Eur. J. Dev. </w:t>
      </w: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>Psychol. 2017 [</w:t>
      </w: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>a</w:t>
      </w: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>cceso</w:t>
      </w: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>:</w:t>
      </w: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 xml:space="preserve"> 08/27/2020];14(5):545-55. Disponible en: </w:t>
      </w:r>
      <w:hyperlink r:id="rId8" w:history="1">
        <w:r w:rsidRPr="00F11772">
          <w:rPr>
            <w:rStyle w:val="Hipervnculo"/>
            <w:rFonts w:ascii="Times New Roman" w:eastAsia="Times New Roman" w:hAnsi="Times New Roman" w:cs="Times New Roman"/>
            <w:iCs/>
            <w:sz w:val="24"/>
            <w:szCs w:val="24"/>
            <w:shd w:val="clear" w:color="auto" w:fill="FFFFFF"/>
            <w:lang w:eastAsia="es-PE"/>
          </w:rPr>
          <w:t>https://www.tandfonline.com/doi/full/10.1080/17405629.2016.1259614</w:t>
        </w:r>
      </w:hyperlink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 xml:space="preserve"> </w:t>
      </w:r>
    </w:p>
    <w:p w14:paraId="00DF09C4" w14:textId="77777777" w:rsidR="00135EC1" w:rsidRPr="00342921" w:rsidRDefault="00135EC1" w:rsidP="00135EC1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val="en-US" w:eastAsia="es-PE"/>
        </w:rPr>
      </w:pP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val="en-US" w:eastAsia="es-PE"/>
        </w:rPr>
        <w:lastRenderedPageBreak/>
        <w:t xml:space="preserve">4. Ly A, Raj A, Etz A, Gronau QF, Wagenmakers EJ. Bayesian reanalyses from summary statistics: a guide for academic consumers. Adv Meth Pract Psychol Sci. 2018 [acceso: 08/27/2020]; 1(3):367-74. Disponible </w:t>
      </w:r>
      <w:r w:rsidRPr="00342921">
        <w:rPr>
          <w:rFonts w:ascii="Times New Roman" w:hAnsi="Times New Roman" w:cs="Times New Roman"/>
          <w:sz w:val="24"/>
          <w:szCs w:val="24"/>
          <w:lang w:val="en-US"/>
        </w:rPr>
        <w:t>en</w:t>
      </w: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val="en-US" w:eastAsia="es-PE"/>
        </w:rPr>
        <w:t xml:space="preserve">: </w:t>
      </w:r>
      <w:hyperlink r:id="rId9" w:history="1">
        <w:r w:rsidRPr="00F11772">
          <w:rPr>
            <w:rStyle w:val="Hipervnculo"/>
            <w:rFonts w:ascii="Times New Roman" w:eastAsia="Times New Roman" w:hAnsi="Times New Roman" w:cs="Times New Roman"/>
            <w:iCs/>
            <w:sz w:val="24"/>
            <w:szCs w:val="24"/>
            <w:shd w:val="clear" w:color="auto" w:fill="FFFFFF"/>
            <w:lang w:val="en-US" w:eastAsia="es-PE"/>
          </w:rPr>
          <w:t>https://journals.sagepub.com/doi/full/10.1177/2515245918779348</w:t>
        </w:r>
      </w:hyperlink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val="en-US" w:eastAsia="es-PE"/>
        </w:rPr>
        <w:t xml:space="preserve"> </w:t>
      </w:r>
      <w:r>
        <w:rPr>
          <w:rStyle w:val="Hipervnculo"/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val="en-US" w:eastAsia="es-PE"/>
        </w:rPr>
        <w:t xml:space="preserve">  </w:t>
      </w:r>
    </w:p>
    <w:p w14:paraId="078662EC" w14:textId="77777777" w:rsidR="00135EC1" w:rsidRPr="00342921" w:rsidRDefault="00135EC1" w:rsidP="00135EC1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val="en-US" w:eastAsia="es-PE"/>
        </w:rPr>
      </w:pP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val="en-US" w:eastAsia="es-PE"/>
        </w:rPr>
        <w:t>5. Jeffreys H. Theory of probability. Oxford: Oxford University Press; 1961.</w:t>
      </w:r>
    </w:p>
    <w:p w14:paraId="498DAC7C" w14:textId="77777777" w:rsidR="00135EC1" w:rsidRPr="00342921" w:rsidRDefault="00135EC1" w:rsidP="00135EC1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val="en-US" w:eastAsia="es-PE"/>
        </w:rPr>
      </w:pP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val="en-US" w:eastAsia="es-PE"/>
        </w:rPr>
        <w:t>6. Ahorsu DK, Lin CY, Imani V, Saffari M, Griffiths MD, Pakpour AH. The Fear of COVID-19 Scale: Development and Initial Validation. Int J Ment Health Addict. 2020 [acceso: 08/27/2020];1-9. DOI: 10.1007/s11469-020-00270-8</w:t>
      </w:r>
    </w:p>
    <w:p w14:paraId="5B1EF197" w14:textId="77777777" w:rsidR="00135EC1" w:rsidRPr="00342921" w:rsidRDefault="00135EC1" w:rsidP="00135EC1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</w:pP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val="en-US" w:eastAsia="es-PE"/>
        </w:rPr>
        <w:t xml:space="preserve">7. Kelter R. Bayesian and frequentist testing for differences between two groups with parametric and nonparametric two‐sample tests. </w:t>
      </w: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>WIREs Comput. Stat. 2020 [acceso: 08/27/2020]; e15235:393–419.</w:t>
      </w:r>
      <w:r w:rsidRPr="00342921">
        <w:rPr>
          <w:rFonts w:ascii="Times New Roman" w:hAnsi="Times New Roman" w:cs="Times New Roman"/>
        </w:rPr>
        <w:t xml:space="preserve"> </w:t>
      </w: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>DOI:10.1002/wics.1523</w:t>
      </w:r>
    </w:p>
    <w:p w14:paraId="4D271C99" w14:textId="77777777" w:rsidR="00135EC1" w:rsidRPr="00342921" w:rsidRDefault="00135EC1" w:rsidP="00135EC1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val="en-US" w:eastAsia="es-PE"/>
        </w:rPr>
      </w:pP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 xml:space="preserve">8. Ramos-Vera CA. Replicación bayesiana: cuán probable es la hipótesis nula e hipótesis alterna. </w:t>
      </w: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val="en-US" w:eastAsia="es-PE"/>
        </w:rPr>
        <w:t>Educ Med. 2020 [acceso: 08/27/2020] En prensa.</w:t>
      </w: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val="en-US" w:eastAsia="es-PE"/>
        </w:rPr>
        <w:br/>
        <w:t>DOI: 10.1016/j.edumed.2020.09.014</w:t>
      </w:r>
    </w:p>
    <w:p w14:paraId="70810540" w14:textId="77777777" w:rsidR="00135EC1" w:rsidRPr="00342921" w:rsidRDefault="00135EC1" w:rsidP="00135EC1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</w:pP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val="en-US" w:eastAsia="es-PE"/>
        </w:rPr>
        <w:t xml:space="preserve">9. Brydges CR. Effect Size Guidelines, Sample Size Calculations, and Statistical Power in Gerontology. </w:t>
      </w:r>
      <w:r w:rsidRPr="0034292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>Innov Aging. 2019; [acceso: 08/27/2020]; 3(4): igz036 DOI:10.1093/geroni/igz036</w:t>
      </w:r>
    </w:p>
    <w:p w14:paraId="20B36921" w14:textId="77777777" w:rsidR="00135EC1" w:rsidRDefault="00135EC1" w:rsidP="00135EC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F70A12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10. Ramos-Vera CA. </w:t>
      </w:r>
      <w:r w:rsidRPr="00AB414D"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  <w:t xml:space="preserve">The Bayes Factor, a Suitable Complement beyond Values of p&lt;0.05 in Nursing Research and Education. </w:t>
      </w:r>
      <w:r w:rsidRPr="00F70A12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Invest. Educ. </w:t>
      </w:r>
      <w:r w:rsidRPr="00AB414D">
        <w:rPr>
          <w:rFonts w:ascii="Times New Roman" w:eastAsia="Times New Roman" w:hAnsi="Times New Roman" w:cs="Times New Roman"/>
          <w:sz w:val="24"/>
          <w:szCs w:val="24"/>
          <w:lang w:eastAsia="es-PE"/>
        </w:rPr>
        <w:t>Enferm. 2021</w:t>
      </w:r>
      <w:r w:rsidRPr="00F70A12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es-PE"/>
        </w:rPr>
        <w:t>[acceso: 03/07/2021]</w:t>
      </w:r>
      <w:r w:rsidRPr="00AB414D">
        <w:rPr>
          <w:rFonts w:ascii="Times New Roman" w:eastAsia="Times New Roman" w:hAnsi="Times New Roman" w:cs="Times New Roman"/>
          <w:sz w:val="24"/>
          <w:szCs w:val="24"/>
          <w:lang w:eastAsia="es-PE"/>
        </w:rPr>
        <w:t>; 39(1): e14.</w:t>
      </w:r>
      <w:r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D</w:t>
      </w:r>
      <w:r w:rsidRPr="00F70A12">
        <w:rPr>
          <w:rFonts w:ascii="Times New Roman" w:eastAsia="Times New Roman" w:hAnsi="Times New Roman" w:cs="Times New Roman"/>
          <w:sz w:val="24"/>
          <w:szCs w:val="24"/>
          <w:lang w:eastAsia="es-PE"/>
        </w:rPr>
        <w:t>OI: 10.17533/udea.iee.v39n1e14</w:t>
      </w:r>
    </w:p>
    <w:p w14:paraId="1DD4DAA7" w14:textId="77777777" w:rsidR="00135EC1" w:rsidRDefault="00135EC1" w:rsidP="00135EC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</w:p>
    <w:p w14:paraId="09D4ECF9" w14:textId="77777777" w:rsidR="00135EC1" w:rsidRDefault="00135EC1" w:rsidP="00135EC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</w:p>
    <w:p w14:paraId="4893B7B1" w14:textId="77777777" w:rsidR="00135EC1" w:rsidRDefault="00135EC1" w:rsidP="00135EC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Conflictos de interés</w:t>
      </w:r>
    </w:p>
    <w:p w14:paraId="65FAD3B8" w14:textId="77777777" w:rsidR="00135EC1" w:rsidRPr="00CA633D" w:rsidRDefault="00135EC1" w:rsidP="00135EC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es-P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PE"/>
        </w:rPr>
        <w:t>Sin conflictos de interés ni financiamiento</w:t>
      </w:r>
    </w:p>
    <w:p w14:paraId="6299328D" w14:textId="77777777" w:rsidR="00675476" w:rsidRPr="00391509" w:rsidRDefault="00675476" w:rsidP="00391509"/>
    <w:sectPr w:rsidR="00675476" w:rsidRPr="00391509" w:rsidSect="000F3690">
      <w:headerReference w:type="default" r:id="rId10"/>
      <w:footerReference w:type="even" r:id="rId11"/>
      <w:footerReference w:type="default" r:id="rId12"/>
      <w:pgSz w:w="12242" w:h="15842" w:code="1"/>
      <w:pgMar w:top="1418" w:right="1134" w:bottom="1701" w:left="1134" w:header="851" w:footer="1134" w:gutter="0"/>
      <w:pgNumType w:start="29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B11058" w14:textId="77777777" w:rsidR="002914A6" w:rsidRDefault="002914A6">
      <w:r>
        <w:separator/>
      </w:r>
    </w:p>
  </w:endnote>
  <w:endnote w:type="continuationSeparator" w:id="0">
    <w:p w14:paraId="0DECF87E" w14:textId="77777777" w:rsidR="002914A6" w:rsidRDefault="00291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D352D2" w14:textId="77777777" w:rsidR="00FE40CB" w:rsidRDefault="00FE40CB" w:rsidP="00B66EC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71CFF6E" w14:textId="77777777" w:rsidR="00FE40CB" w:rsidRDefault="00FE40CB" w:rsidP="00FE40C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BA93A8" w14:textId="77777777" w:rsidR="000F3690" w:rsidRPr="00AE044C" w:rsidRDefault="000F3690" w:rsidP="00391509">
    <w:pPr>
      <w:pStyle w:val="Piedepgina"/>
      <w:ind w:right="360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BAA951" wp14:editId="4CFE31C9">
              <wp:simplePos x="0" y="0"/>
              <wp:positionH relativeFrom="column">
                <wp:posOffset>3810</wp:posOffset>
              </wp:positionH>
              <wp:positionV relativeFrom="paragraph">
                <wp:posOffset>50165</wp:posOffset>
              </wp:positionV>
              <wp:extent cx="6286500" cy="19050"/>
              <wp:effectExtent l="19050" t="19050" r="19050" b="19050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1905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37AA03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3.95pt" to="495.3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" strokecolor="blue" strokeweight="2.25pt"/>
          </w:pict>
        </mc:Fallback>
      </mc:AlternateContent>
    </w:r>
  </w:p>
  <w:p w14:paraId="63BF9295" w14:textId="77777777" w:rsidR="00675476" w:rsidRPr="004824C9" w:rsidRDefault="002914A6" w:rsidP="004824C9">
    <w:pPr>
      <w:pStyle w:val="Piedepgina"/>
      <w:spacing w:after="0"/>
      <w:ind w:right="357"/>
      <w:rPr>
        <w:rFonts w:ascii="Times New Roman" w:hAnsi="Times New Roman" w:cs="Times New Roman"/>
      </w:rPr>
    </w:pPr>
    <w:hyperlink r:id="rId1" w:history="1">
      <w:r w:rsidR="00391509" w:rsidRPr="004824C9">
        <w:rPr>
          <w:rStyle w:val="Hipervnculo"/>
          <w:rFonts w:ascii="Times New Roman" w:hAnsi="Times New Roman" w:cs="Times New Roman"/>
        </w:rPr>
        <w:t>http://scielo.sld.cu</w:t>
      </w:r>
    </w:hyperlink>
  </w:p>
  <w:p w14:paraId="47675664" w14:textId="77777777" w:rsidR="00391509" w:rsidRPr="004824C9" w:rsidRDefault="002914A6" w:rsidP="004824C9">
    <w:pPr>
      <w:pStyle w:val="Piedepgina"/>
      <w:tabs>
        <w:tab w:val="clear" w:pos="4252"/>
        <w:tab w:val="left" w:pos="8504"/>
      </w:tabs>
      <w:spacing w:after="0"/>
      <w:ind w:right="357"/>
      <w:rPr>
        <w:rFonts w:ascii="Times New Roman" w:hAnsi="Times New Roman" w:cs="Times New Roman"/>
      </w:rPr>
    </w:pPr>
    <w:hyperlink r:id="rId2" w:history="1">
      <w:r w:rsidR="00391509" w:rsidRPr="004824C9">
        <w:rPr>
          <w:rStyle w:val="Hipervnculo"/>
          <w:rFonts w:ascii="Times New Roman" w:hAnsi="Times New Roman" w:cs="Times New Roman"/>
        </w:rPr>
        <w:t>http://www.revmedmilitar.sld.cu</w:t>
      </w:r>
    </w:hyperlink>
    <w:r w:rsidR="00391509" w:rsidRPr="004824C9">
      <w:rPr>
        <w:rFonts w:ascii="Times New Roman" w:hAnsi="Times New Roman" w:cs="Times New Roman"/>
      </w:rPr>
      <w:t xml:space="preserve"> </w:t>
    </w:r>
    <w:r w:rsidR="00AE044C" w:rsidRPr="004824C9">
      <w:rPr>
        <w:rFonts w:ascii="Times New Roman" w:hAnsi="Times New Roman" w:cs="Times New Roman"/>
      </w:rPr>
      <w:tab/>
    </w:r>
  </w:p>
  <w:p w14:paraId="626A0242" w14:textId="77777777" w:rsidR="00180CE9" w:rsidRPr="00CC376A" w:rsidRDefault="00180CE9" w:rsidP="004824C9">
    <w:pPr>
      <w:pStyle w:val="Piedepgina"/>
      <w:spacing w:after="0"/>
      <w:ind w:right="357"/>
      <w:jc w:val="center"/>
      <w:rPr>
        <w:rFonts w:ascii="Verdana" w:hAnsi="Verdana"/>
        <w:sz w:val="18"/>
        <w:szCs w:val="18"/>
      </w:rPr>
    </w:pPr>
    <w:r w:rsidRPr="004824C9">
      <w:rPr>
        <w:rFonts w:ascii="Times New Roman" w:hAnsi="Times New Roman" w:cs="Times New Roman"/>
      </w:rPr>
      <w:t>Bajo licencia Creative Commons</w:t>
    </w:r>
    <w:r w:rsidRPr="004824C9">
      <w:rPr>
        <w:rFonts w:ascii="Times New Roman" w:hAnsi="Times New Roman" w:cs="Times New Roman"/>
        <w:sz w:val="18"/>
        <w:szCs w:val="18"/>
      </w:rPr>
      <w:t xml:space="preserve"> </w:t>
    </w:r>
    <w:r>
      <w:rPr>
        <w:rFonts w:ascii="Verdana" w:hAnsi="Verdana"/>
        <w:noProof/>
        <w:sz w:val="18"/>
        <w:szCs w:val="18"/>
        <w:lang w:val="es-ES" w:eastAsia="es-ES"/>
      </w:rPr>
      <w:drawing>
        <wp:inline distT="0" distB="0" distL="0" distR="0" wp14:anchorId="4EC8D00C" wp14:editId="08E24902">
          <wp:extent cx="642106" cy="148894"/>
          <wp:effectExtent l="0" t="0" r="5715" b="3810"/>
          <wp:docPr id="3" name="Imagen 3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Commons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951" cy="1838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528DDC" w14:textId="77777777" w:rsidR="002914A6" w:rsidRDefault="002914A6">
      <w:r>
        <w:separator/>
      </w:r>
    </w:p>
  </w:footnote>
  <w:footnote w:type="continuationSeparator" w:id="0">
    <w:p w14:paraId="6D8FD507" w14:textId="77777777" w:rsidR="002914A6" w:rsidRDefault="00291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0EECFE" w14:textId="77777777" w:rsidR="00CC376A" w:rsidRPr="004824C9" w:rsidRDefault="00B31971" w:rsidP="00180CE9">
    <w:pPr>
      <w:pStyle w:val="Encabezado"/>
      <w:tabs>
        <w:tab w:val="left" w:pos="420"/>
      </w:tabs>
      <w:jc w:val="center"/>
      <w:rPr>
        <w:rFonts w:ascii="Times New Roman" w:hAnsi="Times New Roman" w:cs="Times New Roman"/>
      </w:rPr>
    </w:pPr>
    <w:r w:rsidRPr="004824C9">
      <w:rPr>
        <w:rFonts w:ascii="Times New Roman" w:hAnsi="Times New Roman" w:cs="Times New Roman"/>
        <w:b/>
        <w:noProof/>
        <w:color w:val="00FFFF"/>
        <w:lang w:val="es-ES" w:eastAsia="es-ES"/>
      </w:rPr>
      <w:drawing>
        <wp:anchor distT="0" distB="0" distL="114300" distR="114300" simplePos="0" relativeHeight="251662336" behindDoc="0" locked="0" layoutInCell="1" allowOverlap="1" wp14:anchorId="313357FB" wp14:editId="19C3019E">
          <wp:simplePos x="0" y="0"/>
          <wp:positionH relativeFrom="column">
            <wp:posOffset>6029325</wp:posOffset>
          </wp:positionH>
          <wp:positionV relativeFrom="paragraph">
            <wp:posOffset>-276225</wp:posOffset>
          </wp:positionV>
          <wp:extent cx="238125" cy="269875"/>
          <wp:effectExtent l="0" t="0" r="9525" b="0"/>
          <wp:wrapThrough wrapText="bothSides">
            <wp:wrapPolygon edited="0">
              <wp:start x="0" y="0"/>
              <wp:lineTo x="0" y="19821"/>
              <wp:lineTo x="20736" y="19821"/>
              <wp:lineTo x="20736" y="0"/>
              <wp:lineTo x="0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ITMA copia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125" cy="269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40CB" w:rsidRPr="004824C9">
      <w:rPr>
        <w:rFonts w:ascii="Times New Roman" w:hAnsi="Times New Roman" w:cs="Times New Roman"/>
      </w:rPr>
      <w:t xml:space="preserve">Revista </w:t>
    </w:r>
    <w:r w:rsidR="00380D64" w:rsidRPr="004824C9">
      <w:rPr>
        <w:rFonts w:ascii="Times New Roman" w:hAnsi="Times New Roman" w:cs="Times New Roman"/>
      </w:rPr>
      <w:t>Cubana de Medicina Militar.</w:t>
    </w:r>
    <w:r w:rsidR="00D85951" w:rsidRPr="004824C9">
      <w:rPr>
        <w:rFonts w:ascii="Times New Roman" w:hAnsi="Times New Roman" w:cs="Times New Roman"/>
      </w:rPr>
      <w:t xml:space="preserve"> </w:t>
    </w:r>
    <w:r w:rsidR="004824C9">
      <w:rPr>
        <w:rFonts w:ascii="Times New Roman" w:hAnsi="Times New Roman" w:cs="Times New Roman"/>
      </w:rPr>
      <w:t>2021</w:t>
    </w:r>
    <w:r w:rsidR="003E03D5" w:rsidRPr="004824C9">
      <w:rPr>
        <w:rFonts w:ascii="Times New Roman" w:hAnsi="Times New Roman" w:cs="Times New Roman"/>
      </w:rPr>
      <w:t>;</w:t>
    </w:r>
    <w:r w:rsidR="004824C9">
      <w:rPr>
        <w:rFonts w:ascii="Times New Roman" w:hAnsi="Times New Roman" w:cs="Times New Roman"/>
      </w:rPr>
      <w:t>50</w:t>
    </w:r>
    <w:r w:rsidR="00493701" w:rsidRPr="004824C9">
      <w:rPr>
        <w:rFonts w:ascii="Times New Roman" w:hAnsi="Times New Roman" w:cs="Times New Roman"/>
      </w:rPr>
      <w:t>(</w:t>
    </w:r>
    <w:r w:rsidR="004824C9">
      <w:rPr>
        <w:rFonts w:ascii="Times New Roman" w:hAnsi="Times New Roman" w:cs="Times New Roman"/>
      </w:rPr>
      <w:t>2</w:t>
    </w:r>
    <w:r w:rsidR="00493701" w:rsidRPr="004824C9">
      <w:rPr>
        <w:rFonts w:ascii="Times New Roman" w:hAnsi="Times New Roman" w:cs="Times New Roman"/>
      </w:rPr>
      <w:t>)</w:t>
    </w:r>
    <w:r w:rsidR="00391509" w:rsidRPr="004824C9">
      <w:rPr>
        <w:rFonts w:ascii="Times New Roman" w:hAnsi="Times New Roman" w:cs="Times New Roman"/>
      </w:rPr>
      <w:t>:</w:t>
    </w:r>
    <w:r w:rsidR="004824C9">
      <w:rPr>
        <w:rFonts w:ascii="Times New Roman" w:hAnsi="Times New Roman" w:cs="Times New Roman"/>
      </w:rPr>
      <w:t>e0210980</w:t>
    </w:r>
  </w:p>
  <w:p w14:paraId="7AA6B924" w14:textId="77777777" w:rsidR="00A477DE" w:rsidRDefault="000F3690">
    <w:r w:rsidRPr="00CC376A">
      <w:rPr>
        <w:rFonts w:ascii="Verdana" w:hAnsi="Verdana"/>
        <w:noProof/>
        <w:color w:val="00FFFF"/>
        <w:sz w:val="18"/>
        <w:szCs w:val="18"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21BE2C" wp14:editId="4E898B87">
              <wp:simplePos x="0" y="0"/>
              <wp:positionH relativeFrom="column">
                <wp:posOffset>3809</wp:posOffset>
              </wp:positionH>
              <wp:positionV relativeFrom="paragraph">
                <wp:posOffset>44449</wp:posOffset>
              </wp:positionV>
              <wp:extent cx="6276975" cy="28575"/>
              <wp:effectExtent l="19050" t="19050" r="28575" b="2857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6975" cy="28575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AA4B6A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3.5pt" to="494.5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" strokecolor="blue" strokeweight="2.2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EC1"/>
    <w:rsid w:val="000F3690"/>
    <w:rsid w:val="001221D1"/>
    <w:rsid w:val="00135EC1"/>
    <w:rsid w:val="00180CE9"/>
    <w:rsid w:val="00230DD5"/>
    <w:rsid w:val="002914A6"/>
    <w:rsid w:val="00303D45"/>
    <w:rsid w:val="00380D64"/>
    <w:rsid w:val="00391509"/>
    <w:rsid w:val="003E03D5"/>
    <w:rsid w:val="004824C9"/>
    <w:rsid w:val="00493701"/>
    <w:rsid w:val="004E2065"/>
    <w:rsid w:val="005508A2"/>
    <w:rsid w:val="00566F71"/>
    <w:rsid w:val="00675476"/>
    <w:rsid w:val="007C430F"/>
    <w:rsid w:val="007D614D"/>
    <w:rsid w:val="00960D6A"/>
    <w:rsid w:val="009A0560"/>
    <w:rsid w:val="009B0917"/>
    <w:rsid w:val="00A23C0C"/>
    <w:rsid w:val="00A477DE"/>
    <w:rsid w:val="00A71E65"/>
    <w:rsid w:val="00AE044C"/>
    <w:rsid w:val="00B31971"/>
    <w:rsid w:val="00B4380A"/>
    <w:rsid w:val="00B66ECB"/>
    <w:rsid w:val="00C7523A"/>
    <w:rsid w:val="00CC1B6E"/>
    <w:rsid w:val="00CC376A"/>
    <w:rsid w:val="00CC48A1"/>
    <w:rsid w:val="00D85951"/>
    <w:rsid w:val="00E62606"/>
    <w:rsid w:val="00FE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8B9479"/>
  <w15:docId w15:val="{AA42164D-C521-42F2-B44D-A80C184D4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5EC1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7547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675476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rsid w:val="00FE40CB"/>
    <w:pPr>
      <w:spacing w:before="100" w:beforeAutospacing="1" w:after="100" w:afterAutospacing="1"/>
    </w:pPr>
  </w:style>
  <w:style w:type="character" w:styleId="Hipervnculo">
    <w:name w:val="Hyperlink"/>
    <w:uiPriority w:val="99"/>
    <w:rsid w:val="00FE40CB"/>
    <w:rPr>
      <w:color w:val="0000FF"/>
      <w:u w:val="single"/>
    </w:rPr>
  </w:style>
  <w:style w:type="character" w:styleId="Nmerodepgina">
    <w:name w:val="page number"/>
    <w:basedOn w:val="Fuentedeprrafopredeter"/>
    <w:rsid w:val="00FE40CB"/>
  </w:style>
  <w:style w:type="character" w:customStyle="1" w:styleId="EncabezadoCar">
    <w:name w:val="Encabezado Car"/>
    <w:link w:val="Encabezado"/>
    <w:uiPriority w:val="99"/>
    <w:rsid w:val="00A71E65"/>
    <w:rPr>
      <w:sz w:val="24"/>
      <w:szCs w:val="24"/>
      <w:lang w:val="es-ES_tradnl" w:eastAsia="es-ES_tradnl"/>
    </w:rPr>
  </w:style>
  <w:style w:type="character" w:customStyle="1" w:styleId="PiedepginaCar">
    <w:name w:val="Pie de página Car"/>
    <w:link w:val="Piedepgina"/>
    <w:uiPriority w:val="99"/>
    <w:rsid w:val="00A71E65"/>
    <w:rPr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rsid w:val="00A71E6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71E65"/>
    <w:rPr>
      <w:rFonts w:ascii="Tahoma" w:hAnsi="Tahoma" w:cs="Tahoma"/>
      <w:sz w:val="16"/>
      <w:szCs w:val="16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8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ndfonline.com/doi/full/10.1080/17405629.2016.1259614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ristony_777@hotmail.com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cid.org/0000-0002-3417-5701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journals.sagepub.com/doi/full/10.1177/2515245918779348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-sa/4.0/" TargetMode="External"/><Relationship Id="rId2" Type="http://schemas.openxmlformats.org/officeDocument/2006/relationships/hyperlink" Target="http://www.revmedmilitar.sld.cu" TargetMode="External"/><Relationship Id="rId1" Type="http://schemas.openxmlformats.org/officeDocument/2006/relationships/hyperlink" Target="http://scielo.sld.cu" TargetMode="External"/><Relationship Id="rId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TRABAJO\N&#250;mero%20nuevo\PDF\OK_art&#237;cul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OK_artículo.dotx</Template>
  <TotalTime>4</TotalTime>
  <Pages>4</Pages>
  <Words>1192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The houze!</Company>
  <LinksUpToDate>false</LinksUpToDate>
  <CharactersWithSpaces>7737</CharactersWithSpaces>
  <SharedDoc>false</SharedDoc>
  <HLinks>
    <vt:vector size="30" baseType="variant">
      <vt:variant>
        <vt:i4>1048690</vt:i4>
      </vt:variant>
      <vt:variant>
        <vt:i4>12</vt:i4>
      </vt:variant>
      <vt:variant>
        <vt:i4>0</vt:i4>
      </vt:variant>
      <vt:variant>
        <vt:i4>5</vt:i4>
      </vt:variant>
      <vt:variant>
        <vt:lpwstr>mailto:nereyda@ipk.sld.cu</vt:lpwstr>
      </vt:variant>
      <vt:variant>
        <vt:lpwstr/>
      </vt:variant>
      <vt:variant>
        <vt:i4>5963839</vt:i4>
      </vt:variant>
      <vt:variant>
        <vt:i4>9</vt:i4>
      </vt:variant>
      <vt:variant>
        <vt:i4>0</vt:i4>
      </vt:variant>
      <vt:variant>
        <vt:i4>5</vt:i4>
      </vt:variant>
      <vt:variant>
        <vt:lpwstr>mailto:nereydac@infomed.sld.cu</vt:lpwstr>
      </vt:variant>
      <vt:variant>
        <vt:lpwstr/>
      </vt:variant>
      <vt:variant>
        <vt:i4>8192031</vt:i4>
      </vt:variant>
      <vt:variant>
        <vt:i4>6</vt:i4>
      </vt:variant>
      <vt:variant>
        <vt:i4>0</vt:i4>
      </vt:variant>
      <vt:variant>
        <vt:i4>5</vt:i4>
      </vt:variant>
      <vt:variant>
        <vt:lpwstr>mailto:bcantelar@ipk.sld.cu</vt:lpwstr>
      </vt:variant>
      <vt:variant>
        <vt:lpwstr/>
      </vt:variant>
      <vt:variant>
        <vt:i4>7012358</vt:i4>
      </vt:variant>
      <vt:variant>
        <vt:i4>3</vt:i4>
      </vt:variant>
      <vt:variant>
        <vt:i4>0</vt:i4>
      </vt:variant>
      <vt:variant>
        <vt:i4>5</vt:i4>
      </vt:variant>
      <vt:variant>
        <vt:lpwstr>mailto:mayasilmp@infomed.sld.cu</vt:lpwstr>
      </vt:variant>
      <vt:variant>
        <vt:lpwstr/>
      </vt:variant>
      <vt:variant>
        <vt:i4>5701664</vt:i4>
      </vt:variant>
      <vt:variant>
        <vt:i4>0</vt:i4>
      </vt:variant>
      <vt:variant>
        <vt:i4>0</vt:i4>
      </vt:variant>
      <vt:variant>
        <vt:i4>5</vt:i4>
      </vt:variant>
      <vt:variant>
        <vt:lpwstr>mailto:nery@ipk.sld.cu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Plantilla para pdf</dc:subject>
  <dc:creator>Amanda Talía Castillo Carratala</dc:creator>
  <cp:lastModifiedBy>SG</cp:lastModifiedBy>
  <cp:revision>3</cp:revision>
  <cp:lastPrinted>2010-09-13T21:29:00Z</cp:lastPrinted>
  <dcterms:created xsi:type="dcterms:W3CDTF">2021-03-24T21:01:00Z</dcterms:created>
  <dcterms:modified xsi:type="dcterms:W3CDTF">2021-04-01T16:53:00Z</dcterms:modified>
</cp:coreProperties>
</file>