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Artículo de investigación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250 palabras.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 xml:space="preserve">Cuerpo del artículo </w:t>
      </w:r>
      <w:r>
        <w:rPr>
          <w:rFonts w:eastAsia="Calibri" w:cs="Calibri"/>
          <w:b/>
          <w:bCs/>
          <w:sz w:val="24"/>
          <w:szCs w:val="24"/>
          <w:u w:val="none"/>
        </w:rPr>
        <w:t>(hasta 3000 palabras y hasta 5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además, el objetivo de la investigación que se presenta, en el contexto del tema.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Recomendamos estructurar esta sección, para mejorar la legibilidad del artículo (ver las Instrucciones a los autores para las recomendaciones específicas)</w:t>
      </w:r>
      <w:r>
        <w:rPr>
          <w:rStyle w:val="Eop"/>
          <w:rFonts w:cs="Calibri"/>
          <w:sz w:val="24"/>
          <w:szCs w:val="24"/>
        </w:rPr>
        <w:t>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suficientes detalles de las fuentes de datos y los procedimientos, de forma que otros investigadores puedan reproducir el estudio.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Consideraciones éticas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Cuando el artículo trata de investigaciones en seres humanos y en animales, es obligatorio incluir estas consideraciones. Ver las Instrucciones a los autores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 sobre los aspectos bioéticos.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</w:rPr>
        <w:t>Los resultados del estudio se presentan en esta sección.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DISCUSIÓN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Incluye la discusión de los resultados, limitaciones e implicaciones de estos, así como las recomendaciones para estudios posteriores.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Contribuciones de los autores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 w:val="false"/>
          <w:bCs w:val="false"/>
          <w:sz w:val="24"/>
          <w:szCs w:val="24"/>
        </w:rPr>
        <w:t>Listado de las contribuciones de cada autor, según la taxonomía CREDIT.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10572154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LibreOffice/7.2.4.1$Windows_X86_64 LibreOffice_project/27d75539669ac387bb498e35313b970b7fe9c4f9</Application>
  <AppVersion>15.0000</AppVersion>
  <Pages>3</Pages>
  <Words>332</Words>
  <Characters>1954</Characters>
  <CharactersWithSpaces>2255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2023-12-18T17:05:34Z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